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lang w:val="en-AU" w:eastAsia="zh-CN"/>
        </w:rPr>
        <w:id w:val="-956404534"/>
        <w:docPartObj>
          <w:docPartGallery w:val="Cover Pages"/>
          <w:docPartUnique/>
        </w:docPartObj>
      </w:sdtPr>
      <w:sdtEndPr/>
      <w:sdtContent>
        <w:p w14:paraId="7C225E97" w14:textId="6756EBAA" w:rsidR="004A2C03" w:rsidRDefault="004A2C03">
          <w:pPr>
            <w:pStyle w:val="NoSpacing"/>
          </w:pPr>
          <w:r>
            <w:rPr>
              <w:noProof/>
              <w:lang w:val="en-AU" w:eastAsia="en-AU"/>
            </w:rPr>
            <mc:AlternateContent>
              <mc:Choice Requires="wpg">
                <w:drawing>
                  <wp:anchor distT="0" distB="0" distL="114300" distR="114300" simplePos="0" relativeHeight="251663360" behindDoc="1" locked="0" layoutInCell="1" allowOverlap="1" wp14:anchorId="4D93CDE0" wp14:editId="3A4DF08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3" name="Group 3"/>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4" name="Rectangle 4"/>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Pentagon 5"/>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D62619" w14:textId="18304ADF" w:rsidR="00800510" w:rsidRPr="00B0340E" w:rsidRDefault="00800510">
                                  <w:pPr>
                                    <w:pStyle w:val="NoSpacing"/>
                                    <w:jc w:val="right"/>
                                    <w:rPr>
                                      <w:color w:val="FFFFFF" w:themeColor="background1"/>
                                      <w:sz w:val="28"/>
                                      <w:szCs w:val="28"/>
                                      <w:lang w:val="en-AU"/>
                                    </w:rPr>
                                  </w:pPr>
                                  <w:r>
                                    <w:rPr>
                                      <w:color w:val="FFFFFF" w:themeColor="background1"/>
                                      <w:sz w:val="28"/>
                                      <w:szCs w:val="28"/>
                                      <w:lang w:val="en-AU"/>
                                    </w:rPr>
                                    <w:t>25 November 2016</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6" name="Group 6"/>
                            <wpg:cNvGrpSpPr/>
                            <wpg:grpSpPr>
                              <a:xfrm>
                                <a:off x="76200" y="4210050"/>
                                <a:ext cx="2057400" cy="4910328"/>
                                <a:chOff x="80645" y="4211812"/>
                                <a:chExt cx="1306273" cy="3121026"/>
                              </a:xfrm>
                            </wpg:grpSpPr>
                            <wpg:grpSp>
                              <wpg:cNvPr id="7" name="Group 7"/>
                              <wpg:cNvGrpSpPr>
                                <a:grpSpLocks noChangeAspect="1"/>
                              </wpg:cNvGrpSpPr>
                              <wpg:grpSpPr>
                                <a:xfrm>
                                  <a:off x="141062" y="4211812"/>
                                  <a:ext cx="1047750" cy="3121026"/>
                                  <a:chOff x="141062" y="4211812"/>
                                  <a:chExt cx="1047750" cy="3121026"/>
                                </a:xfrm>
                              </wpg:grpSpPr>
                              <wps:wsp>
                                <wps:cNvPr id="8" name="Freeform 8"/>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0"/>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6" name="Group 26"/>
                              <wpg:cNvGrpSpPr>
                                <a:grpSpLocks noChangeAspect="1"/>
                              </wpg:cNvGrpSpPr>
                              <wpg:grpSpPr>
                                <a:xfrm>
                                  <a:off x="80645" y="4826972"/>
                                  <a:ext cx="1306273" cy="2505863"/>
                                  <a:chOff x="80645" y="4649964"/>
                                  <a:chExt cx="874712" cy="1677988"/>
                                </a:xfrm>
                              </wpg:grpSpPr>
                              <wps:wsp>
                                <wps:cNvPr id="27" name="Freeform 27"/>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36" name="Freeform 14336"/>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37" name="Freeform 14337"/>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38" name="Freeform 14338"/>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39" name="Freeform 14339"/>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40" name="Freeform 14340"/>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341" name="Freeform 14341"/>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 3" o:spid="_x0000_s1026" style="position:absolute;margin-left:0;margin-top:0;width:172.8pt;height:718.55pt;z-index:-25165312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">
                    <v:rect id="Rectangle 4"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937MUA&#10;AADaAAAADwAAAGRycy9kb3ducmV2LnhtbESPQWvCQBSE7wX/w/KE3upGKVKjq4ggtBQp1SDt7Zl9&#10;zaZm34bs1qT+elcQPA4z8w0zW3S2EidqfOlYwXCQgCDOnS65UJDt1k8vIHxA1lg5JgX/5GEx7z3M&#10;MNWu5U86bUMhIoR9igpMCHUqpc8NWfQDVxNH78c1FkOUTSF1g22E20qOkmQsLZYcFwzWtDKUH7d/&#10;VoH7PU+y93ZzPOzMJN9/j4qvt49Wqcd+t5yCCNSFe/jWftUKnuF6Jd4A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T3fsxQAAANoAAAAPAAAAAAAAAAAAAAAAAJgCAABkcnMv&#10;ZG93bnJldi54bWxQSwUGAAAAAAQABAD1AAAAigM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g2o8QA&#10;AADaAAAADwAAAGRycy9kb3ducmV2LnhtbESP3WrCQBSE74W+w3IE7+omiqVEV/EHwQvtj/oAx+wx&#10;ic2eDdnVRJ++Wyh4OczMN8xk1ppS3Kh2hWUFcT8CQZxaXXCm4HhYv76DcB5ZY2mZFNzJwWz60plg&#10;om3D33Tb+0wECLsEFeTeV4mULs3JoOvbijh4Z1sb9EHWmdQ1NgFuSjmIojdpsOCwkGNFy5zSn/3V&#10;KDDxNl4s2sfHZ3P5Gp6qq2+i1U6pXredj0F4av0z/N/eaAUj+LsSbo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4NqPEAAAA2gAAAA8AAAAAAAAAAAAAAAAAmAIAAGRycy9k&#10;b3ducmV2LnhtbFBLBQYAAAAABAAEAPUAAACJAwAAAAA=&#10;" adj="18883" fillcolor="#5b9bd5 [3204]" stroked="f" strokeweight="1pt">
                      <v:textbox inset=",0,14.4pt,0">
                        <w:txbxContent>
                          <w:p w14:paraId="42D62619" w14:textId="18304ADF" w:rsidR="00800510" w:rsidRPr="00B0340E" w:rsidRDefault="00800510">
                            <w:pPr>
                              <w:pStyle w:val="NoSpacing"/>
                              <w:jc w:val="right"/>
                              <w:rPr>
                                <w:color w:val="FFFFFF" w:themeColor="background1"/>
                                <w:sz w:val="28"/>
                                <w:szCs w:val="28"/>
                                <w:lang w:val="en-AU"/>
                              </w:rPr>
                            </w:pPr>
                            <w:r>
                              <w:rPr>
                                <w:color w:val="FFFFFF" w:themeColor="background1"/>
                                <w:sz w:val="28"/>
                                <w:szCs w:val="28"/>
                                <w:lang w:val="en-AU"/>
                              </w:rPr>
                              <w:t>25 November 2016</w:t>
                            </w:r>
                          </w:p>
                        </w:txbxContent>
                      </v:textbox>
                    </v:shape>
                    <v:group id="Group 6"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7"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8"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8nd7sA&#10;AADaAAAADwAAAGRycy9kb3ducmV2LnhtbERPuwrCMBTdBf8hXMFFNNVBpBpFRKmOvvZLc22rzU1p&#10;Yq1+vRkEx8N5L1atKUVDtSssKxiPIhDEqdUFZwou591wBsJ5ZI2lZVLwJgerZbezwFjbFx+pOflM&#10;hBB2MSrIva9iKV2ak0E3shVx4G62NugDrDOpa3yFcFPKSRRNpcGCQ0OOFW1ySh+np1GgP+fENibJ&#10;NoPrYXtbJ7N9cndK9Xvteg7CU+v/4p97rx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gPJ3e7AAAA2gAAAA8AAAAAAAAAAAAAAAAAmAIAAGRycy9kb3ducmV2Lnht&#10;bFBLBQYAAAAABAAEAPUAAACAAw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13"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vtsAA&#10;AADbAAAADwAAAGRycy9kb3ducmV2LnhtbERPzYrCMBC+C75DGGFvmrqiSDVKFVa8eFh3H2Bsxqba&#10;TEoSbfftzcLC3ubj+531treNeJIPtWMF00kGgrh0uuZKwffXx3gJIkRkjY1jUvBDAbab4WCNuXYd&#10;f9LzHCuRQjjkqMDE2OZShtKQxTBxLXHirs5bjAn6SmqPXQq3jXzPsoW0WHNqMNjS3lB5Pz+sgode&#10;7A/zeX+/XTpX+OtpVxydUept1BcrEJH6+C/+cx91mj+D31/S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EvtsAAAADbAAAADwAAAAAAAAAAAAAAAACYAgAAZHJzL2Rvd25y&#10;ZXYueG1sUEsFBgAAAAAEAAQA9QAAAIUD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16"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lmsIA&#10;AADbAAAADwAAAGRycy9kb3ducmV2LnhtbERP32vCMBB+H/g/hBN8W1PdKNI1yhAGKoNROwZ7O5pb&#10;2625lCRq/e8XQfDtPr6fV6xH04sTOd9ZVjBPUhDEtdUdNwo+q7fHJQgfkDX2lknBhTysV5OHAnNt&#10;z1zS6RAaEUPY56igDWHIpfR1SwZ9YgfiyP1YZzBE6BqpHZ5juOnlIk0zabDj2NDiQJuW6r/D0Sj4&#10;eL784u5oysVTle4cvg/b/de3UrPp+PoCItAY7uKbe6vj/Ayuv8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eWawgAAANsAAAAPAAAAAAAAAAAAAAAAAJgCAABkcnMvZG93&#10;bnJldi54bWxQSwUGAAAAAAQABAD1AAAAhwM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17"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1hCsMA&#10;AADbAAAADwAAAGRycy9kb3ducmV2LnhtbESPT4vCMBDF78J+hzALe7Npe1ilGosIsh72sv7B69CM&#10;bbGZ1CarrZ/eCIK3Gd6b934zz3vTiCt1rrasIIliEMSF1TWXCva79XgKwnlkjY1lUjCQg3zxMZpj&#10;pu2N/+i69aUIIewyVFB532ZSuqIigy6yLXHQTrYz6MPalVJ3eAvhppFpHH9LgzWHhgpbWlVUnLf/&#10;RsGxvMdtevFJ8nMYAti91pvfQamvz345A+Gp92/z63qjA/4Enr+EA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1hCsMAAADbAAAADwAAAAAAAAAAAAAAAACYAgAAZHJzL2Rv&#10;d25yZXYueG1sUEsFBgAAAAAEAAQA9QAAAIg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18"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QygcMA&#10;AADbAAAADwAAAGRycy9kb3ducmV2LnhtbESPT2sCQQzF70K/w5BCbzpbQVu3jlIKlaKnbkXwlu5k&#10;/9CdzDIz1fXbm4PgLeG9vPfLcj24Tp0oxNazgedJBoq49Lbl2sD+53P8CiomZIudZzJwoQjr1cNo&#10;ibn1Z/6mU5FqJSEcczTQpNTnWseyIYdx4nti0SofHCZZQ61twLOEu05Ps2yuHbYsDQ329NFQ+Vf8&#10;OwNeU6jo8NIupls336Xjppr9OmOeHof3N1CJhnQ3366/rOALrPwiA+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QygcMAAADbAAAADwAAAAAAAAAAAAAAAACYAgAAZHJzL2Rv&#10;d25yZXYueG1sUEsFBgAAAAAEAAQA9QAAAIgD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19"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H0yL8A&#10;AADbAAAADwAAAGRycy9kb3ducmV2LnhtbERPS2sCMRC+F/wPYQrearZii26NooLQHn2ex810E3Yz&#10;WZKo23/fFITe5uN7znzZu1bcKETrWcHrqABBXHltuVZwPGxfpiBiQtbYeiYFPxRhuRg8zbHU/s47&#10;uu1TLXIIxxIVmJS6UspYGXIYR74jzty3Dw5ThqGWOuA9h7tWjoviXTq0nBsMdrQxVDX7q1MQTFo3&#10;x7ewnjSb89f2Yu3l5K1Sw+d+9QEiUZ/+xQ/3p87zZ/D3Sz5AL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8fTIvwAAANsAAAAPAAAAAAAAAAAAAAAAAJgCAABkcnMvZG93bnJl&#10;di54bWxQSwUGAAAAAAQABAD1AAAAhAMAAAAA&#10;" path="m,l33,69r-9,l12,35,,xe" fillcolor="#44546a [3215]" strokecolor="#44546a [3215]" strokeweight="0">
                          <v:path arrowok="t" o:connecttype="custom" o:connectlocs="0,0;52388,109538;38100,109538;19050,55563;0,0" o:connectangles="0,0,0,0,0"/>
                        </v:shape>
                        <v:shape id="Freeform 20"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VuYr8A&#10;AADbAAAADwAAAGRycy9kb3ducmV2LnhtbERPyWrDMBC9F/IPYgq5lERODqU4VkIbaJxbqZMPGKzx&#10;QqWRkVQvfx8dCj0+3l6cZmvESD70jhXsthkI4trpnlsF99vn5g1EiMgajWNSsFCA03H1VGCu3cTf&#10;NFaxFSmEQ44KuhiHXMpQd2QxbN1AnLjGeYsxQd9K7XFK4dbIfZa9Sos9p4YOBzp3VP9Uv1aBqV7c&#10;5TZQ+zVeS2eWj7IhXyq1fp7fDyAizfFf/Oe+agX7tD59ST9AH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9W5ivwAAANsAAAAPAAAAAAAAAAAAAAAAAJgCAABkcnMvZG93bnJl&#10;di54bWxQSwUGAAAAAAQABAD1AAAAhAMAAAAA&#10;" path="m,l9,37r,3l15,93,5,49,,xe" fillcolor="#44546a [3215]" strokecolor="#44546a [3215]" strokeweight="0">
                          <v:path arrowok="t" o:connecttype="custom" o:connectlocs="0,0;14288,58738;14288,63500;23813,147638;7938,77788;0,0" o:connectangles="0,0,0,0,0,0"/>
                        </v:shape>
                        <v:shape id="Freeform 21"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gvnsMA&#10;AADbAAAADwAAAGRycy9kb3ducmV2LnhtbESPQUsDMRSE74L/IbyCN5ttwSJr02IVoSfFKoi3x+Y1&#10;Wd28hCTdbP+9EQSPw8x8w6y3kxvESDH1nhUs5g0I4s7rno2C97en61sQKSNrHDyTgjMl2G4uL9bY&#10;al/4lcZDNqJCOLWowOYcWilTZ8lhmvtAXL2jjw5zldFIHbFUuBvksmlW0mHPdcFioAdL3ffh5BR8&#10;rEwJN8V+foWyO5uXx+NztKNSV7Pp/g5Epin/h//ae61guYDfL/U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gvnsMAAADbAAAADwAAAAAAAAAAAAAAAACYAgAAZHJzL2Rv&#10;d25yZXYueG1sUEsFBgAAAAAEAAQA9QAAAIg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2"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zmkcYA&#10;AADbAAAADwAAAGRycy9kb3ducmV2LnhtbESPQWvCQBSE74X+h+UVeim66R6kRFcRS21RCqmK4O2Z&#10;fSah2bchu9XEX98VCj0OM/MNM5l1thZnan3lWMPzMAFBnDtTcaFht30bvIDwAdlg7Zg09ORhNr2/&#10;m2Bq3IW/6LwJhYgQ9ilqKENoUil9XpJFP3QNcfROrrUYomwLaVq8RLitpUqSkbRYcVwosaFFSfn3&#10;5sdq+FyFAz9l2VFd35evy36v1lmvtH586OZjEIG68B/+a38YDUrB7Uv8AXL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zmkcYAAADbAAAADwAAAAAAAAAAAAAAAACYAgAAZHJz&#10;L2Rvd25yZXYueG1sUEsFBgAAAAAEAAQA9QAAAIs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3"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fVcUA&#10;AADbAAAADwAAAGRycy9kb3ducmV2LnhtbESPT2vCQBTE70K/w/IKvenGtBSJrqJC/XMqpj3E2yP7&#10;zAazb2N2q+m3d4VCj8PM/IaZLXrbiCt1vnasYDxKQBCXTtdcKfj++hhOQPiArLFxTAp+ycNi/jSY&#10;YabdjQ90zUMlIoR9hgpMCG0mpS8NWfQj1xJH7+Q6iyHKrpK6w1uE20amSfIuLdYcFwy2tDZUnvMf&#10;q+Cy3Oz19vh2/Mwnh2JlLsUm3RdKvTz3yymIQH34D/+1d1pB+gq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59VxQAAANsAAAAPAAAAAAAAAAAAAAAAAJgCAABkcnMv&#10;ZG93bnJldi54bWxQSwUGAAAAAAQABAD1AAAAigMAAAAA&#10;" path="m,l31,65r-8,l,xe" fillcolor="#44546a [3215]" strokecolor="#44546a [3215]" strokeweight="0">
                          <v:path arrowok="t" o:connecttype="custom" o:connectlocs="0,0;49213,103188;36513,103188;0,0" o:connectangles="0,0,0,0"/>
                        </v:shape>
                        <v:shape id="Freeform 24"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wL8MQA&#10;AADbAAAADwAAAGRycy9kb3ducmV2LnhtbESPQWsCMRSE74X+h/CE3jSrFLWrUaogeCroasHbY/O6&#10;u3bzsiaprv56Iwg9DjPzDTOdt6YWZ3K+sqyg30tAEOdWV1wo2GWr7hiED8gaa8uk4Eoe5rPXlymm&#10;2l54Q+dtKESEsE9RQRlCk0rp85IM+p5tiKP3Y53BEKUrpHZ4iXBTy0GSDKXBiuNCiQ0tS8p/t39G&#10;wXF948PXaLE6NR9cLYpjtv92mVJvnfZzAiJQG/7Dz/ZaKxi8w+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MC/DEAAAA2wAAAA8AAAAAAAAAAAAAAAAAmAIAAGRycy9k&#10;b3ducmV2LnhtbFBLBQYAAAAABAAEAPUAAACJAwAAAAA=&#10;" path="m,l6,17,7,42,6,39,,23,,xe" fillcolor="#44546a [3215]" strokecolor="#44546a [3215]" strokeweight="0">
                          <v:path arrowok="t" o:connecttype="custom" o:connectlocs="0,0;9525,26988;11113,66675;9525,61913;0,36513;0,0" o:connectangles="0,0,0,0,0,0"/>
                        </v:shape>
                        <v:shape id="Freeform 25"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tncUA&#10;AADbAAAADwAAAGRycy9kb3ducmV2LnhtbESPT2sCMRTE74V+h/AKvdVsFyplNSu2IIogVO2lt8fm&#10;7R+7eVmT6K5++kYoeBxm5jfMdDaYVpzJ+caygtdRAoK4sLrhSsH3fvHyDsIHZI2tZVJwIQ+z/PFh&#10;ipm2PW/pvAuViBD2GSqoQ+gyKX1Rk0E/sh1x9ErrDIYoXSW1wz7CTSvTJBlLgw3HhRo7+qyp+N2d&#10;jALbF6cP99PicX4wy2u56dP19Uup56dhPgERaAj38H97pRWkb3D7En+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Se2d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26"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o:lock v:ext="edit" aspectratio="t"/>
                        <v:shape id="Freeform 27"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H8/cYA&#10;AADbAAAADwAAAGRycy9kb3ducmV2LnhtbESPT2sCMRTE74LfITyhN83Wg8rWKKWg9eC/2hZ6fGxe&#10;d7duXrabrEY/fSMIPQ4z8xtmOg+mEidqXGlZweMgAUGcWV1yruDjfdGfgHAeWWNlmRRcyMF81u1M&#10;MdX2zG90OvhcRAi7FBUU3teplC4ryKAb2Jo4et+2MeijbHKpGzxHuKnkMElG0mDJcaHAml4Kyo6H&#10;1ijYbq5fu9d9u/hZB/Pbfm7DcrMLSj30wvMTCE/B/4fv7ZVWMBzD7Uv8A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H8/cYAAADbAAAADwAAAAAAAAAAAAAAAACYAgAAZHJz&#10;L2Rvd25yZXYueG1sUEsFBgAAAAAEAAQA9QAAAIsD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28"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Wcr0A&#10;AADbAAAADwAAAGRycy9kb3ducmV2LnhtbERPSwrCMBDdC94hjOBGNK2gSDWK+EFXitUDDM3YFptJ&#10;aaLW25uF4PLx/otVayrxosaVlhXEowgEcWZ1ybmC23U/nIFwHlljZZkUfMjBatntLDDR9s0XeqU+&#10;FyGEXYIKCu/rREqXFWTQjWxNHLi7bQz6AJtc6gbfIdxUchxFU2mw5NBQYE2bgrJH+jQK0hM/692E&#10;b+ftedCawzQ2902sVL/XrucgPLX+L/65j1rBOIwNX8IPkM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AIWcr0AAADbAAAADwAAAAAAAAAAAAAAAACYAgAAZHJzL2Rvd25yZXYu&#10;eG1sUEsFBgAAAAAEAAQA9QAAAIID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29"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R/8QA&#10;AADbAAAADwAAAGRycy9kb3ducmV2LnhtbESPT2sCMRTE74LfIbxCb5qtguhqFBFae1pa7aHH5+bt&#10;H9y8hE10Vz+9KRQ8DjPzG2a16U0jrtT62rKCt3ECgji3uuZSwc/xfTQH4QOyxsYyKbiRh816OFhh&#10;qm3H33Q9hFJECPsUFVQhuFRKn1dk0I+tI45eYVuDIcq2lLrFLsJNIydJMpMGa44LFTraVZSfDxej&#10;oPj4Opv9b3Gfny7dfrrNMjd1mVKvL/12CSJQH57h//anVjBZwN+X+AP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AUf/EAAAA2wAAAA8AAAAAAAAAAAAAAAAAmAIAAGRycy9k&#10;b3ducmV2LnhtbFBLBQYAAAAABAAEAPUAAACJAwAAAAA=&#10;" path="m,l16,72r4,49l18,112,,31,,xe" fillcolor="#44546a [3215]" strokecolor="#44546a [3215]" strokeweight="0">
                          <v:fill opacity="13107f"/>
                          <v:stroke opacity="13107f"/>
                          <v:path arrowok="t" o:connecttype="custom" o:connectlocs="0,0;25400,114300;31750,192088;28575,177800;0,49213;0,0" o:connectangles="0,0,0,0,0,0"/>
                        </v:shape>
                        <v:shape id="Freeform 30"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9aMAA&#10;AADbAAAADwAAAGRycy9kb3ducmV2LnhtbERPz2vCMBS+D/wfwhN2m4ludKUaRQSHDHaYs/dH82yK&#10;zUtpMtv+9+Yw2PHj+73Zja4Vd+pD41nDcqFAEFfeNFxruPwcX3IQISIbbD2ThokC7Lazpw0Wxg/8&#10;TfdzrEUK4VCgBhtjV0gZKksOw8J3xIm7+t5hTLCvpelxSOGulSulMumw4dRgsaODpep2/nUa+HMV&#10;LA9Bmewrf5veP0q1PJZaP8/H/RpEpDH+i//cJ6PhNa1PX9IPkN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M9aMAAAADbAAAADwAAAAAAAAAAAAAAAACYAgAAZHJzL2Rvd25y&#10;ZXYueG1sUEsFBgAAAAAEAAQA9QAAAIUD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31"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pWsUA&#10;AADbAAAADwAAAGRycy9kb3ducmV2LnhtbESPT2vCQBTE74LfYXlCb7oxBZHUVapSCF5stYLeHtln&#10;Epp9G7Lb/Pn2bqHgcZiZ3zCrTW8q0VLjSssK5rMIBHFmdcm5gu/zx3QJwnlkjZVlUjCQg816PFph&#10;om3HX9SefC4ChF2CCgrv60RKlxVk0M1sTRy8u20M+iCbXOoGuwA3lYyjaCENlhwWCqxpV1D2c/o1&#10;CurP7b7b3dyhvMTL3g+X9HjLr0q9TPr3NxCeev8M/7dTreB1Dn9fw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KlaxQAAANsAAAAPAAAAAAAAAAAAAAAAAJgCAABkcnMv&#10;ZG93bnJldi54bWxQSwUGAAAAAAQABAD1AAAAigMAAAAA&#10;" path="m,l33,71r-9,l11,36,,xe" fillcolor="#44546a [3215]" strokecolor="#44546a [3215]" strokeweight="0">
                          <v:fill opacity="13107f"/>
                          <v:stroke opacity="13107f"/>
                          <v:path arrowok="t" o:connecttype="custom" o:connectlocs="0,0;52388,112713;38100,112713;17463,57150;0,0" o:connectangles="0,0,0,0,0"/>
                        </v:shape>
                        <v:shape id="Freeform 14336"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ihysMA&#10;AADeAAAADwAAAGRycy9kb3ducmV2LnhtbERPS4vCMBC+C/sfwizsTdO1UpZqFFkQBA+LL1hvYzO2&#10;xWZSkqj13xtB8DYf33Mms8404krO15YVfA8SEMSF1TWXCnbbRf8HhA/IGhvLpOBOHmbTj94Ec21v&#10;vKbrJpQihrDPUUEVQptL6YuKDPqBbYkjd7LOYIjQlVI7vMVw08hhkmTSYM2xocKWfisqzpuLUbBf&#10;/blWDw+LY5bOt//SrjStj0p9fXbzMYhAXXiLX+6ljvNHaZrB8514g5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ihysMAAADeAAAADwAAAAAAAAAAAAAAAACYAgAAZHJzL2Rv&#10;d25yZXYueG1sUEsFBgAAAAAEAAQA9QAAAIgDAAAAAA==&#10;" path="m,l8,37r,4l15,95,4,49,,xe" fillcolor="#44546a [3215]" strokecolor="#44546a [3215]" strokeweight="0">
                          <v:fill opacity="13107f"/>
                          <v:stroke opacity="13107f"/>
                          <v:path arrowok="t" o:connecttype="custom" o:connectlocs="0,0;12700,58738;12700,65088;23813,150813;6350,77788;0,0" o:connectangles="0,0,0,0,0,0"/>
                        </v:shape>
                        <v:shape id="Freeform 14337"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lCKcYA&#10;AADeAAAADwAAAGRycy9kb3ducmV2LnhtbERPTWvCQBC9F/wPyxR6qxs1VImuItqWYkEwevE2ZMds&#10;anY2ZFdN++u7QqG3ebzPmS06W4srtb5yrGDQT0AQF05XXCo47N+eJyB8QNZYOyYF3+RhMe89zDDT&#10;7sY7uuahFDGEfYYKTAhNJqUvDFn0fdcQR+7kWoshwraUusVbDLe1HCbJi7RYcWww2NDKUHHOL1ZB&#10;utpcfl63Q73OU9Zf759msD0apZ4eu+UURKAu/Iv/3B86zk9HozHc34k3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5lCKcYAAADeAAAADwAAAAAAAAAAAAAAAACYAgAAZHJz&#10;L2Rvd25yZXYueG1sUEsFBgAAAAAEAAQA9QAAAIsD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4338"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kROMYA&#10;AADeAAAADwAAAGRycy9kb3ducmV2LnhtbESPzW7CQAyE70i8w8pIvZVNC+UnsCDUFokLB34ewGRN&#10;EjXrTbNLSN++PiBx88jzjcfLdecq1VITSs8G3oYJKOLM25JzA+fT9nUGKkRki5VnMvBHAdarfm+J&#10;qfV3PlB7jLmSEA4pGihirFOtQ1aQwzD0NbHsrr5xGEU2ubYN3iXcVfo9SSbaYclyocCaPgvKfo43&#10;JzXwO87G0/yXNu3H1+10me/25dyYl0G3WYCK1MWn+UHvrHDj0Uj6yjsyg1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kROMYAAADeAAAADwAAAAAAAAAAAAAAAACYAgAAZHJz&#10;L2Rvd25yZXYueG1sUEsFBgAAAAAEAAQA9QAAAIsD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4339"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eiTcYA&#10;AADeAAAADwAAAGRycy9kb3ducmV2LnhtbERPTWsCMRC9F/wPYQQvpWar0tatUURa6kVKbSh6G5Lp&#10;7tLNZNnEdfvvjVDobR7vcxar3tWiozZUnhXcjzMQxMbbigsF+vP17glEiMgWa8+k4JcCrJaDmwXm&#10;1p/5g7p9LEQK4ZCjgjLGJpcymJIchrFviBP37VuHMcG2kLbFcwp3tZxk2YN0WHFqKLGhTUnmZ39y&#10;CujQzXfvx8o8sn7R+otO+s3cKjUa9utnEJH6+C/+c29tmj+bTudwfSfdI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eiTcYAAADeAAAADwAAAAAAAAAAAAAAAACYAgAAZHJz&#10;L2Rvd25yZXYueG1sUEsFBgAAAAAEAAQA9QAAAIsDAAAAAA==&#10;" path="m,l31,66r-7,l,xe" fillcolor="#44546a [3215]" strokecolor="#44546a [3215]" strokeweight="0">
                          <v:fill opacity="13107f"/>
                          <v:stroke opacity="13107f"/>
                          <v:path arrowok="t" o:connecttype="custom" o:connectlocs="0,0;49213,104775;38100,104775;0,0" o:connectangles="0,0,0,0"/>
                        </v:shape>
                        <v:shape id="Freeform 14340"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ppsYA&#10;AADeAAAADwAAAGRycy9kb3ducmV2LnhtbESPS2sDMQyE74X8B6NAb403D0rYxgklpJBLoc0DchS2&#10;ut50LS9rN9nk11eHQm8SGs3Mt1j1oVEX6lId2cB4VIAittHVXBk47N+e5qBSRnbYRCYDN0qwWg4e&#10;Fli6eOVPuuxypcSEU4kGfM5tqXWyngKmUWyJ5fYVu4BZ1q7SrsOrmIdGT4riWQesWRI8trT2ZL93&#10;P8FA7c/4frzbhEe9OUR7/jhpqox5HPavL6Ay9flf/Pe9dVJ/Np0JgODID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IppsYAAADeAAAADwAAAAAAAAAAAAAAAACYAgAAZHJz&#10;L2Rvd25yZXYueG1sUEsFBgAAAAAEAAQA9QAAAIsDAAAAAA==&#10;" path="m,l7,17r,26l6,40,,25,,xe" fillcolor="#44546a [3215]" strokecolor="#44546a [3215]" strokeweight="0">
                          <v:fill opacity="13107f"/>
                          <v:stroke opacity="13107f"/>
                          <v:path arrowok="t" o:connecttype="custom" o:connectlocs="0,0;11113,26988;11113,68263;9525,63500;0,39688;0,0" o:connectangles="0,0,0,0,0,0"/>
                        </v:shape>
                        <v:shape id="Freeform 14341"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vAsQA&#10;AADeAAAADwAAAGRycy9kb3ducmV2LnhtbERPS2sCMRC+F/ofwhR6q9ltRdrVKFooiHvyAV7HzbhZ&#10;3EzCJtX13xtB8DYf33Mms9624kxdaBwryAcZCOLK6YZrBbvt38c3iBCRNbaOScGVAsymry8TLLS7&#10;8JrOm1iLFMKhQAUmRl9IGSpDFsPAeeLEHV1nMSbY1VJ3eEnhtpWfWTaSFhtODQY9/RqqTpt/q6Bc&#10;mJ+mXq/yciFH/uDL/XK+2yv1/tbPxyAi9fEpfriXOs0ffg1zuL+Tbp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ZrwLEAAAA3gAAAA8AAAAAAAAAAAAAAAAAmAIAAGRycy9k&#10;b3ducmV2LnhtbFBLBQYAAAAABAAEAPUAAACJAw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398F2047" w14:textId="0C9BCCE6" w:rsidR="004A2C03" w:rsidRDefault="00F21968">
          <w:pPr>
            <w:rPr>
              <w:rFonts w:asciiTheme="majorHAnsi" w:eastAsiaTheme="majorEastAsia" w:hAnsiTheme="majorHAnsi" w:cstheme="majorBidi"/>
              <w:color w:val="2E74B5" w:themeColor="accent1" w:themeShade="BF"/>
              <w:sz w:val="32"/>
              <w:szCs w:val="32"/>
              <w:lang w:eastAsia="en-US"/>
            </w:rPr>
          </w:pPr>
          <w:r>
            <w:rPr>
              <w:noProof/>
              <w:lang w:eastAsia="en-AU"/>
            </w:rPr>
            <mc:AlternateContent>
              <mc:Choice Requires="wps">
                <w:drawing>
                  <wp:anchor distT="0" distB="0" distL="114300" distR="114300" simplePos="0" relativeHeight="251665408" behindDoc="0" locked="0" layoutInCell="1" allowOverlap="1" wp14:anchorId="5B104E71" wp14:editId="1EA0EBA1">
                    <wp:simplePos x="0" y="0"/>
                    <wp:positionH relativeFrom="page">
                      <wp:posOffset>2870835</wp:posOffset>
                    </wp:positionH>
                    <wp:positionV relativeFrom="page">
                      <wp:posOffset>8410575</wp:posOffset>
                    </wp:positionV>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8072E9" w14:textId="5D4392BF" w:rsidR="00800510" w:rsidRDefault="00800510">
                                <w:pPr>
                                  <w:pStyle w:val="NoSpacing"/>
                                  <w:rPr>
                                    <w:color w:val="5B9BD5" w:themeColor="accent1"/>
                                    <w:sz w:val="26"/>
                                    <w:szCs w:val="26"/>
                                  </w:rPr>
                                </w:pPr>
                                <w:r>
                                  <w:rPr>
                                    <w:color w:val="5B9BD5" w:themeColor="accent1"/>
                                    <w:sz w:val="26"/>
                                    <w:szCs w:val="26"/>
                                  </w:rPr>
                                  <w:t xml:space="preserve">        </w:t>
                                </w:r>
                                <w:r w:rsidRPr="004E6B0F">
                                  <w:rPr>
                                    <w:color w:val="5B9BD5" w:themeColor="accent1"/>
                                    <w:sz w:val="32"/>
                                    <w:szCs w:val="32"/>
                                  </w:rPr>
                                  <w:t>Health Technology Assessment Team</w:t>
                                </w:r>
                                <w:r>
                                  <w:rPr>
                                    <w:noProof/>
                                    <w:lang w:val="en-AU" w:eastAsia="en-AU"/>
                                  </w:rPr>
                                  <w:drawing>
                                    <wp:inline distT="0" distB="0" distL="0" distR="0" wp14:anchorId="2975082E" wp14:editId="2E32B54B">
                                      <wp:extent cx="3395980" cy="1040430"/>
                                      <wp:effectExtent l="0" t="0" r="0" b="7620"/>
                                      <wp:docPr id="14345" name="Picture 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5980" cy="1040430"/>
                                              </a:xfrm>
                                              <a:prstGeom prst="rect">
                                                <a:avLst/>
                                              </a:prstGeom>
                                              <a:noFill/>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55" type="#_x0000_t202" style="position:absolute;margin-left:226.05pt;margin-top:662.25pt;width:4in;height:28.8pt;z-index:251665408;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" filled="f" stroked="f" strokeweight=".5pt">
                    <v:textbox style="mso-fit-shape-to-text:t" inset="0,0,0,0">
                      <w:txbxContent>
                        <w:p w14:paraId="2C8072E9" w14:textId="5D4392BF" w:rsidR="00800510" w:rsidRDefault="00800510">
                          <w:pPr>
                            <w:pStyle w:val="NoSpacing"/>
                            <w:rPr>
                              <w:color w:val="5B9BD5" w:themeColor="accent1"/>
                              <w:sz w:val="26"/>
                              <w:szCs w:val="26"/>
                            </w:rPr>
                          </w:pPr>
                          <w:r>
                            <w:rPr>
                              <w:color w:val="5B9BD5" w:themeColor="accent1"/>
                              <w:sz w:val="26"/>
                              <w:szCs w:val="26"/>
                            </w:rPr>
                            <w:t xml:space="preserve">        </w:t>
                          </w:r>
                          <w:r w:rsidRPr="004E6B0F">
                            <w:rPr>
                              <w:color w:val="5B9BD5" w:themeColor="accent1"/>
                              <w:sz w:val="32"/>
                              <w:szCs w:val="32"/>
                            </w:rPr>
                            <w:t>Health Technology Assessment Team</w:t>
                          </w:r>
                          <w:r>
                            <w:rPr>
                              <w:noProof/>
                              <w:lang w:val="en-AU" w:eastAsia="en-AU"/>
                            </w:rPr>
                            <w:drawing>
                              <wp:inline distT="0" distB="0" distL="0" distR="0" wp14:anchorId="2975082E" wp14:editId="2E32B54B">
                                <wp:extent cx="3395980" cy="1040430"/>
                                <wp:effectExtent l="0" t="0" r="0" b="7620"/>
                                <wp:docPr id="14345" name="Picture 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5980" cy="1040430"/>
                                        </a:xfrm>
                                        <a:prstGeom prst="rect">
                                          <a:avLst/>
                                        </a:prstGeom>
                                        <a:noFill/>
                                      </pic:spPr>
                                    </pic:pic>
                                  </a:graphicData>
                                </a:graphic>
                              </wp:inline>
                            </w:drawing>
                          </w:r>
                        </w:p>
                      </w:txbxContent>
                    </v:textbox>
                    <w10:wrap anchorx="page" anchory="page"/>
                  </v:shape>
                </w:pict>
              </mc:Fallback>
            </mc:AlternateContent>
          </w:r>
          <w:r w:rsidR="00B0340E">
            <w:rPr>
              <w:noProof/>
              <w:lang w:eastAsia="en-AU"/>
            </w:rPr>
            <mc:AlternateContent>
              <mc:Choice Requires="wps">
                <w:drawing>
                  <wp:anchor distT="0" distB="0" distL="114300" distR="114300" simplePos="0" relativeHeight="251664384" behindDoc="0" locked="0" layoutInCell="1" allowOverlap="1" wp14:anchorId="1E3609EE" wp14:editId="02B6F4E8">
                    <wp:simplePos x="0" y="0"/>
                    <wp:positionH relativeFrom="page">
                      <wp:posOffset>2927985</wp:posOffset>
                    </wp:positionH>
                    <wp:positionV relativeFrom="page">
                      <wp:posOffset>1840865</wp:posOffset>
                    </wp:positionV>
                    <wp:extent cx="3649980" cy="1069340"/>
                    <wp:effectExtent l="0" t="0" r="7620" b="4445"/>
                    <wp:wrapNone/>
                    <wp:docPr id="14342" name="Text Box 14342"/>
                    <wp:cNvGraphicFramePr/>
                    <a:graphic xmlns:a="http://schemas.openxmlformats.org/drawingml/2006/main">
                      <a:graphicData uri="http://schemas.microsoft.com/office/word/2010/wordprocessingShape">
                        <wps:wsp>
                          <wps:cNvSpPr txBox="1"/>
                          <wps:spPr>
                            <a:xfrm>
                              <a:off x="0" y="0"/>
                              <a:ext cx="3649980"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B7C6AD" w14:textId="21AFA653" w:rsidR="00800510" w:rsidRDefault="00BF3AF1">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800510">
                                      <w:rPr>
                                        <w:rFonts w:asciiTheme="majorHAnsi" w:eastAsiaTheme="majorEastAsia" w:hAnsiTheme="majorHAnsi" w:cstheme="majorBidi"/>
                                        <w:color w:val="262626" w:themeColor="text1" w:themeTint="D9"/>
                                        <w:sz w:val="72"/>
                                        <w:szCs w:val="72"/>
                                      </w:rPr>
                                      <w:t>EZETIMIBE REVIEW</w:t>
                                    </w:r>
                                  </w:sdtContent>
                                </w:sdt>
                              </w:p>
                              <w:p w14:paraId="794DBEA6" w14:textId="0324DED5" w:rsidR="00800510" w:rsidRDefault="00BF3AF1">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800510">
                                      <w:rPr>
                                        <w:color w:val="404040" w:themeColor="text1" w:themeTint="BF"/>
                                        <w:sz w:val="36"/>
                                        <w:szCs w:val="36"/>
                                      </w:rPr>
                                      <w:t>SYSTEMATIC LITERATURE REVIEW</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id="Text Box 14342" o:spid="_x0000_s1056" type="#_x0000_t202" style="position:absolute;margin-left:230.55pt;margin-top:144.95pt;width:287.4pt;height:84.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" filled="f" stroked="f" strokeweight=".5pt">
                    <v:textbox style="mso-fit-shape-to-text:t" inset="0,0,0,0">
                      <w:txbxContent>
                        <w:p w14:paraId="64B7C6AD" w14:textId="21AFA653" w:rsidR="00800510" w:rsidRDefault="00800510">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EZETIMIBE REVIEW</w:t>
                              </w:r>
                            </w:sdtContent>
                          </w:sdt>
                        </w:p>
                        <w:p w14:paraId="794DBEA6" w14:textId="0324DED5" w:rsidR="00800510" w:rsidRDefault="0080051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SYSTEMATIC LITERATURE REVIEW</w:t>
                              </w:r>
                            </w:sdtContent>
                          </w:sdt>
                        </w:p>
                      </w:txbxContent>
                    </v:textbox>
                    <w10:wrap anchorx="page" anchory="page"/>
                  </v:shape>
                </w:pict>
              </mc:Fallback>
            </mc:AlternateContent>
          </w:r>
          <w:r w:rsidR="004A2C03">
            <w:rPr>
              <w:lang w:eastAsia="en-US"/>
            </w:rPr>
            <w:br w:type="page"/>
          </w:r>
        </w:p>
      </w:sdtContent>
    </w:sdt>
    <w:sdt>
      <w:sdtPr>
        <w:rPr>
          <w:rFonts w:asciiTheme="minorHAnsi" w:eastAsiaTheme="minorEastAsia" w:hAnsiTheme="minorHAnsi" w:cstheme="minorBidi"/>
          <w:color w:val="auto"/>
          <w:sz w:val="22"/>
          <w:szCs w:val="22"/>
          <w:lang w:val="en-AU" w:eastAsia="zh-CN"/>
        </w:rPr>
        <w:id w:val="110870663"/>
        <w:docPartObj>
          <w:docPartGallery w:val="Table of Contents"/>
          <w:docPartUnique/>
        </w:docPartObj>
      </w:sdtPr>
      <w:sdtEndPr>
        <w:rPr>
          <w:b/>
          <w:bCs/>
          <w:noProof/>
        </w:rPr>
      </w:sdtEndPr>
      <w:sdtContent>
        <w:p w14:paraId="0D5FE406" w14:textId="61B8A2E4" w:rsidR="00B0340E" w:rsidRDefault="00B0340E">
          <w:pPr>
            <w:pStyle w:val="TOCHeading"/>
          </w:pPr>
          <w:r>
            <w:t>Table of Contents</w:t>
          </w:r>
        </w:p>
        <w:p w14:paraId="2A20A8FB" w14:textId="5D9C82DE" w:rsidR="005B409D" w:rsidRDefault="008E3404">
          <w:pPr>
            <w:pStyle w:val="TOC1"/>
            <w:tabs>
              <w:tab w:val="right" w:leader="dot" w:pos="9323"/>
            </w:tabs>
            <w:rPr>
              <w:noProof/>
              <w:lang w:eastAsia="en-AU"/>
            </w:rPr>
          </w:pPr>
          <w:r>
            <w:fldChar w:fldCharType="begin"/>
          </w:r>
          <w:r>
            <w:instrText xml:space="preserve"> TOC \o "1-2" \h \z \u </w:instrText>
          </w:r>
          <w:r>
            <w:fldChar w:fldCharType="separate"/>
          </w:r>
          <w:hyperlink w:anchor="_Toc467857739" w:history="1">
            <w:r w:rsidR="005B409D" w:rsidRPr="00FE419B">
              <w:rPr>
                <w:rStyle w:val="Hyperlink"/>
                <w:noProof/>
                <w:lang w:eastAsia="en-US"/>
              </w:rPr>
              <w:t>Terms of reference for the post-market review of ezetimibe and associated research questions</w:t>
            </w:r>
            <w:r w:rsidR="005B409D">
              <w:rPr>
                <w:noProof/>
                <w:webHidden/>
              </w:rPr>
              <w:tab/>
            </w:r>
            <w:r w:rsidR="005B409D">
              <w:rPr>
                <w:noProof/>
                <w:webHidden/>
              </w:rPr>
              <w:fldChar w:fldCharType="begin"/>
            </w:r>
            <w:r w:rsidR="005B409D">
              <w:rPr>
                <w:noProof/>
                <w:webHidden/>
              </w:rPr>
              <w:instrText xml:space="preserve"> PAGEREF _Toc467857739 \h </w:instrText>
            </w:r>
            <w:r w:rsidR="005B409D">
              <w:rPr>
                <w:noProof/>
                <w:webHidden/>
              </w:rPr>
            </w:r>
            <w:r w:rsidR="005B409D">
              <w:rPr>
                <w:noProof/>
                <w:webHidden/>
              </w:rPr>
              <w:fldChar w:fldCharType="separate"/>
            </w:r>
            <w:r w:rsidR="00F81296">
              <w:rPr>
                <w:noProof/>
                <w:webHidden/>
              </w:rPr>
              <w:t>2</w:t>
            </w:r>
            <w:r w:rsidR="005B409D">
              <w:rPr>
                <w:noProof/>
                <w:webHidden/>
              </w:rPr>
              <w:fldChar w:fldCharType="end"/>
            </w:r>
          </w:hyperlink>
        </w:p>
        <w:p w14:paraId="41FF63F9" w14:textId="58555ACF" w:rsidR="005B409D" w:rsidRDefault="00BF3AF1">
          <w:pPr>
            <w:pStyle w:val="TOC1"/>
            <w:tabs>
              <w:tab w:val="left" w:pos="660"/>
              <w:tab w:val="right" w:leader="dot" w:pos="9323"/>
            </w:tabs>
            <w:rPr>
              <w:noProof/>
              <w:lang w:eastAsia="en-AU"/>
            </w:rPr>
          </w:pPr>
          <w:hyperlink w:anchor="_Toc467857740" w:history="1">
            <w:r w:rsidR="005B409D" w:rsidRPr="00FE419B">
              <w:rPr>
                <w:rStyle w:val="Hyperlink"/>
                <w:noProof/>
              </w:rPr>
              <w:t>1.1.</w:t>
            </w:r>
            <w:r w:rsidR="005B409D">
              <w:rPr>
                <w:noProof/>
                <w:lang w:eastAsia="en-AU"/>
              </w:rPr>
              <w:tab/>
            </w:r>
            <w:r w:rsidR="005B409D" w:rsidRPr="00FE419B">
              <w:rPr>
                <w:rStyle w:val="Hyperlink"/>
                <w:noProof/>
              </w:rPr>
              <w:t>Background</w:t>
            </w:r>
            <w:r w:rsidR="005B409D">
              <w:rPr>
                <w:noProof/>
                <w:webHidden/>
              </w:rPr>
              <w:tab/>
            </w:r>
            <w:r w:rsidR="005B409D">
              <w:rPr>
                <w:noProof/>
                <w:webHidden/>
              </w:rPr>
              <w:fldChar w:fldCharType="begin"/>
            </w:r>
            <w:r w:rsidR="005B409D">
              <w:rPr>
                <w:noProof/>
                <w:webHidden/>
              </w:rPr>
              <w:instrText xml:space="preserve"> PAGEREF _Toc467857740 \h </w:instrText>
            </w:r>
            <w:r w:rsidR="005B409D">
              <w:rPr>
                <w:noProof/>
                <w:webHidden/>
              </w:rPr>
            </w:r>
            <w:r w:rsidR="005B409D">
              <w:rPr>
                <w:noProof/>
                <w:webHidden/>
              </w:rPr>
              <w:fldChar w:fldCharType="separate"/>
            </w:r>
            <w:r w:rsidR="00F81296">
              <w:rPr>
                <w:noProof/>
                <w:webHidden/>
              </w:rPr>
              <w:t>3</w:t>
            </w:r>
            <w:r w:rsidR="005B409D">
              <w:rPr>
                <w:noProof/>
                <w:webHidden/>
              </w:rPr>
              <w:fldChar w:fldCharType="end"/>
            </w:r>
          </w:hyperlink>
        </w:p>
        <w:p w14:paraId="7DAB2989" w14:textId="5D89A112" w:rsidR="005B409D" w:rsidRDefault="00BF3AF1">
          <w:pPr>
            <w:pStyle w:val="TOC2"/>
            <w:tabs>
              <w:tab w:val="left" w:pos="1100"/>
              <w:tab w:val="right" w:leader="dot" w:pos="9323"/>
            </w:tabs>
            <w:rPr>
              <w:noProof/>
              <w:lang w:eastAsia="en-AU"/>
            </w:rPr>
          </w:pPr>
          <w:hyperlink w:anchor="_Toc467857741" w:history="1">
            <w:r w:rsidR="005B409D" w:rsidRPr="00FE419B">
              <w:rPr>
                <w:rStyle w:val="Hyperlink"/>
                <w:noProof/>
              </w:rPr>
              <w:t>1.1.1.</w:t>
            </w:r>
            <w:r w:rsidR="005B409D">
              <w:rPr>
                <w:noProof/>
                <w:lang w:eastAsia="en-AU"/>
              </w:rPr>
              <w:tab/>
            </w:r>
            <w:r w:rsidR="005B409D" w:rsidRPr="00FE419B">
              <w:rPr>
                <w:rStyle w:val="Hyperlink"/>
                <w:noProof/>
              </w:rPr>
              <w:t>Abbreviated PBS restrictions applying to ezetimibe</w:t>
            </w:r>
            <w:r w:rsidR="005B409D">
              <w:rPr>
                <w:noProof/>
                <w:webHidden/>
              </w:rPr>
              <w:tab/>
            </w:r>
            <w:r w:rsidR="005B409D">
              <w:rPr>
                <w:noProof/>
                <w:webHidden/>
              </w:rPr>
              <w:fldChar w:fldCharType="begin"/>
            </w:r>
            <w:r w:rsidR="005B409D">
              <w:rPr>
                <w:noProof/>
                <w:webHidden/>
              </w:rPr>
              <w:instrText xml:space="preserve"> PAGEREF _Toc467857741 \h </w:instrText>
            </w:r>
            <w:r w:rsidR="005B409D">
              <w:rPr>
                <w:noProof/>
                <w:webHidden/>
              </w:rPr>
            </w:r>
            <w:r w:rsidR="005B409D">
              <w:rPr>
                <w:noProof/>
                <w:webHidden/>
              </w:rPr>
              <w:fldChar w:fldCharType="separate"/>
            </w:r>
            <w:r w:rsidR="00F81296">
              <w:rPr>
                <w:noProof/>
                <w:webHidden/>
              </w:rPr>
              <w:t>3</w:t>
            </w:r>
            <w:r w:rsidR="005B409D">
              <w:rPr>
                <w:noProof/>
                <w:webHidden/>
              </w:rPr>
              <w:fldChar w:fldCharType="end"/>
            </w:r>
          </w:hyperlink>
        </w:p>
        <w:p w14:paraId="2A65640F" w14:textId="03F522A2" w:rsidR="005B409D" w:rsidRDefault="00BF3AF1">
          <w:pPr>
            <w:pStyle w:val="TOC2"/>
            <w:tabs>
              <w:tab w:val="right" w:leader="dot" w:pos="9323"/>
            </w:tabs>
            <w:rPr>
              <w:noProof/>
              <w:lang w:eastAsia="en-AU"/>
            </w:rPr>
          </w:pPr>
          <w:hyperlink w:anchor="_Toc467857742" w:history="1">
            <w:r w:rsidR="005B409D" w:rsidRPr="00FE419B">
              <w:rPr>
                <w:rStyle w:val="Hyperlink"/>
                <w:noProof/>
              </w:rPr>
              <w:t>1.1.2 Summary of the PBAC’s key positive recommendations for ezetimibe</w:t>
            </w:r>
            <w:r w:rsidR="005B409D">
              <w:rPr>
                <w:noProof/>
                <w:webHidden/>
              </w:rPr>
              <w:tab/>
            </w:r>
            <w:r w:rsidR="005B409D">
              <w:rPr>
                <w:noProof/>
                <w:webHidden/>
              </w:rPr>
              <w:fldChar w:fldCharType="begin"/>
            </w:r>
            <w:r w:rsidR="005B409D">
              <w:rPr>
                <w:noProof/>
                <w:webHidden/>
              </w:rPr>
              <w:instrText xml:space="preserve"> PAGEREF _Toc467857742 \h </w:instrText>
            </w:r>
            <w:r w:rsidR="005B409D">
              <w:rPr>
                <w:noProof/>
                <w:webHidden/>
              </w:rPr>
            </w:r>
            <w:r w:rsidR="005B409D">
              <w:rPr>
                <w:noProof/>
                <w:webHidden/>
              </w:rPr>
              <w:fldChar w:fldCharType="separate"/>
            </w:r>
            <w:r w:rsidR="00F81296">
              <w:rPr>
                <w:noProof/>
                <w:webHidden/>
              </w:rPr>
              <w:t>4</w:t>
            </w:r>
            <w:r w:rsidR="005B409D">
              <w:rPr>
                <w:noProof/>
                <w:webHidden/>
              </w:rPr>
              <w:fldChar w:fldCharType="end"/>
            </w:r>
          </w:hyperlink>
        </w:p>
        <w:p w14:paraId="0EBC4D86" w14:textId="6E3E5453" w:rsidR="005B409D" w:rsidRDefault="00BF3AF1">
          <w:pPr>
            <w:pStyle w:val="TOC1"/>
            <w:tabs>
              <w:tab w:val="right" w:leader="dot" w:pos="9323"/>
            </w:tabs>
            <w:rPr>
              <w:noProof/>
              <w:lang w:eastAsia="en-AU"/>
            </w:rPr>
          </w:pPr>
          <w:hyperlink w:anchor="_Toc467857743" w:history="1">
            <w:r w:rsidR="005B409D" w:rsidRPr="00FE419B">
              <w:rPr>
                <w:rStyle w:val="Hyperlink"/>
                <w:noProof/>
              </w:rPr>
              <w:t>2.1. Literature search methods</w:t>
            </w:r>
            <w:r w:rsidR="005B409D">
              <w:rPr>
                <w:noProof/>
                <w:webHidden/>
              </w:rPr>
              <w:tab/>
            </w:r>
            <w:r w:rsidR="005B409D">
              <w:rPr>
                <w:noProof/>
                <w:webHidden/>
              </w:rPr>
              <w:fldChar w:fldCharType="begin"/>
            </w:r>
            <w:r w:rsidR="005B409D">
              <w:rPr>
                <w:noProof/>
                <w:webHidden/>
              </w:rPr>
              <w:instrText xml:space="preserve"> PAGEREF _Toc467857743 \h </w:instrText>
            </w:r>
            <w:r w:rsidR="005B409D">
              <w:rPr>
                <w:noProof/>
                <w:webHidden/>
              </w:rPr>
            </w:r>
            <w:r w:rsidR="005B409D">
              <w:rPr>
                <w:noProof/>
                <w:webHidden/>
              </w:rPr>
              <w:fldChar w:fldCharType="separate"/>
            </w:r>
            <w:r w:rsidR="00F81296">
              <w:rPr>
                <w:noProof/>
                <w:webHidden/>
              </w:rPr>
              <w:t>8</w:t>
            </w:r>
            <w:r w:rsidR="005B409D">
              <w:rPr>
                <w:noProof/>
                <w:webHidden/>
              </w:rPr>
              <w:fldChar w:fldCharType="end"/>
            </w:r>
          </w:hyperlink>
        </w:p>
        <w:p w14:paraId="68F6B863" w14:textId="6835EC2F" w:rsidR="005B409D" w:rsidRDefault="00BF3AF1">
          <w:pPr>
            <w:pStyle w:val="TOC2"/>
            <w:tabs>
              <w:tab w:val="right" w:leader="dot" w:pos="9323"/>
            </w:tabs>
            <w:rPr>
              <w:noProof/>
              <w:lang w:eastAsia="en-AU"/>
            </w:rPr>
          </w:pPr>
          <w:hyperlink w:anchor="_Toc467857744" w:history="1">
            <w:r w:rsidR="005B409D" w:rsidRPr="00FE419B">
              <w:rPr>
                <w:rStyle w:val="Hyperlink"/>
                <w:noProof/>
              </w:rPr>
              <w:t>2.1.1. Search criteria</w:t>
            </w:r>
            <w:r w:rsidR="005B409D">
              <w:rPr>
                <w:noProof/>
                <w:webHidden/>
              </w:rPr>
              <w:tab/>
            </w:r>
            <w:r w:rsidR="005B409D">
              <w:rPr>
                <w:noProof/>
                <w:webHidden/>
              </w:rPr>
              <w:fldChar w:fldCharType="begin"/>
            </w:r>
            <w:r w:rsidR="005B409D">
              <w:rPr>
                <w:noProof/>
                <w:webHidden/>
              </w:rPr>
              <w:instrText xml:space="preserve"> PAGEREF _Toc467857744 \h </w:instrText>
            </w:r>
            <w:r w:rsidR="005B409D">
              <w:rPr>
                <w:noProof/>
                <w:webHidden/>
              </w:rPr>
            </w:r>
            <w:r w:rsidR="005B409D">
              <w:rPr>
                <w:noProof/>
                <w:webHidden/>
              </w:rPr>
              <w:fldChar w:fldCharType="separate"/>
            </w:r>
            <w:r w:rsidR="00F81296">
              <w:rPr>
                <w:noProof/>
                <w:webHidden/>
              </w:rPr>
              <w:t>8</w:t>
            </w:r>
            <w:r w:rsidR="005B409D">
              <w:rPr>
                <w:noProof/>
                <w:webHidden/>
              </w:rPr>
              <w:fldChar w:fldCharType="end"/>
            </w:r>
          </w:hyperlink>
        </w:p>
        <w:p w14:paraId="5C0C9C55" w14:textId="77B2C6D3" w:rsidR="005B409D" w:rsidRDefault="00BF3AF1">
          <w:pPr>
            <w:pStyle w:val="TOC2"/>
            <w:tabs>
              <w:tab w:val="right" w:leader="dot" w:pos="9323"/>
            </w:tabs>
            <w:rPr>
              <w:noProof/>
              <w:lang w:eastAsia="en-AU"/>
            </w:rPr>
          </w:pPr>
          <w:hyperlink w:anchor="_Toc467857745" w:history="1">
            <w:r w:rsidR="005B409D" w:rsidRPr="00FE419B">
              <w:rPr>
                <w:rStyle w:val="Hyperlink"/>
                <w:noProof/>
              </w:rPr>
              <w:t>2.1.2. Search terms</w:t>
            </w:r>
            <w:r w:rsidR="005B409D">
              <w:rPr>
                <w:noProof/>
                <w:webHidden/>
              </w:rPr>
              <w:tab/>
            </w:r>
            <w:r w:rsidR="005B409D">
              <w:rPr>
                <w:noProof/>
                <w:webHidden/>
              </w:rPr>
              <w:fldChar w:fldCharType="begin"/>
            </w:r>
            <w:r w:rsidR="005B409D">
              <w:rPr>
                <w:noProof/>
                <w:webHidden/>
              </w:rPr>
              <w:instrText xml:space="preserve"> PAGEREF _Toc467857745 \h </w:instrText>
            </w:r>
            <w:r w:rsidR="005B409D">
              <w:rPr>
                <w:noProof/>
                <w:webHidden/>
              </w:rPr>
            </w:r>
            <w:r w:rsidR="005B409D">
              <w:rPr>
                <w:noProof/>
                <w:webHidden/>
              </w:rPr>
              <w:fldChar w:fldCharType="separate"/>
            </w:r>
            <w:r w:rsidR="00F81296">
              <w:rPr>
                <w:noProof/>
                <w:webHidden/>
              </w:rPr>
              <w:t>8</w:t>
            </w:r>
            <w:r w:rsidR="005B409D">
              <w:rPr>
                <w:noProof/>
                <w:webHidden/>
              </w:rPr>
              <w:fldChar w:fldCharType="end"/>
            </w:r>
          </w:hyperlink>
        </w:p>
        <w:p w14:paraId="6AD65812" w14:textId="77777777" w:rsidR="005B409D" w:rsidRDefault="00BF3AF1">
          <w:pPr>
            <w:pStyle w:val="TOC2"/>
            <w:tabs>
              <w:tab w:val="right" w:leader="dot" w:pos="9323"/>
            </w:tabs>
            <w:rPr>
              <w:noProof/>
              <w:lang w:eastAsia="en-AU"/>
            </w:rPr>
          </w:pPr>
          <w:hyperlink w:anchor="_Toc467857746" w:history="1">
            <w:r w:rsidR="005B409D" w:rsidRPr="00FE419B">
              <w:rPr>
                <w:rStyle w:val="Hyperlink"/>
                <w:noProof/>
              </w:rPr>
              <w:t>2.1.3. Search strategy</w:t>
            </w:r>
            <w:r w:rsidR="005B409D">
              <w:rPr>
                <w:noProof/>
                <w:webHidden/>
              </w:rPr>
              <w:tab/>
            </w:r>
            <w:r w:rsidR="005B409D">
              <w:rPr>
                <w:noProof/>
                <w:webHidden/>
              </w:rPr>
              <w:fldChar w:fldCharType="begin"/>
            </w:r>
            <w:r w:rsidR="005B409D">
              <w:rPr>
                <w:noProof/>
                <w:webHidden/>
              </w:rPr>
              <w:instrText xml:space="preserve"> PAGEREF _Toc467857746 \h </w:instrText>
            </w:r>
            <w:r w:rsidR="005B409D">
              <w:rPr>
                <w:noProof/>
                <w:webHidden/>
              </w:rPr>
            </w:r>
            <w:r w:rsidR="005B409D">
              <w:rPr>
                <w:noProof/>
                <w:webHidden/>
              </w:rPr>
              <w:fldChar w:fldCharType="separate"/>
            </w:r>
            <w:r w:rsidR="00F81296">
              <w:rPr>
                <w:noProof/>
                <w:webHidden/>
              </w:rPr>
              <w:t>9</w:t>
            </w:r>
            <w:r w:rsidR="005B409D">
              <w:rPr>
                <w:noProof/>
                <w:webHidden/>
              </w:rPr>
              <w:fldChar w:fldCharType="end"/>
            </w:r>
          </w:hyperlink>
        </w:p>
        <w:p w14:paraId="3BFD99A9" w14:textId="2082813E" w:rsidR="005B409D" w:rsidRDefault="00BF3AF1">
          <w:pPr>
            <w:pStyle w:val="TOC1"/>
            <w:tabs>
              <w:tab w:val="right" w:leader="dot" w:pos="9323"/>
            </w:tabs>
            <w:rPr>
              <w:noProof/>
              <w:lang w:eastAsia="en-AU"/>
            </w:rPr>
          </w:pPr>
          <w:hyperlink w:anchor="_Toc467857747" w:history="1">
            <w:r w:rsidR="005B409D" w:rsidRPr="00FE419B">
              <w:rPr>
                <w:rStyle w:val="Hyperlink"/>
                <w:noProof/>
              </w:rPr>
              <w:t>2.2. Identified relevant trials</w:t>
            </w:r>
            <w:r w:rsidR="005B409D">
              <w:rPr>
                <w:noProof/>
                <w:webHidden/>
              </w:rPr>
              <w:tab/>
            </w:r>
            <w:r w:rsidR="005B409D">
              <w:rPr>
                <w:noProof/>
                <w:webHidden/>
              </w:rPr>
              <w:fldChar w:fldCharType="begin"/>
            </w:r>
            <w:r w:rsidR="005B409D">
              <w:rPr>
                <w:noProof/>
                <w:webHidden/>
              </w:rPr>
              <w:instrText xml:space="preserve"> PAGEREF _Toc467857747 \h </w:instrText>
            </w:r>
            <w:r w:rsidR="005B409D">
              <w:rPr>
                <w:noProof/>
                <w:webHidden/>
              </w:rPr>
            </w:r>
            <w:r w:rsidR="005B409D">
              <w:rPr>
                <w:noProof/>
                <w:webHidden/>
              </w:rPr>
              <w:fldChar w:fldCharType="separate"/>
            </w:r>
            <w:r w:rsidR="00F81296">
              <w:rPr>
                <w:noProof/>
                <w:webHidden/>
              </w:rPr>
              <w:t>9</w:t>
            </w:r>
            <w:r w:rsidR="005B409D">
              <w:rPr>
                <w:noProof/>
                <w:webHidden/>
              </w:rPr>
              <w:fldChar w:fldCharType="end"/>
            </w:r>
          </w:hyperlink>
        </w:p>
        <w:p w14:paraId="0AFCAA43" w14:textId="49A4F347" w:rsidR="005B409D" w:rsidRDefault="00BF3AF1">
          <w:pPr>
            <w:pStyle w:val="TOC2"/>
            <w:tabs>
              <w:tab w:val="right" w:leader="dot" w:pos="9323"/>
            </w:tabs>
            <w:rPr>
              <w:noProof/>
              <w:lang w:eastAsia="en-AU"/>
            </w:rPr>
          </w:pPr>
          <w:hyperlink w:anchor="_Toc467857748" w:history="1">
            <w:r w:rsidR="005B409D" w:rsidRPr="00FE419B">
              <w:rPr>
                <w:rStyle w:val="Hyperlink"/>
                <w:noProof/>
              </w:rPr>
              <w:t>2.2.1. Search results</w:t>
            </w:r>
            <w:r w:rsidR="005B409D">
              <w:rPr>
                <w:noProof/>
                <w:webHidden/>
              </w:rPr>
              <w:tab/>
            </w:r>
            <w:r w:rsidR="005B409D">
              <w:rPr>
                <w:noProof/>
                <w:webHidden/>
              </w:rPr>
              <w:fldChar w:fldCharType="begin"/>
            </w:r>
            <w:r w:rsidR="005B409D">
              <w:rPr>
                <w:noProof/>
                <w:webHidden/>
              </w:rPr>
              <w:instrText xml:space="preserve"> PAGEREF _Toc467857748 \h </w:instrText>
            </w:r>
            <w:r w:rsidR="005B409D">
              <w:rPr>
                <w:noProof/>
                <w:webHidden/>
              </w:rPr>
            </w:r>
            <w:r w:rsidR="005B409D">
              <w:rPr>
                <w:noProof/>
                <w:webHidden/>
              </w:rPr>
              <w:fldChar w:fldCharType="separate"/>
            </w:r>
            <w:r w:rsidR="00F81296">
              <w:rPr>
                <w:noProof/>
                <w:webHidden/>
              </w:rPr>
              <w:t>9</w:t>
            </w:r>
            <w:r w:rsidR="005B409D">
              <w:rPr>
                <w:noProof/>
                <w:webHidden/>
              </w:rPr>
              <w:fldChar w:fldCharType="end"/>
            </w:r>
          </w:hyperlink>
        </w:p>
        <w:p w14:paraId="1A1C72DB" w14:textId="5815B6C5" w:rsidR="005B409D" w:rsidRDefault="00BF3AF1">
          <w:pPr>
            <w:pStyle w:val="TOC2"/>
            <w:tabs>
              <w:tab w:val="right" w:leader="dot" w:pos="9323"/>
            </w:tabs>
            <w:rPr>
              <w:noProof/>
              <w:lang w:eastAsia="en-AU"/>
            </w:rPr>
          </w:pPr>
          <w:hyperlink w:anchor="_Toc467857749" w:history="1">
            <w:r w:rsidR="005B409D" w:rsidRPr="00FE419B">
              <w:rPr>
                <w:rStyle w:val="Hyperlink"/>
                <w:noProof/>
              </w:rPr>
              <w:t>2.2.2. Annotated search results</w:t>
            </w:r>
            <w:r w:rsidR="005B409D">
              <w:rPr>
                <w:noProof/>
                <w:webHidden/>
              </w:rPr>
              <w:tab/>
            </w:r>
            <w:r w:rsidR="005B409D">
              <w:rPr>
                <w:noProof/>
                <w:webHidden/>
              </w:rPr>
              <w:fldChar w:fldCharType="begin"/>
            </w:r>
            <w:r w:rsidR="005B409D">
              <w:rPr>
                <w:noProof/>
                <w:webHidden/>
              </w:rPr>
              <w:instrText xml:space="preserve"> PAGEREF _Toc467857749 \h </w:instrText>
            </w:r>
            <w:r w:rsidR="005B409D">
              <w:rPr>
                <w:noProof/>
                <w:webHidden/>
              </w:rPr>
            </w:r>
            <w:r w:rsidR="005B409D">
              <w:rPr>
                <w:noProof/>
                <w:webHidden/>
              </w:rPr>
              <w:fldChar w:fldCharType="separate"/>
            </w:r>
            <w:r w:rsidR="00F81296">
              <w:rPr>
                <w:noProof/>
                <w:webHidden/>
              </w:rPr>
              <w:t>12</w:t>
            </w:r>
            <w:r w:rsidR="005B409D">
              <w:rPr>
                <w:noProof/>
                <w:webHidden/>
              </w:rPr>
              <w:fldChar w:fldCharType="end"/>
            </w:r>
          </w:hyperlink>
        </w:p>
        <w:p w14:paraId="506EFCF8" w14:textId="54118473" w:rsidR="005B409D" w:rsidRDefault="00BF3AF1">
          <w:pPr>
            <w:pStyle w:val="TOC2"/>
            <w:tabs>
              <w:tab w:val="right" w:leader="dot" w:pos="9323"/>
            </w:tabs>
            <w:rPr>
              <w:noProof/>
              <w:lang w:eastAsia="en-AU"/>
            </w:rPr>
          </w:pPr>
          <w:hyperlink w:anchor="_Toc467857750" w:history="1">
            <w:r w:rsidR="005B409D" w:rsidRPr="00FE419B">
              <w:rPr>
                <w:rStyle w:val="Hyperlink"/>
                <w:noProof/>
              </w:rPr>
              <w:t>2.2.3. Systematic reviews of clinical efficacy and safety of ezetimibe monotherapy and ezetimibe in combination with a statin</w:t>
            </w:r>
            <w:r w:rsidR="005B409D">
              <w:rPr>
                <w:noProof/>
                <w:webHidden/>
              </w:rPr>
              <w:tab/>
            </w:r>
            <w:r w:rsidR="005B409D">
              <w:rPr>
                <w:noProof/>
                <w:webHidden/>
              </w:rPr>
              <w:fldChar w:fldCharType="begin"/>
            </w:r>
            <w:r w:rsidR="005B409D">
              <w:rPr>
                <w:noProof/>
                <w:webHidden/>
              </w:rPr>
              <w:instrText xml:space="preserve"> PAGEREF _Toc467857750 \h </w:instrText>
            </w:r>
            <w:r w:rsidR="005B409D">
              <w:rPr>
                <w:noProof/>
                <w:webHidden/>
              </w:rPr>
            </w:r>
            <w:r w:rsidR="005B409D">
              <w:rPr>
                <w:noProof/>
                <w:webHidden/>
              </w:rPr>
              <w:fldChar w:fldCharType="separate"/>
            </w:r>
            <w:r w:rsidR="00F81296">
              <w:rPr>
                <w:noProof/>
                <w:webHidden/>
              </w:rPr>
              <w:t>13</w:t>
            </w:r>
            <w:r w:rsidR="005B409D">
              <w:rPr>
                <w:noProof/>
                <w:webHidden/>
              </w:rPr>
              <w:fldChar w:fldCharType="end"/>
            </w:r>
          </w:hyperlink>
        </w:p>
        <w:p w14:paraId="4CEBA5E3" w14:textId="3F13044C" w:rsidR="005B409D" w:rsidRDefault="00BF3AF1">
          <w:pPr>
            <w:pStyle w:val="TOC2"/>
            <w:tabs>
              <w:tab w:val="right" w:leader="dot" w:pos="9323"/>
            </w:tabs>
            <w:rPr>
              <w:noProof/>
              <w:lang w:eastAsia="en-AU"/>
            </w:rPr>
          </w:pPr>
          <w:hyperlink w:anchor="_Toc467857751" w:history="1">
            <w:r w:rsidR="005B409D" w:rsidRPr="00FE419B">
              <w:rPr>
                <w:rStyle w:val="Hyperlink"/>
                <w:noProof/>
              </w:rPr>
              <w:t>Summary of the systematic reviews</w:t>
            </w:r>
            <w:r w:rsidR="005B409D">
              <w:rPr>
                <w:noProof/>
                <w:webHidden/>
              </w:rPr>
              <w:tab/>
            </w:r>
            <w:r w:rsidR="005B409D">
              <w:rPr>
                <w:noProof/>
                <w:webHidden/>
              </w:rPr>
              <w:fldChar w:fldCharType="begin"/>
            </w:r>
            <w:r w:rsidR="005B409D">
              <w:rPr>
                <w:noProof/>
                <w:webHidden/>
              </w:rPr>
              <w:instrText xml:space="preserve"> PAGEREF _Toc467857751 \h </w:instrText>
            </w:r>
            <w:r w:rsidR="005B409D">
              <w:rPr>
                <w:noProof/>
                <w:webHidden/>
              </w:rPr>
            </w:r>
            <w:r w:rsidR="005B409D">
              <w:rPr>
                <w:noProof/>
                <w:webHidden/>
              </w:rPr>
              <w:fldChar w:fldCharType="separate"/>
            </w:r>
            <w:r w:rsidR="00F81296">
              <w:rPr>
                <w:noProof/>
                <w:webHidden/>
              </w:rPr>
              <w:t>36</w:t>
            </w:r>
            <w:r w:rsidR="005B409D">
              <w:rPr>
                <w:noProof/>
                <w:webHidden/>
              </w:rPr>
              <w:fldChar w:fldCharType="end"/>
            </w:r>
          </w:hyperlink>
        </w:p>
        <w:p w14:paraId="0747CF9B" w14:textId="77777777" w:rsidR="005B409D" w:rsidRDefault="00BF3AF1">
          <w:pPr>
            <w:pStyle w:val="TOC2"/>
            <w:tabs>
              <w:tab w:val="right" w:leader="dot" w:pos="9323"/>
            </w:tabs>
            <w:rPr>
              <w:noProof/>
              <w:lang w:eastAsia="en-AU"/>
            </w:rPr>
          </w:pPr>
          <w:hyperlink w:anchor="_Toc467857752" w:history="1">
            <w:r w:rsidR="005B409D" w:rsidRPr="00FE419B">
              <w:rPr>
                <w:rStyle w:val="Hyperlink"/>
                <w:noProof/>
              </w:rPr>
              <w:t>2.2.4 Master list of identified trials that formed the evidence basis for the review</w:t>
            </w:r>
            <w:r w:rsidR="005B409D">
              <w:rPr>
                <w:noProof/>
                <w:webHidden/>
              </w:rPr>
              <w:tab/>
            </w:r>
            <w:r w:rsidR="005B409D">
              <w:rPr>
                <w:noProof/>
                <w:webHidden/>
              </w:rPr>
              <w:fldChar w:fldCharType="begin"/>
            </w:r>
            <w:r w:rsidR="005B409D">
              <w:rPr>
                <w:noProof/>
                <w:webHidden/>
              </w:rPr>
              <w:instrText xml:space="preserve"> PAGEREF _Toc467857752 \h </w:instrText>
            </w:r>
            <w:r w:rsidR="005B409D">
              <w:rPr>
                <w:noProof/>
                <w:webHidden/>
              </w:rPr>
            </w:r>
            <w:r w:rsidR="005B409D">
              <w:rPr>
                <w:noProof/>
                <w:webHidden/>
              </w:rPr>
              <w:fldChar w:fldCharType="separate"/>
            </w:r>
            <w:r w:rsidR="00F81296">
              <w:rPr>
                <w:noProof/>
                <w:webHidden/>
              </w:rPr>
              <w:t>39</w:t>
            </w:r>
            <w:r w:rsidR="005B409D">
              <w:rPr>
                <w:noProof/>
                <w:webHidden/>
              </w:rPr>
              <w:fldChar w:fldCharType="end"/>
            </w:r>
          </w:hyperlink>
        </w:p>
        <w:p w14:paraId="68F4347D" w14:textId="77777777" w:rsidR="005B409D" w:rsidRDefault="00BF3AF1">
          <w:pPr>
            <w:pStyle w:val="TOC2"/>
            <w:tabs>
              <w:tab w:val="right" w:leader="dot" w:pos="9323"/>
            </w:tabs>
            <w:rPr>
              <w:noProof/>
              <w:lang w:eastAsia="en-AU"/>
            </w:rPr>
          </w:pPr>
          <w:hyperlink w:anchor="_Toc467857753" w:history="1">
            <w:r w:rsidR="005B409D" w:rsidRPr="00FE419B">
              <w:rPr>
                <w:rStyle w:val="Hyperlink"/>
                <w:noProof/>
              </w:rPr>
              <w:t>2.2.5. Approach taken to assess ezetimibe in combination with statins or as a monotherapy</w:t>
            </w:r>
            <w:r w:rsidR="005B409D">
              <w:rPr>
                <w:noProof/>
                <w:webHidden/>
              </w:rPr>
              <w:tab/>
            </w:r>
            <w:r w:rsidR="005B409D">
              <w:rPr>
                <w:noProof/>
                <w:webHidden/>
              </w:rPr>
              <w:fldChar w:fldCharType="begin"/>
            </w:r>
            <w:r w:rsidR="005B409D">
              <w:rPr>
                <w:noProof/>
                <w:webHidden/>
              </w:rPr>
              <w:instrText xml:space="preserve"> PAGEREF _Toc467857753 \h </w:instrText>
            </w:r>
            <w:r w:rsidR="005B409D">
              <w:rPr>
                <w:noProof/>
                <w:webHidden/>
              </w:rPr>
            </w:r>
            <w:r w:rsidR="005B409D">
              <w:rPr>
                <w:noProof/>
                <w:webHidden/>
              </w:rPr>
              <w:fldChar w:fldCharType="separate"/>
            </w:r>
            <w:r w:rsidR="00F81296">
              <w:rPr>
                <w:noProof/>
                <w:webHidden/>
              </w:rPr>
              <w:t>44</w:t>
            </w:r>
            <w:r w:rsidR="005B409D">
              <w:rPr>
                <w:noProof/>
                <w:webHidden/>
              </w:rPr>
              <w:fldChar w:fldCharType="end"/>
            </w:r>
          </w:hyperlink>
        </w:p>
        <w:p w14:paraId="7B8E8EAD" w14:textId="77777777" w:rsidR="005B409D" w:rsidRDefault="00BF3AF1">
          <w:pPr>
            <w:pStyle w:val="TOC1"/>
            <w:tabs>
              <w:tab w:val="right" w:leader="dot" w:pos="9323"/>
            </w:tabs>
            <w:rPr>
              <w:noProof/>
              <w:lang w:eastAsia="en-AU"/>
            </w:rPr>
          </w:pPr>
          <w:hyperlink w:anchor="_Toc467857754" w:history="1">
            <w:r w:rsidR="005B409D" w:rsidRPr="00FE419B">
              <w:rPr>
                <w:rStyle w:val="Hyperlink"/>
                <w:noProof/>
              </w:rPr>
              <w:t>2.3. Trial design and execution</w:t>
            </w:r>
            <w:r w:rsidR="005B409D">
              <w:rPr>
                <w:noProof/>
                <w:webHidden/>
              </w:rPr>
              <w:tab/>
            </w:r>
            <w:r w:rsidR="005B409D">
              <w:rPr>
                <w:noProof/>
                <w:webHidden/>
              </w:rPr>
              <w:fldChar w:fldCharType="begin"/>
            </w:r>
            <w:r w:rsidR="005B409D">
              <w:rPr>
                <w:noProof/>
                <w:webHidden/>
              </w:rPr>
              <w:instrText xml:space="preserve"> PAGEREF _Toc467857754 \h </w:instrText>
            </w:r>
            <w:r w:rsidR="005B409D">
              <w:rPr>
                <w:noProof/>
                <w:webHidden/>
              </w:rPr>
            </w:r>
            <w:r w:rsidR="005B409D">
              <w:rPr>
                <w:noProof/>
                <w:webHidden/>
              </w:rPr>
              <w:fldChar w:fldCharType="separate"/>
            </w:r>
            <w:r w:rsidR="00F81296">
              <w:rPr>
                <w:noProof/>
                <w:webHidden/>
              </w:rPr>
              <w:t>45</w:t>
            </w:r>
            <w:r w:rsidR="005B409D">
              <w:rPr>
                <w:noProof/>
                <w:webHidden/>
              </w:rPr>
              <w:fldChar w:fldCharType="end"/>
            </w:r>
          </w:hyperlink>
        </w:p>
        <w:p w14:paraId="270478F0" w14:textId="77777777" w:rsidR="005B409D" w:rsidRDefault="00BF3AF1">
          <w:pPr>
            <w:pStyle w:val="TOC2"/>
            <w:tabs>
              <w:tab w:val="right" w:leader="dot" w:pos="9323"/>
            </w:tabs>
            <w:rPr>
              <w:noProof/>
              <w:lang w:eastAsia="en-AU"/>
            </w:rPr>
          </w:pPr>
          <w:hyperlink w:anchor="_Toc467857755" w:history="1">
            <w:r w:rsidR="005B409D" w:rsidRPr="00FE419B">
              <w:rPr>
                <w:rStyle w:val="Hyperlink"/>
                <w:noProof/>
              </w:rPr>
              <w:t>2.3.1. Appraisal of evidence</w:t>
            </w:r>
            <w:r w:rsidR="005B409D">
              <w:rPr>
                <w:noProof/>
                <w:webHidden/>
              </w:rPr>
              <w:tab/>
            </w:r>
            <w:r w:rsidR="005B409D">
              <w:rPr>
                <w:noProof/>
                <w:webHidden/>
              </w:rPr>
              <w:fldChar w:fldCharType="begin"/>
            </w:r>
            <w:r w:rsidR="005B409D">
              <w:rPr>
                <w:noProof/>
                <w:webHidden/>
              </w:rPr>
              <w:instrText xml:space="preserve"> PAGEREF _Toc467857755 \h </w:instrText>
            </w:r>
            <w:r w:rsidR="005B409D">
              <w:rPr>
                <w:noProof/>
                <w:webHidden/>
              </w:rPr>
            </w:r>
            <w:r w:rsidR="005B409D">
              <w:rPr>
                <w:noProof/>
                <w:webHidden/>
              </w:rPr>
              <w:fldChar w:fldCharType="separate"/>
            </w:r>
            <w:r w:rsidR="00F81296">
              <w:rPr>
                <w:noProof/>
                <w:webHidden/>
              </w:rPr>
              <w:t>45</w:t>
            </w:r>
            <w:r w:rsidR="005B409D">
              <w:rPr>
                <w:noProof/>
                <w:webHidden/>
              </w:rPr>
              <w:fldChar w:fldCharType="end"/>
            </w:r>
          </w:hyperlink>
        </w:p>
        <w:p w14:paraId="71A04CDA" w14:textId="77777777" w:rsidR="005B409D" w:rsidRDefault="00BF3AF1">
          <w:pPr>
            <w:pStyle w:val="TOC1"/>
            <w:tabs>
              <w:tab w:val="right" w:leader="dot" w:pos="9323"/>
            </w:tabs>
            <w:rPr>
              <w:noProof/>
              <w:lang w:eastAsia="en-AU"/>
            </w:rPr>
          </w:pPr>
          <w:hyperlink w:anchor="_Toc467857756" w:history="1">
            <w:r w:rsidR="005B409D" w:rsidRPr="00FE419B">
              <w:rPr>
                <w:rStyle w:val="Hyperlink"/>
                <w:noProof/>
              </w:rPr>
              <w:t>2.4. Trial characteristics</w:t>
            </w:r>
            <w:r w:rsidR="005B409D">
              <w:rPr>
                <w:noProof/>
                <w:webHidden/>
              </w:rPr>
              <w:tab/>
            </w:r>
            <w:r w:rsidR="005B409D">
              <w:rPr>
                <w:noProof/>
                <w:webHidden/>
              </w:rPr>
              <w:fldChar w:fldCharType="begin"/>
            </w:r>
            <w:r w:rsidR="005B409D">
              <w:rPr>
                <w:noProof/>
                <w:webHidden/>
              </w:rPr>
              <w:instrText xml:space="preserve"> PAGEREF _Toc467857756 \h </w:instrText>
            </w:r>
            <w:r w:rsidR="005B409D">
              <w:rPr>
                <w:noProof/>
                <w:webHidden/>
              </w:rPr>
            </w:r>
            <w:r w:rsidR="005B409D">
              <w:rPr>
                <w:noProof/>
                <w:webHidden/>
              </w:rPr>
              <w:fldChar w:fldCharType="separate"/>
            </w:r>
            <w:r w:rsidR="00F81296">
              <w:rPr>
                <w:noProof/>
                <w:webHidden/>
              </w:rPr>
              <w:t>49</w:t>
            </w:r>
            <w:r w:rsidR="005B409D">
              <w:rPr>
                <w:noProof/>
                <w:webHidden/>
              </w:rPr>
              <w:fldChar w:fldCharType="end"/>
            </w:r>
          </w:hyperlink>
        </w:p>
        <w:p w14:paraId="2DB133D8" w14:textId="77777777" w:rsidR="005B409D" w:rsidRDefault="00BF3AF1">
          <w:pPr>
            <w:pStyle w:val="TOC2"/>
            <w:tabs>
              <w:tab w:val="right" w:leader="dot" w:pos="9323"/>
            </w:tabs>
            <w:rPr>
              <w:noProof/>
              <w:lang w:eastAsia="en-AU"/>
            </w:rPr>
          </w:pPr>
          <w:hyperlink w:anchor="_Toc467857757" w:history="1">
            <w:r w:rsidR="005B409D" w:rsidRPr="00FE419B">
              <w:rPr>
                <w:rStyle w:val="Hyperlink"/>
                <w:noProof/>
              </w:rPr>
              <w:t>2.4.1. Participants</w:t>
            </w:r>
            <w:r w:rsidR="005B409D">
              <w:rPr>
                <w:noProof/>
                <w:webHidden/>
              </w:rPr>
              <w:tab/>
            </w:r>
            <w:r w:rsidR="005B409D">
              <w:rPr>
                <w:noProof/>
                <w:webHidden/>
              </w:rPr>
              <w:fldChar w:fldCharType="begin"/>
            </w:r>
            <w:r w:rsidR="005B409D">
              <w:rPr>
                <w:noProof/>
                <w:webHidden/>
              </w:rPr>
              <w:instrText xml:space="preserve"> PAGEREF _Toc467857757 \h </w:instrText>
            </w:r>
            <w:r w:rsidR="005B409D">
              <w:rPr>
                <w:noProof/>
                <w:webHidden/>
              </w:rPr>
            </w:r>
            <w:r w:rsidR="005B409D">
              <w:rPr>
                <w:noProof/>
                <w:webHidden/>
              </w:rPr>
              <w:fldChar w:fldCharType="separate"/>
            </w:r>
            <w:r w:rsidR="00F81296">
              <w:rPr>
                <w:noProof/>
                <w:webHidden/>
              </w:rPr>
              <w:t>55</w:t>
            </w:r>
            <w:r w:rsidR="005B409D">
              <w:rPr>
                <w:noProof/>
                <w:webHidden/>
              </w:rPr>
              <w:fldChar w:fldCharType="end"/>
            </w:r>
          </w:hyperlink>
        </w:p>
        <w:p w14:paraId="021EA7A2" w14:textId="77777777" w:rsidR="005B409D" w:rsidRDefault="00BF3AF1">
          <w:pPr>
            <w:pStyle w:val="TOC2"/>
            <w:tabs>
              <w:tab w:val="right" w:leader="dot" w:pos="9323"/>
            </w:tabs>
            <w:rPr>
              <w:noProof/>
              <w:lang w:eastAsia="en-AU"/>
            </w:rPr>
          </w:pPr>
          <w:hyperlink w:anchor="_Toc467857758" w:history="1">
            <w:r w:rsidR="005B409D" w:rsidRPr="00FE419B">
              <w:rPr>
                <w:rStyle w:val="Hyperlink"/>
                <w:noProof/>
              </w:rPr>
              <w:t>2.4.2. Treatment details</w:t>
            </w:r>
            <w:r w:rsidR="005B409D">
              <w:rPr>
                <w:noProof/>
                <w:webHidden/>
              </w:rPr>
              <w:tab/>
            </w:r>
            <w:r w:rsidR="005B409D">
              <w:rPr>
                <w:noProof/>
                <w:webHidden/>
              </w:rPr>
              <w:fldChar w:fldCharType="begin"/>
            </w:r>
            <w:r w:rsidR="005B409D">
              <w:rPr>
                <w:noProof/>
                <w:webHidden/>
              </w:rPr>
              <w:instrText xml:space="preserve"> PAGEREF _Toc467857758 \h </w:instrText>
            </w:r>
            <w:r w:rsidR="005B409D">
              <w:rPr>
                <w:noProof/>
                <w:webHidden/>
              </w:rPr>
            </w:r>
            <w:r w:rsidR="005B409D">
              <w:rPr>
                <w:noProof/>
                <w:webHidden/>
              </w:rPr>
              <w:fldChar w:fldCharType="separate"/>
            </w:r>
            <w:r w:rsidR="00F81296">
              <w:rPr>
                <w:noProof/>
                <w:webHidden/>
              </w:rPr>
              <w:t>56</w:t>
            </w:r>
            <w:r w:rsidR="005B409D">
              <w:rPr>
                <w:noProof/>
                <w:webHidden/>
              </w:rPr>
              <w:fldChar w:fldCharType="end"/>
            </w:r>
          </w:hyperlink>
        </w:p>
        <w:p w14:paraId="6D11B43C" w14:textId="77777777" w:rsidR="005B409D" w:rsidRDefault="00BF3AF1">
          <w:pPr>
            <w:pStyle w:val="TOC2"/>
            <w:tabs>
              <w:tab w:val="right" w:leader="dot" w:pos="9323"/>
            </w:tabs>
            <w:rPr>
              <w:noProof/>
              <w:lang w:eastAsia="en-AU"/>
            </w:rPr>
          </w:pPr>
          <w:hyperlink w:anchor="_Toc467857759" w:history="1">
            <w:r w:rsidR="005B409D" w:rsidRPr="00FE419B">
              <w:rPr>
                <w:rStyle w:val="Hyperlink"/>
                <w:noProof/>
              </w:rPr>
              <w:t>2.4.3. Outcomes</w:t>
            </w:r>
            <w:r w:rsidR="005B409D">
              <w:rPr>
                <w:noProof/>
                <w:webHidden/>
              </w:rPr>
              <w:tab/>
            </w:r>
            <w:r w:rsidR="005B409D">
              <w:rPr>
                <w:noProof/>
                <w:webHidden/>
              </w:rPr>
              <w:fldChar w:fldCharType="begin"/>
            </w:r>
            <w:r w:rsidR="005B409D">
              <w:rPr>
                <w:noProof/>
                <w:webHidden/>
              </w:rPr>
              <w:instrText xml:space="preserve"> PAGEREF _Toc467857759 \h </w:instrText>
            </w:r>
            <w:r w:rsidR="005B409D">
              <w:rPr>
                <w:noProof/>
                <w:webHidden/>
              </w:rPr>
            </w:r>
            <w:r w:rsidR="005B409D">
              <w:rPr>
                <w:noProof/>
                <w:webHidden/>
              </w:rPr>
              <w:fldChar w:fldCharType="separate"/>
            </w:r>
            <w:r w:rsidR="00F81296">
              <w:rPr>
                <w:noProof/>
                <w:webHidden/>
              </w:rPr>
              <w:t>57</w:t>
            </w:r>
            <w:r w:rsidR="005B409D">
              <w:rPr>
                <w:noProof/>
                <w:webHidden/>
              </w:rPr>
              <w:fldChar w:fldCharType="end"/>
            </w:r>
          </w:hyperlink>
        </w:p>
        <w:p w14:paraId="5B3C5F74" w14:textId="77777777" w:rsidR="005B409D" w:rsidRDefault="00BF3AF1">
          <w:pPr>
            <w:pStyle w:val="TOC1"/>
            <w:tabs>
              <w:tab w:val="right" w:leader="dot" w:pos="9323"/>
            </w:tabs>
            <w:rPr>
              <w:noProof/>
              <w:lang w:eastAsia="en-AU"/>
            </w:rPr>
          </w:pPr>
          <w:hyperlink w:anchor="_Toc467857760" w:history="1">
            <w:r w:rsidR="005B409D" w:rsidRPr="00FE419B">
              <w:rPr>
                <w:rStyle w:val="Hyperlink"/>
                <w:noProof/>
              </w:rPr>
              <w:t>2.5. Results of the identified trials</w:t>
            </w:r>
            <w:r w:rsidR="005B409D">
              <w:rPr>
                <w:noProof/>
                <w:webHidden/>
              </w:rPr>
              <w:tab/>
            </w:r>
            <w:r w:rsidR="005B409D">
              <w:rPr>
                <w:noProof/>
                <w:webHidden/>
              </w:rPr>
              <w:fldChar w:fldCharType="begin"/>
            </w:r>
            <w:r w:rsidR="005B409D">
              <w:rPr>
                <w:noProof/>
                <w:webHidden/>
              </w:rPr>
              <w:instrText xml:space="preserve"> PAGEREF _Toc467857760 \h </w:instrText>
            </w:r>
            <w:r w:rsidR="005B409D">
              <w:rPr>
                <w:noProof/>
                <w:webHidden/>
              </w:rPr>
            </w:r>
            <w:r w:rsidR="005B409D">
              <w:rPr>
                <w:noProof/>
                <w:webHidden/>
              </w:rPr>
              <w:fldChar w:fldCharType="separate"/>
            </w:r>
            <w:r w:rsidR="00F81296">
              <w:rPr>
                <w:noProof/>
                <w:webHidden/>
              </w:rPr>
              <w:t>61</w:t>
            </w:r>
            <w:r w:rsidR="005B409D">
              <w:rPr>
                <w:noProof/>
                <w:webHidden/>
              </w:rPr>
              <w:fldChar w:fldCharType="end"/>
            </w:r>
          </w:hyperlink>
        </w:p>
        <w:p w14:paraId="3626C713" w14:textId="77777777" w:rsidR="005B409D" w:rsidRDefault="00BF3AF1">
          <w:pPr>
            <w:pStyle w:val="TOC2"/>
            <w:tabs>
              <w:tab w:val="right" w:leader="dot" w:pos="9323"/>
            </w:tabs>
            <w:rPr>
              <w:noProof/>
              <w:lang w:eastAsia="en-AU"/>
            </w:rPr>
          </w:pPr>
          <w:hyperlink w:anchor="_Toc467857761" w:history="1">
            <w:r w:rsidR="005B409D" w:rsidRPr="00FE419B">
              <w:rPr>
                <w:rStyle w:val="Hyperlink"/>
                <w:noProof/>
              </w:rPr>
              <w:t>2.5.1. Mean per cent change in LDL-C in RCTs of ezetimibe in combination with statin</w:t>
            </w:r>
            <w:r w:rsidR="005B409D">
              <w:rPr>
                <w:noProof/>
                <w:webHidden/>
              </w:rPr>
              <w:tab/>
            </w:r>
            <w:r w:rsidR="005B409D">
              <w:rPr>
                <w:noProof/>
                <w:webHidden/>
              </w:rPr>
              <w:fldChar w:fldCharType="begin"/>
            </w:r>
            <w:r w:rsidR="005B409D">
              <w:rPr>
                <w:noProof/>
                <w:webHidden/>
              </w:rPr>
              <w:instrText xml:space="preserve"> PAGEREF _Toc467857761 \h </w:instrText>
            </w:r>
            <w:r w:rsidR="005B409D">
              <w:rPr>
                <w:noProof/>
                <w:webHidden/>
              </w:rPr>
            </w:r>
            <w:r w:rsidR="005B409D">
              <w:rPr>
                <w:noProof/>
                <w:webHidden/>
              </w:rPr>
              <w:fldChar w:fldCharType="separate"/>
            </w:r>
            <w:r w:rsidR="00F81296">
              <w:rPr>
                <w:noProof/>
                <w:webHidden/>
              </w:rPr>
              <w:t>61</w:t>
            </w:r>
            <w:r w:rsidR="005B409D">
              <w:rPr>
                <w:noProof/>
                <w:webHidden/>
              </w:rPr>
              <w:fldChar w:fldCharType="end"/>
            </w:r>
          </w:hyperlink>
        </w:p>
        <w:p w14:paraId="08AFE6E4" w14:textId="77777777" w:rsidR="005B409D" w:rsidRDefault="00BF3AF1">
          <w:pPr>
            <w:pStyle w:val="TOC2"/>
            <w:tabs>
              <w:tab w:val="right" w:leader="dot" w:pos="9323"/>
            </w:tabs>
            <w:rPr>
              <w:noProof/>
              <w:lang w:eastAsia="en-AU"/>
            </w:rPr>
          </w:pPr>
          <w:hyperlink w:anchor="_Toc467857762" w:history="1">
            <w:r w:rsidR="005B409D" w:rsidRPr="00FE419B">
              <w:rPr>
                <w:rStyle w:val="Hyperlink"/>
                <w:noProof/>
              </w:rPr>
              <w:t>2.5.2. Mean per cent change in HDL-C in RCTs of ezetimibe in combination with statin</w:t>
            </w:r>
            <w:r w:rsidR="005B409D">
              <w:rPr>
                <w:noProof/>
                <w:webHidden/>
              </w:rPr>
              <w:tab/>
            </w:r>
            <w:r w:rsidR="005B409D">
              <w:rPr>
                <w:noProof/>
                <w:webHidden/>
              </w:rPr>
              <w:fldChar w:fldCharType="begin"/>
            </w:r>
            <w:r w:rsidR="005B409D">
              <w:rPr>
                <w:noProof/>
                <w:webHidden/>
              </w:rPr>
              <w:instrText xml:space="preserve"> PAGEREF _Toc467857762 \h </w:instrText>
            </w:r>
            <w:r w:rsidR="005B409D">
              <w:rPr>
                <w:noProof/>
                <w:webHidden/>
              </w:rPr>
            </w:r>
            <w:r w:rsidR="005B409D">
              <w:rPr>
                <w:noProof/>
                <w:webHidden/>
              </w:rPr>
              <w:fldChar w:fldCharType="separate"/>
            </w:r>
            <w:r w:rsidR="00F81296">
              <w:rPr>
                <w:noProof/>
                <w:webHidden/>
              </w:rPr>
              <w:t>67</w:t>
            </w:r>
            <w:r w:rsidR="005B409D">
              <w:rPr>
                <w:noProof/>
                <w:webHidden/>
              </w:rPr>
              <w:fldChar w:fldCharType="end"/>
            </w:r>
          </w:hyperlink>
        </w:p>
        <w:p w14:paraId="5F397B23" w14:textId="77777777" w:rsidR="005B409D" w:rsidRDefault="00BF3AF1">
          <w:pPr>
            <w:pStyle w:val="TOC2"/>
            <w:tabs>
              <w:tab w:val="right" w:leader="dot" w:pos="9323"/>
            </w:tabs>
            <w:rPr>
              <w:noProof/>
              <w:lang w:eastAsia="en-AU"/>
            </w:rPr>
          </w:pPr>
          <w:hyperlink w:anchor="_Toc467857763" w:history="1">
            <w:r w:rsidR="005B409D" w:rsidRPr="00FE419B">
              <w:rPr>
                <w:rStyle w:val="Hyperlink"/>
                <w:noProof/>
              </w:rPr>
              <w:t>2.5.3 Narrative summary of results of RCTs of ezetimibe in combination with a statin</w:t>
            </w:r>
            <w:r w:rsidR="005B409D">
              <w:rPr>
                <w:noProof/>
                <w:webHidden/>
              </w:rPr>
              <w:tab/>
            </w:r>
            <w:r w:rsidR="005B409D">
              <w:rPr>
                <w:noProof/>
                <w:webHidden/>
              </w:rPr>
              <w:fldChar w:fldCharType="begin"/>
            </w:r>
            <w:r w:rsidR="005B409D">
              <w:rPr>
                <w:noProof/>
                <w:webHidden/>
              </w:rPr>
              <w:instrText xml:space="preserve"> PAGEREF _Toc467857763 \h </w:instrText>
            </w:r>
            <w:r w:rsidR="005B409D">
              <w:rPr>
                <w:noProof/>
                <w:webHidden/>
              </w:rPr>
            </w:r>
            <w:r w:rsidR="005B409D">
              <w:rPr>
                <w:noProof/>
                <w:webHidden/>
              </w:rPr>
              <w:fldChar w:fldCharType="separate"/>
            </w:r>
            <w:r w:rsidR="00F81296">
              <w:rPr>
                <w:noProof/>
                <w:webHidden/>
              </w:rPr>
              <w:t>73</w:t>
            </w:r>
            <w:r w:rsidR="005B409D">
              <w:rPr>
                <w:noProof/>
                <w:webHidden/>
              </w:rPr>
              <w:fldChar w:fldCharType="end"/>
            </w:r>
          </w:hyperlink>
        </w:p>
        <w:p w14:paraId="3B35E467" w14:textId="77777777" w:rsidR="005B409D" w:rsidRDefault="00BF3AF1">
          <w:pPr>
            <w:pStyle w:val="TOC2"/>
            <w:tabs>
              <w:tab w:val="right" w:leader="dot" w:pos="9323"/>
            </w:tabs>
            <w:rPr>
              <w:noProof/>
              <w:lang w:eastAsia="en-AU"/>
            </w:rPr>
          </w:pPr>
          <w:hyperlink w:anchor="_Toc467857764" w:history="1">
            <w:r w:rsidR="005B409D" w:rsidRPr="00FE419B">
              <w:rPr>
                <w:rStyle w:val="Hyperlink"/>
                <w:noProof/>
              </w:rPr>
              <w:t>2.5.4 Pooled results of ezetimibe as monotherapy</w:t>
            </w:r>
            <w:r w:rsidR="005B409D">
              <w:rPr>
                <w:noProof/>
                <w:webHidden/>
              </w:rPr>
              <w:tab/>
            </w:r>
            <w:r w:rsidR="005B409D">
              <w:rPr>
                <w:noProof/>
                <w:webHidden/>
              </w:rPr>
              <w:fldChar w:fldCharType="begin"/>
            </w:r>
            <w:r w:rsidR="005B409D">
              <w:rPr>
                <w:noProof/>
                <w:webHidden/>
              </w:rPr>
              <w:instrText xml:space="preserve"> PAGEREF _Toc467857764 \h </w:instrText>
            </w:r>
            <w:r w:rsidR="005B409D">
              <w:rPr>
                <w:noProof/>
                <w:webHidden/>
              </w:rPr>
            </w:r>
            <w:r w:rsidR="005B409D">
              <w:rPr>
                <w:noProof/>
                <w:webHidden/>
              </w:rPr>
              <w:fldChar w:fldCharType="separate"/>
            </w:r>
            <w:r w:rsidR="00F81296">
              <w:rPr>
                <w:noProof/>
                <w:webHidden/>
              </w:rPr>
              <w:t>78</w:t>
            </w:r>
            <w:r w:rsidR="005B409D">
              <w:rPr>
                <w:noProof/>
                <w:webHidden/>
              </w:rPr>
              <w:fldChar w:fldCharType="end"/>
            </w:r>
          </w:hyperlink>
        </w:p>
        <w:p w14:paraId="1D881278" w14:textId="77777777" w:rsidR="005B409D" w:rsidRDefault="00BF3AF1">
          <w:pPr>
            <w:pStyle w:val="TOC1"/>
            <w:tabs>
              <w:tab w:val="right" w:leader="dot" w:pos="9323"/>
            </w:tabs>
            <w:rPr>
              <w:noProof/>
              <w:lang w:eastAsia="en-AU"/>
            </w:rPr>
          </w:pPr>
          <w:hyperlink w:anchor="_Toc467857765" w:history="1">
            <w:r w:rsidR="005B409D" w:rsidRPr="00FE419B">
              <w:rPr>
                <w:rStyle w:val="Hyperlink"/>
                <w:noProof/>
              </w:rPr>
              <w:t>2.6 Safety</w:t>
            </w:r>
            <w:r w:rsidR="005B409D">
              <w:rPr>
                <w:noProof/>
                <w:webHidden/>
              </w:rPr>
              <w:tab/>
            </w:r>
            <w:r w:rsidR="005B409D">
              <w:rPr>
                <w:noProof/>
                <w:webHidden/>
              </w:rPr>
              <w:fldChar w:fldCharType="begin"/>
            </w:r>
            <w:r w:rsidR="005B409D">
              <w:rPr>
                <w:noProof/>
                <w:webHidden/>
              </w:rPr>
              <w:instrText xml:space="preserve"> PAGEREF _Toc467857765 \h </w:instrText>
            </w:r>
            <w:r w:rsidR="005B409D">
              <w:rPr>
                <w:noProof/>
                <w:webHidden/>
              </w:rPr>
            </w:r>
            <w:r w:rsidR="005B409D">
              <w:rPr>
                <w:noProof/>
                <w:webHidden/>
              </w:rPr>
              <w:fldChar w:fldCharType="separate"/>
            </w:r>
            <w:r w:rsidR="00F81296">
              <w:rPr>
                <w:noProof/>
                <w:webHidden/>
              </w:rPr>
              <w:t>80</w:t>
            </w:r>
            <w:r w:rsidR="005B409D">
              <w:rPr>
                <w:noProof/>
                <w:webHidden/>
              </w:rPr>
              <w:fldChar w:fldCharType="end"/>
            </w:r>
          </w:hyperlink>
        </w:p>
        <w:p w14:paraId="08395146" w14:textId="77777777" w:rsidR="005B409D" w:rsidRDefault="00BF3AF1">
          <w:pPr>
            <w:pStyle w:val="TOC2"/>
            <w:tabs>
              <w:tab w:val="right" w:leader="dot" w:pos="9323"/>
            </w:tabs>
            <w:rPr>
              <w:noProof/>
              <w:lang w:eastAsia="en-AU"/>
            </w:rPr>
          </w:pPr>
          <w:hyperlink w:anchor="_Toc467857766" w:history="1">
            <w:r w:rsidR="005B409D" w:rsidRPr="00FE419B">
              <w:rPr>
                <w:rStyle w:val="Hyperlink"/>
                <w:noProof/>
              </w:rPr>
              <w:t>2.6.1 Ezetimibe administered in combination with statin</w:t>
            </w:r>
            <w:r w:rsidR="005B409D">
              <w:rPr>
                <w:noProof/>
                <w:webHidden/>
              </w:rPr>
              <w:tab/>
            </w:r>
            <w:r w:rsidR="005B409D">
              <w:rPr>
                <w:noProof/>
                <w:webHidden/>
              </w:rPr>
              <w:fldChar w:fldCharType="begin"/>
            </w:r>
            <w:r w:rsidR="005B409D">
              <w:rPr>
                <w:noProof/>
                <w:webHidden/>
              </w:rPr>
              <w:instrText xml:space="preserve"> PAGEREF _Toc467857766 \h </w:instrText>
            </w:r>
            <w:r w:rsidR="005B409D">
              <w:rPr>
                <w:noProof/>
                <w:webHidden/>
              </w:rPr>
            </w:r>
            <w:r w:rsidR="005B409D">
              <w:rPr>
                <w:noProof/>
                <w:webHidden/>
              </w:rPr>
              <w:fldChar w:fldCharType="separate"/>
            </w:r>
            <w:r w:rsidR="00F81296">
              <w:rPr>
                <w:noProof/>
                <w:webHidden/>
              </w:rPr>
              <w:t>80</w:t>
            </w:r>
            <w:r w:rsidR="005B409D">
              <w:rPr>
                <w:noProof/>
                <w:webHidden/>
              </w:rPr>
              <w:fldChar w:fldCharType="end"/>
            </w:r>
          </w:hyperlink>
        </w:p>
        <w:p w14:paraId="19EFAF71" w14:textId="77777777" w:rsidR="005B409D" w:rsidRDefault="00BF3AF1">
          <w:pPr>
            <w:pStyle w:val="TOC2"/>
            <w:tabs>
              <w:tab w:val="right" w:leader="dot" w:pos="9323"/>
            </w:tabs>
            <w:rPr>
              <w:noProof/>
              <w:lang w:eastAsia="en-AU"/>
            </w:rPr>
          </w:pPr>
          <w:hyperlink w:anchor="_Toc467857767" w:history="1">
            <w:r w:rsidR="005B409D" w:rsidRPr="00FE419B">
              <w:rPr>
                <w:rStyle w:val="Hyperlink"/>
                <w:noProof/>
              </w:rPr>
              <w:t>2.6.2 Ezetimibe administered as monotherapy</w:t>
            </w:r>
            <w:r w:rsidR="005B409D">
              <w:rPr>
                <w:noProof/>
                <w:webHidden/>
              </w:rPr>
              <w:tab/>
            </w:r>
            <w:r w:rsidR="005B409D">
              <w:rPr>
                <w:noProof/>
                <w:webHidden/>
              </w:rPr>
              <w:fldChar w:fldCharType="begin"/>
            </w:r>
            <w:r w:rsidR="005B409D">
              <w:rPr>
                <w:noProof/>
                <w:webHidden/>
              </w:rPr>
              <w:instrText xml:space="preserve"> PAGEREF _Toc467857767 \h </w:instrText>
            </w:r>
            <w:r w:rsidR="005B409D">
              <w:rPr>
                <w:noProof/>
                <w:webHidden/>
              </w:rPr>
            </w:r>
            <w:r w:rsidR="005B409D">
              <w:rPr>
                <w:noProof/>
                <w:webHidden/>
              </w:rPr>
              <w:fldChar w:fldCharType="separate"/>
            </w:r>
            <w:r w:rsidR="00F81296">
              <w:rPr>
                <w:noProof/>
                <w:webHidden/>
              </w:rPr>
              <w:t>83</w:t>
            </w:r>
            <w:r w:rsidR="005B409D">
              <w:rPr>
                <w:noProof/>
                <w:webHidden/>
              </w:rPr>
              <w:fldChar w:fldCharType="end"/>
            </w:r>
          </w:hyperlink>
        </w:p>
        <w:p w14:paraId="1B2A40B2" w14:textId="77777777" w:rsidR="005B409D" w:rsidRDefault="00BF3AF1">
          <w:pPr>
            <w:pStyle w:val="TOC1"/>
            <w:tabs>
              <w:tab w:val="right" w:leader="dot" w:pos="9323"/>
            </w:tabs>
            <w:rPr>
              <w:noProof/>
              <w:lang w:eastAsia="en-AU"/>
            </w:rPr>
          </w:pPr>
          <w:hyperlink w:anchor="_Toc467857768" w:history="1">
            <w:r w:rsidR="005B409D" w:rsidRPr="00FE419B">
              <w:rPr>
                <w:rStyle w:val="Hyperlink"/>
                <w:noProof/>
              </w:rPr>
              <w:t>Conclusion</w:t>
            </w:r>
            <w:r w:rsidR="005B409D">
              <w:rPr>
                <w:noProof/>
                <w:webHidden/>
              </w:rPr>
              <w:tab/>
            </w:r>
            <w:r w:rsidR="005B409D">
              <w:rPr>
                <w:noProof/>
                <w:webHidden/>
              </w:rPr>
              <w:fldChar w:fldCharType="begin"/>
            </w:r>
            <w:r w:rsidR="005B409D">
              <w:rPr>
                <w:noProof/>
                <w:webHidden/>
              </w:rPr>
              <w:instrText xml:space="preserve"> PAGEREF _Toc467857768 \h </w:instrText>
            </w:r>
            <w:r w:rsidR="005B409D">
              <w:rPr>
                <w:noProof/>
                <w:webHidden/>
              </w:rPr>
            </w:r>
            <w:r w:rsidR="005B409D">
              <w:rPr>
                <w:noProof/>
                <w:webHidden/>
              </w:rPr>
              <w:fldChar w:fldCharType="separate"/>
            </w:r>
            <w:r w:rsidR="00F81296">
              <w:rPr>
                <w:noProof/>
                <w:webHidden/>
              </w:rPr>
              <w:t>84</w:t>
            </w:r>
            <w:r w:rsidR="005B409D">
              <w:rPr>
                <w:noProof/>
                <w:webHidden/>
              </w:rPr>
              <w:fldChar w:fldCharType="end"/>
            </w:r>
          </w:hyperlink>
        </w:p>
        <w:p w14:paraId="3F009A72" w14:textId="5798AD40" w:rsidR="005B409D" w:rsidRDefault="00BF3AF1">
          <w:pPr>
            <w:pStyle w:val="TOC1"/>
            <w:tabs>
              <w:tab w:val="right" w:leader="dot" w:pos="9323"/>
            </w:tabs>
            <w:rPr>
              <w:noProof/>
              <w:lang w:eastAsia="en-AU"/>
            </w:rPr>
          </w:pPr>
          <w:hyperlink w:anchor="_Toc467857769" w:history="1">
            <w:r w:rsidR="005B409D" w:rsidRPr="00FE419B">
              <w:rPr>
                <w:rStyle w:val="Hyperlink"/>
                <w:noProof/>
              </w:rPr>
              <w:t>References</w:t>
            </w:r>
            <w:r w:rsidR="005B409D">
              <w:rPr>
                <w:noProof/>
                <w:webHidden/>
              </w:rPr>
              <w:tab/>
            </w:r>
            <w:r w:rsidR="005B409D">
              <w:rPr>
                <w:noProof/>
                <w:webHidden/>
              </w:rPr>
              <w:fldChar w:fldCharType="begin"/>
            </w:r>
            <w:r w:rsidR="005B409D">
              <w:rPr>
                <w:noProof/>
                <w:webHidden/>
              </w:rPr>
              <w:instrText xml:space="preserve"> PAGEREF _Toc467857769 \h </w:instrText>
            </w:r>
            <w:r w:rsidR="005B409D">
              <w:rPr>
                <w:noProof/>
                <w:webHidden/>
              </w:rPr>
            </w:r>
            <w:r w:rsidR="005B409D">
              <w:rPr>
                <w:noProof/>
                <w:webHidden/>
              </w:rPr>
              <w:fldChar w:fldCharType="separate"/>
            </w:r>
            <w:r w:rsidR="00F81296">
              <w:rPr>
                <w:noProof/>
                <w:webHidden/>
              </w:rPr>
              <w:t>87</w:t>
            </w:r>
            <w:r w:rsidR="005B409D">
              <w:rPr>
                <w:noProof/>
                <w:webHidden/>
              </w:rPr>
              <w:fldChar w:fldCharType="end"/>
            </w:r>
          </w:hyperlink>
        </w:p>
        <w:p w14:paraId="264A12CC" w14:textId="38DC623E" w:rsidR="00B0340E" w:rsidRDefault="008E3404" w:rsidP="00F7292E">
          <w:r>
            <w:fldChar w:fldCharType="end"/>
          </w:r>
        </w:p>
      </w:sdtContent>
    </w:sdt>
    <w:p w14:paraId="17D58DC4" w14:textId="77777777" w:rsidR="00B0340E" w:rsidRDefault="00B0340E">
      <w:pPr>
        <w:rPr>
          <w:rFonts w:asciiTheme="majorHAnsi" w:eastAsiaTheme="majorEastAsia" w:hAnsiTheme="majorHAnsi" w:cstheme="majorBidi"/>
          <w:color w:val="2E74B5" w:themeColor="accent1" w:themeShade="BF"/>
          <w:sz w:val="32"/>
          <w:szCs w:val="32"/>
          <w:lang w:eastAsia="en-US"/>
        </w:rPr>
      </w:pPr>
      <w:r>
        <w:rPr>
          <w:lang w:eastAsia="en-US"/>
        </w:rPr>
        <w:br w:type="page"/>
      </w:r>
    </w:p>
    <w:p w14:paraId="59A75F24" w14:textId="02BFEC36" w:rsidR="00907CB4" w:rsidRPr="00907CB4" w:rsidRDefault="00907CB4" w:rsidP="00907CB4">
      <w:pPr>
        <w:pStyle w:val="Heading1"/>
        <w:rPr>
          <w:lang w:eastAsia="en-US"/>
        </w:rPr>
      </w:pPr>
      <w:bookmarkStart w:id="1" w:name="_Toc467857739"/>
      <w:r w:rsidRPr="00907CB4">
        <w:rPr>
          <w:lang w:eastAsia="en-US"/>
        </w:rPr>
        <w:lastRenderedPageBreak/>
        <w:t>Terms of reference for the post-market review of ezetimibe</w:t>
      </w:r>
      <w:r>
        <w:rPr>
          <w:lang w:eastAsia="en-US"/>
        </w:rPr>
        <w:t xml:space="preserve"> and associated research questions</w:t>
      </w:r>
      <w:bookmarkEnd w:id="1"/>
    </w:p>
    <w:p w14:paraId="0E2B3059" w14:textId="77777777" w:rsidR="00907CB4" w:rsidRDefault="00907CB4" w:rsidP="00907CB4">
      <w:pPr>
        <w:spacing w:after="0" w:line="264" w:lineRule="auto"/>
        <w:rPr>
          <w:rFonts w:ascii="Calibri" w:eastAsia="Calibri" w:hAnsi="Calibri" w:cs="Times New Roman"/>
          <w:lang w:eastAsia="en-US"/>
        </w:rPr>
      </w:pPr>
    </w:p>
    <w:p w14:paraId="04F9CCA3" w14:textId="77777777" w:rsidR="00907CB4" w:rsidRPr="00907CB4" w:rsidRDefault="00907CB4" w:rsidP="00907CB4">
      <w:pPr>
        <w:spacing w:after="0" w:line="264" w:lineRule="auto"/>
        <w:rPr>
          <w:rFonts w:ascii="Calibri" w:eastAsia="Calibri" w:hAnsi="Calibri" w:cs="Times New Roman"/>
          <w:lang w:eastAsia="en-US"/>
        </w:rPr>
      </w:pPr>
      <w:r w:rsidRPr="00907CB4">
        <w:rPr>
          <w:rFonts w:ascii="Calibri" w:eastAsia="Calibri" w:hAnsi="Calibri" w:cs="Times New Roman"/>
          <w:lang w:eastAsia="en-US"/>
        </w:rPr>
        <w:t>The purpose of the Post-market Review of Ezetimibe is to review the cost-effectiveness of ezetimibe, in the context of the latest available evidence and best clinical practice.</w:t>
      </w:r>
    </w:p>
    <w:p w14:paraId="7E2C338C" w14:textId="77777777" w:rsidR="00907CB4" w:rsidRPr="00907CB4" w:rsidRDefault="00907CB4" w:rsidP="00907CB4">
      <w:pPr>
        <w:spacing w:after="0" w:line="264" w:lineRule="auto"/>
        <w:rPr>
          <w:rFonts w:ascii="Calibri" w:eastAsia="Calibri" w:hAnsi="Calibri" w:cs="Times New Roman"/>
          <w:lang w:eastAsia="en-US"/>
        </w:rPr>
      </w:pPr>
    </w:p>
    <w:p w14:paraId="00C273C1" w14:textId="09ABC4D5" w:rsidR="00907CB4" w:rsidRDefault="00907CB4" w:rsidP="00907CB4">
      <w:pPr>
        <w:spacing w:after="0" w:line="264" w:lineRule="auto"/>
        <w:rPr>
          <w:rFonts w:ascii="Calibri" w:eastAsia="Calibri" w:hAnsi="Calibri" w:cs="Times New Roman"/>
          <w:lang w:eastAsia="en-US"/>
        </w:rPr>
      </w:pPr>
      <w:r w:rsidRPr="00907CB4">
        <w:rPr>
          <w:rFonts w:ascii="Calibri" w:eastAsia="Calibri" w:hAnsi="Calibri" w:cs="Times New Roman"/>
          <w:lang w:eastAsia="en-US"/>
        </w:rPr>
        <w:t>The terms of reference (ToR) for this post-market review were, as approved by the Minister for Health, are:</w:t>
      </w:r>
    </w:p>
    <w:p w14:paraId="0DDE3661" w14:textId="77777777" w:rsidR="00FB6111" w:rsidRDefault="00FB6111" w:rsidP="00907CB4">
      <w:pPr>
        <w:spacing w:after="0" w:line="264" w:lineRule="auto"/>
        <w:rPr>
          <w:rFonts w:ascii="Calibri" w:eastAsia="Calibri" w:hAnsi="Calibri" w:cs="Times New Roman"/>
          <w:lang w:eastAsia="en-US"/>
        </w:rPr>
      </w:pPr>
    </w:p>
    <w:p w14:paraId="3A7C4DF4" w14:textId="77777777" w:rsidR="00FB6111" w:rsidRPr="00907CB4" w:rsidRDefault="00FB6111" w:rsidP="00FB6111">
      <w:pPr>
        <w:numPr>
          <w:ilvl w:val="0"/>
          <w:numId w:val="24"/>
        </w:numPr>
        <w:tabs>
          <w:tab w:val="left" w:pos="426"/>
        </w:tabs>
        <w:spacing w:after="0" w:line="264" w:lineRule="auto"/>
        <w:ind w:left="1276" w:hanging="1276"/>
        <w:contextualSpacing/>
        <w:rPr>
          <w:rFonts w:ascii="Calibri" w:eastAsia="Calibri" w:hAnsi="Calibri" w:cs="Times New Roman"/>
          <w:lang w:eastAsia="en-US"/>
        </w:rPr>
      </w:pPr>
      <w:r w:rsidRPr="00907CB4">
        <w:rPr>
          <w:rFonts w:ascii="Calibri" w:eastAsia="Calibri" w:hAnsi="Calibri" w:cs="Times New Roman"/>
          <w:b/>
          <w:lang w:eastAsia="en-US"/>
        </w:rPr>
        <w:t xml:space="preserve">ToR </w:t>
      </w:r>
      <w:r>
        <w:rPr>
          <w:rFonts w:ascii="Calibri" w:eastAsia="Calibri" w:hAnsi="Calibri" w:cs="Times New Roman"/>
          <w:b/>
          <w:lang w:eastAsia="en-US"/>
        </w:rPr>
        <w:t>1</w:t>
      </w:r>
      <w:r w:rsidRPr="00907CB4">
        <w:rPr>
          <w:rFonts w:ascii="Calibri" w:eastAsia="Calibri" w:hAnsi="Calibri" w:cs="Times New Roman"/>
          <w:b/>
          <w:lang w:eastAsia="en-US"/>
        </w:rPr>
        <w:t>:</w:t>
      </w:r>
      <w:r w:rsidRPr="00907CB4">
        <w:rPr>
          <w:rFonts w:ascii="Calibri" w:eastAsia="Calibri" w:hAnsi="Calibri" w:cs="Times New Roman"/>
          <w:lang w:eastAsia="en-US"/>
        </w:rPr>
        <w:tab/>
        <w:t>Review current utilisation of PBS-listed ezetimibe and ezetimibe combination products. Any review will consider additional data sources that may inform the current utilisation of ezetimibe.</w:t>
      </w:r>
    </w:p>
    <w:p w14:paraId="1BF97A53" w14:textId="77777777" w:rsidR="00907CB4" w:rsidRPr="00907CB4" w:rsidRDefault="00907CB4" w:rsidP="00140129">
      <w:pPr>
        <w:numPr>
          <w:ilvl w:val="0"/>
          <w:numId w:val="24"/>
        </w:numPr>
        <w:tabs>
          <w:tab w:val="left" w:pos="426"/>
        </w:tabs>
        <w:spacing w:after="0" w:line="264" w:lineRule="auto"/>
        <w:ind w:left="1276" w:hanging="1276"/>
        <w:contextualSpacing/>
        <w:rPr>
          <w:rFonts w:ascii="Calibri" w:eastAsia="Calibri" w:hAnsi="Calibri" w:cs="Times New Roman"/>
          <w:lang w:eastAsia="en-US"/>
        </w:rPr>
      </w:pPr>
      <w:r w:rsidRPr="00907CB4">
        <w:rPr>
          <w:rFonts w:ascii="Calibri" w:eastAsia="Calibri" w:hAnsi="Calibri" w:cs="Times New Roman"/>
          <w:b/>
          <w:lang w:eastAsia="en-US"/>
        </w:rPr>
        <w:t>ToR 2:</w:t>
      </w:r>
      <w:r w:rsidRPr="00907CB4">
        <w:rPr>
          <w:rFonts w:ascii="Calibri" w:eastAsia="Calibri" w:hAnsi="Calibri" w:cs="Times New Roman"/>
          <w:lang w:eastAsia="en-US"/>
        </w:rPr>
        <w:tab/>
        <w:t>Review recent clinical guidelines for the treatment of hypercholesterolaemia and compare this to how ezetimibe is currently used on the Pharmaceutical Benefits Scheme (PBS);</w:t>
      </w:r>
    </w:p>
    <w:p w14:paraId="2ED3BDDC" w14:textId="1B5E8C92" w:rsidR="00FB6111" w:rsidRDefault="00907CB4" w:rsidP="00FB6111">
      <w:pPr>
        <w:numPr>
          <w:ilvl w:val="0"/>
          <w:numId w:val="24"/>
        </w:numPr>
        <w:tabs>
          <w:tab w:val="left" w:pos="426"/>
        </w:tabs>
        <w:spacing w:after="0" w:line="264" w:lineRule="auto"/>
        <w:ind w:left="1276" w:hanging="1276"/>
        <w:contextualSpacing/>
        <w:rPr>
          <w:rFonts w:ascii="Calibri" w:eastAsia="Calibri" w:hAnsi="Calibri" w:cs="Times New Roman"/>
          <w:lang w:eastAsia="en-US"/>
        </w:rPr>
      </w:pPr>
      <w:r w:rsidRPr="00907CB4">
        <w:rPr>
          <w:rFonts w:ascii="Calibri" w:eastAsia="Calibri" w:hAnsi="Calibri" w:cs="Times New Roman"/>
          <w:b/>
          <w:lang w:eastAsia="en-US"/>
        </w:rPr>
        <w:t xml:space="preserve">ToR </w:t>
      </w:r>
      <w:r w:rsidR="00FB6111">
        <w:rPr>
          <w:rFonts w:ascii="Calibri" w:eastAsia="Calibri" w:hAnsi="Calibri" w:cs="Times New Roman"/>
          <w:b/>
          <w:lang w:eastAsia="en-US"/>
        </w:rPr>
        <w:t xml:space="preserve">3 </w:t>
      </w:r>
      <w:r w:rsidR="00FB6111" w:rsidRPr="00907CB4">
        <w:rPr>
          <w:rFonts w:ascii="Calibri" w:eastAsia="Calibri" w:hAnsi="Calibri" w:cs="Times New Roman"/>
          <w:lang w:eastAsia="en-US"/>
        </w:rPr>
        <w:tab/>
        <w:t>Collate and evaluate any recent clinical studies of ezetimibe that report on long term patient relevant outcomes, and use this data to review the cost-effectiveness of ezetimibe;</w:t>
      </w:r>
    </w:p>
    <w:p w14:paraId="6652AF1E" w14:textId="77777777" w:rsidR="00FB6111" w:rsidRDefault="00FB6111" w:rsidP="00FB6111">
      <w:pPr>
        <w:tabs>
          <w:tab w:val="left" w:pos="426"/>
        </w:tabs>
        <w:spacing w:after="0" w:line="264" w:lineRule="auto"/>
        <w:contextualSpacing/>
        <w:rPr>
          <w:rFonts w:ascii="Calibri" w:eastAsia="Calibri" w:hAnsi="Calibri" w:cs="Times New Roman"/>
          <w:lang w:eastAsia="en-US"/>
        </w:rPr>
      </w:pPr>
    </w:p>
    <w:p w14:paraId="56DC00D1" w14:textId="76EBA402" w:rsidR="00FB6111" w:rsidRPr="00907CB4" w:rsidRDefault="00FB6111" w:rsidP="00FB6111">
      <w:pPr>
        <w:keepNext/>
        <w:keepLines/>
        <w:spacing w:after="0"/>
        <w:outlineLvl w:val="2"/>
        <w:rPr>
          <w:rFonts w:ascii="Calibri Light" w:eastAsia="Times New Roman" w:hAnsi="Calibri Light" w:cs="Times New Roman"/>
          <w:color w:val="31479E"/>
          <w:sz w:val="24"/>
          <w:szCs w:val="24"/>
          <w:lang w:eastAsia="en-US"/>
        </w:rPr>
      </w:pPr>
      <w:r w:rsidRPr="00907CB4">
        <w:rPr>
          <w:rFonts w:ascii="Calibri Light" w:eastAsia="Times New Roman" w:hAnsi="Calibri Light" w:cs="Times New Roman"/>
          <w:color w:val="31479E"/>
          <w:sz w:val="24"/>
          <w:szCs w:val="24"/>
          <w:lang w:eastAsia="en-US"/>
        </w:rPr>
        <w:t xml:space="preserve">ToR </w:t>
      </w:r>
      <w:r>
        <w:rPr>
          <w:rFonts w:ascii="Calibri Light" w:eastAsia="Times New Roman" w:hAnsi="Calibri Light" w:cs="Times New Roman"/>
          <w:color w:val="31479E"/>
          <w:sz w:val="24"/>
          <w:szCs w:val="24"/>
          <w:lang w:eastAsia="en-US"/>
        </w:rPr>
        <w:t>1</w:t>
      </w:r>
      <w:r w:rsidRPr="00907CB4">
        <w:rPr>
          <w:rFonts w:ascii="Calibri Light" w:eastAsia="Times New Roman" w:hAnsi="Calibri Light" w:cs="Times New Roman"/>
          <w:color w:val="31479E"/>
          <w:sz w:val="24"/>
          <w:szCs w:val="24"/>
          <w:lang w:eastAsia="en-US"/>
        </w:rPr>
        <w:t>– review of utilisation of ezetimibe on the PBS</w:t>
      </w:r>
    </w:p>
    <w:p w14:paraId="51183641" w14:textId="77777777" w:rsidR="00FB6111" w:rsidRDefault="00FB6111" w:rsidP="00FB6111">
      <w:pPr>
        <w:spacing w:after="0" w:line="264" w:lineRule="auto"/>
        <w:ind w:left="567" w:hanging="567"/>
        <w:rPr>
          <w:rFonts w:ascii="Calibri" w:eastAsia="Calibri" w:hAnsi="Calibri" w:cs="Times New Roman"/>
          <w:lang w:eastAsia="en-US"/>
        </w:rPr>
      </w:pPr>
      <w:r w:rsidRPr="00907CB4">
        <w:rPr>
          <w:rFonts w:ascii="Calibri" w:eastAsia="Calibri" w:hAnsi="Calibri" w:cs="Times New Roman"/>
          <w:b/>
          <w:lang w:eastAsia="en-US"/>
        </w:rPr>
        <w:t>Q1:</w:t>
      </w:r>
      <w:r w:rsidRPr="00907CB4">
        <w:rPr>
          <w:rFonts w:ascii="Calibri" w:eastAsia="Calibri" w:hAnsi="Calibri" w:cs="Times New Roman"/>
          <w:b/>
          <w:lang w:eastAsia="en-US"/>
        </w:rPr>
        <w:tab/>
      </w:r>
      <w:r w:rsidRPr="00907CB4">
        <w:rPr>
          <w:rFonts w:ascii="Calibri" w:eastAsia="Calibri" w:hAnsi="Calibri" w:cs="Times New Roman"/>
          <w:lang w:eastAsia="en-US"/>
        </w:rPr>
        <w:t>In November 2013, the PBAC expressed concern that the listing of ezetimibe with statin co-packs and combination products on the PBS may direct use away from optimal dose titration of statins. Is ezetimibe being prescribed on the PBS in accordance with the PBS restrictions for ezetimibe, which require up-titration of statins to maximally tolerated doses before initiation of treatment with ezetimibe?</w:t>
      </w:r>
    </w:p>
    <w:p w14:paraId="6EA5B0E8" w14:textId="77777777" w:rsidR="00907CB4" w:rsidRPr="00907CB4" w:rsidRDefault="00907CB4" w:rsidP="00E71605">
      <w:pPr>
        <w:keepNext/>
        <w:keepLines/>
        <w:spacing w:after="0"/>
        <w:outlineLvl w:val="2"/>
        <w:rPr>
          <w:rFonts w:ascii="Calibri Light" w:eastAsia="Times New Roman" w:hAnsi="Calibri Light" w:cs="Times New Roman"/>
          <w:color w:val="31479E"/>
          <w:sz w:val="24"/>
          <w:szCs w:val="24"/>
          <w:lang w:eastAsia="en-US"/>
        </w:rPr>
      </w:pPr>
      <w:r w:rsidRPr="00907CB4">
        <w:rPr>
          <w:rFonts w:ascii="Calibri Light" w:eastAsia="Times New Roman" w:hAnsi="Calibri Light" w:cs="Times New Roman"/>
          <w:color w:val="31479E"/>
          <w:sz w:val="24"/>
          <w:szCs w:val="24"/>
          <w:lang w:eastAsia="en-US"/>
        </w:rPr>
        <w:t>ToR 2 – review of clinical guidelines on the management of hypercholesterolaemia</w:t>
      </w:r>
    </w:p>
    <w:p w14:paraId="13CCDF7D" w14:textId="77777777" w:rsidR="00907CB4" w:rsidRPr="00907CB4" w:rsidRDefault="00907CB4" w:rsidP="00E71605">
      <w:pPr>
        <w:spacing w:after="0" w:line="264" w:lineRule="auto"/>
        <w:ind w:left="567" w:hanging="567"/>
        <w:rPr>
          <w:rFonts w:ascii="Calibri" w:eastAsia="Calibri" w:hAnsi="Calibri" w:cs="Times New Roman"/>
          <w:lang w:eastAsia="en-US"/>
        </w:rPr>
      </w:pPr>
      <w:r w:rsidRPr="00907CB4">
        <w:rPr>
          <w:rFonts w:ascii="Calibri" w:eastAsia="Calibri" w:hAnsi="Calibri" w:cs="Times New Roman"/>
          <w:b/>
          <w:lang w:eastAsia="en-US"/>
        </w:rPr>
        <w:t>Q1:</w:t>
      </w:r>
      <w:r w:rsidRPr="00907CB4">
        <w:rPr>
          <w:rFonts w:ascii="Calibri" w:eastAsia="Calibri" w:hAnsi="Calibri" w:cs="Times New Roman"/>
          <w:lang w:eastAsia="en-US"/>
        </w:rPr>
        <w:tab/>
        <w:t xml:space="preserve">Are the eligibility criteria for PBS subsidy of lipid-lowering therapies (as specified in the General Statement for Lipid-Lowering Drugs [GSLLD]) consistent with Australian guidelines for primary (NVDPA-2012) and secondary (NHF-2012) prevention of cardiovascular events? </w:t>
      </w:r>
    </w:p>
    <w:p w14:paraId="35A67F99" w14:textId="77777777" w:rsidR="00907CB4" w:rsidRDefault="00907CB4" w:rsidP="00E71605">
      <w:pPr>
        <w:spacing w:after="0" w:line="264" w:lineRule="auto"/>
        <w:ind w:left="567" w:hanging="567"/>
        <w:rPr>
          <w:rFonts w:ascii="Calibri" w:eastAsia="Calibri" w:hAnsi="Calibri" w:cs="Times New Roman"/>
          <w:lang w:eastAsia="en-US"/>
        </w:rPr>
      </w:pPr>
      <w:r w:rsidRPr="00907CB4">
        <w:rPr>
          <w:rFonts w:ascii="Calibri" w:eastAsia="Calibri" w:hAnsi="Calibri" w:cs="Times New Roman"/>
          <w:b/>
          <w:lang w:eastAsia="en-US"/>
        </w:rPr>
        <w:t>Q2:</w:t>
      </w:r>
      <w:r w:rsidRPr="00907CB4">
        <w:rPr>
          <w:rFonts w:ascii="Calibri" w:eastAsia="Calibri" w:hAnsi="Calibri" w:cs="Times New Roman"/>
          <w:lang w:eastAsia="en-US"/>
        </w:rPr>
        <w:tab/>
        <w:t>Are the Australian NVDPA guidelines consistent with international guidelines?</w:t>
      </w:r>
    </w:p>
    <w:p w14:paraId="7A71AFEE" w14:textId="74B7AE0B" w:rsidR="00FB6111" w:rsidRDefault="00FB6111" w:rsidP="00FB6111">
      <w:pPr>
        <w:keepNext/>
        <w:keepLines/>
        <w:spacing w:after="0"/>
        <w:outlineLvl w:val="2"/>
        <w:rPr>
          <w:rFonts w:ascii="Calibri Light" w:eastAsia="Times New Roman" w:hAnsi="Calibri Light" w:cs="Times New Roman"/>
          <w:color w:val="31479E"/>
          <w:sz w:val="24"/>
          <w:szCs w:val="24"/>
          <w:lang w:eastAsia="en-US"/>
        </w:rPr>
      </w:pPr>
      <w:r w:rsidRPr="00907CB4">
        <w:rPr>
          <w:rFonts w:ascii="Calibri Light" w:eastAsia="Times New Roman" w:hAnsi="Calibri Light" w:cs="Times New Roman"/>
          <w:color w:val="31479E"/>
          <w:sz w:val="24"/>
          <w:szCs w:val="24"/>
          <w:lang w:eastAsia="en-US"/>
        </w:rPr>
        <w:t xml:space="preserve">ToR </w:t>
      </w:r>
      <w:r>
        <w:rPr>
          <w:rFonts w:ascii="Calibri Light" w:eastAsia="Times New Roman" w:hAnsi="Calibri Light" w:cs="Times New Roman"/>
          <w:color w:val="31479E"/>
          <w:sz w:val="24"/>
          <w:szCs w:val="24"/>
          <w:lang w:eastAsia="en-US"/>
        </w:rPr>
        <w:t>3</w:t>
      </w:r>
      <w:r w:rsidRPr="00907CB4">
        <w:rPr>
          <w:rFonts w:ascii="Calibri Light" w:eastAsia="Times New Roman" w:hAnsi="Calibri Light" w:cs="Times New Roman"/>
          <w:color w:val="31479E"/>
          <w:sz w:val="24"/>
          <w:szCs w:val="24"/>
          <w:lang w:eastAsia="en-US"/>
        </w:rPr>
        <w:t xml:space="preserve"> – review of clinical evidence and conduct of review of cost-effectiveness of ezetimibe</w:t>
      </w:r>
    </w:p>
    <w:p w14:paraId="7677381E" w14:textId="77777777" w:rsidR="00FB6111" w:rsidRPr="00907CB4" w:rsidRDefault="00FB6111" w:rsidP="00FB6111">
      <w:pPr>
        <w:spacing w:after="0" w:line="264" w:lineRule="auto"/>
        <w:ind w:left="567" w:hanging="567"/>
        <w:rPr>
          <w:rFonts w:ascii="Calibri" w:eastAsia="Calibri" w:hAnsi="Calibri" w:cs="Times New Roman"/>
          <w:lang w:eastAsia="en-US"/>
        </w:rPr>
      </w:pPr>
      <w:r w:rsidRPr="00907CB4">
        <w:rPr>
          <w:rFonts w:ascii="Calibri" w:eastAsia="Calibri" w:hAnsi="Calibri" w:cs="Times New Roman"/>
          <w:b/>
          <w:lang w:eastAsia="en-US"/>
        </w:rPr>
        <w:t>Q1:</w:t>
      </w:r>
      <w:r w:rsidRPr="00907CB4">
        <w:rPr>
          <w:rFonts w:ascii="Calibri" w:eastAsia="Calibri" w:hAnsi="Calibri" w:cs="Times New Roman"/>
          <w:lang w:eastAsia="en-US"/>
        </w:rPr>
        <w:tab/>
        <w:t>Is addition of ezetimibe (EZ) to the maximum tolerated dose of statin is associated with superior long-term outcomes of survival, quality- adjusted survival, fatal and non-fatal CVD events in comparison to placebo + maximum tolerated dose of statin?</w:t>
      </w:r>
    </w:p>
    <w:p w14:paraId="56B0BE13" w14:textId="77777777" w:rsidR="00FB6111" w:rsidRPr="00907CB4" w:rsidRDefault="00FB6111" w:rsidP="00FB6111">
      <w:pPr>
        <w:spacing w:after="0" w:line="264" w:lineRule="auto"/>
        <w:ind w:left="567" w:hanging="567"/>
        <w:rPr>
          <w:rFonts w:ascii="Calibri" w:eastAsia="Calibri" w:hAnsi="Calibri" w:cs="Times New Roman"/>
          <w:lang w:eastAsia="en-US"/>
        </w:rPr>
      </w:pPr>
      <w:r w:rsidRPr="00907CB4">
        <w:rPr>
          <w:rFonts w:ascii="Calibri" w:eastAsia="Calibri" w:hAnsi="Calibri" w:cs="Times New Roman"/>
          <w:b/>
          <w:lang w:eastAsia="en-US"/>
        </w:rPr>
        <w:t>Q2:</w:t>
      </w:r>
      <w:r w:rsidRPr="00907CB4">
        <w:rPr>
          <w:rFonts w:ascii="Calibri" w:eastAsia="Calibri" w:hAnsi="Calibri" w:cs="Times New Roman"/>
          <w:lang w:eastAsia="en-US"/>
        </w:rPr>
        <w:tab/>
        <w:t>Is addition of EZ to the maximum tolerated dose of statin associated with superior surrogate outcomes i.e., lipid endpoints (e.g. Total-C, LDL-C and HDL-C)?</w:t>
      </w:r>
    </w:p>
    <w:p w14:paraId="5578BD63" w14:textId="77777777" w:rsidR="00FB6111" w:rsidRDefault="00FB6111" w:rsidP="00FB6111">
      <w:pPr>
        <w:spacing w:after="0" w:line="264" w:lineRule="auto"/>
        <w:ind w:left="567" w:hanging="567"/>
        <w:rPr>
          <w:rFonts w:ascii="Calibri" w:eastAsia="Calibri" w:hAnsi="Calibri" w:cs="Times New Roman"/>
          <w:lang w:eastAsia="en-US"/>
        </w:rPr>
      </w:pPr>
      <w:r w:rsidRPr="00907CB4">
        <w:rPr>
          <w:rFonts w:ascii="Calibri" w:eastAsia="Calibri" w:hAnsi="Calibri" w:cs="Times New Roman"/>
          <w:b/>
          <w:lang w:eastAsia="en-US"/>
        </w:rPr>
        <w:t>Q3:</w:t>
      </w:r>
      <w:r w:rsidRPr="00907CB4">
        <w:rPr>
          <w:rFonts w:ascii="Calibri" w:eastAsia="Calibri" w:hAnsi="Calibri" w:cs="Times New Roman"/>
          <w:lang w:eastAsia="en-US"/>
        </w:rPr>
        <w:tab/>
        <w:t>Is addition of EZ to various fixed doses of statin associated with superior long-term patient outcomes or surrogate outcomes in comparison to placebo + matching dose of statin?</w:t>
      </w:r>
    </w:p>
    <w:p w14:paraId="14065AAE" w14:textId="77777777" w:rsidR="00FB6111" w:rsidRPr="00907CB4" w:rsidRDefault="00FB6111" w:rsidP="00FB6111">
      <w:pPr>
        <w:spacing w:after="0" w:line="264" w:lineRule="auto"/>
        <w:ind w:left="567" w:hanging="567"/>
        <w:rPr>
          <w:rFonts w:ascii="Calibri" w:eastAsia="Calibri" w:hAnsi="Calibri" w:cs="Times New Roman"/>
          <w:lang w:eastAsia="en-US"/>
        </w:rPr>
      </w:pPr>
      <w:r w:rsidRPr="00907CB4">
        <w:rPr>
          <w:rFonts w:ascii="Calibri" w:eastAsia="Calibri" w:hAnsi="Calibri" w:cs="Times New Roman"/>
          <w:b/>
          <w:lang w:eastAsia="en-US"/>
        </w:rPr>
        <w:t>Q4:</w:t>
      </w:r>
      <w:r w:rsidRPr="00907CB4">
        <w:rPr>
          <w:rFonts w:ascii="Calibri" w:eastAsia="Calibri" w:hAnsi="Calibri" w:cs="Times New Roman"/>
          <w:lang w:eastAsia="en-US"/>
        </w:rPr>
        <w:t xml:space="preserve"> </w:t>
      </w:r>
      <w:r w:rsidRPr="00907CB4">
        <w:rPr>
          <w:rFonts w:ascii="Calibri" w:eastAsia="Calibri" w:hAnsi="Calibri" w:cs="Times New Roman"/>
          <w:lang w:eastAsia="en-US"/>
        </w:rPr>
        <w:tab/>
        <w:t>Is addition of EZ to statins associated with superior long-term patient outcomes or surrogate outcomes compared with up-titration of statins (either in terms of dose or potency)?</w:t>
      </w:r>
    </w:p>
    <w:p w14:paraId="52D18546" w14:textId="77777777" w:rsidR="00FB6111" w:rsidRPr="00907CB4" w:rsidRDefault="00FB6111" w:rsidP="00FB6111">
      <w:pPr>
        <w:spacing w:after="0" w:line="264" w:lineRule="auto"/>
        <w:ind w:left="567" w:hanging="567"/>
        <w:rPr>
          <w:rFonts w:ascii="Calibri" w:eastAsia="Calibri" w:hAnsi="Calibri" w:cs="Times New Roman"/>
          <w:lang w:eastAsia="en-US"/>
        </w:rPr>
      </w:pPr>
      <w:r w:rsidRPr="00907CB4">
        <w:rPr>
          <w:rFonts w:ascii="Calibri" w:eastAsia="Calibri" w:hAnsi="Calibri" w:cs="Times New Roman"/>
          <w:b/>
          <w:lang w:eastAsia="en-US"/>
        </w:rPr>
        <w:t>Q5:</w:t>
      </w:r>
      <w:r w:rsidRPr="00907CB4">
        <w:rPr>
          <w:rFonts w:ascii="Calibri" w:eastAsia="Calibri" w:hAnsi="Calibri" w:cs="Times New Roman"/>
          <w:lang w:eastAsia="en-US"/>
        </w:rPr>
        <w:tab/>
        <w:t>If it is established, that addition of EZ to statins is associated with superior final or surrogate outcomes, whether the listed price for EZ is justified considering the additional benefits?</w:t>
      </w:r>
    </w:p>
    <w:p w14:paraId="4AF2B3E2" w14:textId="77777777" w:rsidR="00FB6111" w:rsidRPr="00907CB4" w:rsidRDefault="00FB6111" w:rsidP="00FB6111">
      <w:pPr>
        <w:spacing w:after="0" w:line="264" w:lineRule="auto"/>
        <w:ind w:left="567" w:hanging="567"/>
        <w:rPr>
          <w:rFonts w:ascii="Calibri" w:eastAsia="Calibri" w:hAnsi="Calibri" w:cs="Times New Roman"/>
          <w:lang w:eastAsia="en-US"/>
        </w:rPr>
      </w:pPr>
      <w:r w:rsidRPr="00907CB4">
        <w:rPr>
          <w:rFonts w:ascii="Calibri" w:eastAsia="Calibri" w:hAnsi="Calibri" w:cs="Times New Roman"/>
          <w:b/>
          <w:lang w:eastAsia="en-US"/>
        </w:rPr>
        <w:t>Q6:</w:t>
      </w:r>
      <w:r w:rsidRPr="00907CB4">
        <w:rPr>
          <w:rFonts w:ascii="Calibri" w:eastAsia="Calibri" w:hAnsi="Calibri" w:cs="Times New Roman"/>
          <w:lang w:eastAsia="en-US"/>
        </w:rPr>
        <w:tab/>
        <w:t>Is reduction in LDL-c a valid surrogate for reduction in risk of cardiovascular (CV) events?</w:t>
      </w:r>
    </w:p>
    <w:p w14:paraId="0DFF3421" w14:textId="77777777" w:rsidR="00907CB4" w:rsidRPr="00907CB4" w:rsidRDefault="00907CB4" w:rsidP="00907CB4">
      <w:pPr>
        <w:spacing w:after="0" w:line="264" w:lineRule="auto"/>
        <w:ind w:left="567" w:hanging="567"/>
        <w:rPr>
          <w:rFonts w:ascii="Calibri" w:eastAsia="Calibri" w:hAnsi="Calibri" w:cs="Times New Roman"/>
          <w:lang w:eastAsia="en-US"/>
        </w:rPr>
      </w:pPr>
    </w:p>
    <w:p w14:paraId="5616C9F0" w14:textId="7C921C14" w:rsidR="00113478" w:rsidRPr="00113478" w:rsidRDefault="00113478" w:rsidP="00140129">
      <w:pPr>
        <w:pStyle w:val="Heading1"/>
        <w:numPr>
          <w:ilvl w:val="1"/>
          <w:numId w:val="26"/>
        </w:numPr>
      </w:pPr>
      <w:bookmarkStart w:id="2" w:name="_Toc467857740"/>
      <w:r w:rsidRPr="00113478">
        <w:lastRenderedPageBreak/>
        <w:t>Background</w:t>
      </w:r>
      <w:bookmarkEnd w:id="2"/>
    </w:p>
    <w:p w14:paraId="299AC3C4" w14:textId="77777777" w:rsidR="00113478" w:rsidRDefault="00113478" w:rsidP="00234175">
      <w:pPr>
        <w:pStyle w:val="Heading1"/>
        <w:spacing w:before="0"/>
      </w:pPr>
    </w:p>
    <w:p w14:paraId="5E9E28CC" w14:textId="5945DA56" w:rsidR="00113478" w:rsidRPr="00113478" w:rsidRDefault="00113478" w:rsidP="00140129">
      <w:pPr>
        <w:pStyle w:val="Heading2"/>
        <w:numPr>
          <w:ilvl w:val="2"/>
          <w:numId w:val="26"/>
        </w:numPr>
      </w:pPr>
      <w:bookmarkStart w:id="3" w:name="_Toc467857741"/>
      <w:r w:rsidRPr="00113478">
        <w:t>Abbreviated PBS restrictions applying to ezetimibe</w:t>
      </w:r>
      <w:bookmarkEnd w:id="3"/>
    </w:p>
    <w:p w14:paraId="420E6E33" w14:textId="77777777" w:rsidR="00907CB4" w:rsidRDefault="00907CB4" w:rsidP="00234175">
      <w:pPr>
        <w:spacing w:after="0"/>
        <w:ind w:firstLine="720"/>
        <w:rPr>
          <w:rFonts w:ascii="Calibri" w:eastAsia="Calibri" w:hAnsi="Calibri" w:cs="Times New Roman"/>
          <w:lang w:eastAsia="en-US"/>
        </w:rPr>
      </w:pPr>
    </w:p>
    <w:p w14:paraId="5A7E5CD5" w14:textId="77777777" w:rsidR="00113478" w:rsidRPr="00113478" w:rsidRDefault="00113478" w:rsidP="00234175">
      <w:pPr>
        <w:spacing w:after="0"/>
        <w:rPr>
          <w:rFonts w:ascii="Calibri" w:eastAsia="Calibri" w:hAnsi="Calibri" w:cs="Times New Roman"/>
          <w:lang w:eastAsia="en-US"/>
        </w:rPr>
      </w:pPr>
      <w:r w:rsidRPr="00113478">
        <w:rPr>
          <w:rFonts w:ascii="Calibri" w:eastAsia="Calibri" w:hAnsi="Calibri" w:cs="Times New Roman"/>
          <w:lang w:eastAsia="en-US"/>
        </w:rPr>
        <w:t>The key requirements for eligibility for PBS-subsidised treatment with ezetimibe are as follows:</w:t>
      </w:r>
    </w:p>
    <w:p w14:paraId="3CBC43CD" w14:textId="77777777" w:rsidR="00113478" w:rsidRPr="00113478" w:rsidRDefault="00113478" w:rsidP="00113478">
      <w:pPr>
        <w:rPr>
          <w:rFonts w:ascii="Calibri" w:eastAsia="Calibri" w:hAnsi="Calibri" w:cs="Times New Roman"/>
          <w:b/>
          <w:lang w:eastAsia="en-US"/>
        </w:rPr>
      </w:pPr>
      <w:r w:rsidRPr="00113478">
        <w:rPr>
          <w:rFonts w:ascii="Calibri" w:eastAsia="Calibri" w:hAnsi="Calibri" w:cs="Times New Roman"/>
          <w:b/>
          <w:lang w:eastAsia="en-US"/>
        </w:rPr>
        <w:t>Monotherapy</w:t>
      </w:r>
    </w:p>
    <w:p w14:paraId="1D81E2F2" w14:textId="17C677A7" w:rsidR="00113478" w:rsidRPr="00113478" w:rsidRDefault="00113478" w:rsidP="00113478">
      <w:pPr>
        <w:rPr>
          <w:rFonts w:ascii="Calibri" w:eastAsia="Calibri" w:hAnsi="Calibri" w:cs="Times New Roman"/>
          <w:lang w:eastAsia="en-US"/>
        </w:rPr>
      </w:pPr>
      <w:r w:rsidRPr="00113478">
        <w:rPr>
          <w:rFonts w:ascii="Calibri" w:eastAsia="Calibri" w:hAnsi="Calibri" w:cs="Times New Roman"/>
          <w:lang w:eastAsia="en-US"/>
        </w:rPr>
        <w:t>Patients must meet the criteria of the General Statement for Lipid-Lowering Drugs</w:t>
      </w:r>
      <w:r>
        <w:rPr>
          <w:rFonts w:ascii="Calibri" w:eastAsia="Calibri" w:hAnsi="Calibri" w:cs="Times New Roman"/>
          <w:lang w:eastAsia="en-US"/>
        </w:rPr>
        <w:t xml:space="preserve"> (GSLLD)</w:t>
      </w:r>
      <w:r w:rsidRPr="00113478">
        <w:rPr>
          <w:rFonts w:ascii="Calibri" w:eastAsia="Calibri" w:hAnsi="Calibri" w:cs="Times New Roman"/>
          <w:lang w:eastAsia="en-US"/>
        </w:rPr>
        <w:t xml:space="preserve">; </w:t>
      </w:r>
    </w:p>
    <w:p w14:paraId="1AEC1EBB" w14:textId="77777777" w:rsidR="00113478" w:rsidRPr="00113478" w:rsidRDefault="00113478" w:rsidP="00113478">
      <w:pPr>
        <w:rPr>
          <w:rFonts w:ascii="Calibri" w:eastAsia="Calibri" w:hAnsi="Calibri" w:cs="Times New Roman"/>
          <w:lang w:eastAsia="en-US"/>
        </w:rPr>
      </w:pPr>
      <w:r w:rsidRPr="00113478">
        <w:rPr>
          <w:rFonts w:ascii="Calibri" w:eastAsia="Calibri" w:hAnsi="Calibri" w:cs="Times New Roman"/>
          <w:lang w:eastAsia="en-US"/>
        </w:rPr>
        <w:t>AND</w:t>
      </w:r>
    </w:p>
    <w:p w14:paraId="6F63A3FA" w14:textId="77777777" w:rsidR="00113478" w:rsidRPr="00113478" w:rsidRDefault="00113478" w:rsidP="00140129">
      <w:pPr>
        <w:numPr>
          <w:ilvl w:val="0"/>
          <w:numId w:val="20"/>
        </w:numPr>
        <w:ind w:left="360"/>
        <w:contextualSpacing/>
        <w:rPr>
          <w:rFonts w:ascii="Calibri" w:eastAsia="Calibri" w:hAnsi="Calibri" w:cs="Times New Roman"/>
          <w:lang w:eastAsia="en-US"/>
        </w:rPr>
      </w:pPr>
      <w:r w:rsidRPr="00113478">
        <w:rPr>
          <w:rFonts w:ascii="Calibri" w:eastAsia="Calibri" w:hAnsi="Calibri" w:cs="Times New Roman"/>
          <w:lang w:eastAsia="en-US"/>
        </w:rPr>
        <w:t>developed a clinically important product-related adverse event during treatment with a statin necessitating a reduction in the statin dose; or</w:t>
      </w:r>
    </w:p>
    <w:p w14:paraId="5C96A8ED" w14:textId="77777777" w:rsidR="00113478" w:rsidRPr="00113478" w:rsidRDefault="00113478" w:rsidP="00140129">
      <w:pPr>
        <w:numPr>
          <w:ilvl w:val="0"/>
          <w:numId w:val="20"/>
        </w:numPr>
        <w:ind w:left="360"/>
        <w:contextualSpacing/>
        <w:rPr>
          <w:rFonts w:ascii="Calibri" w:eastAsia="Calibri" w:hAnsi="Calibri" w:cs="Times New Roman"/>
          <w:lang w:eastAsia="en-US"/>
        </w:rPr>
      </w:pPr>
      <w:r w:rsidRPr="00113478">
        <w:rPr>
          <w:rFonts w:ascii="Calibri" w:eastAsia="Calibri" w:hAnsi="Calibri" w:cs="Times New Roman"/>
          <w:lang w:eastAsia="en-US"/>
        </w:rPr>
        <w:t>a contraindication to treatment with a statin.</w:t>
      </w:r>
    </w:p>
    <w:p w14:paraId="1ADB76B9" w14:textId="77777777" w:rsidR="00113478" w:rsidRPr="00113478" w:rsidRDefault="00113478" w:rsidP="00113478">
      <w:pPr>
        <w:spacing w:after="0"/>
        <w:rPr>
          <w:rFonts w:ascii="Calibri" w:eastAsia="Calibri" w:hAnsi="Calibri" w:cs="Times New Roman"/>
          <w:lang w:eastAsia="en-US"/>
        </w:rPr>
      </w:pPr>
      <w:r w:rsidRPr="00113478">
        <w:rPr>
          <w:rFonts w:ascii="Calibri" w:eastAsia="Calibri" w:hAnsi="Calibri" w:cs="Times New Roman"/>
          <w:lang w:eastAsia="en-US"/>
        </w:rPr>
        <w:t>A clinically important product-related adverse event is defined as follows:</w:t>
      </w:r>
    </w:p>
    <w:p w14:paraId="70665CE3" w14:textId="77777777" w:rsidR="00113478" w:rsidRPr="00113478" w:rsidRDefault="00113478" w:rsidP="00140129">
      <w:pPr>
        <w:numPr>
          <w:ilvl w:val="0"/>
          <w:numId w:val="22"/>
        </w:numPr>
        <w:ind w:left="360"/>
        <w:contextualSpacing/>
        <w:rPr>
          <w:rFonts w:ascii="Calibri" w:eastAsia="Calibri" w:hAnsi="Calibri" w:cs="Times New Roman"/>
          <w:lang w:eastAsia="en-US"/>
        </w:rPr>
      </w:pPr>
      <w:r w:rsidRPr="00113478">
        <w:rPr>
          <w:rFonts w:ascii="Calibri" w:eastAsia="Calibri" w:hAnsi="Calibri" w:cs="Times New Roman"/>
          <w:lang w:eastAsia="en-US"/>
        </w:rPr>
        <w:t>Severe myalgia (muscle symptoms without creatine kinase elevation) which is proven to be temporally associated with statin treatment; or</w:t>
      </w:r>
    </w:p>
    <w:p w14:paraId="22066DD2" w14:textId="77777777" w:rsidR="00113478" w:rsidRPr="00113478" w:rsidRDefault="00113478" w:rsidP="00140129">
      <w:pPr>
        <w:numPr>
          <w:ilvl w:val="0"/>
          <w:numId w:val="22"/>
        </w:numPr>
        <w:ind w:left="360"/>
        <w:contextualSpacing/>
        <w:rPr>
          <w:rFonts w:ascii="Calibri" w:eastAsia="Calibri" w:hAnsi="Calibri" w:cs="Times New Roman"/>
          <w:lang w:eastAsia="en-US"/>
        </w:rPr>
      </w:pPr>
      <w:r w:rsidRPr="00113478">
        <w:rPr>
          <w:rFonts w:ascii="Calibri" w:eastAsia="Calibri" w:hAnsi="Calibri" w:cs="Times New Roman"/>
          <w:lang w:eastAsia="en-US"/>
        </w:rPr>
        <w:t>Myositis (clinically important creatine kinase elevation, with or without muscle symptoms) demonstrated by results twice the upper limit of normal on a single reading or a rising pattern on consecutive measurements and which is unexplained by other causes; or</w:t>
      </w:r>
    </w:p>
    <w:p w14:paraId="6BAFE6C8" w14:textId="77777777" w:rsidR="00113478" w:rsidRPr="00113478" w:rsidRDefault="00113478" w:rsidP="00140129">
      <w:pPr>
        <w:numPr>
          <w:ilvl w:val="0"/>
          <w:numId w:val="22"/>
        </w:numPr>
        <w:ind w:left="360"/>
        <w:contextualSpacing/>
        <w:rPr>
          <w:rFonts w:ascii="Calibri" w:eastAsia="Calibri" w:hAnsi="Calibri" w:cs="Times New Roman"/>
          <w:lang w:eastAsia="en-US"/>
        </w:rPr>
      </w:pPr>
      <w:r w:rsidRPr="00113478">
        <w:rPr>
          <w:rFonts w:ascii="Calibri" w:eastAsia="Calibri" w:hAnsi="Calibri" w:cs="Times New Roman"/>
          <w:lang w:eastAsia="en-US"/>
        </w:rPr>
        <w:t>Unexplained, persistence elevations of serum transaminases (greater than 3 times the upper limit of normal) during treatment with a statin.</w:t>
      </w:r>
    </w:p>
    <w:p w14:paraId="56356A29" w14:textId="77777777" w:rsidR="00113478" w:rsidRPr="00113478" w:rsidRDefault="00113478" w:rsidP="00113478">
      <w:pPr>
        <w:rPr>
          <w:rFonts w:ascii="Calibri" w:eastAsia="Calibri" w:hAnsi="Calibri" w:cs="Times New Roman"/>
          <w:lang w:eastAsia="en-US"/>
        </w:rPr>
      </w:pPr>
    </w:p>
    <w:p w14:paraId="5A368920" w14:textId="77777777" w:rsidR="00113478" w:rsidRPr="00113478" w:rsidRDefault="00113478" w:rsidP="00113478">
      <w:pPr>
        <w:rPr>
          <w:rFonts w:ascii="Calibri" w:eastAsia="Calibri" w:hAnsi="Calibri" w:cs="Times New Roman"/>
          <w:lang w:eastAsia="en-US"/>
        </w:rPr>
      </w:pPr>
      <w:r w:rsidRPr="00113478">
        <w:rPr>
          <w:rFonts w:ascii="Calibri" w:eastAsia="Calibri" w:hAnsi="Calibri" w:cs="Times New Roman"/>
          <w:b/>
          <w:lang w:eastAsia="en-US"/>
        </w:rPr>
        <w:t>Combination therapy</w:t>
      </w:r>
      <w:r w:rsidRPr="00113478">
        <w:rPr>
          <w:rFonts w:ascii="Calibri" w:eastAsia="Calibri" w:hAnsi="Calibri" w:cs="Times New Roman"/>
          <w:lang w:eastAsia="en-US"/>
        </w:rPr>
        <w:t xml:space="preserve"> to be co-administered with HMG CoA reductase inhibitor (statin);</w:t>
      </w:r>
    </w:p>
    <w:p w14:paraId="79376F7B" w14:textId="77777777" w:rsidR="00113478" w:rsidRPr="00113478" w:rsidRDefault="00113478" w:rsidP="00113478">
      <w:pPr>
        <w:rPr>
          <w:rFonts w:ascii="Calibri" w:eastAsia="Calibri" w:hAnsi="Calibri" w:cs="Times New Roman"/>
          <w:lang w:eastAsia="en-US"/>
        </w:rPr>
      </w:pPr>
      <w:r w:rsidRPr="00113478">
        <w:rPr>
          <w:rFonts w:ascii="Calibri" w:eastAsia="Calibri" w:hAnsi="Calibri" w:cs="Times New Roman"/>
          <w:lang w:eastAsia="en-US"/>
        </w:rPr>
        <w:t>The treatment must be in conjunction with dietary therapy and exercise;</w:t>
      </w:r>
    </w:p>
    <w:p w14:paraId="5EBCC03C" w14:textId="77777777" w:rsidR="00113478" w:rsidRPr="00113478" w:rsidRDefault="00113478" w:rsidP="00113478">
      <w:pPr>
        <w:rPr>
          <w:rFonts w:ascii="Calibri" w:eastAsia="Calibri" w:hAnsi="Calibri" w:cs="Times New Roman"/>
          <w:lang w:eastAsia="en-US"/>
        </w:rPr>
      </w:pPr>
      <w:r w:rsidRPr="00113478">
        <w:rPr>
          <w:rFonts w:ascii="Calibri" w:eastAsia="Calibri" w:hAnsi="Calibri" w:cs="Times New Roman"/>
          <w:lang w:eastAsia="en-US"/>
        </w:rPr>
        <w:t>AND</w:t>
      </w:r>
    </w:p>
    <w:p w14:paraId="0A27B60F" w14:textId="77777777" w:rsidR="00113478" w:rsidRPr="00113478" w:rsidRDefault="00113478" w:rsidP="00113478">
      <w:pPr>
        <w:rPr>
          <w:rFonts w:ascii="Calibri" w:eastAsia="Calibri" w:hAnsi="Calibri" w:cs="Times New Roman"/>
          <w:lang w:eastAsia="en-US"/>
        </w:rPr>
      </w:pPr>
      <w:r w:rsidRPr="00113478">
        <w:rPr>
          <w:rFonts w:ascii="Calibri" w:eastAsia="Calibri" w:hAnsi="Calibri" w:cs="Times New Roman"/>
          <w:lang w:eastAsia="en-US"/>
        </w:rPr>
        <w:t xml:space="preserve">The patient must have cholesterol levels that are inadequately controlled with an HMG CoA reductase inhibitor (statin); </w:t>
      </w:r>
    </w:p>
    <w:p w14:paraId="30802562" w14:textId="77777777" w:rsidR="00113478" w:rsidRPr="00113478" w:rsidRDefault="00113478" w:rsidP="00113478">
      <w:pPr>
        <w:rPr>
          <w:rFonts w:ascii="Calibri" w:eastAsia="Calibri" w:hAnsi="Calibri" w:cs="Times New Roman"/>
          <w:lang w:eastAsia="en-US"/>
        </w:rPr>
      </w:pPr>
      <w:r w:rsidRPr="00113478">
        <w:rPr>
          <w:rFonts w:ascii="Calibri" w:eastAsia="Calibri" w:hAnsi="Calibri" w:cs="Times New Roman"/>
          <w:lang w:eastAsia="en-US"/>
        </w:rPr>
        <w:t>AND</w:t>
      </w:r>
    </w:p>
    <w:p w14:paraId="3F26E277" w14:textId="77777777" w:rsidR="00113478" w:rsidRPr="00113478" w:rsidRDefault="00113478" w:rsidP="00113478">
      <w:pPr>
        <w:spacing w:after="0"/>
        <w:rPr>
          <w:rFonts w:ascii="Calibri" w:eastAsia="Calibri" w:hAnsi="Calibri" w:cs="Times New Roman"/>
          <w:lang w:eastAsia="en-US"/>
        </w:rPr>
      </w:pPr>
      <w:r w:rsidRPr="00113478">
        <w:rPr>
          <w:rFonts w:ascii="Calibri" w:eastAsia="Calibri" w:hAnsi="Calibri" w:cs="Times New Roman"/>
          <w:lang w:eastAsia="en-US"/>
        </w:rPr>
        <w:t>The patient must have one of the following conditions</w:t>
      </w:r>
    </w:p>
    <w:p w14:paraId="51CABC1B" w14:textId="77777777" w:rsidR="00113478" w:rsidRPr="00113478" w:rsidRDefault="00113478" w:rsidP="00140129">
      <w:pPr>
        <w:numPr>
          <w:ilvl w:val="0"/>
          <w:numId w:val="19"/>
        </w:numPr>
        <w:spacing w:after="0" w:line="264" w:lineRule="auto"/>
        <w:contextualSpacing/>
        <w:jc w:val="both"/>
        <w:rPr>
          <w:rFonts w:ascii="Calibri" w:eastAsia="Calibri" w:hAnsi="Calibri" w:cs="Times New Roman"/>
          <w:lang w:eastAsia="en-US"/>
        </w:rPr>
      </w:pPr>
      <w:r w:rsidRPr="00113478">
        <w:rPr>
          <w:rFonts w:ascii="Calibri" w:eastAsia="Calibri" w:hAnsi="Calibri" w:cs="Times New Roman"/>
          <w:lang w:eastAsia="en-US"/>
        </w:rPr>
        <w:t>coronary heart disease (CHD); or</w:t>
      </w:r>
    </w:p>
    <w:p w14:paraId="699F3F95" w14:textId="77777777" w:rsidR="00113478" w:rsidRPr="00113478" w:rsidRDefault="00113478" w:rsidP="00140129">
      <w:pPr>
        <w:numPr>
          <w:ilvl w:val="0"/>
          <w:numId w:val="19"/>
        </w:numPr>
        <w:spacing w:after="0" w:line="264" w:lineRule="auto"/>
        <w:contextualSpacing/>
        <w:jc w:val="both"/>
        <w:rPr>
          <w:rFonts w:ascii="Calibri" w:eastAsia="Calibri" w:hAnsi="Calibri" w:cs="Times New Roman"/>
          <w:lang w:eastAsia="en-US"/>
        </w:rPr>
      </w:pPr>
      <w:r w:rsidRPr="00113478">
        <w:rPr>
          <w:rFonts w:ascii="Calibri" w:eastAsia="Calibri" w:hAnsi="Calibri" w:cs="Times New Roman"/>
          <w:lang w:eastAsia="en-US"/>
        </w:rPr>
        <w:t>diabetes mellitus; or</w:t>
      </w:r>
    </w:p>
    <w:p w14:paraId="1D5726ED" w14:textId="77777777" w:rsidR="00113478" w:rsidRPr="00113478" w:rsidRDefault="00113478" w:rsidP="00140129">
      <w:pPr>
        <w:numPr>
          <w:ilvl w:val="0"/>
          <w:numId w:val="19"/>
        </w:numPr>
        <w:spacing w:after="0" w:line="264" w:lineRule="auto"/>
        <w:contextualSpacing/>
        <w:jc w:val="both"/>
        <w:rPr>
          <w:rFonts w:ascii="Calibri" w:eastAsia="Calibri" w:hAnsi="Calibri" w:cs="Times New Roman"/>
          <w:lang w:eastAsia="en-US"/>
        </w:rPr>
      </w:pPr>
      <w:r w:rsidRPr="00113478">
        <w:rPr>
          <w:rFonts w:ascii="Calibri" w:eastAsia="Calibri" w:hAnsi="Calibri" w:cs="Times New Roman"/>
          <w:lang w:eastAsia="en-US"/>
        </w:rPr>
        <w:t>peripheral vascular disease; or</w:t>
      </w:r>
    </w:p>
    <w:p w14:paraId="337D05E0" w14:textId="77777777" w:rsidR="00113478" w:rsidRPr="00113478" w:rsidRDefault="00113478" w:rsidP="00140129">
      <w:pPr>
        <w:numPr>
          <w:ilvl w:val="0"/>
          <w:numId w:val="19"/>
        </w:numPr>
        <w:spacing w:after="0" w:line="264" w:lineRule="auto"/>
        <w:contextualSpacing/>
        <w:jc w:val="both"/>
        <w:rPr>
          <w:rFonts w:ascii="Calibri" w:eastAsia="Calibri" w:hAnsi="Calibri" w:cs="Times New Roman"/>
          <w:lang w:eastAsia="en-US"/>
        </w:rPr>
      </w:pPr>
      <w:r w:rsidRPr="00113478">
        <w:rPr>
          <w:rFonts w:ascii="Calibri" w:eastAsia="Calibri" w:hAnsi="Calibri" w:cs="Times New Roman"/>
          <w:lang w:eastAsia="en-US"/>
        </w:rPr>
        <w:t>heterozygous familial hypercholesterolaemia; or</w:t>
      </w:r>
    </w:p>
    <w:p w14:paraId="5E57298E" w14:textId="77777777" w:rsidR="00113478" w:rsidRPr="00113478" w:rsidRDefault="00113478" w:rsidP="00140129">
      <w:pPr>
        <w:numPr>
          <w:ilvl w:val="0"/>
          <w:numId w:val="19"/>
        </w:numPr>
        <w:spacing w:after="0" w:line="264" w:lineRule="auto"/>
        <w:contextualSpacing/>
        <w:jc w:val="both"/>
        <w:rPr>
          <w:rFonts w:ascii="Calibri" w:eastAsia="Calibri" w:hAnsi="Calibri" w:cs="Times New Roman"/>
          <w:lang w:eastAsia="en-US"/>
        </w:rPr>
      </w:pPr>
      <w:r w:rsidRPr="00113478">
        <w:rPr>
          <w:rFonts w:ascii="Calibri" w:eastAsia="Calibri" w:hAnsi="Calibri" w:cs="Times New Roman"/>
          <w:lang w:eastAsia="en-US"/>
        </w:rPr>
        <w:t>symptomatic cerebrovascular disease; or</w:t>
      </w:r>
    </w:p>
    <w:p w14:paraId="50E21BDB" w14:textId="77777777" w:rsidR="00113478" w:rsidRPr="00113478" w:rsidRDefault="00113478" w:rsidP="00140129">
      <w:pPr>
        <w:numPr>
          <w:ilvl w:val="0"/>
          <w:numId w:val="19"/>
        </w:numPr>
        <w:spacing w:after="0" w:line="264" w:lineRule="auto"/>
        <w:contextualSpacing/>
        <w:jc w:val="both"/>
        <w:rPr>
          <w:rFonts w:ascii="Calibri" w:eastAsia="Calibri" w:hAnsi="Calibri" w:cs="Times New Roman"/>
          <w:lang w:eastAsia="en-US"/>
        </w:rPr>
      </w:pPr>
      <w:r w:rsidRPr="00113478">
        <w:rPr>
          <w:rFonts w:ascii="Calibri" w:eastAsia="Calibri" w:hAnsi="Calibri" w:cs="Times New Roman"/>
          <w:lang w:eastAsia="en-US"/>
        </w:rPr>
        <w:t>a family history of coronary heart disease; or</w:t>
      </w:r>
    </w:p>
    <w:p w14:paraId="0D537049" w14:textId="77777777" w:rsidR="00113478" w:rsidRPr="00113478" w:rsidRDefault="00113478" w:rsidP="00140129">
      <w:pPr>
        <w:numPr>
          <w:ilvl w:val="0"/>
          <w:numId w:val="19"/>
        </w:numPr>
        <w:spacing w:after="0" w:line="264" w:lineRule="auto"/>
        <w:contextualSpacing/>
        <w:jc w:val="both"/>
        <w:rPr>
          <w:rFonts w:ascii="Calibri" w:eastAsia="Calibri" w:hAnsi="Calibri" w:cs="Times New Roman"/>
          <w:lang w:eastAsia="en-US"/>
        </w:rPr>
      </w:pPr>
      <w:r w:rsidRPr="00113478">
        <w:rPr>
          <w:rFonts w:ascii="Calibri" w:eastAsia="Calibri" w:hAnsi="Calibri" w:cs="Times New Roman"/>
          <w:lang w:eastAsia="en-US"/>
        </w:rPr>
        <w:t>hypertension; or</w:t>
      </w:r>
    </w:p>
    <w:p w14:paraId="55075E2F" w14:textId="77777777" w:rsidR="00113478" w:rsidRPr="00113478" w:rsidRDefault="00113478" w:rsidP="00140129">
      <w:pPr>
        <w:numPr>
          <w:ilvl w:val="0"/>
          <w:numId w:val="19"/>
        </w:numPr>
        <w:spacing w:after="0" w:line="264" w:lineRule="auto"/>
        <w:contextualSpacing/>
        <w:jc w:val="both"/>
        <w:rPr>
          <w:rFonts w:ascii="Calibri" w:eastAsia="Calibri" w:hAnsi="Calibri" w:cs="Times New Roman"/>
          <w:lang w:eastAsia="en-US"/>
        </w:rPr>
      </w:pPr>
      <w:r w:rsidRPr="00113478">
        <w:rPr>
          <w:rFonts w:ascii="Calibri" w:eastAsia="Calibri" w:hAnsi="Calibri" w:cs="Times New Roman"/>
          <w:lang w:eastAsia="en-US"/>
        </w:rPr>
        <w:t xml:space="preserve">developed a clinically important product-related adverse event during treatment with an HMG CoA reductase inhibitor (statin) necessitating a reduction in atorvastatin dose </w:t>
      </w:r>
      <w:r w:rsidRPr="00113478">
        <w:rPr>
          <w:rFonts w:ascii="Calibri" w:eastAsia="Calibri" w:hAnsi="Calibri" w:cs="Times New Roman"/>
          <w:vertAlign w:val="superscript"/>
          <w:lang w:eastAsia="en-US"/>
        </w:rPr>
        <w:footnoteReference w:id="1"/>
      </w:r>
    </w:p>
    <w:p w14:paraId="16B51DB9" w14:textId="77777777" w:rsidR="00113478" w:rsidRPr="00113478" w:rsidRDefault="00113478" w:rsidP="00113478">
      <w:pPr>
        <w:spacing w:after="0" w:line="264" w:lineRule="auto"/>
        <w:jc w:val="both"/>
        <w:rPr>
          <w:rFonts w:ascii="Calibri" w:eastAsia="Calibri" w:hAnsi="Calibri" w:cs="Times New Roman"/>
          <w:lang w:eastAsia="en-US"/>
        </w:rPr>
      </w:pPr>
    </w:p>
    <w:p w14:paraId="3D420438" w14:textId="77777777" w:rsidR="00113478" w:rsidRPr="00113478" w:rsidRDefault="00113478" w:rsidP="00113478">
      <w:pPr>
        <w:spacing w:after="0"/>
        <w:rPr>
          <w:rFonts w:ascii="Calibri" w:eastAsia="Calibri" w:hAnsi="Calibri" w:cs="Times New Roman"/>
          <w:lang w:eastAsia="en-US"/>
        </w:rPr>
      </w:pPr>
      <w:r w:rsidRPr="00113478">
        <w:rPr>
          <w:rFonts w:ascii="Calibri" w:eastAsia="Calibri" w:hAnsi="Calibri" w:cs="Times New Roman"/>
          <w:lang w:eastAsia="en-US"/>
        </w:rPr>
        <w:t>Inadequate control with a statin is defined as follows:</w:t>
      </w:r>
    </w:p>
    <w:p w14:paraId="28A8B329" w14:textId="77777777" w:rsidR="00113478" w:rsidRPr="00113478" w:rsidRDefault="00113478" w:rsidP="00140129">
      <w:pPr>
        <w:numPr>
          <w:ilvl w:val="0"/>
          <w:numId w:val="21"/>
        </w:numPr>
        <w:ind w:left="426" w:hanging="426"/>
        <w:contextualSpacing/>
        <w:rPr>
          <w:rFonts w:ascii="Calibri" w:eastAsia="Calibri" w:hAnsi="Calibri" w:cs="Times New Roman"/>
          <w:lang w:eastAsia="en-US"/>
        </w:rPr>
      </w:pPr>
      <w:r w:rsidRPr="00113478">
        <w:rPr>
          <w:rFonts w:ascii="Calibri" w:eastAsia="Calibri" w:hAnsi="Calibri" w:cs="Times New Roman"/>
          <w:lang w:eastAsia="en-US"/>
        </w:rPr>
        <w:lastRenderedPageBreak/>
        <w:t>where the patient falls into a category for which the General Statement for Lipid-Lowering Drugs (GSLLD) includes an initial cholesterol threshold for PBS-subsidy (i.e. a patient not in a very high risk category), a cholesterol level in excess of that threshold after at least 3 months of treatment at a maximum tolerated dose of a statin, in conjunction with dietary therapy and exercise; or</w:t>
      </w:r>
    </w:p>
    <w:p w14:paraId="6AEDE510" w14:textId="77777777" w:rsidR="00113478" w:rsidRPr="00113478" w:rsidRDefault="00113478" w:rsidP="00140129">
      <w:pPr>
        <w:numPr>
          <w:ilvl w:val="0"/>
          <w:numId w:val="21"/>
        </w:numPr>
        <w:ind w:left="426" w:hanging="426"/>
        <w:contextualSpacing/>
        <w:rPr>
          <w:rFonts w:ascii="Calibri" w:eastAsia="Calibri" w:hAnsi="Calibri" w:cs="Times New Roman"/>
          <w:lang w:eastAsia="en-US"/>
        </w:rPr>
      </w:pPr>
      <w:r w:rsidRPr="00113478">
        <w:rPr>
          <w:rFonts w:ascii="Calibri" w:eastAsia="Calibri" w:hAnsi="Calibri" w:cs="Times New Roman"/>
          <w:lang w:eastAsia="en-US"/>
        </w:rPr>
        <w:t>where the patient falls into a category for which the GSLLD allows PBS-subsidised treatment with a statin at any cholesterol level (i.e. a very high risk category patient), a cholesterol level in excess of 4 mmol/L after at least 3 months of treatment at a maximum tolerated dose of a statin, in conjunction with dietary therapy and exercise.</w:t>
      </w:r>
    </w:p>
    <w:p w14:paraId="4D4F5F9B" w14:textId="3A50C300" w:rsidR="00113478" w:rsidRDefault="00113478" w:rsidP="00715874">
      <w:pPr>
        <w:pStyle w:val="Heading2"/>
      </w:pPr>
      <w:bookmarkStart w:id="4" w:name="_Toc467857742"/>
      <w:r>
        <w:t>1.1.2 S</w:t>
      </w:r>
      <w:r w:rsidRPr="002D45B5">
        <w:t>ummary of the PBAC’s key positive recommendations for ezetimibe</w:t>
      </w:r>
      <w:bookmarkEnd w:id="4"/>
    </w:p>
    <w:p w14:paraId="3154F119" w14:textId="77777777" w:rsidR="00113478" w:rsidRDefault="00113478" w:rsidP="00715874">
      <w:pPr>
        <w:pStyle w:val="Heading2"/>
      </w:pPr>
    </w:p>
    <w:p w14:paraId="75E7C6EF" w14:textId="5C83542E" w:rsidR="00113478" w:rsidRPr="00113478" w:rsidRDefault="00113478" w:rsidP="00715874">
      <w:pPr>
        <w:spacing w:after="0"/>
        <w:rPr>
          <w:rFonts w:ascii="Calibri" w:eastAsia="Calibri" w:hAnsi="Calibri" w:cs="Times New Roman"/>
          <w:lang w:eastAsia="en-US"/>
        </w:rPr>
      </w:pPr>
      <w:r>
        <w:rPr>
          <w:rFonts w:ascii="Calibri" w:eastAsia="Calibri" w:hAnsi="Calibri" w:cs="Times New Roman"/>
          <w:lang w:eastAsia="en-US"/>
        </w:rPr>
        <w:t>The list of positive recommendations below includes t</w:t>
      </w:r>
      <w:r w:rsidRPr="00113478">
        <w:rPr>
          <w:rFonts w:ascii="Calibri" w:eastAsia="Calibri" w:hAnsi="Calibri" w:cs="Times New Roman"/>
          <w:lang w:eastAsia="en-US"/>
        </w:rPr>
        <w:t xml:space="preserve">he </w:t>
      </w:r>
      <w:r>
        <w:rPr>
          <w:rFonts w:ascii="Calibri" w:eastAsia="Calibri" w:hAnsi="Calibri" w:cs="Times New Roman"/>
          <w:lang w:eastAsia="en-US"/>
        </w:rPr>
        <w:t xml:space="preserve">references to </w:t>
      </w:r>
      <w:r w:rsidRPr="00113478">
        <w:rPr>
          <w:rFonts w:ascii="Calibri" w:eastAsia="Calibri" w:hAnsi="Calibri" w:cs="Times New Roman"/>
          <w:lang w:eastAsia="en-US"/>
        </w:rPr>
        <w:t xml:space="preserve">evidentiary basis </w:t>
      </w:r>
      <w:r w:rsidR="00455641">
        <w:rPr>
          <w:rFonts w:ascii="Calibri" w:eastAsia="Calibri" w:hAnsi="Calibri" w:cs="Times New Roman"/>
          <w:lang w:eastAsia="en-US"/>
        </w:rPr>
        <w:t xml:space="preserve">(primary and supporting) </w:t>
      </w:r>
      <w:r w:rsidRPr="00113478">
        <w:rPr>
          <w:rFonts w:ascii="Calibri" w:eastAsia="Calibri" w:hAnsi="Calibri" w:cs="Times New Roman"/>
          <w:lang w:eastAsia="en-US"/>
        </w:rPr>
        <w:t>for the PBAC’s determinations that ezetimibe should be included on the PBS for various patient populations</w:t>
      </w:r>
      <w:r>
        <w:rPr>
          <w:rFonts w:ascii="Calibri" w:eastAsia="Calibri" w:hAnsi="Calibri" w:cs="Times New Roman"/>
          <w:lang w:eastAsia="en-US"/>
        </w:rPr>
        <w:t>/indications</w:t>
      </w:r>
      <w:r w:rsidRPr="00113478">
        <w:rPr>
          <w:rFonts w:ascii="Calibri" w:eastAsia="Calibri" w:hAnsi="Calibri" w:cs="Times New Roman"/>
          <w:lang w:eastAsia="en-US"/>
        </w:rPr>
        <w:t>.</w:t>
      </w:r>
    </w:p>
    <w:p w14:paraId="459451C0" w14:textId="77777777" w:rsidR="00113478" w:rsidRPr="00113478" w:rsidRDefault="00113478" w:rsidP="00113478">
      <w:pPr>
        <w:keepNext/>
        <w:keepLines/>
        <w:spacing w:before="40" w:after="0"/>
        <w:outlineLvl w:val="3"/>
        <w:rPr>
          <w:rFonts w:ascii="Calibri Light" w:eastAsia="Times New Roman" w:hAnsi="Calibri Light" w:cs="Times New Roman"/>
          <w:i/>
          <w:iCs/>
          <w:color w:val="0B769D"/>
          <w:lang w:eastAsia="en-US"/>
        </w:rPr>
      </w:pPr>
      <w:r w:rsidRPr="00113478">
        <w:rPr>
          <w:rFonts w:ascii="Calibri Light" w:eastAsia="Times New Roman" w:hAnsi="Calibri Light" w:cs="Times New Roman"/>
          <w:i/>
          <w:iCs/>
          <w:color w:val="0B769D"/>
          <w:lang w:eastAsia="en-US"/>
        </w:rPr>
        <w:t>June 2003</w:t>
      </w:r>
    </w:p>
    <w:p w14:paraId="66110D30" w14:textId="77777777" w:rsidR="00113478" w:rsidRPr="00113478" w:rsidRDefault="00113478" w:rsidP="00113478">
      <w:pPr>
        <w:spacing w:after="0" w:line="264" w:lineRule="auto"/>
        <w:rPr>
          <w:rFonts w:ascii="Calibri" w:eastAsia="Calibri" w:hAnsi="Calibri" w:cs="Times New Roman"/>
          <w:lang w:eastAsia="en-US"/>
        </w:rPr>
      </w:pPr>
      <w:r w:rsidRPr="00113478">
        <w:rPr>
          <w:rFonts w:ascii="Calibri" w:eastAsia="Calibri" w:hAnsi="Calibri" w:cs="Times New Roman"/>
          <w:lang w:eastAsia="en-US"/>
        </w:rPr>
        <w:t>At this meeting, the PBAC recommended listing of:</w:t>
      </w:r>
    </w:p>
    <w:p w14:paraId="3733CD7E" w14:textId="77777777" w:rsidR="00113478" w:rsidRPr="00113478" w:rsidRDefault="00113478" w:rsidP="00140129">
      <w:pPr>
        <w:numPr>
          <w:ilvl w:val="0"/>
          <w:numId w:val="19"/>
        </w:numPr>
        <w:spacing w:after="0" w:line="264" w:lineRule="auto"/>
        <w:ind w:left="360"/>
        <w:contextualSpacing/>
        <w:rPr>
          <w:rFonts w:ascii="Calibri" w:eastAsia="Calibri" w:hAnsi="Calibri" w:cs="Times New Roman"/>
          <w:color w:val="000000"/>
          <w:lang w:eastAsia="en-US"/>
        </w:rPr>
      </w:pPr>
      <w:r w:rsidRPr="00113478">
        <w:rPr>
          <w:rFonts w:ascii="Calibri" w:eastAsia="Calibri" w:hAnsi="Calibri" w:cs="Times New Roman"/>
          <w:color w:val="000000"/>
          <w:lang w:eastAsia="en-US"/>
        </w:rPr>
        <w:t xml:space="preserve">ezetimibe monotherapy for patients with </w:t>
      </w:r>
      <w:r w:rsidRPr="00113478">
        <w:rPr>
          <w:rFonts w:ascii="Calibri" w:eastAsia="Calibri" w:hAnsi="Calibri" w:cs="Times New Roman"/>
          <w:iCs/>
          <w:color w:val="4E67C8"/>
          <w:lang w:eastAsia="en-US"/>
        </w:rPr>
        <w:t>homozygous sitosterolaemia</w:t>
      </w:r>
      <w:r w:rsidRPr="00113478">
        <w:rPr>
          <w:rFonts w:ascii="Calibri" w:eastAsia="Calibri" w:hAnsi="Calibri" w:cs="Times New Roman"/>
          <w:iCs/>
          <w:color w:val="4E67C8"/>
          <w:vertAlign w:val="superscript"/>
          <w:lang w:eastAsia="en-US"/>
        </w:rPr>
        <w:footnoteReference w:id="2"/>
      </w:r>
      <w:r w:rsidRPr="00113478">
        <w:rPr>
          <w:rFonts w:ascii="Calibri" w:eastAsia="Calibri" w:hAnsi="Calibri" w:cs="Times New Roman"/>
          <w:color w:val="000000"/>
          <w:lang w:eastAsia="en-US"/>
        </w:rPr>
        <w:t xml:space="preserve"> and </w:t>
      </w:r>
    </w:p>
    <w:p w14:paraId="595F398E" w14:textId="77777777" w:rsidR="00113478" w:rsidRPr="00113478" w:rsidRDefault="00113478" w:rsidP="00140129">
      <w:pPr>
        <w:numPr>
          <w:ilvl w:val="0"/>
          <w:numId w:val="19"/>
        </w:numPr>
        <w:spacing w:after="0" w:line="264" w:lineRule="auto"/>
        <w:ind w:left="360"/>
        <w:contextualSpacing/>
        <w:rPr>
          <w:rFonts w:ascii="Calibri" w:eastAsia="Calibri" w:hAnsi="Calibri" w:cs="Times New Roman"/>
          <w:color w:val="000000"/>
          <w:lang w:eastAsia="en-US"/>
        </w:rPr>
      </w:pPr>
      <w:r w:rsidRPr="00113478">
        <w:rPr>
          <w:rFonts w:ascii="Calibri" w:eastAsia="Calibri" w:hAnsi="Calibri" w:cs="Times New Roman"/>
          <w:color w:val="000000"/>
          <w:lang w:eastAsia="en-US"/>
        </w:rPr>
        <w:t xml:space="preserve">ezetimibe in combination with satins in patients with </w:t>
      </w:r>
      <w:r w:rsidRPr="00113478">
        <w:rPr>
          <w:rFonts w:ascii="Calibri" w:eastAsia="Calibri" w:hAnsi="Calibri" w:cs="Times New Roman"/>
          <w:iCs/>
          <w:color w:val="4E67C8"/>
          <w:lang w:eastAsia="en-US"/>
        </w:rPr>
        <w:t>homozygous familial hypercholesterolaemia</w:t>
      </w:r>
      <w:r w:rsidRPr="00113478">
        <w:rPr>
          <w:rFonts w:ascii="Calibri" w:eastAsia="Calibri" w:hAnsi="Calibri" w:cs="Times New Roman"/>
          <w:iCs/>
          <w:color w:val="4E67C8"/>
          <w:vertAlign w:val="superscript"/>
          <w:lang w:eastAsia="en-US"/>
        </w:rPr>
        <w:t>2</w:t>
      </w:r>
      <w:r w:rsidRPr="00113478">
        <w:rPr>
          <w:rFonts w:ascii="Calibri" w:eastAsia="Calibri" w:hAnsi="Calibri" w:cs="Times New Roman"/>
          <w:iCs/>
          <w:color w:val="4E67C8"/>
          <w:lang w:eastAsia="en-US"/>
        </w:rPr>
        <w:t xml:space="preserve"> (HoFH)</w:t>
      </w:r>
      <w:r w:rsidRPr="00113478">
        <w:rPr>
          <w:rFonts w:ascii="Calibri" w:eastAsia="Calibri" w:hAnsi="Calibri" w:cs="Times New Roman"/>
          <w:color w:val="000000"/>
          <w:lang w:eastAsia="en-US"/>
        </w:rPr>
        <w:t>;</w:t>
      </w:r>
    </w:p>
    <w:p w14:paraId="352FF42C" w14:textId="77777777" w:rsidR="00113478" w:rsidRPr="00113478" w:rsidRDefault="00113478" w:rsidP="00140129">
      <w:pPr>
        <w:numPr>
          <w:ilvl w:val="0"/>
          <w:numId w:val="19"/>
        </w:numPr>
        <w:spacing w:after="0" w:line="264" w:lineRule="auto"/>
        <w:ind w:left="360"/>
        <w:contextualSpacing/>
        <w:jc w:val="both"/>
        <w:rPr>
          <w:rFonts w:ascii="Calibri" w:eastAsia="Calibri" w:hAnsi="Calibri" w:cs="Times New Roman"/>
          <w:color w:val="000000"/>
          <w:lang w:eastAsia="en-US"/>
        </w:rPr>
      </w:pPr>
      <w:r w:rsidRPr="00113478">
        <w:rPr>
          <w:rFonts w:ascii="Calibri" w:eastAsia="Calibri" w:hAnsi="Calibri" w:cs="Times New Roman"/>
          <w:color w:val="000000"/>
          <w:lang w:eastAsia="en-US"/>
        </w:rPr>
        <w:t xml:space="preserve">ezetimibe monotherapy in </w:t>
      </w:r>
      <w:r w:rsidRPr="00113478">
        <w:rPr>
          <w:rFonts w:ascii="Calibri" w:eastAsia="Calibri" w:hAnsi="Calibri" w:cs="Times New Roman"/>
          <w:iCs/>
          <w:color w:val="4E67C8"/>
          <w:lang w:eastAsia="en-US"/>
        </w:rPr>
        <w:t>patients who are contraindicated or intolerant of statins</w:t>
      </w:r>
      <w:r w:rsidRPr="00113478">
        <w:rPr>
          <w:rFonts w:ascii="Calibri" w:eastAsia="Calibri" w:hAnsi="Calibri" w:cs="Times New Roman"/>
          <w:color w:val="000000"/>
          <w:lang w:eastAsia="en-US"/>
        </w:rPr>
        <w:t>; this listing was recommended on the basis of pricing being related to the extent of LDL cholesterol reduction with ezetimibe compared with the statins.</w:t>
      </w:r>
    </w:p>
    <w:p w14:paraId="0BB711EE" w14:textId="77777777" w:rsidR="00113478" w:rsidRPr="00113478" w:rsidRDefault="00113478" w:rsidP="00113478">
      <w:pPr>
        <w:spacing w:after="0" w:line="264" w:lineRule="auto"/>
        <w:jc w:val="both"/>
        <w:rPr>
          <w:rFonts w:ascii="Calibri" w:eastAsia="Calibri" w:hAnsi="Calibri" w:cs="Times New Roman"/>
          <w:i/>
          <w:lang w:eastAsia="en-US"/>
        </w:rPr>
      </w:pPr>
    </w:p>
    <w:p w14:paraId="0937980E" w14:textId="77777777" w:rsidR="00113478" w:rsidRPr="00113478" w:rsidRDefault="00113478" w:rsidP="00113478">
      <w:pPr>
        <w:spacing w:after="0" w:line="264" w:lineRule="auto"/>
        <w:jc w:val="both"/>
        <w:rPr>
          <w:rFonts w:ascii="Calibri" w:eastAsia="Calibri" w:hAnsi="Calibri" w:cs="Times New Roman"/>
          <w:i/>
          <w:lang w:eastAsia="en-US"/>
        </w:rPr>
      </w:pPr>
      <w:r w:rsidRPr="00113478">
        <w:rPr>
          <w:rFonts w:ascii="Calibri" w:eastAsia="Calibri" w:hAnsi="Calibri" w:cs="Times New Roman"/>
          <w:i/>
          <w:lang w:eastAsia="en-US"/>
        </w:rPr>
        <w:t>The evidentiary basis considered by the PBAC comprised:</w:t>
      </w:r>
    </w:p>
    <w:p w14:paraId="34D0F43A" w14:textId="77777777" w:rsidR="00113478" w:rsidRPr="00113478" w:rsidRDefault="00113478" w:rsidP="00140129">
      <w:pPr>
        <w:numPr>
          <w:ilvl w:val="0"/>
          <w:numId w:val="23"/>
        </w:numPr>
        <w:spacing w:after="0" w:line="264" w:lineRule="auto"/>
        <w:ind w:left="360"/>
        <w:contextualSpacing/>
        <w:jc w:val="both"/>
        <w:rPr>
          <w:rFonts w:ascii="Calibri" w:eastAsia="Calibri" w:hAnsi="Calibri" w:cs="Times New Roman"/>
          <w:lang w:eastAsia="en-US"/>
        </w:rPr>
      </w:pPr>
      <w:r w:rsidRPr="00113478">
        <w:rPr>
          <w:rFonts w:ascii="Calibri" w:eastAsia="Calibri" w:hAnsi="Calibri" w:cs="Times New Roman"/>
          <w:i/>
          <w:lang w:eastAsia="en-US"/>
        </w:rPr>
        <w:t>for patients with homozygous sitosterolaemia - Protocol P02243/P02257, a trial that compared addition of ezetimibe with addition of placebo to current treatment in patients with homozygous sitosterolaemia</w:t>
      </w:r>
    </w:p>
    <w:p w14:paraId="4F36362D" w14:textId="2139C2C3" w:rsidR="00113478" w:rsidRPr="00113478" w:rsidRDefault="00113478" w:rsidP="00140129">
      <w:pPr>
        <w:numPr>
          <w:ilvl w:val="0"/>
          <w:numId w:val="23"/>
        </w:numPr>
        <w:spacing w:after="0" w:line="264" w:lineRule="auto"/>
        <w:ind w:left="360"/>
        <w:contextualSpacing/>
        <w:jc w:val="both"/>
        <w:rPr>
          <w:rFonts w:ascii="Calibri" w:eastAsia="Calibri" w:hAnsi="Calibri" w:cs="Times New Roman"/>
          <w:lang w:eastAsia="en-US"/>
        </w:rPr>
      </w:pPr>
      <w:r w:rsidRPr="00113478">
        <w:rPr>
          <w:rFonts w:ascii="Calibri" w:eastAsia="Calibri" w:hAnsi="Calibri" w:cs="Times New Roman"/>
          <w:i/>
          <w:lang w:eastAsia="en-US"/>
        </w:rPr>
        <w:t>for patients with HoFH - Protocol P01030 (Gagne 2002</w:t>
      </w:r>
      <w:bookmarkStart w:id="5" w:name="_Ref460669829"/>
      <w:r w:rsidR="00CB488A">
        <w:rPr>
          <w:rStyle w:val="EndnoteReference"/>
          <w:rFonts w:ascii="Calibri" w:eastAsia="Calibri" w:hAnsi="Calibri" w:cs="Times New Roman"/>
          <w:i/>
          <w:lang w:eastAsia="en-US"/>
        </w:rPr>
        <w:endnoteReference w:id="1"/>
      </w:r>
      <w:bookmarkEnd w:id="5"/>
      <w:r w:rsidRPr="00113478">
        <w:rPr>
          <w:rFonts w:ascii="Calibri" w:eastAsia="Calibri" w:hAnsi="Calibri" w:cs="Times New Roman"/>
          <w:i/>
          <w:lang w:eastAsia="en-US"/>
        </w:rPr>
        <w:t xml:space="preserve"> [Circulation]), a three-arm trial that compared (i) addition of ezetimibe to background treatment with 40 mg atorvastatin or 40 mg simvastatin, (ii) addition of ezetimibe and increase in dose of statin to 80mg; and (iii) increase in statin dose to 80 mg in patients with HoFH;</w:t>
      </w:r>
    </w:p>
    <w:p w14:paraId="4507B474" w14:textId="0395A7B7" w:rsidR="00113478" w:rsidRPr="00113478" w:rsidRDefault="00113478" w:rsidP="00140129">
      <w:pPr>
        <w:numPr>
          <w:ilvl w:val="0"/>
          <w:numId w:val="23"/>
        </w:numPr>
        <w:spacing w:after="0" w:line="264" w:lineRule="auto"/>
        <w:ind w:left="357" w:hanging="357"/>
        <w:jc w:val="both"/>
        <w:rPr>
          <w:rFonts w:ascii="Calibri" w:eastAsia="Calibri" w:hAnsi="Calibri" w:cs="Times New Roman"/>
          <w:lang w:eastAsia="en-US"/>
        </w:rPr>
      </w:pPr>
      <w:r w:rsidRPr="00113478">
        <w:rPr>
          <w:rFonts w:ascii="Calibri" w:eastAsia="Calibri" w:hAnsi="Calibri" w:cs="Times New Roman"/>
          <w:i/>
          <w:lang w:eastAsia="en-US"/>
        </w:rPr>
        <w:t>for patients where statins are inappropriate - two trials comparing ezetimibe monotherapy with placebo in patients with primary hypercholesterolaemia and LDL-c between 3.4 and 6.5 mmol/L</w:t>
      </w:r>
      <w:r w:rsidRPr="00113478">
        <w:rPr>
          <w:rFonts w:ascii="Calibri" w:eastAsia="Calibri" w:hAnsi="Calibri" w:cs="Times New Roman"/>
          <w:lang w:eastAsia="en-US"/>
        </w:rPr>
        <w:t xml:space="preserve"> </w:t>
      </w:r>
      <w:r w:rsidRPr="00113478">
        <w:rPr>
          <w:rFonts w:ascii="Calibri" w:eastAsia="Calibri" w:hAnsi="Calibri" w:cs="Times New Roman"/>
          <w:i/>
          <w:lang w:eastAsia="en-US"/>
        </w:rPr>
        <w:t>(Protocol P00475 [Dujovne 2002</w:t>
      </w:r>
      <w:bookmarkStart w:id="6" w:name="_Ref460662442"/>
      <w:r w:rsidR="0022373F">
        <w:rPr>
          <w:rStyle w:val="EndnoteReference"/>
          <w:rFonts w:ascii="Calibri" w:eastAsia="Calibri" w:hAnsi="Calibri" w:cs="Times New Roman"/>
          <w:i/>
          <w:lang w:eastAsia="en-US"/>
        </w:rPr>
        <w:endnoteReference w:id="2"/>
      </w:r>
      <w:bookmarkEnd w:id="6"/>
      <w:r w:rsidRPr="00113478">
        <w:rPr>
          <w:rFonts w:ascii="Calibri" w:eastAsia="Calibri" w:hAnsi="Calibri" w:cs="Times New Roman"/>
          <w:i/>
          <w:lang w:eastAsia="en-US"/>
        </w:rPr>
        <w:t>]; Protocol P00474 [Knopp 2003</w:t>
      </w:r>
      <w:bookmarkStart w:id="7" w:name="_Ref460662452"/>
      <w:r w:rsidR="0022373F">
        <w:rPr>
          <w:rStyle w:val="EndnoteReference"/>
          <w:rFonts w:ascii="Calibri" w:eastAsia="Calibri" w:hAnsi="Calibri" w:cs="Times New Roman"/>
          <w:i/>
          <w:lang w:eastAsia="en-US"/>
        </w:rPr>
        <w:endnoteReference w:id="3"/>
      </w:r>
      <w:bookmarkEnd w:id="7"/>
      <w:r w:rsidRPr="00113478">
        <w:rPr>
          <w:rFonts w:ascii="Calibri" w:eastAsia="Calibri" w:hAnsi="Calibri" w:cs="Times New Roman"/>
          <w:i/>
          <w:lang w:eastAsia="en-US"/>
        </w:rPr>
        <w:t>]).</w:t>
      </w:r>
    </w:p>
    <w:p w14:paraId="53A2AC6B" w14:textId="77777777" w:rsidR="00113478" w:rsidRPr="00113478" w:rsidRDefault="00113478" w:rsidP="00113478">
      <w:pPr>
        <w:spacing w:after="0" w:line="264" w:lineRule="auto"/>
        <w:jc w:val="both"/>
        <w:rPr>
          <w:rFonts w:ascii="Calibri" w:eastAsia="Calibri" w:hAnsi="Calibri" w:cs="Times New Roman"/>
          <w:lang w:eastAsia="en-US"/>
        </w:rPr>
      </w:pPr>
    </w:p>
    <w:p w14:paraId="22BD5C64" w14:textId="77777777" w:rsidR="00113478" w:rsidRPr="00113478" w:rsidRDefault="00113478" w:rsidP="00113478">
      <w:pPr>
        <w:keepNext/>
        <w:keepLines/>
        <w:spacing w:before="40" w:after="0"/>
        <w:outlineLvl w:val="3"/>
        <w:rPr>
          <w:rFonts w:ascii="Calibri Light" w:eastAsia="Times New Roman" w:hAnsi="Calibri Light" w:cs="Times New Roman"/>
          <w:i/>
          <w:iCs/>
          <w:color w:val="0B769D"/>
          <w:lang w:eastAsia="en-US"/>
        </w:rPr>
      </w:pPr>
      <w:r w:rsidRPr="00113478">
        <w:rPr>
          <w:rFonts w:ascii="Calibri Light" w:eastAsia="Times New Roman" w:hAnsi="Calibri Light" w:cs="Times New Roman"/>
          <w:i/>
          <w:iCs/>
          <w:color w:val="0B769D"/>
          <w:lang w:eastAsia="en-US"/>
        </w:rPr>
        <w:t>September 2003</w:t>
      </w:r>
    </w:p>
    <w:p w14:paraId="558E21CC" w14:textId="77777777" w:rsidR="00113478" w:rsidRPr="00113478" w:rsidRDefault="00113478" w:rsidP="00113478">
      <w:pPr>
        <w:spacing w:after="0" w:line="264" w:lineRule="auto"/>
        <w:rPr>
          <w:rFonts w:ascii="Calibri" w:eastAsia="Calibri" w:hAnsi="Calibri" w:cs="Times New Roman"/>
          <w:color w:val="000000"/>
          <w:lang w:eastAsia="en-US"/>
        </w:rPr>
      </w:pPr>
      <w:r w:rsidRPr="00113478">
        <w:rPr>
          <w:rFonts w:ascii="Calibri" w:eastAsia="Calibri" w:hAnsi="Calibri" w:cs="Times New Roman"/>
          <w:color w:val="000000"/>
          <w:lang w:eastAsia="en-US"/>
        </w:rPr>
        <w:t>At this meeting, the PBAC recommended listing of:</w:t>
      </w:r>
    </w:p>
    <w:p w14:paraId="48B37529" w14:textId="77777777" w:rsidR="00113478" w:rsidRPr="00113478" w:rsidRDefault="00113478" w:rsidP="00140129">
      <w:pPr>
        <w:numPr>
          <w:ilvl w:val="0"/>
          <w:numId w:val="19"/>
        </w:numPr>
        <w:spacing w:after="0" w:line="264" w:lineRule="auto"/>
        <w:ind w:left="360"/>
        <w:contextualSpacing/>
        <w:jc w:val="both"/>
        <w:rPr>
          <w:rFonts w:ascii="Calibri" w:eastAsia="Calibri" w:hAnsi="Calibri" w:cs="Times New Roman"/>
          <w:color w:val="000000"/>
          <w:lang w:eastAsia="en-US"/>
        </w:rPr>
      </w:pPr>
      <w:r w:rsidRPr="00113478">
        <w:rPr>
          <w:rFonts w:ascii="Calibri" w:eastAsia="Calibri" w:hAnsi="Calibri" w:cs="Times New Roman"/>
          <w:color w:val="000000"/>
          <w:lang w:eastAsia="en-US"/>
        </w:rPr>
        <w:t xml:space="preserve">ezetimibe monotherapy in </w:t>
      </w:r>
      <w:r w:rsidRPr="00113478">
        <w:rPr>
          <w:rFonts w:ascii="Calibri" w:eastAsia="Calibri" w:hAnsi="Calibri" w:cs="Times New Roman"/>
          <w:iCs/>
          <w:color w:val="4E67C8"/>
          <w:lang w:eastAsia="en-US"/>
        </w:rPr>
        <w:t>patients who are contraindicated or intolerant of statins</w:t>
      </w:r>
      <w:r w:rsidRPr="00113478">
        <w:rPr>
          <w:rFonts w:ascii="Calibri" w:eastAsia="Calibri" w:hAnsi="Calibri" w:cs="Times New Roman"/>
          <w:color w:val="000000"/>
          <w:lang w:eastAsia="en-US"/>
        </w:rPr>
        <w:t>; this listing was recommended on a cost-minimisation versus cholestyramine as a comparator. However, the PBAC noted that the prices of bile acid sequestrants were higher than those of the statins in terms of their ability to lower LDL cholesterol.  The Pricing Authority should thus be advised that the price of these products should relate to their ability to lower LDL cholesterol levels.</w:t>
      </w:r>
    </w:p>
    <w:p w14:paraId="27A28EDF" w14:textId="77777777" w:rsidR="00113478" w:rsidRPr="00113478" w:rsidRDefault="00113478" w:rsidP="00113478">
      <w:pPr>
        <w:spacing w:after="0" w:line="264" w:lineRule="auto"/>
        <w:jc w:val="both"/>
        <w:rPr>
          <w:rFonts w:ascii="Calibri" w:eastAsia="Calibri" w:hAnsi="Calibri" w:cs="Times New Roman"/>
          <w:i/>
          <w:lang w:eastAsia="en-US"/>
        </w:rPr>
      </w:pPr>
    </w:p>
    <w:p w14:paraId="224FC6D9" w14:textId="6CACE9F1" w:rsidR="00113478" w:rsidRPr="00113478" w:rsidRDefault="00113478" w:rsidP="00113478">
      <w:pPr>
        <w:spacing w:after="0" w:line="264" w:lineRule="auto"/>
        <w:jc w:val="both"/>
        <w:rPr>
          <w:rFonts w:ascii="Calibri" w:eastAsia="Calibri" w:hAnsi="Calibri" w:cs="Times New Roman"/>
          <w:i/>
          <w:color w:val="000000"/>
          <w:lang w:eastAsia="en-US"/>
        </w:rPr>
      </w:pPr>
      <w:r w:rsidRPr="00113478">
        <w:rPr>
          <w:rFonts w:ascii="Calibri" w:eastAsia="Calibri" w:hAnsi="Calibri" w:cs="Times New Roman"/>
          <w:i/>
          <w:lang w:eastAsia="en-US"/>
        </w:rPr>
        <w:t xml:space="preserve">The evidentiary basis considered by the PBAC was </w:t>
      </w:r>
      <w:r w:rsidRPr="00113478">
        <w:rPr>
          <w:rFonts w:ascii="Calibri" w:eastAsia="Calibri" w:hAnsi="Calibri" w:cs="Times New Roman"/>
          <w:i/>
          <w:color w:val="000000"/>
          <w:lang w:eastAsia="en-US"/>
        </w:rPr>
        <w:t>an indirect comparison of ezetimibe and cholestyramine using placebo as the common reference. Two trials comparing ezetimibe and placebo</w:t>
      </w:r>
      <w:r w:rsidRPr="00113478">
        <w:rPr>
          <w:rFonts w:ascii="Calibri" w:eastAsia="Calibri" w:hAnsi="Calibri" w:cs="Times New Roman"/>
          <w:color w:val="000000"/>
          <w:lang w:eastAsia="en-US"/>
        </w:rPr>
        <w:t xml:space="preserve"> </w:t>
      </w:r>
      <w:r w:rsidRPr="00113478">
        <w:rPr>
          <w:rFonts w:ascii="Calibri" w:eastAsia="Calibri" w:hAnsi="Calibri" w:cs="Times New Roman"/>
          <w:i/>
          <w:color w:val="000000"/>
          <w:lang w:eastAsia="en-US"/>
        </w:rPr>
        <w:t xml:space="preserve">in </w:t>
      </w:r>
      <w:r w:rsidRPr="00113478">
        <w:rPr>
          <w:rFonts w:ascii="Calibri" w:eastAsia="Calibri" w:hAnsi="Calibri" w:cs="Times New Roman"/>
          <w:i/>
          <w:color w:val="000000"/>
          <w:lang w:eastAsia="en-US"/>
        </w:rPr>
        <w:lastRenderedPageBreak/>
        <w:t xml:space="preserve">patients with primary hypercholesterolaemia and </w:t>
      </w:r>
      <w:r w:rsidRPr="00113478">
        <w:rPr>
          <w:rFonts w:ascii="Calibri" w:eastAsia="Calibri" w:hAnsi="Calibri" w:cs="Times New Roman"/>
          <w:i/>
          <w:lang w:eastAsia="en-US"/>
        </w:rPr>
        <w:t>LDL-c between 3.4 and 6.5 mmol/L</w:t>
      </w:r>
      <w:r w:rsidRPr="00113478">
        <w:rPr>
          <w:rFonts w:ascii="Calibri" w:eastAsia="Calibri" w:hAnsi="Calibri" w:cs="Times New Roman"/>
          <w:i/>
          <w:color w:val="000000"/>
          <w:lang w:eastAsia="en-US"/>
        </w:rPr>
        <w:t xml:space="preserve"> (Dujovne 2002</w:t>
      </w:r>
      <w:r w:rsidR="004004E5">
        <w:rPr>
          <w:rFonts w:ascii="Calibri" w:eastAsia="Calibri" w:hAnsi="Calibri" w:cs="Times New Roman"/>
          <w:i/>
          <w:color w:val="000000"/>
          <w:lang w:eastAsia="en-US"/>
        </w:rPr>
        <w:fldChar w:fldCharType="begin"/>
      </w:r>
      <w:r w:rsidR="004004E5">
        <w:rPr>
          <w:rFonts w:ascii="Calibri" w:eastAsia="Calibri" w:hAnsi="Calibri" w:cs="Times New Roman"/>
          <w:i/>
          <w:color w:val="000000"/>
          <w:lang w:eastAsia="en-US"/>
        </w:rPr>
        <w:instrText xml:space="preserve"> NOTEREF _Ref460662442 \f \h </w:instrText>
      </w:r>
      <w:r w:rsidR="004004E5">
        <w:rPr>
          <w:rFonts w:ascii="Calibri" w:eastAsia="Calibri" w:hAnsi="Calibri" w:cs="Times New Roman"/>
          <w:i/>
          <w:color w:val="000000"/>
          <w:lang w:eastAsia="en-US"/>
        </w:rPr>
      </w:r>
      <w:r w:rsidR="004004E5">
        <w:rPr>
          <w:rFonts w:ascii="Calibri" w:eastAsia="Calibri" w:hAnsi="Calibri" w:cs="Times New Roman"/>
          <w:i/>
          <w:color w:val="000000"/>
          <w:lang w:eastAsia="en-US"/>
        </w:rPr>
        <w:fldChar w:fldCharType="separate"/>
      </w:r>
      <w:r w:rsidR="00CA6F76" w:rsidRPr="00CA6F76">
        <w:rPr>
          <w:rStyle w:val="EndnoteReference"/>
        </w:rPr>
        <w:t>2</w:t>
      </w:r>
      <w:r w:rsidR="004004E5">
        <w:rPr>
          <w:rFonts w:ascii="Calibri" w:eastAsia="Calibri" w:hAnsi="Calibri" w:cs="Times New Roman"/>
          <w:i/>
          <w:color w:val="000000"/>
          <w:lang w:eastAsia="en-US"/>
        </w:rPr>
        <w:fldChar w:fldCharType="end"/>
      </w:r>
      <w:r w:rsidRPr="00113478">
        <w:rPr>
          <w:rFonts w:ascii="Calibri" w:eastAsia="Calibri" w:hAnsi="Calibri" w:cs="Times New Roman"/>
          <w:i/>
          <w:color w:val="000000"/>
          <w:lang w:eastAsia="en-US"/>
        </w:rPr>
        <w:t>; Knopp 2003</w:t>
      </w:r>
      <w:r w:rsidR="004004E5">
        <w:rPr>
          <w:rFonts w:ascii="Calibri" w:eastAsia="Calibri" w:hAnsi="Calibri" w:cs="Times New Roman"/>
          <w:i/>
          <w:color w:val="000000"/>
          <w:lang w:eastAsia="en-US"/>
        </w:rPr>
        <w:fldChar w:fldCharType="begin"/>
      </w:r>
      <w:r w:rsidR="004004E5">
        <w:rPr>
          <w:rFonts w:ascii="Calibri" w:eastAsia="Calibri" w:hAnsi="Calibri" w:cs="Times New Roman"/>
          <w:i/>
          <w:color w:val="000000"/>
          <w:lang w:eastAsia="en-US"/>
        </w:rPr>
        <w:instrText xml:space="preserve"> NOTEREF _Ref460662452 \f \h </w:instrText>
      </w:r>
      <w:r w:rsidR="004004E5">
        <w:rPr>
          <w:rFonts w:ascii="Calibri" w:eastAsia="Calibri" w:hAnsi="Calibri" w:cs="Times New Roman"/>
          <w:i/>
          <w:color w:val="000000"/>
          <w:lang w:eastAsia="en-US"/>
        </w:rPr>
      </w:r>
      <w:r w:rsidR="004004E5">
        <w:rPr>
          <w:rFonts w:ascii="Calibri" w:eastAsia="Calibri" w:hAnsi="Calibri" w:cs="Times New Roman"/>
          <w:i/>
          <w:color w:val="000000"/>
          <w:lang w:eastAsia="en-US"/>
        </w:rPr>
        <w:fldChar w:fldCharType="separate"/>
      </w:r>
      <w:r w:rsidR="00CA6F76" w:rsidRPr="00CA6F76">
        <w:rPr>
          <w:rStyle w:val="EndnoteReference"/>
        </w:rPr>
        <w:t>3</w:t>
      </w:r>
      <w:r w:rsidR="004004E5">
        <w:rPr>
          <w:rFonts w:ascii="Calibri" w:eastAsia="Calibri" w:hAnsi="Calibri" w:cs="Times New Roman"/>
          <w:i/>
          <w:color w:val="000000"/>
          <w:lang w:eastAsia="en-US"/>
        </w:rPr>
        <w:fldChar w:fldCharType="end"/>
      </w:r>
      <w:r w:rsidRPr="00113478">
        <w:rPr>
          <w:rFonts w:ascii="Calibri" w:eastAsia="Calibri" w:hAnsi="Calibri" w:cs="Times New Roman"/>
          <w:i/>
          <w:color w:val="000000"/>
          <w:lang w:eastAsia="en-US"/>
        </w:rPr>
        <w:t>) and seven trials that included a comparison of cholestyramine versus placebo (or pravastatin) in various patient populations (Lipid Research Clinics Program Coronary Primary Prevention Trial [population: men with primary hypercholesterolaemia]; NHLBI Type II Coronary Intervention Study [population: patients with hypercholesterolaemia and coronary artery disease; Garg 1994 [population: patients with dyslipidaemia and non-insulin dependent diabetes]; Betteridge 1992 [population: patients with heterozygous familial hypercholesterolaemia {HeFH}]; Wiklund 1990 [population: familial hypercholesterolaemia; comparator: pravastatin]; Levy 1973 [population: patients with hypercholesterolaemia]; Pravastatin Multicentre Study Group II 1993 [population: patients with hypercholesterolaemia; comparator: pravastatin])</w:t>
      </w:r>
      <w:r w:rsidRPr="00113478">
        <w:rPr>
          <w:rFonts w:ascii="Calibri" w:eastAsia="Calibri" w:hAnsi="Calibri" w:cs="Times New Roman"/>
          <w:color w:val="000000"/>
          <w:lang w:eastAsia="en-US"/>
        </w:rPr>
        <w:t xml:space="preserve"> </w:t>
      </w:r>
      <w:r w:rsidRPr="00113478">
        <w:rPr>
          <w:rFonts w:ascii="Calibri" w:eastAsia="Calibri" w:hAnsi="Calibri" w:cs="Times New Roman"/>
          <w:i/>
          <w:color w:val="000000"/>
          <w:lang w:eastAsia="en-US"/>
        </w:rPr>
        <w:t>were used to conduct the indirect comparison. The endpoint upon which comparative efficacy was determined was reduction in LDL-C from the baseline.</w:t>
      </w:r>
    </w:p>
    <w:p w14:paraId="424FE33B" w14:textId="77777777" w:rsidR="00113478" w:rsidRPr="00113478" w:rsidRDefault="00113478" w:rsidP="00113478">
      <w:pPr>
        <w:spacing w:after="0" w:line="264" w:lineRule="auto"/>
        <w:jc w:val="both"/>
        <w:rPr>
          <w:rFonts w:ascii="Calibri" w:eastAsia="Calibri" w:hAnsi="Calibri" w:cs="Times New Roman"/>
          <w:color w:val="000000"/>
          <w:lang w:eastAsia="en-US"/>
        </w:rPr>
      </w:pPr>
    </w:p>
    <w:p w14:paraId="0DCD2BB9" w14:textId="77777777" w:rsidR="00113478" w:rsidRPr="00113478" w:rsidRDefault="00113478" w:rsidP="00113478">
      <w:pPr>
        <w:keepNext/>
        <w:keepLines/>
        <w:spacing w:before="40" w:after="0"/>
        <w:outlineLvl w:val="3"/>
        <w:rPr>
          <w:rFonts w:ascii="Calibri Light" w:eastAsia="Times New Roman" w:hAnsi="Calibri Light" w:cs="Times New Roman"/>
          <w:i/>
          <w:iCs/>
          <w:color w:val="0B769D"/>
          <w:lang w:eastAsia="en-US"/>
        </w:rPr>
      </w:pPr>
      <w:r w:rsidRPr="00113478">
        <w:rPr>
          <w:rFonts w:ascii="Calibri Light" w:eastAsia="Times New Roman" w:hAnsi="Calibri Light" w:cs="Times New Roman"/>
          <w:i/>
          <w:iCs/>
          <w:color w:val="0B769D"/>
          <w:lang w:eastAsia="en-US"/>
        </w:rPr>
        <w:t>December 2003</w:t>
      </w:r>
    </w:p>
    <w:p w14:paraId="13131128" w14:textId="77777777" w:rsidR="00113478" w:rsidRPr="00113478" w:rsidRDefault="00113478" w:rsidP="00113478">
      <w:pPr>
        <w:spacing w:after="0" w:line="264" w:lineRule="auto"/>
        <w:rPr>
          <w:rFonts w:ascii="Calibri" w:eastAsia="Calibri" w:hAnsi="Calibri" w:cs="Times New Roman"/>
          <w:color w:val="000000"/>
          <w:lang w:eastAsia="en-US"/>
        </w:rPr>
      </w:pPr>
      <w:r w:rsidRPr="00113478">
        <w:rPr>
          <w:rFonts w:ascii="Calibri" w:eastAsia="Calibri" w:hAnsi="Calibri" w:cs="Times New Roman"/>
          <w:color w:val="000000"/>
          <w:lang w:eastAsia="en-US"/>
        </w:rPr>
        <w:t>At this meeting, the PBAC recommended listing of:</w:t>
      </w:r>
    </w:p>
    <w:p w14:paraId="5D85E0CE" w14:textId="63EE750A" w:rsidR="00113478" w:rsidRPr="00113478" w:rsidRDefault="00113478" w:rsidP="00140129">
      <w:pPr>
        <w:numPr>
          <w:ilvl w:val="0"/>
          <w:numId w:val="19"/>
        </w:numPr>
        <w:spacing w:after="0" w:line="264" w:lineRule="auto"/>
        <w:ind w:left="360"/>
        <w:contextualSpacing/>
        <w:jc w:val="both"/>
        <w:rPr>
          <w:rFonts w:ascii="Calibri" w:eastAsia="Calibri" w:hAnsi="Calibri" w:cs="Times New Roman"/>
          <w:color w:val="000000"/>
          <w:lang w:eastAsia="en-US"/>
        </w:rPr>
      </w:pPr>
      <w:r w:rsidRPr="00113478">
        <w:rPr>
          <w:rFonts w:ascii="Calibri" w:eastAsia="Calibri" w:hAnsi="Calibri" w:cs="Times New Roman"/>
          <w:color w:val="000000"/>
          <w:lang w:eastAsia="en-US"/>
        </w:rPr>
        <w:t xml:space="preserve">ezetimibe in combination with 40 mg or greater of statin in </w:t>
      </w:r>
      <w:r w:rsidRPr="00113478">
        <w:rPr>
          <w:rFonts w:ascii="Calibri" w:eastAsia="Calibri" w:hAnsi="Calibri" w:cs="Times New Roman"/>
          <w:iCs/>
          <w:color w:val="4E67C8"/>
          <w:lang w:eastAsia="en-US"/>
        </w:rPr>
        <w:t>patients with coronary heart disease and/or diabetes</w:t>
      </w:r>
      <w:r w:rsidRPr="00113478">
        <w:rPr>
          <w:rFonts w:ascii="Calibri" w:eastAsia="Calibri" w:hAnsi="Calibri" w:cs="Times New Roman"/>
          <w:color w:val="000000"/>
          <w:lang w:eastAsia="en-US"/>
        </w:rPr>
        <w:t xml:space="preserve"> whose cholesterol levels remain inadequately controlled after at least 3 months of treatment (i.e., cholesterol level exceed the threshold for initiation of cholesterol-lowering therapy as detailed in the qualifying </w:t>
      </w:r>
      <w:r>
        <w:rPr>
          <w:rFonts w:ascii="Calibri" w:eastAsia="Calibri" w:hAnsi="Calibri" w:cs="Times New Roman"/>
          <w:color w:val="000000"/>
          <w:lang w:eastAsia="en-US"/>
        </w:rPr>
        <w:t>criteria in the General Statement for Lipid-Lowering D</w:t>
      </w:r>
      <w:r w:rsidRPr="00113478">
        <w:rPr>
          <w:rFonts w:ascii="Calibri" w:eastAsia="Calibri" w:hAnsi="Calibri" w:cs="Times New Roman"/>
          <w:color w:val="000000"/>
          <w:lang w:eastAsia="en-US"/>
        </w:rPr>
        <w:t>rugs).</w:t>
      </w:r>
    </w:p>
    <w:p w14:paraId="740E1E4B" w14:textId="77777777" w:rsidR="00113478" w:rsidRPr="00113478" w:rsidRDefault="00113478" w:rsidP="00113478">
      <w:pPr>
        <w:keepNext/>
        <w:spacing w:after="0" w:line="264" w:lineRule="auto"/>
        <w:jc w:val="both"/>
        <w:rPr>
          <w:rFonts w:ascii="Calibri" w:eastAsia="Calibri" w:hAnsi="Calibri" w:cs="Times New Roman"/>
          <w:color w:val="000000"/>
          <w:lang w:eastAsia="en-US"/>
        </w:rPr>
      </w:pPr>
      <w:r w:rsidRPr="00113478">
        <w:rPr>
          <w:rFonts w:ascii="Calibri" w:eastAsia="Calibri" w:hAnsi="Calibri" w:cs="Times New Roman"/>
          <w:i/>
          <w:lang w:eastAsia="en-US"/>
        </w:rPr>
        <w:t>The evidentiary basis considered by the PBAC comprised:</w:t>
      </w:r>
    </w:p>
    <w:p w14:paraId="5CAD0CD2" w14:textId="706DBFEE" w:rsidR="00113478" w:rsidRPr="00113478" w:rsidRDefault="00113478" w:rsidP="00140129">
      <w:pPr>
        <w:numPr>
          <w:ilvl w:val="0"/>
          <w:numId w:val="19"/>
        </w:numPr>
        <w:spacing w:after="0" w:line="264" w:lineRule="auto"/>
        <w:ind w:left="360"/>
        <w:contextualSpacing/>
        <w:jc w:val="both"/>
        <w:rPr>
          <w:rFonts w:ascii="Calibri" w:eastAsia="Calibri" w:hAnsi="Calibri" w:cs="Times New Roman"/>
          <w:i/>
          <w:lang w:eastAsia="en-US"/>
        </w:rPr>
      </w:pPr>
      <w:r w:rsidRPr="00113478">
        <w:rPr>
          <w:rFonts w:ascii="Calibri" w:eastAsia="Calibri" w:hAnsi="Calibri" w:cs="Times New Roman"/>
          <w:i/>
          <w:lang w:eastAsia="en-US"/>
        </w:rPr>
        <w:t>three trials (P00680 Simvastatin Factorial Study [Davidson 2002</w:t>
      </w:r>
      <w:bookmarkStart w:id="8" w:name="_Ref460672395"/>
      <w:r w:rsidR="004004E5">
        <w:rPr>
          <w:rStyle w:val="EndnoteReference"/>
          <w:rFonts w:ascii="Calibri" w:eastAsia="Calibri" w:hAnsi="Calibri" w:cs="Times New Roman"/>
          <w:i/>
          <w:lang w:eastAsia="en-US"/>
        </w:rPr>
        <w:endnoteReference w:id="4"/>
      </w:r>
      <w:bookmarkEnd w:id="8"/>
      <w:r w:rsidRPr="00113478">
        <w:rPr>
          <w:rFonts w:ascii="Calibri" w:eastAsia="Calibri" w:hAnsi="Calibri" w:cs="Times New Roman"/>
          <w:i/>
          <w:lang w:eastAsia="en-US"/>
        </w:rPr>
        <w:t>], P00692 Atorvastatin Factorial Study [Ballantyne 2003</w:t>
      </w:r>
      <w:bookmarkStart w:id="9" w:name="_Ref460673206"/>
      <w:r w:rsidR="004004E5">
        <w:rPr>
          <w:rStyle w:val="EndnoteReference"/>
          <w:rFonts w:ascii="Calibri" w:eastAsia="Calibri" w:hAnsi="Calibri" w:cs="Times New Roman"/>
          <w:i/>
          <w:lang w:eastAsia="en-US"/>
        </w:rPr>
        <w:endnoteReference w:id="5"/>
      </w:r>
      <w:bookmarkEnd w:id="9"/>
      <w:r w:rsidRPr="00113478">
        <w:rPr>
          <w:rFonts w:ascii="Calibri" w:eastAsia="Calibri" w:hAnsi="Calibri" w:cs="Times New Roman"/>
          <w:i/>
          <w:lang w:eastAsia="en-US"/>
        </w:rPr>
        <w:t>] and P02173/P02246 Ezetimibe Add-on Study [Gagne 2002</w:t>
      </w:r>
      <w:bookmarkStart w:id="10" w:name="_Ref460663066"/>
      <w:r w:rsidR="004004E5">
        <w:rPr>
          <w:rStyle w:val="EndnoteReference"/>
          <w:rFonts w:ascii="Calibri" w:eastAsia="Calibri" w:hAnsi="Calibri" w:cs="Times New Roman"/>
          <w:i/>
          <w:lang w:eastAsia="en-US"/>
        </w:rPr>
        <w:endnoteReference w:id="6"/>
      </w:r>
      <w:bookmarkEnd w:id="10"/>
      <w:r w:rsidRPr="00113478">
        <w:rPr>
          <w:rFonts w:ascii="Calibri" w:eastAsia="Calibri" w:hAnsi="Calibri" w:cs="Times New Roman"/>
          <w:i/>
          <w:lang w:eastAsia="en-US"/>
        </w:rPr>
        <w:t xml:space="preserve"> {Am J Cardiol}, Simons 2004</w:t>
      </w:r>
      <w:bookmarkStart w:id="11" w:name="_Ref460663075"/>
      <w:r w:rsidR="004004E5">
        <w:rPr>
          <w:rStyle w:val="EndnoteReference"/>
          <w:rFonts w:ascii="Calibri" w:eastAsia="Calibri" w:hAnsi="Calibri" w:cs="Times New Roman"/>
          <w:i/>
          <w:lang w:eastAsia="en-US"/>
        </w:rPr>
        <w:endnoteReference w:id="7"/>
      </w:r>
      <w:bookmarkEnd w:id="11"/>
      <w:r w:rsidRPr="00113478">
        <w:rPr>
          <w:rFonts w:ascii="Calibri" w:eastAsia="Calibri" w:hAnsi="Calibri" w:cs="Times New Roman"/>
          <w:i/>
          <w:lang w:eastAsia="en-US"/>
        </w:rPr>
        <w:t>] comparing ezetimibe added to fixed doses of statin vs placebo added to matching fixed doses of statin in patients with hypercholesterolemia (with no limitations on whether patients were receiving primary or secondary prevention however patients in the Ezetimibe Add-On Study were required to be at high risk of CV events);</w:t>
      </w:r>
    </w:p>
    <w:p w14:paraId="75D1AB94" w14:textId="6805523B" w:rsidR="00113478" w:rsidRPr="00113478" w:rsidRDefault="00113478" w:rsidP="00140129">
      <w:pPr>
        <w:numPr>
          <w:ilvl w:val="0"/>
          <w:numId w:val="19"/>
        </w:numPr>
        <w:spacing w:after="0" w:line="264" w:lineRule="auto"/>
        <w:ind w:left="360"/>
        <w:contextualSpacing/>
        <w:jc w:val="both"/>
        <w:rPr>
          <w:rFonts w:ascii="Calibri" w:eastAsia="Calibri" w:hAnsi="Calibri" w:cs="Times New Roman"/>
          <w:i/>
          <w:lang w:eastAsia="en-US"/>
        </w:rPr>
      </w:pPr>
      <w:r w:rsidRPr="00113478">
        <w:rPr>
          <w:rFonts w:ascii="Calibri" w:eastAsia="Calibri" w:hAnsi="Calibri" w:cs="Times New Roman"/>
          <w:i/>
          <w:lang w:eastAsia="en-US"/>
        </w:rPr>
        <w:t>One trial Atorvastatin Filter Study Protocol P00693 (Stein 2002, 2003, 2004</w:t>
      </w:r>
      <w:bookmarkStart w:id="12" w:name="_Ref460663088"/>
      <w:r w:rsidR="004004E5">
        <w:rPr>
          <w:rStyle w:val="EndnoteReference"/>
          <w:rFonts w:ascii="Calibri" w:eastAsia="Calibri" w:hAnsi="Calibri" w:cs="Times New Roman"/>
          <w:i/>
          <w:lang w:eastAsia="en-US"/>
        </w:rPr>
        <w:endnoteReference w:id="8"/>
      </w:r>
      <w:bookmarkEnd w:id="12"/>
      <w:r w:rsidRPr="00113478">
        <w:rPr>
          <w:rFonts w:ascii="Calibri" w:eastAsia="Calibri" w:hAnsi="Calibri" w:cs="Times New Roman"/>
          <w:i/>
          <w:lang w:eastAsia="en-US"/>
        </w:rPr>
        <w:t>; Vermaak 2002, 2003) comparing ezetimibe added to atorvastatin followed by up-titration of atorvastatin vs placebo added to atorvastatin followed by up-titration of atorvastatin in patients with hypercholesterolemia with no limitations on whether patients were receiving primary or secondary prevention however all patients were required to be at high risk of cardiovascular events;</w:t>
      </w:r>
    </w:p>
    <w:p w14:paraId="0F499181" w14:textId="33E8F080" w:rsidR="00113478" w:rsidRPr="00113478" w:rsidRDefault="00113478" w:rsidP="00113478">
      <w:pPr>
        <w:spacing w:after="0" w:line="264" w:lineRule="auto"/>
        <w:rPr>
          <w:rFonts w:ascii="Calibri" w:eastAsia="Calibri" w:hAnsi="Calibri" w:cs="Times New Roman"/>
          <w:i/>
          <w:lang w:eastAsia="en-US"/>
        </w:rPr>
      </w:pPr>
      <w:r w:rsidRPr="00113478">
        <w:rPr>
          <w:rFonts w:ascii="Calibri" w:eastAsia="Calibri" w:hAnsi="Calibri" w:cs="Times New Roman"/>
          <w:i/>
          <w:lang w:eastAsia="en-US"/>
        </w:rPr>
        <w:t>Patients in these trials were not required to be on the maximum tolerated dose of statin at baseline in any of the trials.</w:t>
      </w:r>
    </w:p>
    <w:p w14:paraId="145FC35B" w14:textId="77777777" w:rsidR="00113478" w:rsidRPr="00113478" w:rsidRDefault="00113478" w:rsidP="00113478">
      <w:pPr>
        <w:spacing w:after="0" w:line="264" w:lineRule="auto"/>
        <w:rPr>
          <w:rFonts w:ascii="Calibri" w:eastAsia="Calibri" w:hAnsi="Calibri" w:cs="Times New Roman"/>
          <w:lang w:eastAsia="en-US"/>
        </w:rPr>
      </w:pPr>
    </w:p>
    <w:p w14:paraId="38D62418" w14:textId="77777777" w:rsidR="00113478" w:rsidRPr="00113478" w:rsidRDefault="00113478" w:rsidP="00113478">
      <w:pPr>
        <w:keepNext/>
        <w:keepLines/>
        <w:spacing w:before="40" w:after="0"/>
        <w:outlineLvl w:val="3"/>
        <w:rPr>
          <w:rFonts w:ascii="Calibri Light" w:eastAsia="Times New Roman" w:hAnsi="Calibri Light" w:cs="Times New Roman"/>
          <w:i/>
          <w:iCs/>
          <w:color w:val="0B769D"/>
          <w:lang w:eastAsia="en-US"/>
        </w:rPr>
      </w:pPr>
      <w:r w:rsidRPr="00113478">
        <w:rPr>
          <w:rFonts w:ascii="Calibri Light" w:eastAsia="Times New Roman" w:hAnsi="Calibri Light" w:cs="Times New Roman"/>
          <w:i/>
          <w:iCs/>
          <w:color w:val="0B769D"/>
          <w:lang w:eastAsia="en-US"/>
        </w:rPr>
        <w:t>March 2005</w:t>
      </w:r>
    </w:p>
    <w:p w14:paraId="0A3382BD" w14:textId="77777777" w:rsidR="00113478" w:rsidRPr="00113478" w:rsidRDefault="00113478" w:rsidP="007E7E68">
      <w:pPr>
        <w:spacing w:after="0" w:line="264" w:lineRule="auto"/>
        <w:jc w:val="both"/>
        <w:rPr>
          <w:rFonts w:ascii="Calibri" w:eastAsia="Calibri" w:hAnsi="Calibri" w:cs="Times New Roman"/>
          <w:color w:val="000000"/>
          <w:lang w:eastAsia="en-US"/>
        </w:rPr>
      </w:pPr>
      <w:r w:rsidRPr="00113478">
        <w:rPr>
          <w:rFonts w:ascii="Calibri" w:eastAsia="Calibri" w:hAnsi="Calibri" w:cs="Times New Roman"/>
          <w:color w:val="000000"/>
          <w:lang w:eastAsia="en-US"/>
        </w:rPr>
        <w:t xml:space="preserve">At this meeting, the PBAC recommended listing of a two fixed dose combination (FDC) products for patients </w:t>
      </w:r>
      <w:r w:rsidRPr="00113478">
        <w:rPr>
          <w:rFonts w:ascii="Calibri" w:eastAsia="Calibri" w:hAnsi="Calibri" w:cs="Times New Roman"/>
          <w:iCs/>
          <w:lang w:eastAsia="en-US"/>
        </w:rPr>
        <w:t>with coronary heart disease and/or diabetes and for patients with HoFH</w:t>
      </w:r>
      <w:r w:rsidRPr="00113478">
        <w:rPr>
          <w:rFonts w:ascii="Calibri" w:eastAsia="Calibri" w:hAnsi="Calibri" w:cs="Times New Roman"/>
          <w:lang w:eastAsia="en-US"/>
        </w:rPr>
        <w:t>. O</w:t>
      </w:r>
      <w:r w:rsidRPr="00113478">
        <w:rPr>
          <w:rFonts w:ascii="Calibri" w:eastAsia="Calibri" w:hAnsi="Calibri" w:cs="Times New Roman"/>
          <w:color w:val="000000"/>
          <w:lang w:eastAsia="en-US"/>
        </w:rPr>
        <w:t>ne FDC contained ezetimibe 10mg + simvastatin 40 mg and the other contained ezetimibe 10mg + simvastatin 80 mg. Listing was on a cost-minimisation basis versus the components used concomitantly. The listing required that patients must be stabilised on ezetimibe before being transferred to the FDC product.</w:t>
      </w:r>
    </w:p>
    <w:p w14:paraId="752B5437" w14:textId="77777777" w:rsidR="00113478" w:rsidRPr="00113478" w:rsidRDefault="00113478" w:rsidP="007E7E68">
      <w:pPr>
        <w:spacing w:after="0" w:line="264" w:lineRule="auto"/>
        <w:jc w:val="both"/>
        <w:rPr>
          <w:rFonts w:ascii="Calibri" w:eastAsia="Calibri" w:hAnsi="Calibri" w:cs="Times New Roman"/>
          <w:lang w:eastAsia="en-US"/>
        </w:rPr>
      </w:pPr>
    </w:p>
    <w:p w14:paraId="3DF79A34" w14:textId="77777777" w:rsidR="00113478" w:rsidRPr="00113478" w:rsidRDefault="00113478" w:rsidP="00113478">
      <w:pPr>
        <w:keepNext/>
        <w:keepLines/>
        <w:spacing w:before="40" w:after="0"/>
        <w:outlineLvl w:val="3"/>
        <w:rPr>
          <w:rFonts w:ascii="Calibri Light" w:eastAsia="Times New Roman" w:hAnsi="Calibri Light" w:cs="Times New Roman"/>
          <w:i/>
          <w:iCs/>
          <w:color w:val="0B769D"/>
          <w:lang w:eastAsia="en-US"/>
        </w:rPr>
      </w:pPr>
      <w:r w:rsidRPr="00113478">
        <w:rPr>
          <w:rFonts w:ascii="Calibri Light" w:eastAsia="Times New Roman" w:hAnsi="Calibri Light" w:cs="Times New Roman"/>
          <w:i/>
          <w:iCs/>
          <w:color w:val="0B769D"/>
          <w:lang w:eastAsia="en-US"/>
        </w:rPr>
        <w:t>July 2005</w:t>
      </w:r>
    </w:p>
    <w:p w14:paraId="5A400AF1" w14:textId="0A5F2623" w:rsidR="00113478" w:rsidRPr="00113478" w:rsidRDefault="00113478" w:rsidP="00234175">
      <w:pPr>
        <w:spacing w:after="0" w:line="264" w:lineRule="auto"/>
        <w:rPr>
          <w:rFonts w:ascii="Calibri" w:eastAsia="Calibri" w:hAnsi="Calibri" w:cs="Times New Roman"/>
          <w:color w:val="000000"/>
          <w:lang w:eastAsia="en-US"/>
        </w:rPr>
      </w:pPr>
      <w:r w:rsidRPr="00113478">
        <w:rPr>
          <w:rFonts w:ascii="Calibri" w:eastAsia="Calibri" w:hAnsi="Calibri" w:cs="Times New Roman"/>
          <w:color w:val="000000"/>
          <w:lang w:eastAsia="en-US"/>
        </w:rPr>
        <w:t>At this meeting, the PBAC agreed to removal of the requirement that patients must be stabilised on ezetimibe before being transferred to an FDC product (i.e., permitting patients on statins to directly transfer to the FDC).</w:t>
      </w:r>
    </w:p>
    <w:p w14:paraId="65F0B4BD" w14:textId="77777777" w:rsidR="00113478" w:rsidRPr="00113478" w:rsidRDefault="00113478" w:rsidP="00234175">
      <w:pPr>
        <w:spacing w:after="0" w:line="264" w:lineRule="auto"/>
        <w:rPr>
          <w:rFonts w:ascii="Calibri" w:eastAsia="Calibri" w:hAnsi="Calibri" w:cs="Times New Roman"/>
          <w:lang w:eastAsia="en-US"/>
        </w:rPr>
      </w:pPr>
    </w:p>
    <w:p w14:paraId="5E5293CB" w14:textId="77777777" w:rsidR="00113478" w:rsidRPr="00113478" w:rsidRDefault="00113478" w:rsidP="00234175">
      <w:pPr>
        <w:keepNext/>
        <w:keepLines/>
        <w:spacing w:after="0"/>
        <w:outlineLvl w:val="3"/>
        <w:rPr>
          <w:rFonts w:ascii="Calibri Light" w:eastAsia="Times New Roman" w:hAnsi="Calibri Light" w:cs="Times New Roman"/>
          <w:i/>
          <w:iCs/>
          <w:color w:val="0B769D"/>
          <w:lang w:eastAsia="en-US"/>
        </w:rPr>
      </w:pPr>
      <w:r w:rsidRPr="00113478">
        <w:rPr>
          <w:rFonts w:ascii="Calibri Light" w:eastAsia="Times New Roman" w:hAnsi="Calibri Light" w:cs="Times New Roman"/>
          <w:i/>
          <w:iCs/>
          <w:color w:val="0B769D"/>
          <w:lang w:eastAsia="en-US"/>
        </w:rPr>
        <w:lastRenderedPageBreak/>
        <w:t>November 2005</w:t>
      </w:r>
    </w:p>
    <w:p w14:paraId="20FCCA7C" w14:textId="77777777" w:rsidR="00113478" w:rsidRPr="00113478" w:rsidRDefault="00113478" w:rsidP="00234175">
      <w:pPr>
        <w:spacing w:after="0" w:line="264" w:lineRule="auto"/>
        <w:rPr>
          <w:rFonts w:ascii="Calibri" w:eastAsia="Calibri" w:hAnsi="Calibri" w:cs="Times New Roman"/>
          <w:color w:val="000000"/>
          <w:lang w:eastAsia="en-US"/>
        </w:rPr>
      </w:pPr>
      <w:r w:rsidRPr="00113478">
        <w:rPr>
          <w:rFonts w:ascii="Calibri" w:eastAsia="Calibri" w:hAnsi="Calibri" w:cs="Times New Roman"/>
          <w:color w:val="000000"/>
          <w:lang w:eastAsia="en-US"/>
        </w:rPr>
        <w:t>At this meeting, the PBAC recommended listing of:</w:t>
      </w:r>
    </w:p>
    <w:p w14:paraId="1CF0B491" w14:textId="77777777" w:rsidR="00113478" w:rsidRPr="00113478" w:rsidRDefault="00113478" w:rsidP="00140129">
      <w:pPr>
        <w:numPr>
          <w:ilvl w:val="0"/>
          <w:numId w:val="19"/>
        </w:numPr>
        <w:spacing w:after="0" w:line="264" w:lineRule="auto"/>
        <w:ind w:left="360"/>
        <w:contextualSpacing/>
        <w:jc w:val="both"/>
        <w:rPr>
          <w:rFonts w:ascii="Calibri" w:eastAsia="Calibri" w:hAnsi="Calibri" w:cs="Times New Roman"/>
          <w:i/>
          <w:color w:val="000000"/>
          <w:lang w:eastAsia="en-US"/>
        </w:rPr>
      </w:pPr>
      <w:r w:rsidRPr="00113478">
        <w:rPr>
          <w:rFonts w:ascii="Calibri" w:eastAsia="Calibri" w:hAnsi="Calibri" w:cs="Times New Roman"/>
          <w:color w:val="000000"/>
          <w:lang w:eastAsia="en-US"/>
        </w:rPr>
        <w:t xml:space="preserve">ezetimibe in combination with 40 mg or greater of statin in </w:t>
      </w:r>
      <w:r w:rsidRPr="00113478">
        <w:rPr>
          <w:rFonts w:ascii="Calibri" w:eastAsia="Calibri" w:hAnsi="Calibri" w:cs="Times New Roman"/>
          <w:iCs/>
          <w:color w:val="4E67C8"/>
          <w:lang w:eastAsia="en-US"/>
        </w:rPr>
        <w:t>patients with peripheral vascular disease (PVD)</w:t>
      </w:r>
      <w:r w:rsidRPr="00113478">
        <w:rPr>
          <w:rFonts w:ascii="Calibri" w:eastAsia="Calibri" w:hAnsi="Calibri" w:cs="Times New Roman"/>
          <w:color w:val="000000"/>
          <w:lang w:eastAsia="en-US"/>
        </w:rPr>
        <w:t xml:space="preserve"> whose cholesterol levels remain inadequately controlled after at least 3 months of treatment (i.e., cholesterol level exceed the threshold for initiation of cholesterol-lowering therapy as detailed in the qualifying criteria in the general statement for lipid-lowering drugs).</w:t>
      </w:r>
    </w:p>
    <w:p w14:paraId="594BD705" w14:textId="77777777" w:rsidR="00113478" w:rsidRPr="00113478" w:rsidRDefault="00113478" w:rsidP="00140129">
      <w:pPr>
        <w:numPr>
          <w:ilvl w:val="0"/>
          <w:numId w:val="19"/>
        </w:numPr>
        <w:spacing w:after="0" w:line="264" w:lineRule="auto"/>
        <w:ind w:left="360"/>
        <w:contextualSpacing/>
        <w:rPr>
          <w:rFonts w:ascii="Calibri" w:eastAsia="Calibri" w:hAnsi="Calibri" w:cs="Times New Roman"/>
          <w:color w:val="000000"/>
          <w:lang w:eastAsia="en-US"/>
        </w:rPr>
      </w:pPr>
      <w:r w:rsidRPr="00113478">
        <w:rPr>
          <w:rFonts w:ascii="Calibri" w:eastAsia="Calibri" w:hAnsi="Calibri" w:cs="Times New Roman"/>
          <w:color w:val="000000"/>
          <w:lang w:eastAsia="en-US"/>
        </w:rPr>
        <w:t xml:space="preserve">Ezetimibe in combination with statin in patients with </w:t>
      </w:r>
      <w:r w:rsidRPr="00113478">
        <w:rPr>
          <w:rFonts w:ascii="Calibri" w:eastAsia="Calibri" w:hAnsi="Calibri" w:cs="Times New Roman"/>
          <w:iCs/>
          <w:color w:val="4E67C8"/>
          <w:lang w:eastAsia="en-US"/>
        </w:rPr>
        <w:t>heterozygous familial hypercholesterolaemia (HeFH)</w:t>
      </w:r>
      <w:r w:rsidRPr="00113478">
        <w:rPr>
          <w:rFonts w:ascii="Calibri" w:eastAsia="Calibri" w:hAnsi="Calibri" w:cs="Times New Roman"/>
          <w:color w:val="000000"/>
          <w:lang w:eastAsia="en-US"/>
        </w:rPr>
        <w:t>.</w:t>
      </w:r>
    </w:p>
    <w:p w14:paraId="4D84CB6F" w14:textId="77777777" w:rsidR="00113478" w:rsidRPr="00113478" w:rsidRDefault="00113478" w:rsidP="00113478">
      <w:pPr>
        <w:spacing w:after="0" w:line="264" w:lineRule="auto"/>
        <w:rPr>
          <w:rFonts w:ascii="Calibri" w:eastAsia="Calibri" w:hAnsi="Calibri" w:cs="Times New Roman"/>
          <w:color w:val="000000"/>
          <w:lang w:eastAsia="en-US"/>
        </w:rPr>
      </w:pPr>
    </w:p>
    <w:p w14:paraId="7A7D3B63" w14:textId="77777777" w:rsidR="00113478" w:rsidRPr="00113478" w:rsidRDefault="00113478" w:rsidP="00113478">
      <w:pPr>
        <w:spacing w:after="0" w:line="264" w:lineRule="auto"/>
        <w:jc w:val="both"/>
        <w:rPr>
          <w:rFonts w:ascii="Calibri" w:eastAsia="Calibri" w:hAnsi="Calibri" w:cs="Times New Roman"/>
          <w:color w:val="000000"/>
          <w:lang w:eastAsia="en-US"/>
        </w:rPr>
      </w:pPr>
      <w:r w:rsidRPr="00113478">
        <w:rPr>
          <w:rFonts w:ascii="Calibri" w:eastAsia="Calibri" w:hAnsi="Calibri" w:cs="Times New Roman"/>
          <w:i/>
          <w:lang w:eastAsia="en-US"/>
        </w:rPr>
        <w:t>The evidentiary basis considered by the PBAC comprised:</w:t>
      </w:r>
    </w:p>
    <w:p w14:paraId="315C2B8B" w14:textId="77777777" w:rsidR="00113478" w:rsidRPr="00113478" w:rsidRDefault="00113478" w:rsidP="00140129">
      <w:pPr>
        <w:numPr>
          <w:ilvl w:val="0"/>
          <w:numId w:val="19"/>
        </w:numPr>
        <w:spacing w:after="0" w:line="264" w:lineRule="auto"/>
        <w:ind w:left="360"/>
        <w:contextualSpacing/>
        <w:jc w:val="both"/>
        <w:rPr>
          <w:rFonts w:ascii="Calibri" w:eastAsia="Calibri" w:hAnsi="Calibri" w:cs="Times New Roman"/>
          <w:i/>
          <w:lang w:eastAsia="en-US"/>
        </w:rPr>
      </w:pPr>
      <w:r w:rsidRPr="00113478">
        <w:rPr>
          <w:rFonts w:ascii="Calibri" w:eastAsia="Calibri" w:hAnsi="Calibri" w:cs="Times New Roman"/>
          <w:i/>
          <w:lang w:eastAsia="en-US"/>
        </w:rPr>
        <w:t>For the PVD indication</w:t>
      </w:r>
    </w:p>
    <w:p w14:paraId="37FF4099" w14:textId="0B7BE6A4" w:rsidR="00113478" w:rsidRPr="00113478" w:rsidRDefault="00113478" w:rsidP="00140129">
      <w:pPr>
        <w:numPr>
          <w:ilvl w:val="1"/>
          <w:numId w:val="19"/>
        </w:numPr>
        <w:spacing w:after="0" w:line="264" w:lineRule="auto"/>
        <w:ind w:left="720"/>
        <w:contextualSpacing/>
        <w:jc w:val="both"/>
        <w:rPr>
          <w:rFonts w:ascii="Calibri" w:eastAsia="Calibri" w:hAnsi="Calibri" w:cs="Times New Roman"/>
          <w:i/>
          <w:lang w:eastAsia="en-US"/>
        </w:rPr>
      </w:pPr>
      <w:r w:rsidRPr="00113478">
        <w:rPr>
          <w:rFonts w:ascii="Calibri" w:eastAsia="Calibri" w:hAnsi="Calibri" w:cs="Times New Roman"/>
          <w:i/>
          <w:lang w:eastAsia="en-US"/>
        </w:rPr>
        <w:t>two trials previously considered at the June and December 2003 PBAC meetings (Ezetimibe Add-on Study P02173/P02246 [Gagne 2002</w:t>
      </w:r>
      <w:r w:rsidR="00B50E4F">
        <w:rPr>
          <w:rFonts w:ascii="Calibri" w:eastAsia="Calibri" w:hAnsi="Calibri" w:cs="Times New Roman"/>
          <w:i/>
          <w:lang w:eastAsia="en-US"/>
        </w:rPr>
        <w:fldChar w:fldCharType="begin"/>
      </w:r>
      <w:r w:rsidR="00B50E4F">
        <w:rPr>
          <w:rFonts w:ascii="Calibri" w:eastAsia="Calibri" w:hAnsi="Calibri" w:cs="Times New Roman"/>
          <w:i/>
          <w:lang w:eastAsia="en-US"/>
        </w:rPr>
        <w:instrText xml:space="preserve"> NOTEREF _Ref460663066 \f \h </w:instrText>
      </w:r>
      <w:r w:rsidR="00B50E4F">
        <w:rPr>
          <w:rFonts w:ascii="Calibri" w:eastAsia="Calibri" w:hAnsi="Calibri" w:cs="Times New Roman"/>
          <w:i/>
          <w:lang w:eastAsia="en-US"/>
        </w:rPr>
      </w:r>
      <w:r w:rsidR="00B50E4F">
        <w:rPr>
          <w:rFonts w:ascii="Calibri" w:eastAsia="Calibri" w:hAnsi="Calibri" w:cs="Times New Roman"/>
          <w:i/>
          <w:lang w:eastAsia="en-US"/>
        </w:rPr>
        <w:fldChar w:fldCharType="separate"/>
      </w:r>
      <w:r w:rsidR="00CA6F76" w:rsidRPr="00CA6F76">
        <w:rPr>
          <w:rStyle w:val="EndnoteReference"/>
        </w:rPr>
        <w:t>6</w:t>
      </w:r>
      <w:r w:rsidR="00B50E4F">
        <w:rPr>
          <w:rFonts w:ascii="Calibri" w:eastAsia="Calibri" w:hAnsi="Calibri" w:cs="Times New Roman"/>
          <w:i/>
          <w:lang w:eastAsia="en-US"/>
        </w:rPr>
        <w:fldChar w:fldCharType="end"/>
      </w:r>
      <w:r w:rsidRPr="00113478">
        <w:rPr>
          <w:rFonts w:ascii="Calibri" w:eastAsia="Calibri" w:hAnsi="Calibri" w:cs="Times New Roman"/>
          <w:i/>
          <w:lang w:eastAsia="en-US"/>
        </w:rPr>
        <w:t>, Simons 2004</w:t>
      </w:r>
      <w:r w:rsidR="00B50E4F">
        <w:rPr>
          <w:rFonts w:ascii="Calibri" w:eastAsia="Calibri" w:hAnsi="Calibri" w:cs="Times New Roman"/>
          <w:i/>
          <w:lang w:eastAsia="en-US"/>
        </w:rPr>
        <w:fldChar w:fldCharType="begin"/>
      </w:r>
      <w:r w:rsidR="00B50E4F">
        <w:rPr>
          <w:rFonts w:ascii="Calibri" w:eastAsia="Calibri" w:hAnsi="Calibri" w:cs="Times New Roman"/>
          <w:i/>
          <w:lang w:eastAsia="en-US"/>
        </w:rPr>
        <w:instrText xml:space="preserve"> NOTEREF _Ref460663075 \f \h </w:instrText>
      </w:r>
      <w:r w:rsidR="00B50E4F">
        <w:rPr>
          <w:rFonts w:ascii="Calibri" w:eastAsia="Calibri" w:hAnsi="Calibri" w:cs="Times New Roman"/>
          <w:i/>
          <w:lang w:eastAsia="en-US"/>
        </w:rPr>
      </w:r>
      <w:r w:rsidR="00B50E4F">
        <w:rPr>
          <w:rFonts w:ascii="Calibri" w:eastAsia="Calibri" w:hAnsi="Calibri" w:cs="Times New Roman"/>
          <w:i/>
          <w:lang w:eastAsia="en-US"/>
        </w:rPr>
        <w:fldChar w:fldCharType="separate"/>
      </w:r>
      <w:r w:rsidR="00CA6F76" w:rsidRPr="00CA6F76">
        <w:rPr>
          <w:rStyle w:val="EndnoteReference"/>
        </w:rPr>
        <w:t>7</w:t>
      </w:r>
      <w:r w:rsidR="00B50E4F">
        <w:rPr>
          <w:rFonts w:ascii="Calibri" w:eastAsia="Calibri" w:hAnsi="Calibri" w:cs="Times New Roman"/>
          <w:i/>
          <w:lang w:eastAsia="en-US"/>
        </w:rPr>
        <w:fldChar w:fldCharType="end"/>
      </w:r>
      <w:r w:rsidRPr="00113478">
        <w:rPr>
          <w:rFonts w:ascii="Calibri" w:eastAsia="Calibri" w:hAnsi="Calibri" w:cs="Times New Roman"/>
          <w:i/>
          <w:lang w:eastAsia="en-US"/>
        </w:rPr>
        <w:t>] and Atorvastatin Filter Study Protocol P00693 [Stein 2002, 2003, 2004</w:t>
      </w:r>
      <w:r w:rsidR="00B50E4F">
        <w:rPr>
          <w:rFonts w:ascii="Calibri" w:eastAsia="Calibri" w:hAnsi="Calibri" w:cs="Times New Roman"/>
          <w:i/>
          <w:lang w:eastAsia="en-US"/>
        </w:rPr>
        <w:fldChar w:fldCharType="begin"/>
      </w:r>
      <w:r w:rsidR="00B50E4F">
        <w:rPr>
          <w:rFonts w:ascii="Calibri" w:eastAsia="Calibri" w:hAnsi="Calibri" w:cs="Times New Roman"/>
          <w:i/>
          <w:lang w:eastAsia="en-US"/>
        </w:rPr>
        <w:instrText xml:space="preserve"> NOTEREF _Ref460663088 \f \h </w:instrText>
      </w:r>
      <w:r w:rsidR="00B50E4F">
        <w:rPr>
          <w:rFonts w:ascii="Calibri" w:eastAsia="Calibri" w:hAnsi="Calibri" w:cs="Times New Roman"/>
          <w:i/>
          <w:lang w:eastAsia="en-US"/>
        </w:rPr>
      </w:r>
      <w:r w:rsidR="00B50E4F">
        <w:rPr>
          <w:rFonts w:ascii="Calibri" w:eastAsia="Calibri" w:hAnsi="Calibri" w:cs="Times New Roman"/>
          <w:i/>
          <w:lang w:eastAsia="en-US"/>
        </w:rPr>
        <w:fldChar w:fldCharType="separate"/>
      </w:r>
      <w:r w:rsidR="00CA6F76" w:rsidRPr="00CA6F76">
        <w:rPr>
          <w:rStyle w:val="EndnoteReference"/>
        </w:rPr>
        <w:t>8</w:t>
      </w:r>
      <w:r w:rsidR="00B50E4F">
        <w:rPr>
          <w:rFonts w:ascii="Calibri" w:eastAsia="Calibri" w:hAnsi="Calibri" w:cs="Times New Roman"/>
          <w:i/>
          <w:lang w:eastAsia="en-US"/>
        </w:rPr>
        <w:fldChar w:fldCharType="end"/>
      </w:r>
      <w:r w:rsidRPr="00113478">
        <w:rPr>
          <w:rFonts w:ascii="Calibri" w:eastAsia="Calibri" w:hAnsi="Calibri" w:cs="Times New Roman"/>
          <w:i/>
          <w:lang w:eastAsia="en-US"/>
        </w:rPr>
        <w:t>; Vermaak 2002, 2003]</w:t>
      </w:r>
    </w:p>
    <w:p w14:paraId="565E03E6" w14:textId="0908D99B" w:rsidR="00113478" w:rsidRPr="00113478" w:rsidRDefault="00113478" w:rsidP="00140129">
      <w:pPr>
        <w:numPr>
          <w:ilvl w:val="1"/>
          <w:numId w:val="19"/>
        </w:numPr>
        <w:spacing w:after="0" w:line="264" w:lineRule="auto"/>
        <w:ind w:left="720"/>
        <w:contextualSpacing/>
        <w:jc w:val="both"/>
        <w:rPr>
          <w:rFonts w:ascii="Calibri" w:eastAsia="Calibri" w:hAnsi="Calibri" w:cs="Times New Roman"/>
          <w:i/>
          <w:lang w:eastAsia="en-US"/>
        </w:rPr>
      </w:pPr>
      <w:r w:rsidRPr="00113478">
        <w:rPr>
          <w:rFonts w:ascii="Calibri" w:eastAsia="Calibri" w:hAnsi="Calibri" w:cs="Times New Roman"/>
          <w:i/>
          <w:lang w:eastAsia="en-US"/>
        </w:rPr>
        <w:t>supporting evidence from the following seven studies: 1)The EASE study (Pearson 2005</w:t>
      </w:r>
      <w:bookmarkStart w:id="13" w:name="_Ref460669801"/>
      <w:r w:rsidR="00B50E4F">
        <w:rPr>
          <w:rStyle w:val="EndnoteReference"/>
          <w:rFonts w:ascii="Calibri" w:eastAsia="Calibri" w:hAnsi="Calibri" w:cs="Times New Roman"/>
          <w:i/>
          <w:lang w:eastAsia="en-US"/>
        </w:rPr>
        <w:endnoteReference w:id="9"/>
      </w:r>
      <w:bookmarkEnd w:id="13"/>
      <w:r w:rsidRPr="00113478">
        <w:rPr>
          <w:rFonts w:ascii="Calibri" w:eastAsia="Calibri" w:hAnsi="Calibri" w:cs="Times New Roman"/>
          <w:i/>
          <w:lang w:eastAsia="en-US"/>
        </w:rPr>
        <w:t>, Denke 2004), a trial which compared addition of ezetimibe or placebo to background statin therapy in patients with diabetes, metabolic syndrome or metabolic dyslipidaemia who had LDL-c levels that exceeded targets recommended by the US National Cholesterol Education Program Adult Treatment Panel III Guidelines (NCEP ATPIII); 2) Wierzbicki 2005</w:t>
      </w:r>
      <w:r w:rsidR="002C2173">
        <w:rPr>
          <w:rStyle w:val="EndnoteReference"/>
          <w:rFonts w:ascii="Calibri" w:eastAsia="Calibri" w:hAnsi="Calibri" w:cs="Times New Roman"/>
          <w:i/>
          <w:lang w:eastAsia="en-US"/>
        </w:rPr>
        <w:endnoteReference w:id="10"/>
      </w:r>
      <w:r w:rsidRPr="00113478">
        <w:rPr>
          <w:rFonts w:ascii="Calibri" w:eastAsia="Calibri" w:hAnsi="Calibri" w:cs="Times New Roman"/>
          <w:i/>
          <w:lang w:eastAsia="en-US"/>
        </w:rPr>
        <w:t>, a before-and-after study investigating addition of ezetimibe to maximally tolerated doses of statins in patients with HeFH; 3) Protocol 801 (Brohet 2005</w:t>
      </w:r>
      <w:bookmarkStart w:id="14" w:name="_Ref460669818"/>
      <w:r w:rsidR="00946082">
        <w:rPr>
          <w:rStyle w:val="EndnoteReference"/>
          <w:rFonts w:ascii="Calibri" w:eastAsia="Calibri" w:hAnsi="Calibri" w:cs="Times New Roman"/>
          <w:i/>
          <w:lang w:eastAsia="en-US"/>
        </w:rPr>
        <w:endnoteReference w:id="11"/>
      </w:r>
      <w:bookmarkEnd w:id="14"/>
      <w:r w:rsidRPr="00113478">
        <w:rPr>
          <w:rFonts w:ascii="Calibri" w:eastAsia="Calibri" w:hAnsi="Calibri" w:cs="Times New Roman"/>
          <w:i/>
          <w:lang w:eastAsia="en-US"/>
        </w:rPr>
        <w:t>), a trial comparing addition of ezetimibe to addition of placebo to background therapy with simvastatin in patients with documented CHD and hypercholesterolaemia (LDL-c between 2.6 and 4.2 mmol/L); 4) Geiss 2004, 2005</w:t>
      </w:r>
      <w:r w:rsidR="002C2173">
        <w:rPr>
          <w:rStyle w:val="EndnoteReference"/>
          <w:rFonts w:ascii="Calibri" w:eastAsia="Calibri" w:hAnsi="Calibri" w:cs="Times New Roman"/>
          <w:i/>
          <w:lang w:eastAsia="en-US"/>
        </w:rPr>
        <w:endnoteReference w:id="12"/>
      </w:r>
      <w:r w:rsidRPr="00113478">
        <w:rPr>
          <w:rFonts w:ascii="Calibri" w:eastAsia="Calibri" w:hAnsi="Calibri" w:cs="Times New Roman"/>
          <w:i/>
          <w:lang w:eastAsia="en-US"/>
        </w:rPr>
        <w:t>, a crossover study comparing addition of ezetimibe or placebo to background therapy with statins and apheresis in patients with severe hypercholesterolaemia and documented CHD; 5) Protocol 023 (Feldman</w:t>
      </w:r>
      <w:bookmarkStart w:id="15" w:name="_Ref460678076"/>
      <w:r w:rsidR="00C00758">
        <w:rPr>
          <w:rStyle w:val="EndnoteReference"/>
          <w:rFonts w:ascii="Calibri" w:eastAsia="Calibri" w:hAnsi="Calibri" w:cs="Times New Roman"/>
          <w:i/>
          <w:lang w:eastAsia="en-US"/>
        </w:rPr>
        <w:endnoteReference w:id="13"/>
      </w:r>
      <w:bookmarkEnd w:id="15"/>
      <w:r w:rsidRPr="00113478">
        <w:rPr>
          <w:rFonts w:ascii="Calibri" w:eastAsia="Calibri" w:hAnsi="Calibri" w:cs="Times New Roman"/>
          <w:i/>
          <w:lang w:eastAsia="en-US"/>
        </w:rPr>
        <w:t xml:space="preserve"> 2004), a trial comparing up-titration of atorvastatin with ezetimibe + up-titration of simvastatin in patients with high risk of CV events (CHD or equivalent risk) and hypercholesterolaemia (LDL-c &gt;3.4 mmol/L); 6) Protocol 051 (Ballanatyne 2004</w:t>
      </w:r>
      <w:bookmarkStart w:id="16" w:name="_Ref460670294"/>
      <w:r w:rsidR="00946082">
        <w:rPr>
          <w:rStyle w:val="EndnoteReference"/>
          <w:rFonts w:ascii="Calibri" w:eastAsia="Calibri" w:hAnsi="Calibri" w:cs="Times New Roman"/>
          <w:i/>
          <w:lang w:eastAsia="en-US"/>
        </w:rPr>
        <w:endnoteReference w:id="14"/>
      </w:r>
      <w:bookmarkEnd w:id="16"/>
      <w:r w:rsidRPr="00113478">
        <w:rPr>
          <w:rFonts w:ascii="Calibri" w:eastAsia="Calibri" w:hAnsi="Calibri" w:cs="Times New Roman"/>
          <w:i/>
          <w:lang w:eastAsia="en-US"/>
        </w:rPr>
        <w:t>, 2005</w:t>
      </w:r>
      <w:bookmarkStart w:id="17" w:name="_Ref460672374"/>
      <w:r w:rsidR="00946082">
        <w:rPr>
          <w:rStyle w:val="EndnoteReference"/>
          <w:rFonts w:ascii="Calibri" w:eastAsia="Calibri" w:hAnsi="Calibri" w:cs="Times New Roman"/>
          <w:i/>
          <w:lang w:eastAsia="en-US"/>
        </w:rPr>
        <w:endnoteReference w:id="15"/>
      </w:r>
      <w:bookmarkEnd w:id="17"/>
      <w:r w:rsidRPr="00113478">
        <w:rPr>
          <w:rFonts w:ascii="Calibri" w:eastAsia="Calibri" w:hAnsi="Calibri" w:cs="Times New Roman"/>
          <w:i/>
          <w:lang w:eastAsia="en-US"/>
        </w:rPr>
        <w:t>), a trial comparing addition of ezetimibe and placebo to background simvastatin therapy and to atorvastatin monotherapy in patients with high risk of CV events (due to CHD or combination of risk factors that include LDL-c at baseline); 7) Protocol 021 (Gaudiani 2004, 2005</w:t>
      </w:r>
      <w:bookmarkStart w:id="18" w:name="_Ref460674610"/>
      <w:r w:rsidR="00946082">
        <w:rPr>
          <w:rStyle w:val="EndnoteReference"/>
          <w:rFonts w:ascii="Calibri" w:eastAsia="Calibri" w:hAnsi="Calibri" w:cs="Times New Roman"/>
          <w:i/>
          <w:lang w:eastAsia="en-US"/>
        </w:rPr>
        <w:endnoteReference w:id="16"/>
      </w:r>
      <w:bookmarkEnd w:id="18"/>
      <w:r w:rsidRPr="00113478">
        <w:rPr>
          <w:rFonts w:ascii="Calibri" w:eastAsia="Calibri" w:hAnsi="Calibri" w:cs="Times New Roman"/>
          <w:i/>
          <w:lang w:eastAsia="en-US"/>
        </w:rPr>
        <w:t xml:space="preserve">), a trial comparing addition of ezetimibe to simvastatin 20 mg with up-titration of simvastatin to 40 mg in patients with thizolidinedione-treated type 2 diabetes mellitus. </w:t>
      </w:r>
    </w:p>
    <w:p w14:paraId="6FC871FB" w14:textId="77777777" w:rsidR="00113478" w:rsidRPr="00113478" w:rsidRDefault="00113478" w:rsidP="00140129">
      <w:pPr>
        <w:keepNext/>
        <w:numPr>
          <w:ilvl w:val="0"/>
          <w:numId w:val="19"/>
        </w:numPr>
        <w:spacing w:after="0" w:line="264" w:lineRule="auto"/>
        <w:ind w:left="357" w:hanging="357"/>
        <w:contextualSpacing/>
        <w:jc w:val="both"/>
        <w:rPr>
          <w:rFonts w:ascii="Calibri" w:eastAsia="Calibri" w:hAnsi="Calibri" w:cs="Times New Roman"/>
          <w:i/>
          <w:lang w:eastAsia="en-US"/>
        </w:rPr>
      </w:pPr>
      <w:r w:rsidRPr="00113478">
        <w:rPr>
          <w:rFonts w:ascii="Calibri" w:eastAsia="Calibri" w:hAnsi="Calibri" w:cs="Times New Roman"/>
          <w:i/>
          <w:lang w:eastAsia="en-US"/>
        </w:rPr>
        <w:t>For the HeFH indication</w:t>
      </w:r>
    </w:p>
    <w:p w14:paraId="77C9ABCE" w14:textId="2B4BE8D6" w:rsidR="00113478" w:rsidRPr="00113478" w:rsidRDefault="00113478" w:rsidP="00140129">
      <w:pPr>
        <w:numPr>
          <w:ilvl w:val="1"/>
          <w:numId w:val="19"/>
        </w:numPr>
        <w:spacing w:after="0" w:line="264" w:lineRule="auto"/>
        <w:ind w:left="720"/>
        <w:contextualSpacing/>
        <w:jc w:val="both"/>
        <w:rPr>
          <w:rFonts w:ascii="Calibri" w:eastAsia="Calibri" w:hAnsi="Calibri" w:cs="Times New Roman"/>
          <w:i/>
          <w:lang w:eastAsia="en-US"/>
        </w:rPr>
      </w:pPr>
      <w:r w:rsidRPr="00113478">
        <w:rPr>
          <w:rFonts w:ascii="Calibri" w:eastAsia="Calibri" w:hAnsi="Calibri" w:cs="Times New Roman"/>
          <w:i/>
          <w:lang w:eastAsia="en-US"/>
        </w:rPr>
        <w:t>a subgroup analysis of HeFH patients included in the Astorvastatin Filter Study Protocol 00693 (Stein 2002, 2003, 2004</w:t>
      </w:r>
      <w:r w:rsidR="00946082">
        <w:rPr>
          <w:rFonts w:ascii="Calibri" w:eastAsia="Calibri" w:hAnsi="Calibri" w:cs="Times New Roman"/>
          <w:i/>
          <w:lang w:eastAsia="en-US"/>
        </w:rPr>
        <w:fldChar w:fldCharType="begin"/>
      </w:r>
      <w:r w:rsidR="00946082">
        <w:rPr>
          <w:rFonts w:ascii="Calibri" w:eastAsia="Calibri" w:hAnsi="Calibri" w:cs="Times New Roman"/>
          <w:i/>
          <w:lang w:eastAsia="en-US"/>
        </w:rPr>
        <w:instrText xml:space="preserve"> NOTEREF _Ref460663088 \f \h </w:instrText>
      </w:r>
      <w:r w:rsidR="00946082">
        <w:rPr>
          <w:rFonts w:ascii="Calibri" w:eastAsia="Calibri" w:hAnsi="Calibri" w:cs="Times New Roman"/>
          <w:i/>
          <w:lang w:eastAsia="en-US"/>
        </w:rPr>
      </w:r>
      <w:r w:rsidR="00946082">
        <w:rPr>
          <w:rFonts w:ascii="Calibri" w:eastAsia="Calibri" w:hAnsi="Calibri" w:cs="Times New Roman"/>
          <w:i/>
          <w:lang w:eastAsia="en-US"/>
        </w:rPr>
        <w:fldChar w:fldCharType="separate"/>
      </w:r>
      <w:r w:rsidR="00CA6F76" w:rsidRPr="00CA6F76">
        <w:rPr>
          <w:rStyle w:val="EndnoteReference"/>
        </w:rPr>
        <w:t>8</w:t>
      </w:r>
      <w:r w:rsidR="00946082">
        <w:rPr>
          <w:rFonts w:ascii="Calibri" w:eastAsia="Calibri" w:hAnsi="Calibri" w:cs="Times New Roman"/>
          <w:i/>
          <w:lang w:eastAsia="en-US"/>
        </w:rPr>
        <w:fldChar w:fldCharType="end"/>
      </w:r>
      <w:r w:rsidRPr="00113478">
        <w:rPr>
          <w:rFonts w:ascii="Calibri" w:eastAsia="Calibri" w:hAnsi="Calibri" w:cs="Times New Roman"/>
          <w:i/>
          <w:lang w:eastAsia="en-US"/>
        </w:rPr>
        <w:t>; Vermaak 2002, 2003).  Supporting evidence was as specified above for the PVD indication.</w:t>
      </w:r>
    </w:p>
    <w:p w14:paraId="0ED10755" w14:textId="77777777" w:rsidR="00113478" w:rsidRPr="00113478" w:rsidRDefault="00113478" w:rsidP="00113478">
      <w:pPr>
        <w:spacing w:after="0" w:line="264" w:lineRule="auto"/>
        <w:jc w:val="both"/>
        <w:rPr>
          <w:rFonts w:ascii="Calibri" w:eastAsia="Calibri" w:hAnsi="Calibri" w:cs="Times New Roman"/>
          <w:lang w:eastAsia="en-US"/>
        </w:rPr>
      </w:pPr>
    </w:p>
    <w:p w14:paraId="04130759" w14:textId="77777777" w:rsidR="00113478" w:rsidRPr="00113478" w:rsidRDefault="00113478" w:rsidP="007E7E68">
      <w:pPr>
        <w:spacing w:after="0" w:line="264" w:lineRule="auto"/>
        <w:jc w:val="both"/>
        <w:rPr>
          <w:rFonts w:ascii="Calibri" w:eastAsia="Calibri" w:hAnsi="Calibri" w:cs="Times New Roman"/>
          <w:lang w:eastAsia="en-US"/>
        </w:rPr>
      </w:pPr>
      <w:r w:rsidRPr="00113478">
        <w:rPr>
          <w:rFonts w:ascii="Calibri" w:eastAsia="Calibri" w:hAnsi="Calibri" w:cs="Times New Roman"/>
          <w:lang w:eastAsia="en-US"/>
        </w:rPr>
        <w:t>The submission also requested PBS-listing of ezetimibe in combination with statin in patients with symptomatic cerebrovascular disease (CVD) but the PBAC rejected this request because the General Statement for Lipid-Lowering Drugs current at the time did not include this patient group. However, the Committee indicated that it had no objection to the inclusion of this patient group if and when the recommended changes to the General Statement occurred. On 5 September 2006, an announcement was made that the new GSLLD as recommended by the PBAC would be implemented on 1 October 2006. Consequent to these changes, the listing of ezetimibe and ezetimibe + simvastatin FDCs were changed to include patients with symptomatic cerebrovascular disease.</w:t>
      </w:r>
    </w:p>
    <w:p w14:paraId="483544D4" w14:textId="77777777" w:rsidR="00113478" w:rsidRPr="00113478" w:rsidRDefault="00113478" w:rsidP="00234175">
      <w:pPr>
        <w:spacing w:after="0" w:line="264" w:lineRule="auto"/>
        <w:rPr>
          <w:rFonts w:ascii="Calibri" w:eastAsia="Calibri" w:hAnsi="Calibri" w:cs="Times New Roman"/>
          <w:lang w:eastAsia="en-US"/>
        </w:rPr>
      </w:pPr>
    </w:p>
    <w:p w14:paraId="3E9E5CD2" w14:textId="77777777" w:rsidR="00113478" w:rsidRPr="00113478" w:rsidRDefault="00113478" w:rsidP="00D21C8B">
      <w:pPr>
        <w:keepNext/>
        <w:keepLines/>
        <w:spacing w:after="0" w:line="240" w:lineRule="auto"/>
        <w:outlineLvl w:val="3"/>
        <w:rPr>
          <w:rFonts w:ascii="Calibri Light" w:eastAsia="Times New Roman" w:hAnsi="Calibri Light" w:cs="Times New Roman"/>
          <w:i/>
          <w:iCs/>
          <w:color w:val="0B769D"/>
          <w:lang w:eastAsia="en-US"/>
        </w:rPr>
      </w:pPr>
      <w:r w:rsidRPr="00113478">
        <w:rPr>
          <w:rFonts w:ascii="Calibri Light" w:eastAsia="Times New Roman" w:hAnsi="Calibri Light" w:cs="Times New Roman"/>
          <w:i/>
          <w:iCs/>
          <w:color w:val="0B769D"/>
          <w:lang w:eastAsia="en-US"/>
        </w:rPr>
        <w:lastRenderedPageBreak/>
        <w:t>November 2006</w:t>
      </w:r>
    </w:p>
    <w:p w14:paraId="5C5BBC07" w14:textId="77777777" w:rsidR="00113478" w:rsidRPr="00113478" w:rsidRDefault="00113478" w:rsidP="00D21C8B">
      <w:pPr>
        <w:spacing w:after="0" w:line="240" w:lineRule="auto"/>
        <w:rPr>
          <w:rFonts w:ascii="Calibri" w:eastAsia="Calibri" w:hAnsi="Calibri" w:cs="Times New Roman"/>
          <w:color w:val="000000"/>
          <w:lang w:eastAsia="en-US"/>
        </w:rPr>
      </w:pPr>
      <w:r w:rsidRPr="00113478">
        <w:rPr>
          <w:rFonts w:ascii="Calibri" w:eastAsia="Calibri" w:hAnsi="Calibri" w:cs="Times New Roman"/>
          <w:color w:val="000000"/>
          <w:lang w:eastAsia="en-US"/>
        </w:rPr>
        <w:t>At this meeting, the PBAC recommended listing of:</w:t>
      </w:r>
    </w:p>
    <w:p w14:paraId="46494D48" w14:textId="77777777" w:rsidR="00113478" w:rsidRPr="00113478" w:rsidRDefault="00113478" w:rsidP="00D21C8B">
      <w:pPr>
        <w:numPr>
          <w:ilvl w:val="0"/>
          <w:numId w:val="19"/>
        </w:numPr>
        <w:spacing w:after="0" w:line="240" w:lineRule="auto"/>
        <w:ind w:left="360"/>
        <w:contextualSpacing/>
        <w:rPr>
          <w:rFonts w:ascii="Calibri" w:eastAsia="Calibri" w:hAnsi="Calibri" w:cs="Times New Roman"/>
          <w:i/>
          <w:color w:val="000000"/>
          <w:lang w:eastAsia="en-US"/>
        </w:rPr>
      </w:pPr>
      <w:r w:rsidRPr="00113478">
        <w:rPr>
          <w:rFonts w:ascii="Calibri" w:eastAsia="Calibri" w:hAnsi="Calibri" w:cs="Times New Roman"/>
          <w:lang w:eastAsia="en-US"/>
        </w:rPr>
        <w:t xml:space="preserve">Ezetimibe in combination with 40 mg or greater of statin in </w:t>
      </w:r>
      <w:r w:rsidRPr="00113478">
        <w:rPr>
          <w:rFonts w:ascii="Calibri" w:eastAsia="Calibri" w:hAnsi="Calibri" w:cs="Times New Roman"/>
          <w:iCs/>
          <w:color w:val="4E67C8"/>
          <w:lang w:eastAsia="en-US"/>
        </w:rPr>
        <w:t>patients with hypertension</w:t>
      </w:r>
      <w:r w:rsidRPr="00113478">
        <w:rPr>
          <w:rFonts w:ascii="Calibri" w:eastAsia="Calibri" w:hAnsi="Calibri" w:cs="Times New Roman"/>
          <w:color w:val="000000"/>
          <w:lang w:eastAsia="en-US"/>
        </w:rPr>
        <w:t xml:space="preserve"> whose cholesterol levels remain inadequately controlled</w:t>
      </w:r>
    </w:p>
    <w:p w14:paraId="05269CD9" w14:textId="77777777" w:rsidR="00113478" w:rsidRPr="00113478" w:rsidRDefault="00113478" w:rsidP="00D21C8B">
      <w:pPr>
        <w:numPr>
          <w:ilvl w:val="0"/>
          <w:numId w:val="19"/>
        </w:numPr>
        <w:spacing w:after="0" w:line="240" w:lineRule="auto"/>
        <w:ind w:left="360"/>
        <w:contextualSpacing/>
        <w:rPr>
          <w:rFonts w:ascii="Calibri" w:eastAsia="Calibri" w:hAnsi="Calibri" w:cs="Times New Roman"/>
          <w:i/>
          <w:lang w:eastAsia="en-US"/>
        </w:rPr>
      </w:pPr>
      <w:r w:rsidRPr="00113478">
        <w:rPr>
          <w:rFonts w:ascii="Calibri" w:eastAsia="Calibri" w:hAnsi="Calibri" w:cs="Times New Roman"/>
          <w:color w:val="000000"/>
          <w:lang w:eastAsia="en-US"/>
        </w:rPr>
        <w:t xml:space="preserve">Ezetimibe in combination with 40 mg or greater of statin in </w:t>
      </w:r>
      <w:r w:rsidRPr="00113478">
        <w:rPr>
          <w:rFonts w:ascii="Calibri" w:eastAsia="Calibri" w:hAnsi="Calibri" w:cs="Times New Roman"/>
          <w:iCs/>
          <w:color w:val="4E67C8"/>
          <w:lang w:eastAsia="en-US"/>
        </w:rPr>
        <w:t>patients with a family history of coronary heart disease</w:t>
      </w:r>
      <w:r w:rsidRPr="00113478">
        <w:rPr>
          <w:rFonts w:ascii="Calibri" w:eastAsia="Calibri" w:hAnsi="Calibri" w:cs="Times New Roman"/>
          <w:color w:val="000000"/>
          <w:lang w:eastAsia="en-US"/>
        </w:rPr>
        <w:t xml:space="preserve"> whose cholesterol levels remain inadequately controlled.</w:t>
      </w:r>
    </w:p>
    <w:p w14:paraId="355BF491" w14:textId="77777777" w:rsidR="00113478" w:rsidRPr="00113478" w:rsidRDefault="00113478" w:rsidP="00D21C8B">
      <w:pPr>
        <w:spacing w:after="0" w:line="240" w:lineRule="auto"/>
        <w:rPr>
          <w:rFonts w:ascii="Calibri" w:eastAsia="Calibri" w:hAnsi="Calibri" w:cs="Times New Roman"/>
          <w:i/>
          <w:lang w:eastAsia="en-US"/>
        </w:rPr>
      </w:pPr>
    </w:p>
    <w:p w14:paraId="23C2404F" w14:textId="29FF7A45" w:rsidR="00113478" w:rsidRPr="00113478" w:rsidRDefault="00113478" w:rsidP="00D21C8B">
      <w:pPr>
        <w:spacing w:after="0" w:line="240" w:lineRule="auto"/>
        <w:jc w:val="both"/>
        <w:rPr>
          <w:rFonts w:ascii="Calibri" w:eastAsia="Calibri" w:hAnsi="Calibri" w:cs="Times New Roman"/>
          <w:i/>
          <w:lang w:eastAsia="en-US"/>
        </w:rPr>
      </w:pPr>
      <w:r w:rsidRPr="00113478">
        <w:rPr>
          <w:rFonts w:ascii="Calibri" w:eastAsia="Calibri" w:hAnsi="Calibri" w:cs="Times New Roman"/>
          <w:i/>
          <w:lang w:eastAsia="en-US"/>
        </w:rPr>
        <w:t>The evidentiary basis considered by the PBAC was a meta-analysis of results from four previously presented trials where ezetimibe was compared with placebo as add-on therapy to a fixed dose of statins (Protocol 2173/2246 (Gagne 2002</w:t>
      </w:r>
      <w:r w:rsidR="00946082">
        <w:rPr>
          <w:rFonts w:ascii="Calibri" w:eastAsia="Calibri" w:hAnsi="Calibri" w:cs="Times New Roman"/>
          <w:i/>
          <w:lang w:eastAsia="en-US"/>
        </w:rPr>
        <w:fldChar w:fldCharType="begin"/>
      </w:r>
      <w:r w:rsidR="00946082">
        <w:rPr>
          <w:rFonts w:ascii="Calibri" w:eastAsia="Calibri" w:hAnsi="Calibri" w:cs="Times New Roman"/>
          <w:i/>
          <w:lang w:eastAsia="en-US"/>
        </w:rPr>
        <w:instrText xml:space="preserve"> NOTEREF _Ref460663066 \f \h </w:instrText>
      </w:r>
      <w:r w:rsidR="00946082">
        <w:rPr>
          <w:rFonts w:ascii="Calibri" w:eastAsia="Calibri" w:hAnsi="Calibri" w:cs="Times New Roman"/>
          <w:i/>
          <w:lang w:eastAsia="en-US"/>
        </w:rPr>
      </w:r>
      <w:r w:rsidR="00946082">
        <w:rPr>
          <w:rFonts w:ascii="Calibri" w:eastAsia="Calibri" w:hAnsi="Calibri" w:cs="Times New Roman"/>
          <w:i/>
          <w:lang w:eastAsia="en-US"/>
        </w:rPr>
        <w:fldChar w:fldCharType="separate"/>
      </w:r>
      <w:r w:rsidR="00CA6F76" w:rsidRPr="00CA6F76">
        <w:rPr>
          <w:rStyle w:val="EndnoteReference"/>
        </w:rPr>
        <w:t>6</w:t>
      </w:r>
      <w:r w:rsidR="00946082">
        <w:rPr>
          <w:rFonts w:ascii="Calibri" w:eastAsia="Calibri" w:hAnsi="Calibri" w:cs="Times New Roman"/>
          <w:i/>
          <w:lang w:eastAsia="en-US"/>
        </w:rPr>
        <w:fldChar w:fldCharType="end"/>
      </w:r>
      <w:r w:rsidRPr="00113478">
        <w:rPr>
          <w:rFonts w:ascii="Calibri" w:eastAsia="Calibri" w:hAnsi="Calibri" w:cs="Times New Roman"/>
          <w:i/>
          <w:lang w:eastAsia="en-US"/>
        </w:rPr>
        <w:t>, Simons 2004</w:t>
      </w:r>
      <w:r w:rsidR="00946082">
        <w:rPr>
          <w:rFonts w:ascii="Calibri" w:eastAsia="Calibri" w:hAnsi="Calibri" w:cs="Times New Roman"/>
          <w:i/>
          <w:lang w:eastAsia="en-US"/>
        </w:rPr>
        <w:fldChar w:fldCharType="begin"/>
      </w:r>
      <w:r w:rsidR="00946082">
        <w:rPr>
          <w:rFonts w:ascii="Calibri" w:eastAsia="Calibri" w:hAnsi="Calibri" w:cs="Times New Roman"/>
          <w:i/>
          <w:lang w:eastAsia="en-US"/>
        </w:rPr>
        <w:instrText xml:space="preserve"> NOTEREF _Ref460663075 \f \h </w:instrText>
      </w:r>
      <w:r w:rsidR="00946082">
        <w:rPr>
          <w:rFonts w:ascii="Calibri" w:eastAsia="Calibri" w:hAnsi="Calibri" w:cs="Times New Roman"/>
          <w:i/>
          <w:lang w:eastAsia="en-US"/>
        </w:rPr>
      </w:r>
      <w:r w:rsidR="00946082">
        <w:rPr>
          <w:rFonts w:ascii="Calibri" w:eastAsia="Calibri" w:hAnsi="Calibri" w:cs="Times New Roman"/>
          <w:i/>
          <w:lang w:eastAsia="en-US"/>
        </w:rPr>
        <w:fldChar w:fldCharType="separate"/>
      </w:r>
      <w:r w:rsidR="00CA6F76" w:rsidRPr="00CA6F76">
        <w:rPr>
          <w:rStyle w:val="EndnoteReference"/>
        </w:rPr>
        <w:t>7</w:t>
      </w:r>
      <w:r w:rsidR="00946082">
        <w:rPr>
          <w:rFonts w:ascii="Calibri" w:eastAsia="Calibri" w:hAnsi="Calibri" w:cs="Times New Roman"/>
          <w:i/>
          <w:lang w:eastAsia="en-US"/>
        </w:rPr>
        <w:fldChar w:fldCharType="end"/>
      </w:r>
      <w:r w:rsidRPr="00113478">
        <w:rPr>
          <w:rFonts w:ascii="Calibri" w:eastAsia="Calibri" w:hAnsi="Calibri" w:cs="Times New Roman"/>
          <w:i/>
          <w:lang w:eastAsia="en-US"/>
        </w:rPr>
        <w:t>); EASE study (Pearson 2005</w:t>
      </w:r>
      <w:r w:rsidR="00946082">
        <w:rPr>
          <w:rFonts w:ascii="Calibri" w:eastAsia="Calibri" w:hAnsi="Calibri" w:cs="Times New Roman"/>
          <w:i/>
          <w:lang w:eastAsia="en-US"/>
        </w:rPr>
        <w:fldChar w:fldCharType="begin"/>
      </w:r>
      <w:r w:rsidR="00946082">
        <w:rPr>
          <w:rFonts w:ascii="Calibri" w:eastAsia="Calibri" w:hAnsi="Calibri" w:cs="Times New Roman"/>
          <w:i/>
          <w:lang w:eastAsia="en-US"/>
        </w:rPr>
        <w:instrText xml:space="preserve"> NOTEREF _Ref460669801 \f \h </w:instrText>
      </w:r>
      <w:r w:rsidR="00946082">
        <w:rPr>
          <w:rFonts w:ascii="Calibri" w:eastAsia="Calibri" w:hAnsi="Calibri" w:cs="Times New Roman"/>
          <w:i/>
          <w:lang w:eastAsia="en-US"/>
        </w:rPr>
      </w:r>
      <w:r w:rsidR="00946082">
        <w:rPr>
          <w:rFonts w:ascii="Calibri" w:eastAsia="Calibri" w:hAnsi="Calibri" w:cs="Times New Roman"/>
          <w:i/>
          <w:lang w:eastAsia="en-US"/>
        </w:rPr>
        <w:fldChar w:fldCharType="separate"/>
      </w:r>
      <w:r w:rsidR="00CA6F76" w:rsidRPr="00CA6F76">
        <w:rPr>
          <w:rStyle w:val="EndnoteReference"/>
        </w:rPr>
        <w:t>9</w:t>
      </w:r>
      <w:r w:rsidR="00946082">
        <w:rPr>
          <w:rFonts w:ascii="Calibri" w:eastAsia="Calibri" w:hAnsi="Calibri" w:cs="Times New Roman"/>
          <w:i/>
          <w:lang w:eastAsia="en-US"/>
        </w:rPr>
        <w:fldChar w:fldCharType="end"/>
      </w:r>
      <w:r w:rsidRPr="00113478">
        <w:rPr>
          <w:rFonts w:ascii="Calibri" w:eastAsia="Calibri" w:hAnsi="Calibri" w:cs="Times New Roman"/>
          <w:i/>
          <w:lang w:eastAsia="en-US"/>
        </w:rPr>
        <w:t>, Denke 2004); Protocol 801 (Brohet</w:t>
      </w:r>
      <w:r w:rsidR="00946082">
        <w:rPr>
          <w:rFonts w:ascii="Calibri" w:eastAsia="Calibri" w:hAnsi="Calibri" w:cs="Times New Roman"/>
          <w:i/>
          <w:lang w:eastAsia="en-US"/>
        </w:rPr>
        <w:fldChar w:fldCharType="begin"/>
      </w:r>
      <w:r w:rsidR="00946082">
        <w:rPr>
          <w:rFonts w:ascii="Calibri" w:eastAsia="Calibri" w:hAnsi="Calibri" w:cs="Times New Roman"/>
          <w:i/>
          <w:lang w:eastAsia="en-US"/>
        </w:rPr>
        <w:instrText xml:space="preserve"> NOTEREF _Ref460669818 \f \h </w:instrText>
      </w:r>
      <w:r w:rsidR="00946082">
        <w:rPr>
          <w:rFonts w:ascii="Calibri" w:eastAsia="Calibri" w:hAnsi="Calibri" w:cs="Times New Roman"/>
          <w:i/>
          <w:lang w:eastAsia="en-US"/>
        </w:rPr>
      </w:r>
      <w:r w:rsidR="00946082">
        <w:rPr>
          <w:rFonts w:ascii="Calibri" w:eastAsia="Calibri" w:hAnsi="Calibri" w:cs="Times New Roman"/>
          <w:i/>
          <w:lang w:eastAsia="en-US"/>
        </w:rPr>
        <w:fldChar w:fldCharType="separate"/>
      </w:r>
      <w:r w:rsidR="00CA6F76" w:rsidRPr="00CA6F76">
        <w:rPr>
          <w:rStyle w:val="EndnoteReference"/>
        </w:rPr>
        <w:t>11</w:t>
      </w:r>
      <w:r w:rsidR="00946082">
        <w:rPr>
          <w:rFonts w:ascii="Calibri" w:eastAsia="Calibri" w:hAnsi="Calibri" w:cs="Times New Roman"/>
          <w:i/>
          <w:lang w:eastAsia="en-US"/>
        </w:rPr>
        <w:fldChar w:fldCharType="end"/>
      </w:r>
      <w:r w:rsidRPr="00113478">
        <w:rPr>
          <w:rFonts w:ascii="Calibri" w:eastAsia="Calibri" w:hAnsi="Calibri" w:cs="Times New Roman"/>
          <w:i/>
          <w:lang w:eastAsia="en-US"/>
        </w:rPr>
        <w:t xml:space="preserve"> 2005); Protocol 1030 in HoFH patients (Gagne</w:t>
      </w:r>
      <w:r w:rsidR="00946082">
        <w:rPr>
          <w:rFonts w:ascii="Calibri" w:eastAsia="Calibri" w:hAnsi="Calibri" w:cs="Times New Roman"/>
          <w:i/>
          <w:lang w:eastAsia="en-US"/>
        </w:rPr>
        <w:fldChar w:fldCharType="begin"/>
      </w:r>
      <w:r w:rsidR="00946082">
        <w:rPr>
          <w:rFonts w:ascii="Calibri" w:eastAsia="Calibri" w:hAnsi="Calibri" w:cs="Times New Roman"/>
          <w:i/>
          <w:lang w:eastAsia="en-US"/>
        </w:rPr>
        <w:instrText xml:space="preserve"> NOTEREF _Ref460669829 \f \h </w:instrText>
      </w:r>
      <w:r w:rsidR="00946082">
        <w:rPr>
          <w:rFonts w:ascii="Calibri" w:eastAsia="Calibri" w:hAnsi="Calibri" w:cs="Times New Roman"/>
          <w:i/>
          <w:lang w:eastAsia="en-US"/>
        </w:rPr>
      </w:r>
      <w:r w:rsidR="00946082">
        <w:rPr>
          <w:rFonts w:ascii="Calibri" w:eastAsia="Calibri" w:hAnsi="Calibri" w:cs="Times New Roman"/>
          <w:i/>
          <w:lang w:eastAsia="en-US"/>
        </w:rPr>
        <w:fldChar w:fldCharType="separate"/>
      </w:r>
      <w:r w:rsidR="00CA6F76" w:rsidRPr="00CA6F76">
        <w:rPr>
          <w:rStyle w:val="EndnoteReference"/>
        </w:rPr>
        <w:t>1</w:t>
      </w:r>
      <w:r w:rsidR="00946082">
        <w:rPr>
          <w:rFonts w:ascii="Calibri" w:eastAsia="Calibri" w:hAnsi="Calibri" w:cs="Times New Roman"/>
          <w:i/>
          <w:lang w:eastAsia="en-US"/>
        </w:rPr>
        <w:fldChar w:fldCharType="end"/>
      </w:r>
      <w:r w:rsidRPr="00113478">
        <w:rPr>
          <w:rFonts w:ascii="Calibri" w:eastAsia="Calibri" w:hAnsi="Calibri" w:cs="Times New Roman"/>
          <w:i/>
          <w:lang w:eastAsia="en-US"/>
        </w:rPr>
        <w:t xml:space="preserve"> 2002) and two previously unpresented trials - Protocol 803/804 (Cruz-Fernandez 2005</w:t>
      </w:r>
      <w:r w:rsidR="00946082">
        <w:rPr>
          <w:rStyle w:val="EndnoteReference"/>
          <w:rFonts w:ascii="Calibri" w:eastAsia="Calibri" w:hAnsi="Calibri" w:cs="Times New Roman"/>
          <w:i/>
          <w:lang w:eastAsia="en-US"/>
        </w:rPr>
        <w:endnoteReference w:id="17"/>
      </w:r>
      <w:r w:rsidRPr="00113478">
        <w:rPr>
          <w:rFonts w:ascii="Calibri" w:eastAsia="Calibri" w:hAnsi="Calibri" w:cs="Times New Roman"/>
          <w:i/>
          <w:lang w:eastAsia="en-US"/>
        </w:rPr>
        <w:t>), which compared ezetimibe and placebo as add-on therapy to stable dose of background atorvastatin (10 mg or 20 mg per day) in patients with CHD who had not achieved LDL-c target of 2.6 mmol/L; Protocol 802 (Farnier</w:t>
      </w:r>
      <w:r w:rsidR="00C00758">
        <w:rPr>
          <w:rStyle w:val="EndnoteReference"/>
          <w:rFonts w:ascii="Calibri" w:eastAsia="Calibri" w:hAnsi="Calibri" w:cs="Times New Roman"/>
          <w:i/>
          <w:lang w:eastAsia="en-US"/>
        </w:rPr>
        <w:endnoteReference w:id="18"/>
      </w:r>
      <w:r w:rsidRPr="00113478">
        <w:rPr>
          <w:rFonts w:ascii="Calibri" w:eastAsia="Calibri" w:hAnsi="Calibri" w:cs="Times New Roman"/>
          <w:i/>
          <w:lang w:eastAsia="en-US"/>
        </w:rPr>
        <w:t>, 2005), which compared ezetimibe and placebo as add-on therapy to stable dose of background simvastatin (10 mg or 20 mg per day) in patients with CHD who had not achieved LDL-c target of 2.6 mmol/L.</w:t>
      </w:r>
    </w:p>
    <w:p w14:paraId="6E29E42C" w14:textId="77777777" w:rsidR="00113478" w:rsidRPr="00113478" w:rsidRDefault="00113478" w:rsidP="00D21C8B">
      <w:pPr>
        <w:spacing w:after="0" w:line="240" w:lineRule="auto"/>
        <w:jc w:val="both"/>
        <w:rPr>
          <w:rFonts w:ascii="Calibri" w:eastAsia="Calibri" w:hAnsi="Calibri" w:cs="Times New Roman"/>
          <w:i/>
          <w:lang w:eastAsia="en-US"/>
        </w:rPr>
      </w:pPr>
    </w:p>
    <w:p w14:paraId="60EC0B57" w14:textId="75AF588A" w:rsidR="00113478" w:rsidRDefault="00113478" w:rsidP="00D21C8B">
      <w:pPr>
        <w:spacing w:after="0" w:line="240" w:lineRule="auto"/>
        <w:jc w:val="both"/>
        <w:rPr>
          <w:rFonts w:ascii="Calibri" w:eastAsia="Calibri" w:hAnsi="Calibri" w:cs="Times New Roman"/>
          <w:lang w:eastAsia="en-US"/>
        </w:rPr>
      </w:pPr>
      <w:r w:rsidRPr="00113478">
        <w:rPr>
          <w:rFonts w:ascii="Calibri" w:eastAsia="Calibri" w:hAnsi="Calibri" w:cs="Times New Roman"/>
          <w:lang w:eastAsia="en-US"/>
        </w:rPr>
        <w:t>At this meeting, the PBAC also agreed to extending the listing for ezetimibe to permit combination use in patients being treated with statins at a dose of 20 mg per day (changed from 40 mg per day). The PBAC also extended the listing for the FDC products to patients with hypertens</w:t>
      </w:r>
      <w:r w:rsidR="00FC5162">
        <w:rPr>
          <w:rFonts w:ascii="Calibri" w:eastAsia="Calibri" w:hAnsi="Calibri" w:cs="Times New Roman"/>
          <w:lang w:eastAsia="en-US"/>
        </w:rPr>
        <w:t>ion or a family history of CHD.</w:t>
      </w:r>
    </w:p>
    <w:p w14:paraId="06CC6DC5" w14:textId="77777777" w:rsidR="004C4D0F" w:rsidRDefault="004C4D0F" w:rsidP="00D21C8B">
      <w:pPr>
        <w:spacing w:after="0" w:line="240" w:lineRule="auto"/>
        <w:jc w:val="both"/>
        <w:rPr>
          <w:rFonts w:ascii="Calibri" w:eastAsia="Calibri" w:hAnsi="Calibri" w:cs="Times New Roman"/>
          <w:lang w:eastAsia="en-US"/>
        </w:rPr>
      </w:pPr>
    </w:p>
    <w:p w14:paraId="6B9BDA35" w14:textId="427199A2" w:rsidR="004C4D0F" w:rsidRPr="00113478" w:rsidRDefault="004C4D0F" w:rsidP="00D21C8B">
      <w:pPr>
        <w:spacing w:after="0" w:line="240" w:lineRule="auto"/>
        <w:jc w:val="both"/>
        <w:rPr>
          <w:rFonts w:ascii="Calibri" w:eastAsia="Calibri" w:hAnsi="Calibri" w:cs="Times New Roman"/>
          <w:lang w:eastAsia="en-US"/>
        </w:rPr>
      </w:pPr>
      <w:r>
        <w:rPr>
          <w:rFonts w:ascii="Calibri" w:eastAsia="Calibri" w:hAnsi="Calibri" w:cs="Times New Roman"/>
          <w:lang w:eastAsia="en-US"/>
        </w:rPr>
        <w:t>At this</w:t>
      </w:r>
      <w:r w:rsidRPr="004C4D0F">
        <w:rPr>
          <w:rFonts w:ascii="Calibri" w:eastAsia="Calibri" w:hAnsi="Calibri" w:cs="Times New Roman"/>
          <w:lang w:eastAsia="en-US"/>
        </w:rPr>
        <w:t xml:space="preserve"> meeting the PBAC indicated that </w:t>
      </w:r>
      <w:r w:rsidRPr="007E7E68">
        <w:rPr>
          <w:rFonts w:ascii="Calibri" w:eastAsia="Calibri" w:hAnsi="Calibri" w:cs="Times New Roman"/>
          <w:i/>
          <w:lang w:eastAsia="en-US"/>
        </w:rPr>
        <w:t>any future applications for extensions to the listing of ezetimibe either as monotherapy or in combination with simvastatin must be accompanied by a comparison against a therapeutic strategy where the dose of statin is increased or a switch to a more potent (on a mg per mg basis) statin is made</w:t>
      </w:r>
      <w:r w:rsidRPr="004C4D0F">
        <w:rPr>
          <w:rFonts w:ascii="Calibri" w:eastAsia="Calibri" w:hAnsi="Calibri" w:cs="Times New Roman"/>
          <w:lang w:eastAsia="en-US"/>
        </w:rPr>
        <w:t>, eg. simvastatin 20 mg to atorvastatin 20 mg; atorvastatin 20 mg to rosuvastatin 20 mg because  these strategies are increasingly being used in clinical practice and are therefore appropriate additional comparators to placebo.</w:t>
      </w:r>
    </w:p>
    <w:p w14:paraId="5A7BECB5" w14:textId="77777777" w:rsidR="00113478" w:rsidRPr="00113478" w:rsidRDefault="00113478" w:rsidP="00D21C8B">
      <w:pPr>
        <w:spacing w:after="0" w:line="240" w:lineRule="auto"/>
        <w:ind w:right="-897"/>
        <w:jc w:val="both"/>
        <w:rPr>
          <w:rFonts w:ascii="Calibri" w:eastAsia="Calibri" w:hAnsi="Calibri" w:cs="Times New Roman"/>
          <w:lang w:eastAsia="en-US"/>
        </w:rPr>
      </w:pPr>
    </w:p>
    <w:p w14:paraId="5F34CF5E" w14:textId="77777777" w:rsidR="00113478" w:rsidRPr="00113478" w:rsidRDefault="00113478" w:rsidP="00D21C8B">
      <w:pPr>
        <w:keepNext/>
        <w:keepLines/>
        <w:spacing w:after="0" w:line="240" w:lineRule="auto"/>
        <w:outlineLvl w:val="3"/>
        <w:rPr>
          <w:rFonts w:ascii="Calibri Light" w:eastAsia="Times New Roman" w:hAnsi="Calibri Light" w:cs="Times New Roman"/>
          <w:i/>
          <w:iCs/>
          <w:color w:val="0B769D"/>
          <w:lang w:eastAsia="en-US"/>
        </w:rPr>
      </w:pPr>
      <w:r w:rsidRPr="00113478">
        <w:rPr>
          <w:rFonts w:ascii="Calibri Light" w:eastAsia="Times New Roman" w:hAnsi="Calibri Light" w:cs="Times New Roman"/>
          <w:i/>
          <w:iCs/>
          <w:color w:val="0B769D"/>
          <w:lang w:eastAsia="en-US"/>
        </w:rPr>
        <w:t>July 2009</w:t>
      </w:r>
    </w:p>
    <w:p w14:paraId="08042D68" w14:textId="77777777" w:rsidR="00113478" w:rsidRPr="00113478" w:rsidRDefault="00113478" w:rsidP="00D21C8B">
      <w:pPr>
        <w:spacing w:after="0" w:line="240" w:lineRule="auto"/>
        <w:jc w:val="both"/>
        <w:rPr>
          <w:rFonts w:ascii="Calibri" w:eastAsia="Calibri" w:hAnsi="Calibri" w:cs="Times New Roman"/>
          <w:lang w:eastAsia="en-US"/>
        </w:rPr>
      </w:pPr>
      <w:r w:rsidRPr="00113478">
        <w:rPr>
          <w:rFonts w:ascii="Calibri" w:eastAsia="Calibri" w:hAnsi="Calibri" w:cs="Times New Roman"/>
          <w:color w:val="000000"/>
          <w:lang w:eastAsia="en-US"/>
        </w:rPr>
        <w:t>At this meeting, the PBAC recommended listing of a two additional FDC products for patients</w:t>
      </w:r>
      <w:r w:rsidRPr="00113478">
        <w:rPr>
          <w:rFonts w:ascii="Calibri" w:eastAsia="Calibri" w:hAnsi="Calibri" w:cs="Times New Roman"/>
          <w:iCs/>
          <w:lang w:eastAsia="en-US"/>
        </w:rPr>
        <w:t xml:space="preserve"> with HoFH</w:t>
      </w:r>
      <w:r w:rsidRPr="00113478">
        <w:rPr>
          <w:rFonts w:ascii="Calibri" w:eastAsia="Calibri" w:hAnsi="Calibri" w:cs="Times New Roman"/>
          <w:lang w:eastAsia="en-US"/>
        </w:rPr>
        <w:t>. O</w:t>
      </w:r>
      <w:r w:rsidRPr="00113478">
        <w:rPr>
          <w:rFonts w:ascii="Calibri" w:eastAsia="Calibri" w:hAnsi="Calibri" w:cs="Times New Roman"/>
          <w:color w:val="000000"/>
          <w:lang w:eastAsia="en-US"/>
        </w:rPr>
        <w:t>ne FDC contained ezetimibe 10mg + simvastatin 10 mg and the other contained ezetimibe 10mg + simvastatin 20 mg. Listing was on a cost-minimisation basis versus the components used concomitantly.</w:t>
      </w:r>
    </w:p>
    <w:p w14:paraId="234EA39C" w14:textId="77777777" w:rsidR="00113478" w:rsidRPr="00113478" w:rsidRDefault="00113478" w:rsidP="00D21C8B">
      <w:pPr>
        <w:spacing w:after="0" w:line="240" w:lineRule="auto"/>
        <w:rPr>
          <w:rFonts w:ascii="Calibri" w:eastAsia="Calibri" w:hAnsi="Calibri" w:cs="Times New Roman"/>
          <w:lang w:eastAsia="en-US"/>
        </w:rPr>
      </w:pPr>
    </w:p>
    <w:p w14:paraId="1AE74D53" w14:textId="77777777" w:rsidR="00113478" w:rsidRPr="00113478" w:rsidRDefault="00113478" w:rsidP="00715874">
      <w:pPr>
        <w:keepNext/>
        <w:keepLines/>
        <w:spacing w:after="0" w:line="240" w:lineRule="auto"/>
        <w:outlineLvl w:val="3"/>
        <w:rPr>
          <w:rFonts w:ascii="Calibri Light" w:eastAsia="Times New Roman" w:hAnsi="Calibri Light" w:cs="Times New Roman"/>
          <w:i/>
          <w:iCs/>
          <w:color w:val="0B769D"/>
          <w:lang w:eastAsia="en-US"/>
        </w:rPr>
      </w:pPr>
      <w:r w:rsidRPr="00113478">
        <w:rPr>
          <w:rFonts w:ascii="Calibri Light" w:eastAsia="Times New Roman" w:hAnsi="Calibri Light" w:cs="Times New Roman"/>
          <w:i/>
          <w:iCs/>
          <w:color w:val="0B769D"/>
          <w:lang w:eastAsia="en-US"/>
        </w:rPr>
        <w:t>November 2010</w:t>
      </w:r>
    </w:p>
    <w:p w14:paraId="368E1EBA" w14:textId="77777777" w:rsidR="00113478" w:rsidRPr="00113478" w:rsidRDefault="00113478" w:rsidP="00715874">
      <w:pPr>
        <w:spacing w:after="0" w:line="240" w:lineRule="auto"/>
        <w:jc w:val="both"/>
        <w:rPr>
          <w:rFonts w:ascii="Calibri" w:eastAsia="Calibri" w:hAnsi="Calibri" w:cs="Times New Roman"/>
          <w:color w:val="000000"/>
          <w:lang w:eastAsia="en-US"/>
        </w:rPr>
      </w:pPr>
      <w:r w:rsidRPr="00113478">
        <w:rPr>
          <w:rFonts w:ascii="Calibri" w:eastAsia="Calibri" w:hAnsi="Calibri" w:cs="Times New Roman"/>
          <w:color w:val="000000"/>
          <w:lang w:eastAsia="en-US"/>
        </w:rPr>
        <w:t>At this meeting, the PBAC recommended that the restriction for ezetimibe be amended to incorporate wording that did not specify a particular dose of a statin be attempted to achieve an appropriate lowering of cholesterol. Instead the wording should stipulate a three month trial with the maximum tolerated dose of a statin. The PBAC considered that this option would allow ezetimibe to be added as clinically appropriate while continuing to support up-titration of statins as the first line treatment of hypercholesterolaemia.</w:t>
      </w:r>
    </w:p>
    <w:p w14:paraId="053D9A8B" w14:textId="77777777" w:rsidR="00113478" w:rsidRPr="00113478" w:rsidRDefault="00113478" w:rsidP="00715874">
      <w:pPr>
        <w:spacing w:after="0" w:line="240" w:lineRule="auto"/>
        <w:rPr>
          <w:rFonts w:ascii="Calibri" w:eastAsia="Calibri" w:hAnsi="Calibri" w:cs="Times New Roman"/>
          <w:i/>
          <w:lang w:eastAsia="en-US"/>
        </w:rPr>
      </w:pPr>
    </w:p>
    <w:p w14:paraId="275E7939" w14:textId="05801EC9" w:rsidR="00113478" w:rsidRDefault="00113478" w:rsidP="00715874">
      <w:pPr>
        <w:spacing w:after="0" w:line="240" w:lineRule="auto"/>
        <w:ind w:right="-23"/>
        <w:jc w:val="both"/>
        <w:rPr>
          <w:rFonts w:ascii="Calibri" w:eastAsia="Calibri" w:hAnsi="Calibri" w:cs="Times New Roman"/>
          <w:b/>
          <w:i/>
          <w:lang w:eastAsia="en-US"/>
        </w:rPr>
      </w:pPr>
      <w:r w:rsidRPr="00113478">
        <w:rPr>
          <w:rFonts w:ascii="Calibri" w:eastAsia="Calibri" w:hAnsi="Calibri" w:cs="Times New Roman"/>
          <w:b/>
          <w:i/>
          <w:lang w:eastAsia="en-US"/>
        </w:rPr>
        <w:t xml:space="preserve">In summary, although the PBS listing of ezetimibe is for use in combination with maximally tolerated dose of statins in patients considered at high risk of CV events, the primary source of evidence considered by the PBAC was not trials investigating efficacy of ezetimibe added to maximally tolerated dose of statins. The primary source of evidence considered by the PBAC consisted of trials that involved addition of ezetimibe to various fixed doses of statin (compared to placebo added to the same fixed doses of statins) and trials that compared addition of ezetimibe to background therapy with statins to up-titration of </w:t>
      </w:r>
      <w:r w:rsidR="00907CB4">
        <w:rPr>
          <w:rFonts w:ascii="Calibri" w:eastAsia="Calibri" w:hAnsi="Calibri" w:cs="Times New Roman"/>
          <w:b/>
          <w:i/>
          <w:lang w:eastAsia="en-US"/>
        </w:rPr>
        <w:t>the dose of a statin</w:t>
      </w:r>
      <w:r w:rsidRPr="00113478">
        <w:rPr>
          <w:rFonts w:ascii="Calibri" w:eastAsia="Calibri" w:hAnsi="Calibri" w:cs="Times New Roman"/>
          <w:b/>
          <w:i/>
          <w:lang w:eastAsia="en-US"/>
        </w:rPr>
        <w:t>.</w:t>
      </w:r>
    </w:p>
    <w:p w14:paraId="2413461B" w14:textId="77777777" w:rsidR="00FC5162" w:rsidRDefault="00FC5162" w:rsidP="00FC5162">
      <w:pPr>
        <w:spacing w:after="0" w:line="264" w:lineRule="auto"/>
        <w:rPr>
          <w:rFonts w:ascii="Calibri" w:eastAsia="Calibri" w:hAnsi="Calibri" w:cs="Times New Roman"/>
          <w:color w:val="000000"/>
          <w:lang w:eastAsia="en-US"/>
        </w:rPr>
      </w:pPr>
    </w:p>
    <w:p w14:paraId="53F4799C" w14:textId="08EF840D" w:rsidR="004D0A2F" w:rsidRDefault="00FC5162" w:rsidP="0083333B">
      <w:pPr>
        <w:spacing w:after="0" w:line="264" w:lineRule="auto"/>
        <w:rPr>
          <w:rFonts w:ascii="Calibri" w:eastAsia="Calibri" w:hAnsi="Calibri" w:cs="Times New Roman"/>
          <w:color w:val="000000"/>
          <w:lang w:eastAsia="en-US"/>
        </w:rPr>
      </w:pPr>
      <w:r w:rsidRPr="00FC5162">
        <w:rPr>
          <w:rFonts w:ascii="Calibri" w:eastAsia="Calibri" w:hAnsi="Calibri" w:cs="Times New Roman"/>
          <w:color w:val="000000"/>
          <w:lang w:eastAsia="en-US"/>
        </w:rPr>
        <w:lastRenderedPageBreak/>
        <w:t xml:space="preserve">For the detailed </w:t>
      </w:r>
      <w:r>
        <w:rPr>
          <w:rFonts w:ascii="Calibri" w:eastAsia="Calibri" w:hAnsi="Calibri" w:cs="Times New Roman"/>
          <w:color w:val="000000"/>
          <w:lang w:eastAsia="en-US"/>
        </w:rPr>
        <w:t>history of PBS decisions on listing ezetimibe</w:t>
      </w:r>
      <w:r w:rsidR="00907CB4">
        <w:rPr>
          <w:rFonts w:ascii="Calibri" w:eastAsia="Calibri" w:hAnsi="Calibri" w:cs="Times New Roman"/>
          <w:color w:val="000000"/>
          <w:lang w:eastAsia="en-US"/>
        </w:rPr>
        <w:t xml:space="preserve"> see the EXCEL spreadsheet</w:t>
      </w:r>
      <w:r>
        <w:rPr>
          <w:rFonts w:ascii="Calibri" w:eastAsia="Calibri" w:hAnsi="Calibri" w:cs="Times New Roman"/>
          <w:color w:val="000000"/>
          <w:lang w:eastAsia="en-US"/>
        </w:rPr>
        <w:t xml:space="preserve"> </w:t>
      </w:r>
      <w:r w:rsidR="00907CB4" w:rsidRPr="00341082">
        <w:rPr>
          <w:rFonts w:ascii="Calibri" w:eastAsia="Calibri" w:hAnsi="Calibri" w:cs="Times New Roman"/>
          <w:color w:val="000000"/>
          <w:lang w:eastAsia="en-US"/>
        </w:rPr>
        <w:t xml:space="preserve">in </w:t>
      </w:r>
      <w:r w:rsidR="00B82D13" w:rsidRPr="00341082">
        <w:rPr>
          <w:rFonts w:ascii="Calibri" w:eastAsia="Calibri" w:hAnsi="Calibri" w:cs="Times New Roman"/>
          <w:color w:val="000000"/>
          <w:lang w:eastAsia="en-US"/>
        </w:rPr>
        <w:t xml:space="preserve">a separate </w:t>
      </w:r>
      <w:r w:rsidR="00907CB4" w:rsidRPr="00341082">
        <w:rPr>
          <w:rFonts w:ascii="Calibri" w:eastAsia="Calibri" w:hAnsi="Calibri" w:cs="Times New Roman"/>
          <w:color w:val="000000"/>
          <w:lang w:eastAsia="en-US"/>
        </w:rPr>
        <w:t>Appendix.</w:t>
      </w:r>
    </w:p>
    <w:p w14:paraId="5B04903E" w14:textId="77777777" w:rsidR="0083333B" w:rsidRPr="0083333B" w:rsidRDefault="0083333B" w:rsidP="0083333B">
      <w:pPr>
        <w:spacing w:after="0" w:line="264" w:lineRule="auto"/>
        <w:rPr>
          <w:rFonts w:ascii="Calibri" w:eastAsia="Calibri" w:hAnsi="Calibri" w:cs="Times New Roman"/>
          <w:color w:val="000000"/>
          <w:lang w:eastAsia="en-US"/>
        </w:rPr>
      </w:pPr>
    </w:p>
    <w:p w14:paraId="6E284D7E" w14:textId="77777777" w:rsidR="005E1FF0" w:rsidRDefault="007A75AC" w:rsidP="007A75AC">
      <w:pPr>
        <w:pStyle w:val="Heading1"/>
      </w:pPr>
      <w:bookmarkStart w:id="19" w:name="_Toc467857743"/>
      <w:r>
        <w:t>2.1. Literature search methods</w:t>
      </w:r>
      <w:bookmarkEnd w:id="19"/>
    </w:p>
    <w:p w14:paraId="1B31C373" w14:textId="77777777" w:rsidR="007A75AC" w:rsidRDefault="007A75AC" w:rsidP="007A75AC"/>
    <w:p w14:paraId="5F23E32C" w14:textId="77777777" w:rsidR="007A75AC" w:rsidRDefault="007A75AC" w:rsidP="007A75AC">
      <w:pPr>
        <w:pStyle w:val="Heading2"/>
      </w:pPr>
      <w:bookmarkStart w:id="20" w:name="_Toc467857744"/>
      <w:r>
        <w:t xml:space="preserve">2.1.1. </w:t>
      </w:r>
      <w:r w:rsidR="00A5442C">
        <w:t>Search criteria</w:t>
      </w:r>
      <w:bookmarkEnd w:id="20"/>
    </w:p>
    <w:p w14:paraId="7ECF0B5D" w14:textId="77777777" w:rsidR="00A5442C" w:rsidRDefault="00A5442C" w:rsidP="00A5442C"/>
    <w:p w14:paraId="67F3DCB4" w14:textId="77777777" w:rsidR="00A5442C" w:rsidRPr="00A5442C" w:rsidRDefault="00A5442C" w:rsidP="00A5442C">
      <w:pPr>
        <w:pStyle w:val="Heading3"/>
      </w:pPr>
      <w:r>
        <w:t>Randomised trials</w:t>
      </w:r>
    </w:p>
    <w:p w14:paraId="1166D137" w14:textId="77777777" w:rsidR="007A75AC" w:rsidRDefault="007A75AC" w:rsidP="007A75AC"/>
    <w:p w14:paraId="3074ED12" w14:textId="5DE1C48C" w:rsidR="00A5442C" w:rsidRDefault="00A5442C" w:rsidP="009113B9">
      <w:pPr>
        <w:jc w:val="both"/>
      </w:pPr>
      <w:r>
        <w:t xml:space="preserve">The primary objective of the literature search </w:t>
      </w:r>
      <w:r w:rsidR="00A16152">
        <w:t>was</w:t>
      </w:r>
      <w:r>
        <w:t xml:space="preserve"> </w:t>
      </w:r>
      <w:r w:rsidR="00A16152">
        <w:t xml:space="preserve">to identify </w:t>
      </w:r>
      <w:r>
        <w:t xml:space="preserve">all </w:t>
      </w:r>
      <w:r w:rsidR="00A16152">
        <w:t xml:space="preserve">head-to-head </w:t>
      </w:r>
      <w:r>
        <w:t xml:space="preserve">randomised </w:t>
      </w:r>
      <w:r w:rsidR="00A16152">
        <w:t xml:space="preserve">controlled </w:t>
      </w:r>
      <w:r>
        <w:t xml:space="preserve">trials that </w:t>
      </w:r>
      <w:r w:rsidR="00A16152">
        <w:t xml:space="preserve">assess ezetimibe as monotherapy or </w:t>
      </w:r>
      <w:r w:rsidR="00690BCA" w:rsidRPr="0004489B">
        <w:rPr>
          <w:rFonts w:eastAsiaTheme="minorHAnsi"/>
          <w:lang w:eastAsia="en-US"/>
        </w:rPr>
        <w:t>ezetimibe co-administered with a statin therapy</w:t>
      </w:r>
      <w:r w:rsidR="00A16152">
        <w:t xml:space="preserve"> in</w:t>
      </w:r>
      <w:r>
        <w:t xml:space="preserve"> the </w:t>
      </w:r>
      <w:r w:rsidR="00A16152">
        <w:t xml:space="preserve">target </w:t>
      </w:r>
      <w:r>
        <w:t xml:space="preserve">patient </w:t>
      </w:r>
      <w:r w:rsidR="00A16152">
        <w:t>population</w:t>
      </w:r>
      <w:r>
        <w:t xml:space="preserve">, or </w:t>
      </w:r>
      <w:r w:rsidR="00A16152">
        <w:t>the</w:t>
      </w:r>
      <w:r>
        <w:t xml:space="preserve"> population that overlaps with the target Australian population.</w:t>
      </w:r>
    </w:p>
    <w:p w14:paraId="10B786F6" w14:textId="77777777" w:rsidR="00A5442C" w:rsidRDefault="00A5442C" w:rsidP="009113B9">
      <w:pPr>
        <w:jc w:val="both"/>
      </w:pPr>
      <w:r>
        <w:t>Search filters were set to include only randomised trials, as follows:</w:t>
      </w:r>
    </w:p>
    <w:p w14:paraId="6BC1406A" w14:textId="77777777" w:rsidR="00A5442C" w:rsidRDefault="00A5442C" w:rsidP="00A16152">
      <w:pPr>
        <w:ind w:left="720" w:hanging="720"/>
        <w:jc w:val="both"/>
      </w:pPr>
      <w:r>
        <w:t>a)</w:t>
      </w:r>
      <w:r>
        <w:tab/>
        <w:t>The trial include</w:t>
      </w:r>
      <w:r w:rsidR="00A9681C">
        <w:t>d</w:t>
      </w:r>
      <w:r>
        <w:t xml:space="preserve"> a randomisation procedure in its design (use Cochrane Hig</w:t>
      </w:r>
      <w:r w:rsidR="00A9681C">
        <w:t>hly Sensitive Search Strategies</w:t>
      </w:r>
      <w:r>
        <w:t>);</w:t>
      </w:r>
    </w:p>
    <w:p w14:paraId="6FD1136C" w14:textId="4DEB0BA3" w:rsidR="00A5442C" w:rsidRDefault="00A5442C" w:rsidP="009113B9">
      <w:pPr>
        <w:jc w:val="both"/>
      </w:pPr>
      <w:r>
        <w:t>b)</w:t>
      </w:r>
      <w:r>
        <w:tab/>
        <w:t xml:space="preserve">The trial </w:t>
      </w:r>
      <w:r w:rsidR="00A16152">
        <w:t xml:space="preserve">assesses ezetimibe vs </w:t>
      </w:r>
      <w:r>
        <w:t>the relevant comparator(s);</w:t>
      </w:r>
    </w:p>
    <w:p w14:paraId="42E30C3F" w14:textId="77777777" w:rsidR="00A5442C" w:rsidRDefault="00A5442C" w:rsidP="009113B9">
      <w:pPr>
        <w:jc w:val="both"/>
      </w:pPr>
      <w:r>
        <w:t>c)</w:t>
      </w:r>
      <w:r>
        <w:tab/>
        <w:t>The trial recruits participants with characteristics that overlap with those of the target population.</w:t>
      </w:r>
    </w:p>
    <w:p w14:paraId="1B59AA06" w14:textId="77777777" w:rsidR="00EA020C" w:rsidRDefault="00EA020C" w:rsidP="0083333B">
      <w:pPr>
        <w:pStyle w:val="Heading3"/>
        <w:spacing w:before="0"/>
      </w:pPr>
    </w:p>
    <w:p w14:paraId="59DC798D" w14:textId="77777777" w:rsidR="007A75AC" w:rsidRDefault="00EA020C" w:rsidP="0083333B">
      <w:pPr>
        <w:pStyle w:val="Heading3"/>
        <w:spacing w:before="0"/>
      </w:pPr>
      <w:r>
        <w:t>Systematic reviews and meta-analyses</w:t>
      </w:r>
    </w:p>
    <w:p w14:paraId="7A2FFA19" w14:textId="77777777" w:rsidR="00EA020C" w:rsidRPr="00EA020C" w:rsidRDefault="00EA020C" w:rsidP="0083333B">
      <w:pPr>
        <w:spacing w:after="0"/>
      </w:pPr>
    </w:p>
    <w:p w14:paraId="1D9A9628" w14:textId="77777777" w:rsidR="00EA020C" w:rsidRDefault="00EA020C" w:rsidP="0083333B">
      <w:pPr>
        <w:spacing w:after="0"/>
      </w:pPr>
      <w:r>
        <w:t>Relevant systematic reviews and meta-analyses of randomised trials were identified separately.</w:t>
      </w:r>
    </w:p>
    <w:p w14:paraId="4E7F46C9" w14:textId="77777777" w:rsidR="00EA020C" w:rsidRDefault="00EA020C" w:rsidP="0083333B">
      <w:pPr>
        <w:spacing w:after="0"/>
      </w:pPr>
    </w:p>
    <w:p w14:paraId="03CB6716" w14:textId="77777777" w:rsidR="00EA020C" w:rsidRDefault="00EA020C" w:rsidP="0083333B">
      <w:pPr>
        <w:pStyle w:val="Heading2"/>
        <w:spacing w:before="0"/>
      </w:pPr>
      <w:bookmarkStart w:id="21" w:name="_Toc467857745"/>
      <w:r>
        <w:t>2.1.2. Search terms</w:t>
      </w:r>
      <w:bookmarkEnd w:id="21"/>
    </w:p>
    <w:p w14:paraId="2D3E7735" w14:textId="77777777" w:rsidR="00EA020C" w:rsidRDefault="00EA020C" w:rsidP="0083333B">
      <w:pPr>
        <w:spacing w:after="0"/>
      </w:pPr>
    </w:p>
    <w:p w14:paraId="506FF948" w14:textId="5C2DEA93" w:rsidR="00EA020C" w:rsidRDefault="00EA020C" w:rsidP="0083333B">
      <w:pPr>
        <w:spacing w:after="0"/>
      </w:pPr>
      <w:r>
        <w:t xml:space="preserve">Table 2.1.1 </w:t>
      </w:r>
      <w:r w:rsidR="00E73AAE">
        <w:t>illustrates the</w:t>
      </w:r>
      <w:r>
        <w:t xml:space="preserve"> search terms </w:t>
      </w:r>
      <w:r w:rsidR="00E73AAE">
        <w:t>with respect to</w:t>
      </w:r>
      <w:r>
        <w:t xml:space="preserve"> the </w:t>
      </w:r>
      <w:r w:rsidR="00E73AAE">
        <w:t>study design, population and intervention.</w:t>
      </w:r>
      <w:r>
        <w:t xml:space="preserve"> </w:t>
      </w:r>
    </w:p>
    <w:p w14:paraId="36E92FFA" w14:textId="77777777" w:rsidR="0083333B" w:rsidRDefault="0083333B" w:rsidP="0083333B">
      <w:pPr>
        <w:spacing w:after="0"/>
      </w:pPr>
    </w:p>
    <w:p w14:paraId="72BB0E81" w14:textId="2AF1BE83" w:rsidR="007A75AC" w:rsidRPr="0083333B" w:rsidRDefault="007A75AC" w:rsidP="0083333B">
      <w:pPr>
        <w:pStyle w:val="TableName"/>
        <w:spacing w:after="0"/>
        <w:rPr>
          <w:rFonts w:ascii="Arial Narrow" w:hAnsi="Arial Narrow"/>
          <w:szCs w:val="24"/>
        </w:rPr>
      </w:pPr>
      <w:bookmarkStart w:id="22" w:name="_Toc443048884"/>
      <w:bookmarkStart w:id="23" w:name="_Toc443048968"/>
      <w:r w:rsidRPr="0083333B">
        <w:rPr>
          <w:rFonts w:ascii="Arial Narrow" w:hAnsi="Arial Narrow"/>
          <w:szCs w:val="24"/>
        </w:rPr>
        <w:t>Table 2.1.1</w:t>
      </w:r>
      <w:r w:rsidRPr="0083333B">
        <w:rPr>
          <w:rFonts w:ascii="Arial Narrow" w:hAnsi="Arial Narrow"/>
          <w:szCs w:val="24"/>
        </w:rPr>
        <w:tab/>
      </w:r>
      <w:r w:rsidR="009113B9" w:rsidRPr="0083333B">
        <w:rPr>
          <w:rFonts w:ascii="Arial Narrow" w:hAnsi="Arial Narrow"/>
          <w:szCs w:val="24"/>
        </w:rPr>
        <w:t>P</w:t>
      </w:r>
      <w:r w:rsidR="00E73AAE" w:rsidRPr="0083333B">
        <w:rPr>
          <w:rFonts w:ascii="Arial Narrow" w:hAnsi="Arial Narrow"/>
          <w:szCs w:val="24"/>
        </w:rPr>
        <w:t>rimary s</w:t>
      </w:r>
      <w:r w:rsidRPr="0083333B">
        <w:rPr>
          <w:rFonts w:ascii="Arial Narrow" w:hAnsi="Arial Narrow"/>
          <w:szCs w:val="24"/>
        </w:rPr>
        <w:t xml:space="preserve">earch terms </w:t>
      </w:r>
      <w:r w:rsidR="00E73AAE" w:rsidRPr="0083333B">
        <w:rPr>
          <w:rFonts w:ascii="Arial Narrow" w:hAnsi="Arial Narrow"/>
          <w:szCs w:val="24"/>
        </w:rPr>
        <w:t>used</w:t>
      </w:r>
      <w:r w:rsidRPr="0083333B">
        <w:rPr>
          <w:rFonts w:ascii="Arial Narrow" w:hAnsi="Arial Narrow"/>
          <w:szCs w:val="24"/>
        </w:rPr>
        <w:t xml:space="preserve"> the </w:t>
      </w:r>
      <w:r w:rsidR="00E73AAE" w:rsidRPr="0083333B">
        <w:rPr>
          <w:rFonts w:ascii="Arial Narrow" w:hAnsi="Arial Narrow"/>
          <w:szCs w:val="24"/>
        </w:rPr>
        <w:t xml:space="preserve">systematic </w:t>
      </w:r>
      <w:r w:rsidRPr="0083333B">
        <w:rPr>
          <w:rFonts w:ascii="Arial Narrow" w:hAnsi="Arial Narrow"/>
          <w:szCs w:val="24"/>
        </w:rPr>
        <w:t xml:space="preserve">literature </w:t>
      </w:r>
      <w:bookmarkEnd w:id="22"/>
      <w:bookmarkEnd w:id="23"/>
      <w:r w:rsidR="00E73AAE" w:rsidRPr="0083333B">
        <w:rPr>
          <w:rFonts w:ascii="Arial Narrow" w:hAnsi="Arial Narrow"/>
          <w:szCs w:val="24"/>
        </w:rPr>
        <w:t>search</w:t>
      </w:r>
    </w:p>
    <w:tbl>
      <w:tblPr>
        <w:tblStyle w:val="TableGrid"/>
        <w:tblW w:w="9492" w:type="dxa"/>
        <w:tblLook w:val="04A0" w:firstRow="1" w:lastRow="0" w:firstColumn="1" w:lastColumn="0" w:noHBand="0" w:noVBand="1"/>
      </w:tblPr>
      <w:tblGrid>
        <w:gridCol w:w="1165"/>
        <w:gridCol w:w="3933"/>
        <w:gridCol w:w="4394"/>
      </w:tblGrid>
      <w:tr w:rsidR="008677CC" w:rsidRPr="00A9681C" w14:paraId="56195C01" w14:textId="77777777" w:rsidTr="00E73AAE">
        <w:trPr>
          <w:cnfStyle w:val="100000000000" w:firstRow="1" w:lastRow="0" w:firstColumn="0" w:lastColumn="0" w:oddVBand="0" w:evenVBand="0" w:oddHBand="0" w:evenHBand="0" w:firstRowFirstColumn="0" w:firstRowLastColumn="0" w:lastRowFirstColumn="0" w:lastRowLastColumn="0"/>
          <w:tblHeader/>
        </w:trPr>
        <w:tc>
          <w:tcPr>
            <w:tcW w:w="0" w:type="auto"/>
          </w:tcPr>
          <w:p w14:paraId="0D28526B" w14:textId="77777777" w:rsidR="007A75AC" w:rsidRPr="00A9681C" w:rsidRDefault="007A75AC" w:rsidP="0083333B">
            <w:pPr>
              <w:rPr>
                <w:rFonts w:ascii="Arial Narrow" w:hAnsi="Arial Narrow"/>
                <w:sz w:val="20"/>
                <w:szCs w:val="20"/>
              </w:rPr>
            </w:pPr>
            <w:r w:rsidRPr="00A9681C">
              <w:rPr>
                <w:rFonts w:ascii="Arial Narrow" w:hAnsi="Arial Narrow"/>
                <w:sz w:val="20"/>
                <w:szCs w:val="20"/>
              </w:rPr>
              <w:t>Category</w:t>
            </w:r>
          </w:p>
        </w:tc>
        <w:tc>
          <w:tcPr>
            <w:tcW w:w="3933" w:type="dxa"/>
          </w:tcPr>
          <w:p w14:paraId="5EEE878B" w14:textId="77777777" w:rsidR="007A75AC" w:rsidRPr="00A9681C" w:rsidRDefault="007A75AC" w:rsidP="0083333B">
            <w:pPr>
              <w:rPr>
                <w:rFonts w:ascii="Arial Narrow" w:hAnsi="Arial Narrow"/>
                <w:sz w:val="20"/>
                <w:szCs w:val="20"/>
              </w:rPr>
            </w:pPr>
            <w:r w:rsidRPr="00A9681C">
              <w:rPr>
                <w:rFonts w:ascii="Arial Narrow" w:hAnsi="Arial Narrow"/>
                <w:sz w:val="20"/>
                <w:szCs w:val="20"/>
              </w:rPr>
              <w:t>Description</w:t>
            </w:r>
          </w:p>
        </w:tc>
        <w:tc>
          <w:tcPr>
            <w:tcW w:w="4394" w:type="dxa"/>
          </w:tcPr>
          <w:p w14:paraId="7FD2D3EE" w14:textId="77777777" w:rsidR="007A75AC" w:rsidRPr="00A9681C" w:rsidRDefault="007A75AC" w:rsidP="0083333B">
            <w:pPr>
              <w:rPr>
                <w:rFonts w:ascii="Arial Narrow" w:hAnsi="Arial Narrow"/>
                <w:sz w:val="20"/>
                <w:szCs w:val="20"/>
              </w:rPr>
            </w:pPr>
            <w:r w:rsidRPr="00A9681C">
              <w:rPr>
                <w:rFonts w:ascii="Arial Narrow" w:hAnsi="Arial Narrow"/>
                <w:sz w:val="20"/>
                <w:szCs w:val="20"/>
              </w:rPr>
              <w:t>Search terms</w:t>
            </w:r>
          </w:p>
        </w:tc>
      </w:tr>
      <w:tr w:rsidR="008677CC" w:rsidRPr="00A9681C" w14:paraId="2B1BC99D" w14:textId="77777777" w:rsidTr="00E73AAE">
        <w:tc>
          <w:tcPr>
            <w:tcW w:w="0" w:type="auto"/>
          </w:tcPr>
          <w:p w14:paraId="25EB66A9" w14:textId="77777777" w:rsidR="007A75AC" w:rsidRPr="00A9681C" w:rsidRDefault="007A75AC" w:rsidP="0083333B">
            <w:pPr>
              <w:rPr>
                <w:rFonts w:ascii="Arial Narrow" w:hAnsi="Arial Narrow"/>
                <w:sz w:val="20"/>
                <w:szCs w:val="20"/>
              </w:rPr>
            </w:pPr>
            <w:r w:rsidRPr="00A9681C">
              <w:rPr>
                <w:rFonts w:ascii="Arial Narrow" w:hAnsi="Arial Narrow"/>
                <w:sz w:val="20"/>
                <w:szCs w:val="20"/>
              </w:rPr>
              <w:t>Study design</w:t>
            </w:r>
          </w:p>
        </w:tc>
        <w:tc>
          <w:tcPr>
            <w:tcW w:w="3933" w:type="dxa"/>
          </w:tcPr>
          <w:p w14:paraId="464C767E" w14:textId="77777777" w:rsidR="007A75AC" w:rsidRDefault="00E73AAE" w:rsidP="0083333B">
            <w:pPr>
              <w:rPr>
                <w:rFonts w:ascii="Arial Narrow" w:hAnsi="Arial Narrow"/>
                <w:sz w:val="20"/>
                <w:szCs w:val="20"/>
              </w:rPr>
            </w:pPr>
            <w:r>
              <w:rPr>
                <w:rFonts w:ascii="Arial Narrow" w:hAnsi="Arial Narrow"/>
                <w:sz w:val="20"/>
                <w:szCs w:val="20"/>
              </w:rPr>
              <w:t xml:space="preserve">Limited to </w:t>
            </w:r>
            <w:r w:rsidR="008677CC" w:rsidRPr="00A9681C">
              <w:rPr>
                <w:rFonts w:ascii="Arial Narrow" w:hAnsi="Arial Narrow"/>
                <w:sz w:val="20"/>
                <w:szCs w:val="20"/>
              </w:rPr>
              <w:t xml:space="preserve">RCTs </w:t>
            </w:r>
          </w:p>
          <w:p w14:paraId="52CE2222" w14:textId="4FC829C9" w:rsidR="00E73AAE" w:rsidRPr="00A9681C" w:rsidRDefault="00E73AAE" w:rsidP="0083333B">
            <w:pPr>
              <w:rPr>
                <w:rFonts w:ascii="Arial Narrow" w:hAnsi="Arial Narrow"/>
                <w:sz w:val="20"/>
                <w:szCs w:val="20"/>
              </w:rPr>
            </w:pPr>
            <w:r>
              <w:rPr>
                <w:rFonts w:ascii="Arial Narrow" w:hAnsi="Arial Narrow"/>
                <w:sz w:val="20"/>
                <w:szCs w:val="20"/>
              </w:rPr>
              <w:t>(extensions of the RCTs were not necessarily excluded)</w:t>
            </w:r>
          </w:p>
        </w:tc>
        <w:tc>
          <w:tcPr>
            <w:tcW w:w="4394" w:type="dxa"/>
          </w:tcPr>
          <w:p w14:paraId="490049CB" w14:textId="77777777" w:rsidR="007A75AC" w:rsidRPr="00A9681C" w:rsidRDefault="007A75AC" w:rsidP="0083333B">
            <w:pPr>
              <w:rPr>
                <w:rFonts w:ascii="Arial Narrow" w:hAnsi="Arial Narrow"/>
                <w:sz w:val="20"/>
                <w:szCs w:val="20"/>
              </w:rPr>
            </w:pPr>
            <w:r w:rsidRPr="00A9681C">
              <w:rPr>
                <w:rFonts w:ascii="Arial Narrow" w:hAnsi="Arial Narrow"/>
                <w:sz w:val="20"/>
                <w:szCs w:val="20"/>
              </w:rPr>
              <w:t>Cochrane Highly Sensitive Search Strategies for identifying randomised trials in MEDLINE</w:t>
            </w:r>
          </w:p>
        </w:tc>
      </w:tr>
      <w:tr w:rsidR="008677CC" w:rsidRPr="00A9681C" w14:paraId="581C1D5C" w14:textId="77777777" w:rsidTr="00E73AAE">
        <w:tc>
          <w:tcPr>
            <w:tcW w:w="0" w:type="auto"/>
          </w:tcPr>
          <w:p w14:paraId="64124FD8" w14:textId="77777777" w:rsidR="007A75AC" w:rsidRPr="00A9681C" w:rsidRDefault="007A75AC" w:rsidP="0083333B">
            <w:pPr>
              <w:rPr>
                <w:rFonts w:ascii="Arial Narrow" w:hAnsi="Arial Narrow"/>
                <w:sz w:val="20"/>
                <w:szCs w:val="20"/>
              </w:rPr>
            </w:pPr>
            <w:r w:rsidRPr="00A9681C">
              <w:rPr>
                <w:rFonts w:ascii="Arial Narrow" w:hAnsi="Arial Narrow"/>
                <w:sz w:val="20"/>
                <w:szCs w:val="20"/>
              </w:rPr>
              <w:t>Population</w:t>
            </w:r>
          </w:p>
        </w:tc>
        <w:tc>
          <w:tcPr>
            <w:tcW w:w="3933" w:type="dxa"/>
          </w:tcPr>
          <w:p w14:paraId="11FB13BE" w14:textId="77777777" w:rsidR="007A75AC" w:rsidRDefault="008677CC" w:rsidP="0083333B">
            <w:pPr>
              <w:rPr>
                <w:rFonts w:ascii="Arial Narrow" w:hAnsi="Arial Narrow"/>
                <w:sz w:val="20"/>
                <w:szCs w:val="20"/>
              </w:rPr>
            </w:pPr>
            <w:r w:rsidRPr="00A9681C">
              <w:rPr>
                <w:rFonts w:ascii="Arial Narrow" w:hAnsi="Arial Narrow"/>
                <w:sz w:val="20"/>
                <w:szCs w:val="20"/>
              </w:rPr>
              <w:t>Patients with hypercholesterolemia</w:t>
            </w:r>
          </w:p>
          <w:p w14:paraId="2D8DFA12" w14:textId="1F474323" w:rsidR="00E73AAE" w:rsidRPr="00A9681C" w:rsidRDefault="00E73AAE" w:rsidP="0083333B">
            <w:pPr>
              <w:rPr>
                <w:rFonts w:ascii="Arial Narrow" w:hAnsi="Arial Narrow"/>
                <w:sz w:val="20"/>
                <w:szCs w:val="20"/>
              </w:rPr>
            </w:pPr>
          </w:p>
        </w:tc>
        <w:tc>
          <w:tcPr>
            <w:tcW w:w="4394" w:type="dxa"/>
          </w:tcPr>
          <w:p w14:paraId="3ABF4DE5" w14:textId="1646F4DC" w:rsidR="007A75AC" w:rsidRPr="00A9681C" w:rsidRDefault="009113B9" w:rsidP="0083333B">
            <w:pPr>
              <w:rPr>
                <w:rFonts w:ascii="Arial Narrow" w:hAnsi="Arial Narrow"/>
                <w:sz w:val="20"/>
                <w:szCs w:val="20"/>
              </w:rPr>
            </w:pPr>
            <w:r w:rsidRPr="00A9681C">
              <w:rPr>
                <w:rFonts w:ascii="Arial Narrow" w:hAnsi="Arial Narrow"/>
                <w:sz w:val="20"/>
                <w:szCs w:val="20"/>
              </w:rPr>
              <w:t>Hypercholesterol</w:t>
            </w:r>
            <w:r>
              <w:rPr>
                <w:rFonts w:ascii="Arial Narrow" w:hAnsi="Arial Narrow"/>
                <w:sz w:val="20"/>
                <w:szCs w:val="20"/>
              </w:rPr>
              <w:t>a</w:t>
            </w:r>
            <w:r w:rsidRPr="00A9681C">
              <w:rPr>
                <w:rFonts w:ascii="Arial Narrow" w:hAnsi="Arial Narrow"/>
                <w:sz w:val="20"/>
                <w:szCs w:val="20"/>
              </w:rPr>
              <w:t>emia</w:t>
            </w:r>
            <w:r w:rsidR="007A75AC" w:rsidRPr="00A9681C">
              <w:rPr>
                <w:rFonts w:ascii="Arial Narrow" w:hAnsi="Arial Narrow"/>
                <w:sz w:val="20"/>
                <w:szCs w:val="20"/>
              </w:rPr>
              <w:t xml:space="preserve"> or hypercholesterolemia</w:t>
            </w:r>
          </w:p>
        </w:tc>
      </w:tr>
      <w:tr w:rsidR="008677CC" w:rsidRPr="00A9681C" w14:paraId="58E21176" w14:textId="77777777" w:rsidTr="00E73AAE">
        <w:tc>
          <w:tcPr>
            <w:tcW w:w="0" w:type="auto"/>
          </w:tcPr>
          <w:p w14:paraId="499F4416" w14:textId="77777777" w:rsidR="007A75AC" w:rsidRPr="00A9681C" w:rsidRDefault="007A75AC" w:rsidP="0083333B">
            <w:pPr>
              <w:rPr>
                <w:rFonts w:ascii="Arial Narrow" w:hAnsi="Arial Narrow"/>
                <w:sz w:val="20"/>
                <w:szCs w:val="20"/>
              </w:rPr>
            </w:pPr>
            <w:r w:rsidRPr="00A9681C">
              <w:rPr>
                <w:rFonts w:ascii="Arial Narrow" w:hAnsi="Arial Narrow"/>
                <w:sz w:val="20"/>
                <w:szCs w:val="20"/>
              </w:rPr>
              <w:t>Intervention</w:t>
            </w:r>
          </w:p>
        </w:tc>
        <w:tc>
          <w:tcPr>
            <w:tcW w:w="3933" w:type="dxa"/>
          </w:tcPr>
          <w:p w14:paraId="6553ED7D" w14:textId="5FCABAFC" w:rsidR="00E73AAE" w:rsidRDefault="00E73AAE" w:rsidP="0083333B">
            <w:pPr>
              <w:rPr>
                <w:rFonts w:ascii="Arial Narrow" w:hAnsi="Arial Narrow"/>
                <w:sz w:val="20"/>
                <w:szCs w:val="20"/>
              </w:rPr>
            </w:pPr>
            <w:r>
              <w:rPr>
                <w:rFonts w:ascii="Arial Narrow" w:hAnsi="Arial Narrow"/>
                <w:sz w:val="20"/>
                <w:szCs w:val="20"/>
              </w:rPr>
              <w:t>Ezetimibe monotherapy</w:t>
            </w:r>
          </w:p>
          <w:p w14:paraId="0BE76A2A" w14:textId="355982E5" w:rsidR="004435BF" w:rsidRDefault="008677CC" w:rsidP="0083333B">
            <w:pPr>
              <w:rPr>
                <w:rFonts w:ascii="Arial Narrow" w:hAnsi="Arial Narrow"/>
                <w:sz w:val="20"/>
                <w:szCs w:val="20"/>
              </w:rPr>
            </w:pPr>
            <w:r w:rsidRPr="00A9681C">
              <w:rPr>
                <w:rFonts w:ascii="Arial Narrow" w:hAnsi="Arial Narrow"/>
                <w:sz w:val="20"/>
                <w:szCs w:val="20"/>
              </w:rPr>
              <w:t xml:space="preserve">Ezetimibe </w:t>
            </w:r>
            <w:r w:rsidR="00E73AAE">
              <w:rPr>
                <w:rFonts w:ascii="Arial Narrow" w:hAnsi="Arial Narrow"/>
                <w:sz w:val="20"/>
                <w:szCs w:val="20"/>
              </w:rPr>
              <w:t xml:space="preserve">in the </w:t>
            </w:r>
            <w:r w:rsidRPr="00A9681C">
              <w:rPr>
                <w:rFonts w:ascii="Arial Narrow" w:hAnsi="Arial Narrow"/>
                <w:sz w:val="20"/>
                <w:szCs w:val="20"/>
              </w:rPr>
              <w:t>second line treatment</w:t>
            </w:r>
            <w:r w:rsidR="00E73AAE">
              <w:rPr>
                <w:rFonts w:ascii="Arial Narrow" w:hAnsi="Arial Narrow"/>
                <w:sz w:val="20"/>
                <w:szCs w:val="20"/>
              </w:rPr>
              <w:t xml:space="preserve"> </w:t>
            </w:r>
            <w:r w:rsidR="004435BF">
              <w:rPr>
                <w:rFonts w:ascii="Arial Narrow" w:hAnsi="Arial Narrow"/>
                <w:sz w:val="20"/>
                <w:szCs w:val="20"/>
              </w:rPr>
              <w:t>(i.e. used in combination with other lipid-lowering drug)</w:t>
            </w:r>
          </w:p>
          <w:p w14:paraId="7E03EEE2" w14:textId="5F71F99D" w:rsidR="007A75AC" w:rsidRPr="00A9681C" w:rsidRDefault="004435BF" w:rsidP="0083333B">
            <w:pPr>
              <w:rPr>
                <w:rFonts w:ascii="Arial Narrow" w:hAnsi="Arial Narrow"/>
                <w:sz w:val="20"/>
                <w:szCs w:val="20"/>
              </w:rPr>
            </w:pPr>
            <w:r>
              <w:rPr>
                <w:rFonts w:ascii="Arial Narrow" w:hAnsi="Arial Narrow"/>
                <w:sz w:val="20"/>
                <w:szCs w:val="20"/>
              </w:rPr>
              <w:t>(e</w:t>
            </w:r>
            <w:r w:rsidRPr="00A9681C">
              <w:rPr>
                <w:rFonts w:ascii="Arial Narrow" w:hAnsi="Arial Narrow"/>
                <w:sz w:val="20"/>
                <w:szCs w:val="20"/>
              </w:rPr>
              <w:t xml:space="preserve">zetimibe </w:t>
            </w:r>
            <w:r>
              <w:rPr>
                <w:rFonts w:ascii="Arial Narrow" w:hAnsi="Arial Narrow"/>
                <w:sz w:val="20"/>
                <w:szCs w:val="20"/>
              </w:rPr>
              <w:t xml:space="preserve">in </w:t>
            </w:r>
            <w:r w:rsidR="00E73AAE">
              <w:rPr>
                <w:rFonts w:ascii="Arial Narrow" w:hAnsi="Arial Narrow"/>
                <w:sz w:val="20"/>
                <w:szCs w:val="20"/>
              </w:rPr>
              <w:t>the</w:t>
            </w:r>
            <w:r w:rsidR="00E73AAE" w:rsidRPr="00A9681C">
              <w:rPr>
                <w:rFonts w:ascii="Arial Narrow" w:hAnsi="Arial Narrow"/>
                <w:sz w:val="20"/>
                <w:szCs w:val="20"/>
              </w:rPr>
              <w:t xml:space="preserve"> </w:t>
            </w:r>
            <w:r>
              <w:rPr>
                <w:rFonts w:ascii="Arial Narrow" w:hAnsi="Arial Narrow"/>
                <w:sz w:val="20"/>
                <w:szCs w:val="20"/>
              </w:rPr>
              <w:t>first</w:t>
            </w:r>
            <w:r w:rsidR="00E73AAE" w:rsidRPr="00A9681C">
              <w:rPr>
                <w:rFonts w:ascii="Arial Narrow" w:hAnsi="Arial Narrow"/>
                <w:sz w:val="20"/>
                <w:szCs w:val="20"/>
              </w:rPr>
              <w:t xml:space="preserve"> line</w:t>
            </w:r>
            <w:r>
              <w:rPr>
                <w:rFonts w:ascii="Arial Narrow" w:hAnsi="Arial Narrow"/>
                <w:sz w:val="20"/>
                <w:szCs w:val="20"/>
              </w:rPr>
              <w:t xml:space="preserve"> treatment was not necessarily excluded)</w:t>
            </w:r>
          </w:p>
        </w:tc>
        <w:tc>
          <w:tcPr>
            <w:tcW w:w="4394" w:type="dxa"/>
          </w:tcPr>
          <w:p w14:paraId="77F04DB5" w14:textId="77777777" w:rsidR="007A75AC" w:rsidRPr="00A9681C" w:rsidRDefault="007A75AC" w:rsidP="0083333B">
            <w:pPr>
              <w:rPr>
                <w:rFonts w:ascii="Arial Narrow" w:hAnsi="Arial Narrow"/>
                <w:sz w:val="20"/>
                <w:szCs w:val="20"/>
              </w:rPr>
            </w:pPr>
            <w:r w:rsidRPr="00A9681C">
              <w:rPr>
                <w:rFonts w:ascii="Arial Narrow" w:hAnsi="Arial Narrow"/>
                <w:sz w:val="20"/>
                <w:szCs w:val="20"/>
              </w:rPr>
              <w:t>Ezetimibe, Simvastatin Drug Combination/ or Ezetimibe/ or Ezetimibe</w:t>
            </w:r>
            <w:r w:rsidR="008677CC" w:rsidRPr="00A9681C">
              <w:rPr>
                <w:rFonts w:ascii="Arial Narrow" w:hAnsi="Arial Narrow"/>
                <w:sz w:val="20"/>
                <w:szCs w:val="20"/>
              </w:rPr>
              <w:t xml:space="preserve"> or Ezetrol/Zetia</w:t>
            </w:r>
          </w:p>
        </w:tc>
      </w:tr>
    </w:tbl>
    <w:p w14:paraId="2DAF20AD" w14:textId="77777777" w:rsidR="0083333B" w:rsidRDefault="0083333B" w:rsidP="0083333B">
      <w:pPr>
        <w:spacing w:after="0"/>
      </w:pPr>
    </w:p>
    <w:p w14:paraId="2D1AFDB8" w14:textId="49ABAC81" w:rsidR="006C4FAC" w:rsidRDefault="00EA020C" w:rsidP="0083333B">
      <w:pPr>
        <w:spacing w:after="0"/>
      </w:pPr>
      <w:r>
        <w:t>Complete search terms used in the systematic lit</w:t>
      </w:r>
      <w:r w:rsidR="00D82A7B">
        <w:t>erature search are presented in</w:t>
      </w:r>
      <w:r>
        <w:t xml:space="preserve"> </w:t>
      </w:r>
      <w:r w:rsidRPr="00341082">
        <w:t>Ap</w:t>
      </w:r>
      <w:r w:rsidR="006B45CB" w:rsidRPr="00341082">
        <w:t>pendix</w:t>
      </w:r>
      <w:r w:rsidR="00341082" w:rsidRPr="00341082">
        <w:t xml:space="preserve"> 1</w:t>
      </w:r>
      <w:r w:rsidR="00341082">
        <w:t>.</w:t>
      </w:r>
    </w:p>
    <w:p w14:paraId="5A05A382" w14:textId="77777777" w:rsidR="00341082" w:rsidRDefault="00341082" w:rsidP="0083333B">
      <w:pPr>
        <w:spacing w:after="0"/>
      </w:pPr>
    </w:p>
    <w:p w14:paraId="255E997B" w14:textId="77777777" w:rsidR="00341082" w:rsidRDefault="00341082" w:rsidP="0083333B">
      <w:pPr>
        <w:spacing w:after="0"/>
      </w:pPr>
    </w:p>
    <w:p w14:paraId="269330C4" w14:textId="77777777" w:rsidR="00E70ACD" w:rsidRDefault="00E70ACD" w:rsidP="00E70ACD">
      <w:pPr>
        <w:pStyle w:val="Heading2"/>
      </w:pPr>
      <w:bookmarkStart w:id="24" w:name="_Toc467857746"/>
      <w:r>
        <w:lastRenderedPageBreak/>
        <w:t>2.1.3. Search strategy</w:t>
      </w:r>
      <w:bookmarkEnd w:id="24"/>
    </w:p>
    <w:p w14:paraId="77C28453" w14:textId="77777777" w:rsidR="00E70ACD" w:rsidRDefault="00E70ACD" w:rsidP="00E70ACD"/>
    <w:p w14:paraId="7C5B5C09" w14:textId="09C48504" w:rsidR="00E70ACD" w:rsidRDefault="00E70ACD" w:rsidP="004C485F">
      <w:pPr>
        <w:jc w:val="both"/>
      </w:pPr>
      <w:r>
        <w:t xml:space="preserve">The major databases including MEDLINE, EMBASE, and Cochrane databases were searched to identify peer-reviewed publications related to ezetimibe in treating adult patients with familial or non-familial hypercholesterolemia. </w:t>
      </w:r>
      <w:r w:rsidR="00150354">
        <w:t>The search of registries of randomised trials and sponsor’s PBAC submissions, commentaries w</w:t>
      </w:r>
      <w:r w:rsidR="004B428B">
        <w:t>as also</w:t>
      </w:r>
      <w:r w:rsidR="00150354">
        <w:t xml:space="preserve"> performed.  </w:t>
      </w:r>
      <w:r w:rsidR="004B428B">
        <w:t>M</w:t>
      </w:r>
      <w:r w:rsidR="00150354">
        <w:t xml:space="preserve">anual </w:t>
      </w:r>
      <w:r w:rsidR="004B428B">
        <w:t>search</w:t>
      </w:r>
      <w:r w:rsidR="00150354">
        <w:t xml:space="preserve"> of reference lists of all relevant </w:t>
      </w:r>
      <w:r w:rsidR="004B428B">
        <w:t>publications</w:t>
      </w:r>
      <w:r w:rsidR="00150354">
        <w:t xml:space="preserve"> </w:t>
      </w:r>
      <w:r w:rsidR="004B428B">
        <w:t>was undertaken</w:t>
      </w:r>
      <w:r w:rsidR="00150354">
        <w:t xml:space="preserve">. </w:t>
      </w:r>
      <w:r w:rsidR="00862D4A">
        <w:t xml:space="preserve">All searches were </w:t>
      </w:r>
      <w:r w:rsidR="004B428B">
        <w:t>conducted</w:t>
      </w:r>
      <w:r w:rsidR="00862D4A">
        <w:t xml:space="preserve"> on </w:t>
      </w:r>
      <w:r w:rsidR="004B428B">
        <w:t xml:space="preserve">the </w:t>
      </w:r>
      <w:r w:rsidR="004B428B" w:rsidRPr="0051625E">
        <w:t>24th</w:t>
      </w:r>
      <w:r w:rsidR="00862D4A" w:rsidRPr="0051625E">
        <w:t xml:space="preserve"> </w:t>
      </w:r>
      <w:r w:rsidR="004B428B" w:rsidRPr="0051625E">
        <w:t xml:space="preserve">of </w:t>
      </w:r>
      <w:r w:rsidR="00862D4A" w:rsidRPr="0051625E">
        <w:t>May 2016</w:t>
      </w:r>
      <w:r w:rsidR="00D21C8B">
        <w:t xml:space="preserve"> and updated in October 2016</w:t>
      </w:r>
      <w:r w:rsidR="00862D4A" w:rsidRPr="0051625E">
        <w:t>.</w:t>
      </w:r>
      <w:r w:rsidR="00862D4A">
        <w:t xml:space="preserve"> </w:t>
      </w:r>
      <w:r w:rsidR="00B82D13">
        <w:t>Additional search of Clinical Trial Registry (</w:t>
      </w:r>
      <w:r w:rsidR="00B82D13" w:rsidRPr="004D0A2F">
        <w:t>https://clinicaltrials.gov/ct2/home</w:t>
      </w:r>
      <w:r w:rsidR="00B82D13">
        <w:t>) was undertaken on 1</w:t>
      </w:r>
      <w:r w:rsidR="00B82D13" w:rsidRPr="00B82D13">
        <w:rPr>
          <w:vertAlign w:val="superscript"/>
        </w:rPr>
        <w:t>st</w:t>
      </w:r>
      <w:r w:rsidR="00B82D13">
        <w:t xml:space="preserve"> of September 2016 to identify any registered and completed phase III or IV clinical trials involving ezetimibe for treatment of hypercholesterolaemia.</w:t>
      </w:r>
    </w:p>
    <w:p w14:paraId="57E6B716" w14:textId="2D65E01E" w:rsidR="00E70ACD" w:rsidRDefault="00F809F6" w:rsidP="004C485F">
      <w:pPr>
        <w:jc w:val="both"/>
      </w:pPr>
      <w:r w:rsidRPr="00341082">
        <w:t>Appendix</w:t>
      </w:r>
      <w:r w:rsidR="00B82D13" w:rsidRPr="00341082">
        <w:t xml:space="preserve"> 1</w:t>
      </w:r>
      <w:r>
        <w:t xml:space="preserve"> </w:t>
      </w:r>
      <w:r w:rsidR="00E70ACD">
        <w:t>lists the electronic databases searched and periods covered by the searches.</w:t>
      </w:r>
    </w:p>
    <w:p w14:paraId="374A62BE" w14:textId="204D47D3" w:rsidR="00150354" w:rsidRDefault="00150354" w:rsidP="000C43DD">
      <w:pPr>
        <w:pStyle w:val="Heading1"/>
        <w:spacing w:before="0"/>
      </w:pPr>
      <w:bookmarkStart w:id="25" w:name="_Toc467857747"/>
      <w:r>
        <w:t>2.2. Identif</w:t>
      </w:r>
      <w:r w:rsidR="000C43DD">
        <w:t>ied</w:t>
      </w:r>
      <w:r>
        <w:t xml:space="preserve"> relevant trials</w:t>
      </w:r>
      <w:bookmarkEnd w:id="25"/>
    </w:p>
    <w:p w14:paraId="3BBAE1EC" w14:textId="77777777" w:rsidR="00150354" w:rsidRDefault="00150354" w:rsidP="000C43DD">
      <w:pPr>
        <w:spacing w:after="0"/>
      </w:pPr>
    </w:p>
    <w:p w14:paraId="0B79FED8" w14:textId="77777777" w:rsidR="00150354" w:rsidRDefault="00150354" w:rsidP="000C43DD">
      <w:pPr>
        <w:pStyle w:val="Heading2"/>
        <w:spacing w:before="0"/>
      </w:pPr>
      <w:bookmarkStart w:id="26" w:name="_Toc467857748"/>
      <w:r>
        <w:t>2.2.1. Search results</w:t>
      </w:r>
      <w:bookmarkEnd w:id="26"/>
    </w:p>
    <w:p w14:paraId="62324B5B" w14:textId="77777777" w:rsidR="00150354" w:rsidRDefault="00150354" w:rsidP="000C43DD">
      <w:pPr>
        <w:spacing w:after="0"/>
      </w:pPr>
    </w:p>
    <w:p w14:paraId="3E81C650" w14:textId="77777777" w:rsidR="00150354" w:rsidRDefault="00150354" w:rsidP="000C43DD">
      <w:pPr>
        <w:pStyle w:val="Heading3"/>
        <w:spacing w:before="0"/>
      </w:pPr>
      <w:r>
        <w:t>Selection criteria</w:t>
      </w:r>
    </w:p>
    <w:p w14:paraId="13A1C641" w14:textId="77777777" w:rsidR="00150354" w:rsidRDefault="00150354" w:rsidP="000C43DD">
      <w:pPr>
        <w:spacing w:after="0"/>
      </w:pPr>
    </w:p>
    <w:p w14:paraId="403F6143" w14:textId="17266AF4" w:rsidR="00150354" w:rsidRDefault="00150354" w:rsidP="000C43DD">
      <w:pPr>
        <w:spacing w:after="0"/>
        <w:jc w:val="both"/>
      </w:pPr>
      <w:r>
        <w:t xml:space="preserve">Of the citations returned by electronic literature search, systematic reviews </w:t>
      </w:r>
      <w:r w:rsidR="0088486E">
        <w:t xml:space="preserve">and RCTs assessing </w:t>
      </w:r>
      <w:r w:rsidR="009113B9">
        <w:t xml:space="preserve">clinical </w:t>
      </w:r>
      <w:r w:rsidR="0088486E">
        <w:t xml:space="preserve">efficacy and economic outcomes of ezetimibe in adult patients with uncontrolled hypercholesterolemia were eligible for inclusion. </w:t>
      </w:r>
      <w:r w:rsidR="00862D4A">
        <w:t xml:space="preserve">Two reviewers independently screened all titles and abstracts. Full paper manuscripts of any titles/abstracts that were considered relevant by either reviewer were obtained where possible. The relevance of each paper was assessed according to the selection criteria set out below (Table 2.2.1). Any disagreement were resolved by discussion. </w:t>
      </w:r>
    </w:p>
    <w:p w14:paraId="33E99677" w14:textId="77777777" w:rsidR="000C43DD" w:rsidRDefault="000C43DD" w:rsidP="000C43DD">
      <w:pPr>
        <w:spacing w:after="0"/>
        <w:jc w:val="both"/>
      </w:pPr>
    </w:p>
    <w:p w14:paraId="5A832347" w14:textId="77777777" w:rsidR="0088486E" w:rsidRPr="0083333B" w:rsidRDefault="00862D4A" w:rsidP="0051625E">
      <w:pPr>
        <w:pStyle w:val="Caption"/>
        <w:ind w:left="0"/>
        <w:rPr>
          <w:sz w:val="24"/>
          <w:szCs w:val="24"/>
        </w:rPr>
      </w:pPr>
      <w:r w:rsidRPr="0083333B">
        <w:rPr>
          <w:sz w:val="24"/>
          <w:szCs w:val="24"/>
        </w:rPr>
        <w:t>Table 2.2.1 Selection criteria</w:t>
      </w:r>
    </w:p>
    <w:tbl>
      <w:tblPr>
        <w:tblStyle w:val="TableGrid"/>
        <w:tblW w:w="9214" w:type="dxa"/>
        <w:tblInd w:w="-5" w:type="dxa"/>
        <w:tblLook w:val="04A0" w:firstRow="1" w:lastRow="0" w:firstColumn="1" w:lastColumn="0" w:noHBand="0" w:noVBand="1"/>
      </w:tblPr>
      <w:tblGrid>
        <w:gridCol w:w="1155"/>
        <w:gridCol w:w="4232"/>
        <w:gridCol w:w="3827"/>
      </w:tblGrid>
      <w:tr w:rsidR="0088486E" w:rsidRPr="0088486E" w14:paraId="0E165589" w14:textId="77777777" w:rsidTr="000F489B">
        <w:trPr>
          <w:cnfStyle w:val="100000000000" w:firstRow="1" w:lastRow="0" w:firstColumn="0" w:lastColumn="0" w:oddVBand="0" w:evenVBand="0" w:oddHBand="0" w:evenHBand="0" w:firstRowFirstColumn="0" w:firstRowLastColumn="0" w:lastRowFirstColumn="0" w:lastRowLastColumn="0"/>
        </w:trPr>
        <w:tc>
          <w:tcPr>
            <w:tcW w:w="1155" w:type="dxa"/>
          </w:tcPr>
          <w:p w14:paraId="73ED2FC2" w14:textId="77777777" w:rsidR="0088486E" w:rsidRPr="0088486E" w:rsidRDefault="0088486E" w:rsidP="0055459F">
            <w:pPr>
              <w:rPr>
                <w:rFonts w:ascii="Arial Narrow" w:hAnsi="Arial Narrow"/>
                <w:sz w:val="20"/>
                <w:szCs w:val="20"/>
              </w:rPr>
            </w:pPr>
          </w:p>
        </w:tc>
        <w:tc>
          <w:tcPr>
            <w:tcW w:w="4232" w:type="dxa"/>
          </w:tcPr>
          <w:p w14:paraId="6D4E24ED" w14:textId="77777777" w:rsidR="0088486E" w:rsidRPr="0088486E" w:rsidRDefault="0088486E" w:rsidP="0055459F">
            <w:pPr>
              <w:rPr>
                <w:rFonts w:ascii="Arial Narrow" w:hAnsi="Arial Narrow"/>
                <w:b w:val="0"/>
                <w:sz w:val="20"/>
                <w:szCs w:val="20"/>
              </w:rPr>
            </w:pPr>
            <w:r w:rsidRPr="0088486E">
              <w:rPr>
                <w:rFonts w:ascii="Arial Narrow" w:hAnsi="Arial Narrow"/>
                <w:sz w:val="20"/>
                <w:szCs w:val="20"/>
              </w:rPr>
              <w:t xml:space="preserve">Inclusion criteria </w:t>
            </w:r>
          </w:p>
        </w:tc>
        <w:tc>
          <w:tcPr>
            <w:tcW w:w="3827" w:type="dxa"/>
          </w:tcPr>
          <w:p w14:paraId="69EB9740" w14:textId="77777777" w:rsidR="0088486E" w:rsidRPr="0088486E" w:rsidRDefault="0088486E" w:rsidP="0055459F">
            <w:pPr>
              <w:rPr>
                <w:rFonts w:ascii="Arial Narrow" w:hAnsi="Arial Narrow"/>
                <w:b w:val="0"/>
                <w:sz w:val="20"/>
                <w:szCs w:val="20"/>
              </w:rPr>
            </w:pPr>
            <w:r w:rsidRPr="0088486E">
              <w:rPr>
                <w:rFonts w:ascii="Arial Narrow" w:hAnsi="Arial Narrow"/>
                <w:sz w:val="20"/>
                <w:szCs w:val="20"/>
              </w:rPr>
              <w:t>Exclusion criteria</w:t>
            </w:r>
          </w:p>
        </w:tc>
      </w:tr>
      <w:tr w:rsidR="00201E46" w:rsidRPr="0088486E" w14:paraId="70ED0284" w14:textId="77777777" w:rsidTr="000F489B">
        <w:tc>
          <w:tcPr>
            <w:tcW w:w="1155" w:type="dxa"/>
            <w:vMerge w:val="restart"/>
          </w:tcPr>
          <w:p w14:paraId="5C88BC36" w14:textId="241FD1FA" w:rsidR="00201E46" w:rsidRPr="0088486E" w:rsidRDefault="00201E46" w:rsidP="0055459F">
            <w:pPr>
              <w:rPr>
                <w:rFonts w:ascii="Arial Narrow" w:hAnsi="Arial Narrow"/>
                <w:b/>
                <w:sz w:val="20"/>
                <w:szCs w:val="20"/>
              </w:rPr>
            </w:pPr>
            <w:r w:rsidRPr="0088486E">
              <w:rPr>
                <w:rFonts w:ascii="Arial Narrow" w:hAnsi="Arial Narrow"/>
                <w:b/>
                <w:sz w:val="20"/>
                <w:szCs w:val="20"/>
              </w:rPr>
              <w:t>Population</w:t>
            </w:r>
          </w:p>
        </w:tc>
        <w:tc>
          <w:tcPr>
            <w:tcW w:w="4232" w:type="dxa"/>
          </w:tcPr>
          <w:p w14:paraId="04A93D9C" w14:textId="1287244E" w:rsidR="00201E46" w:rsidRPr="00FB1482" w:rsidRDefault="00201E46" w:rsidP="00A426D6">
            <w:pPr>
              <w:rPr>
                <w:rFonts w:ascii="Arial Narrow" w:hAnsi="Arial Narrow"/>
                <w:i/>
                <w:sz w:val="20"/>
                <w:szCs w:val="20"/>
              </w:rPr>
            </w:pPr>
            <w:r>
              <w:rPr>
                <w:rFonts w:ascii="Arial Narrow" w:hAnsi="Arial Narrow"/>
                <w:i/>
                <w:sz w:val="18"/>
                <w:szCs w:val="18"/>
              </w:rPr>
              <w:t xml:space="preserve">(i) </w:t>
            </w:r>
            <w:r w:rsidRPr="00FB1482">
              <w:rPr>
                <w:rFonts w:ascii="Arial Narrow" w:hAnsi="Arial Narrow"/>
                <w:i/>
                <w:sz w:val="18"/>
                <w:szCs w:val="18"/>
              </w:rPr>
              <w:t>Eligible for ezetimibe</w:t>
            </w:r>
            <w:r>
              <w:rPr>
                <w:rFonts w:ascii="Arial Narrow" w:hAnsi="Arial Narrow"/>
                <w:i/>
                <w:sz w:val="18"/>
                <w:szCs w:val="18"/>
              </w:rPr>
              <w:t>+statin</w:t>
            </w:r>
            <w:r w:rsidRPr="00FB1482">
              <w:rPr>
                <w:rFonts w:ascii="Arial Narrow" w:hAnsi="Arial Narrow"/>
                <w:i/>
                <w:sz w:val="18"/>
                <w:szCs w:val="18"/>
              </w:rPr>
              <w:t xml:space="preserve"> </w:t>
            </w:r>
            <w:r>
              <w:rPr>
                <w:rFonts w:ascii="Arial Narrow" w:hAnsi="Arial Narrow"/>
                <w:i/>
                <w:sz w:val="18"/>
                <w:szCs w:val="18"/>
              </w:rPr>
              <w:t xml:space="preserve">combination </w:t>
            </w:r>
            <w:r w:rsidRPr="00FB1482">
              <w:rPr>
                <w:rFonts w:ascii="Arial Narrow" w:hAnsi="Arial Narrow"/>
                <w:i/>
                <w:sz w:val="18"/>
                <w:szCs w:val="18"/>
              </w:rPr>
              <w:t>treatment according to PBS restriction</w:t>
            </w:r>
            <w:r>
              <w:rPr>
                <w:rFonts w:ascii="Arial Narrow" w:hAnsi="Arial Narrow"/>
                <w:i/>
                <w:sz w:val="18"/>
                <w:szCs w:val="18"/>
              </w:rPr>
              <w:t xml:space="preserve"> (both primary or secondary prevention population)</w:t>
            </w:r>
          </w:p>
        </w:tc>
        <w:tc>
          <w:tcPr>
            <w:tcW w:w="3827" w:type="dxa"/>
            <w:vMerge w:val="restart"/>
          </w:tcPr>
          <w:p w14:paraId="79A3AFD9" w14:textId="77777777" w:rsidR="00201E46" w:rsidRDefault="00201E46" w:rsidP="008A2CD1">
            <w:pPr>
              <w:rPr>
                <w:rFonts w:ascii="Arial Narrow" w:hAnsi="Arial Narrow"/>
                <w:color w:val="FF0000"/>
                <w:sz w:val="18"/>
                <w:szCs w:val="18"/>
              </w:rPr>
            </w:pPr>
          </w:p>
          <w:p w14:paraId="179E0EE5" w14:textId="77777777" w:rsidR="00201E46" w:rsidRDefault="00201E46" w:rsidP="008A2CD1">
            <w:pPr>
              <w:rPr>
                <w:rFonts w:ascii="Arial Narrow" w:hAnsi="Arial Narrow"/>
                <w:color w:val="FF0000"/>
                <w:sz w:val="18"/>
                <w:szCs w:val="18"/>
              </w:rPr>
            </w:pPr>
          </w:p>
          <w:p w14:paraId="25AE32CC" w14:textId="77777777" w:rsidR="00201E46" w:rsidRDefault="00201E46" w:rsidP="008A2CD1">
            <w:pPr>
              <w:rPr>
                <w:rFonts w:ascii="Arial Narrow" w:hAnsi="Arial Narrow"/>
                <w:color w:val="FF0000"/>
                <w:sz w:val="18"/>
                <w:szCs w:val="18"/>
              </w:rPr>
            </w:pPr>
          </w:p>
          <w:p w14:paraId="26DF7A27" w14:textId="77777777" w:rsidR="00201E46" w:rsidRPr="0051625E" w:rsidRDefault="00201E46" w:rsidP="008A2CD1">
            <w:pPr>
              <w:rPr>
                <w:rFonts w:ascii="Arial Narrow" w:hAnsi="Arial Narrow"/>
                <w:sz w:val="18"/>
                <w:szCs w:val="18"/>
              </w:rPr>
            </w:pPr>
          </w:p>
          <w:p w14:paraId="2CF84229" w14:textId="77777777" w:rsidR="00201E46" w:rsidRPr="0051625E" w:rsidRDefault="00201E46" w:rsidP="008A2CD1">
            <w:pPr>
              <w:rPr>
                <w:rFonts w:ascii="Arial Narrow" w:hAnsi="Arial Narrow"/>
                <w:sz w:val="18"/>
                <w:szCs w:val="18"/>
              </w:rPr>
            </w:pPr>
            <w:r w:rsidRPr="0051625E">
              <w:rPr>
                <w:rFonts w:ascii="Arial Narrow" w:hAnsi="Arial Narrow"/>
                <w:sz w:val="18"/>
                <w:szCs w:val="18"/>
              </w:rPr>
              <w:t>Adults without a diagnosis of a symptomatic CVD that do not meet high risk criteria either in GSLLD or NVDPA-2012 guidelines</w:t>
            </w:r>
          </w:p>
          <w:p w14:paraId="0F630A0F" w14:textId="77777777" w:rsidR="0051625E" w:rsidRDefault="0051625E" w:rsidP="008A2CD1">
            <w:pPr>
              <w:rPr>
                <w:rFonts w:ascii="Arial Narrow" w:hAnsi="Arial Narrow"/>
                <w:sz w:val="18"/>
                <w:szCs w:val="18"/>
              </w:rPr>
            </w:pPr>
          </w:p>
          <w:p w14:paraId="6BAD42EA" w14:textId="62B91628" w:rsidR="0068741D" w:rsidRPr="008A2CD1" w:rsidRDefault="0068741D" w:rsidP="008A2CD1">
            <w:pPr>
              <w:rPr>
                <w:rFonts w:ascii="Arial Narrow" w:hAnsi="Arial Narrow"/>
                <w:color w:val="FF0000"/>
                <w:sz w:val="20"/>
                <w:szCs w:val="20"/>
              </w:rPr>
            </w:pPr>
            <w:r w:rsidRPr="0051625E">
              <w:rPr>
                <w:rFonts w:ascii="Arial Narrow" w:hAnsi="Arial Narrow"/>
                <w:sz w:val="18"/>
                <w:szCs w:val="18"/>
              </w:rPr>
              <w:t>Special subgroups of the population with homozygous sitosterolaemia or homozygous familial hypercholesterolemia</w:t>
            </w:r>
          </w:p>
        </w:tc>
      </w:tr>
      <w:tr w:rsidR="00201E46" w:rsidRPr="0088486E" w14:paraId="2A171F3B" w14:textId="77777777" w:rsidTr="000F489B">
        <w:tc>
          <w:tcPr>
            <w:tcW w:w="1155" w:type="dxa"/>
            <w:vMerge/>
          </w:tcPr>
          <w:p w14:paraId="48820085" w14:textId="77777777" w:rsidR="00201E46" w:rsidRPr="0088486E" w:rsidRDefault="00201E46" w:rsidP="0055459F">
            <w:pPr>
              <w:rPr>
                <w:rFonts w:ascii="Arial Narrow" w:hAnsi="Arial Narrow"/>
                <w:b/>
                <w:sz w:val="20"/>
                <w:szCs w:val="20"/>
              </w:rPr>
            </w:pPr>
          </w:p>
        </w:tc>
        <w:tc>
          <w:tcPr>
            <w:tcW w:w="4232" w:type="dxa"/>
          </w:tcPr>
          <w:p w14:paraId="5A667D9F" w14:textId="135A7CD5" w:rsidR="00201E46" w:rsidRPr="00FB1482" w:rsidRDefault="00201E46" w:rsidP="00F97974">
            <w:pPr>
              <w:spacing w:line="264" w:lineRule="auto"/>
              <w:contextualSpacing/>
              <w:rPr>
                <w:rFonts w:ascii="Arial Narrow" w:eastAsia="Calibri" w:hAnsi="Arial Narrow" w:cs="Times New Roman"/>
                <w:sz w:val="18"/>
                <w:szCs w:val="18"/>
              </w:rPr>
            </w:pPr>
            <w:r>
              <w:rPr>
                <w:rFonts w:ascii="Arial Narrow" w:eastAsia="Calibri" w:hAnsi="Arial Narrow" w:cs="Times New Roman"/>
                <w:sz w:val="18"/>
                <w:szCs w:val="18"/>
              </w:rPr>
              <w:t>P</w:t>
            </w:r>
            <w:r w:rsidRPr="00FB1482">
              <w:rPr>
                <w:rFonts w:ascii="Arial Narrow" w:eastAsia="Calibri" w:hAnsi="Arial Narrow" w:cs="Times New Roman"/>
                <w:sz w:val="18"/>
                <w:szCs w:val="18"/>
              </w:rPr>
              <w:t>atients are required to have baseline cholesterol levels that are above a threshold:</w:t>
            </w:r>
          </w:p>
          <w:p w14:paraId="28EE2C8E" w14:textId="77777777" w:rsidR="00201E46" w:rsidRPr="00FB1482" w:rsidRDefault="00201E46" w:rsidP="00140129">
            <w:pPr>
              <w:numPr>
                <w:ilvl w:val="0"/>
                <w:numId w:val="9"/>
              </w:numPr>
              <w:spacing w:line="264" w:lineRule="auto"/>
              <w:ind w:left="742" w:hanging="283"/>
              <w:contextualSpacing/>
              <w:rPr>
                <w:rFonts w:ascii="Arial Narrow" w:eastAsia="Calibri" w:hAnsi="Arial Narrow" w:cs="Times New Roman"/>
                <w:sz w:val="18"/>
                <w:szCs w:val="18"/>
              </w:rPr>
            </w:pPr>
            <w:r w:rsidRPr="00FB1482">
              <w:rPr>
                <w:rFonts w:ascii="Arial Narrow" w:eastAsia="Calibri" w:hAnsi="Arial Narrow" w:cs="Times New Roman"/>
                <w:sz w:val="18"/>
                <w:szCs w:val="18"/>
              </w:rPr>
              <w:t>where the patient falls into a category for which the GSLLD includes an initial cholesterol threshold for PBS-subsidy (i.e. a patient not in a very high risk category), a cholesterol level in excess of that threshold after at least 3 months of treatment at a maximum tolerated dose of a statin, in conjunction with dietary therapy and exercise; or</w:t>
            </w:r>
          </w:p>
          <w:p w14:paraId="3E5ABC8B" w14:textId="784FBB77" w:rsidR="00201E46" w:rsidRPr="00FB1482" w:rsidRDefault="00201E46" w:rsidP="00140129">
            <w:pPr>
              <w:numPr>
                <w:ilvl w:val="0"/>
                <w:numId w:val="9"/>
              </w:numPr>
              <w:spacing w:line="264" w:lineRule="auto"/>
              <w:ind w:left="742" w:hanging="283"/>
              <w:contextualSpacing/>
              <w:rPr>
                <w:rFonts w:ascii="Arial Narrow" w:eastAsia="Calibri" w:hAnsi="Arial Narrow" w:cs="Times New Roman"/>
                <w:sz w:val="18"/>
                <w:szCs w:val="18"/>
              </w:rPr>
            </w:pPr>
            <w:r w:rsidRPr="00FB1482">
              <w:rPr>
                <w:rFonts w:ascii="Arial Narrow" w:eastAsia="Calibri" w:hAnsi="Arial Narrow" w:cs="Times New Roman"/>
                <w:sz w:val="18"/>
                <w:szCs w:val="18"/>
              </w:rPr>
              <w:t>where the patient falls into a category for which the GSLLD allows PBS-subsidised treatment with a statin at any cholesterol level (i.e. a very high risk category patient), a cholesterol level in excess of 4 mmol</w:t>
            </w:r>
            <w:r w:rsidR="006C4FAC">
              <w:rPr>
                <w:rFonts w:ascii="Arial Narrow" w:eastAsia="Calibri" w:hAnsi="Arial Narrow" w:cs="Times New Roman"/>
                <w:sz w:val="18"/>
                <w:szCs w:val="18"/>
              </w:rPr>
              <w:t>/</w:t>
            </w:r>
            <w:r w:rsidRPr="00FB1482">
              <w:rPr>
                <w:rFonts w:ascii="Arial Narrow" w:eastAsia="Calibri" w:hAnsi="Arial Narrow" w:cs="Times New Roman"/>
                <w:sz w:val="18"/>
                <w:szCs w:val="18"/>
              </w:rPr>
              <w:t>L after at least 3 months of treatment at a maximum tolerated dose of a statin, in conjunction with dietary therapy and exercise.</w:t>
            </w:r>
          </w:p>
        </w:tc>
        <w:tc>
          <w:tcPr>
            <w:tcW w:w="3827" w:type="dxa"/>
            <w:vMerge/>
          </w:tcPr>
          <w:p w14:paraId="39FFEC40" w14:textId="7876598E" w:rsidR="00201E46" w:rsidRPr="00FB1482" w:rsidRDefault="00201E46" w:rsidP="008A2CD1">
            <w:pPr>
              <w:rPr>
                <w:rFonts w:ascii="Arial Narrow" w:hAnsi="Arial Narrow"/>
                <w:color w:val="FF0000"/>
                <w:sz w:val="18"/>
                <w:szCs w:val="18"/>
              </w:rPr>
            </w:pPr>
          </w:p>
        </w:tc>
      </w:tr>
      <w:tr w:rsidR="00201E46" w:rsidRPr="0088486E" w14:paraId="7A97A839" w14:textId="77777777" w:rsidTr="000F489B">
        <w:tc>
          <w:tcPr>
            <w:tcW w:w="1155" w:type="dxa"/>
            <w:vMerge/>
          </w:tcPr>
          <w:p w14:paraId="09DC0FBC" w14:textId="75464707" w:rsidR="00201E46" w:rsidRPr="0088486E" w:rsidRDefault="00201E46" w:rsidP="0055459F">
            <w:pPr>
              <w:rPr>
                <w:rFonts w:ascii="Arial Narrow" w:hAnsi="Arial Narrow"/>
                <w:b/>
                <w:sz w:val="20"/>
                <w:szCs w:val="20"/>
              </w:rPr>
            </w:pPr>
          </w:p>
        </w:tc>
        <w:tc>
          <w:tcPr>
            <w:tcW w:w="4232" w:type="dxa"/>
          </w:tcPr>
          <w:p w14:paraId="61DA22AD" w14:textId="2481E276" w:rsidR="00201E46" w:rsidRPr="00A426D6" w:rsidRDefault="00201E46" w:rsidP="00A426D6">
            <w:pPr>
              <w:rPr>
                <w:rFonts w:ascii="Arial Narrow" w:hAnsi="Arial Narrow"/>
                <w:sz w:val="20"/>
                <w:szCs w:val="20"/>
              </w:rPr>
            </w:pPr>
            <w:r w:rsidRPr="00A426D6">
              <w:rPr>
                <w:rFonts w:ascii="Arial Narrow" w:hAnsi="Arial Narrow"/>
                <w:i/>
                <w:sz w:val="18"/>
                <w:szCs w:val="18"/>
              </w:rPr>
              <w:t>(ii) Eligible for treatment with ezetimibe</w:t>
            </w:r>
            <w:r>
              <w:rPr>
                <w:rFonts w:ascii="Arial Narrow" w:hAnsi="Arial Narrow"/>
                <w:i/>
                <w:sz w:val="18"/>
                <w:szCs w:val="18"/>
              </w:rPr>
              <w:t xml:space="preserve"> +statin</w:t>
            </w:r>
            <w:r w:rsidRPr="00A426D6">
              <w:rPr>
                <w:rFonts w:ascii="Arial Narrow" w:hAnsi="Arial Narrow"/>
                <w:i/>
                <w:sz w:val="18"/>
                <w:szCs w:val="18"/>
              </w:rPr>
              <w:t xml:space="preserve"> according to NVDPA guidelines</w:t>
            </w:r>
            <w:r>
              <w:rPr>
                <w:rFonts w:ascii="Arial Narrow" w:hAnsi="Arial Narrow"/>
                <w:i/>
                <w:sz w:val="18"/>
                <w:szCs w:val="18"/>
              </w:rPr>
              <w:t xml:space="preserve"> (primary prevention population)</w:t>
            </w:r>
          </w:p>
        </w:tc>
        <w:tc>
          <w:tcPr>
            <w:tcW w:w="3827" w:type="dxa"/>
            <w:vMerge/>
          </w:tcPr>
          <w:p w14:paraId="087138AB" w14:textId="5C237ACD" w:rsidR="00201E46" w:rsidRPr="0088486E" w:rsidRDefault="00201E46" w:rsidP="008A2CD1">
            <w:pPr>
              <w:rPr>
                <w:rFonts w:ascii="Arial Narrow" w:hAnsi="Arial Narrow"/>
                <w:sz w:val="20"/>
                <w:szCs w:val="20"/>
              </w:rPr>
            </w:pPr>
          </w:p>
        </w:tc>
      </w:tr>
      <w:tr w:rsidR="00201E46" w:rsidRPr="0088486E" w14:paraId="36095476" w14:textId="77777777" w:rsidTr="000F489B">
        <w:tc>
          <w:tcPr>
            <w:tcW w:w="1155" w:type="dxa"/>
            <w:vMerge/>
          </w:tcPr>
          <w:p w14:paraId="5AF8E5AC" w14:textId="77777777" w:rsidR="00201E46" w:rsidRPr="0088486E" w:rsidRDefault="00201E46" w:rsidP="0055459F">
            <w:pPr>
              <w:rPr>
                <w:rFonts w:ascii="Arial Narrow" w:hAnsi="Arial Narrow"/>
                <w:b/>
                <w:sz w:val="20"/>
                <w:szCs w:val="20"/>
              </w:rPr>
            </w:pPr>
          </w:p>
        </w:tc>
        <w:tc>
          <w:tcPr>
            <w:tcW w:w="4232" w:type="dxa"/>
          </w:tcPr>
          <w:p w14:paraId="3FA1A1CD" w14:textId="25D7C5B5" w:rsidR="00201E46" w:rsidRPr="00A426D6" w:rsidRDefault="00201E46" w:rsidP="00F97974">
            <w:pPr>
              <w:spacing w:line="264" w:lineRule="auto"/>
              <w:rPr>
                <w:rFonts w:ascii="Arial Narrow" w:hAnsi="Arial Narrow"/>
                <w:sz w:val="18"/>
                <w:szCs w:val="18"/>
              </w:rPr>
            </w:pPr>
            <w:r>
              <w:rPr>
                <w:rFonts w:ascii="Arial Narrow" w:hAnsi="Arial Narrow"/>
                <w:sz w:val="18"/>
                <w:szCs w:val="18"/>
              </w:rPr>
              <w:t>T</w:t>
            </w:r>
            <w:r w:rsidRPr="00A426D6">
              <w:rPr>
                <w:rFonts w:ascii="Arial Narrow" w:hAnsi="Arial Narrow"/>
                <w:sz w:val="18"/>
                <w:szCs w:val="18"/>
              </w:rPr>
              <w:t xml:space="preserve">he PBS restricted listing of ezetimibe for patients with hypercholesterolaemia can be considered to be equivalent to </w:t>
            </w:r>
            <w:r w:rsidRPr="00A426D6">
              <w:rPr>
                <w:rFonts w:ascii="Arial Narrow" w:hAnsi="Arial Narrow"/>
                <w:sz w:val="18"/>
                <w:szCs w:val="18"/>
              </w:rPr>
              <w:lastRenderedPageBreak/>
              <w:t>the criteria for lipid-lowering therapy recommended by NVPDA guidelines to patients at high and high to moderate absolute risk of a cardiovascular (CV) event over the next five years”</w:t>
            </w:r>
            <w:r w:rsidR="006C4FAC">
              <w:rPr>
                <w:rStyle w:val="FootnoteReference"/>
                <w:rFonts w:ascii="Arial Narrow" w:hAnsi="Arial Narrow"/>
                <w:sz w:val="18"/>
                <w:szCs w:val="18"/>
              </w:rPr>
              <w:footnoteReference w:id="3"/>
            </w:r>
            <w:r w:rsidRPr="00A426D6">
              <w:rPr>
                <w:rFonts w:ascii="Arial Narrow" w:hAnsi="Arial Narrow"/>
                <w:sz w:val="18"/>
                <w:szCs w:val="18"/>
              </w:rPr>
              <w:t xml:space="preserve">. Notably, the NVPDA guidelines recommend lipid-lowering treatment for patients considered </w:t>
            </w:r>
          </w:p>
          <w:p w14:paraId="36C900C7" w14:textId="34B5505F" w:rsidR="00201E46" w:rsidRPr="00A426D6" w:rsidRDefault="00201E46" w:rsidP="00140129">
            <w:pPr>
              <w:numPr>
                <w:ilvl w:val="0"/>
                <w:numId w:val="9"/>
              </w:numPr>
              <w:spacing w:line="264" w:lineRule="auto"/>
              <w:ind w:left="742" w:hanging="283"/>
              <w:contextualSpacing/>
              <w:rPr>
                <w:rFonts w:ascii="Arial Narrow" w:eastAsia="Calibri" w:hAnsi="Arial Narrow" w:cs="Times New Roman"/>
                <w:sz w:val="18"/>
                <w:szCs w:val="18"/>
              </w:rPr>
            </w:pPr>
            <w:r w:rsidRPr="00A426D6">
              <w:rPr>
                <w:rFonts w:ascii="Arial Narrow" w:eastAsia="Calibri" w:hAnsi="Arial Narrow" w:cs="Times New Roman"/>
                <w:sz w:val="18"/>
                <w:szCs w:val="18"/>
              </w:rPr>
              <w:t xml:space="preserve">at high risk ( i.e. ≥ 15% risk of CV event in the next 5 years as determined by the absolute risk assessment using Framingham equation or the decease -specific thresholds applicable to diabetes, chronic kidney disease, hypertension etc.);  or </w:t>
            </w:r>
          </w:p>
          <w:p w14:paraId="582F9AD3" w14:textId="2AD9163E" w:rsidR="00201E46" w:rsidRPr="00A426D6" w:rsidRDefault="00201E46" w:rsidP="00140129">
            <w:pPr>
              <w:numPr>
                <w:ilvl w:val="0"/>
                <w:numId w:val="9"/>
              </w:numPr>
              <w:spacing w:line="264" w:lineRule="auto"/>
              <w:ind w:left="742" w:hanging="283"/>
              <w:contextualSpacing/>
              <w:rPr>
                <w:rFonts w:ascii="Arial Narrow" w:eastAsia="Calibri" w:hAnsi="Arial Narrow" w:cs="Times New Roman"/>
                <w:sz w:val="18"/>
                <w:szCs w:val="18"/>
              </w:rPr>
            </w:pPr>
            <w:r w:rsidRPr="00A426D6">
              <w:rPr>
                <w:rFonts w:ascii="Arial Narrow" w:eastAsia="Calibri" w:hAnsi="Arial Narrow" w:cs="Times New Roman"/>
                <w:sz w:val="18"/>
                <w:szCs w:val="18"/>
              </w:rPr>
              <w:t>at moderate risk (10-15% of CV event in the next 5 years) if they meet some other criteria such as hypertension, family history of premature CVD or ethnicity.</w:t>
            </w:r>
          </w:p>
          <w:p w14:paraId="198FCB8E" w14:textId="77777777" w:rsidR="00201E46" w:rsidRPr="00A426D6" w:rsidRDefault="00201E46" w:rsidP="0055459F">
            <w:pPr>
              <w:rPr>
                <w:rFonts w:ascii="Arial Narrow" w:hAnsi="Arial Narrow"/>
                <w:sz w:val="20"/>
                <w:szCs w:val="20"/>
              </w:rPr>
            </w:pPr>
          </w:p>
        </w:tc>
        <w:tc>
          <w:tcPr>
            <w:tcW w:w="3827" w:type="dxa"/>
            <w:vMerge/>
          </w:tcPr>
          <w:p w14:paraId="3C80D8C8" w14:textId="77777777" w:rsidR="00201E46" w:rsidRPr="0088486E" w:rsidRDefault="00201E46" w:rsidP="0055459F">
            <w:pPr>
              <w:rPr>
                <w:rFonts w:ascii="Arial Narrow" w:hAnsi="Arial Narrow"/>
                <w:sz w:val="20"/>
                <w:szCs w:val="20"/>
              </w:rPr>
            </w:pPr>
          </w:p>
        </w:tc>
      </w:tr>
      <w:tr w:rsidR="00201E46" w:rsidRPr="0088486E" w14:paraId="78836271" w14:textId="77777777" w:rsidTr="000F489B">
        <w:tc>
          <w:tcPr>
            <w:tcW w:w="1155" w:type="dxa"/>
            <w:vMerge/>
          </w:tcPr>
          <w:p w14:paraId="1BF7613D" w14:textId="77777777" w:rsidR="00201E46" w:rsidRPr="0088486E" w:rsidRDefault="00201E46" w:rsidP="0055459F">
            <w:pPr>
              <w:rPr>
                <w:rFonts w:ascii="Arial Narrow" w:hAnsi="Arial Narrow"/>
                <w:b/>
                <w:sz w:val="20"/>
                <w:szCs w:val="20"/>
              </w:rPr>
            </w:pPr>
          </w:p>
        </w:tc>
        <w:tc>
          <w:tcPr>
            <w:tcW w:w="4232" w:type="dxa"/>
          </w:tcPr>
          <w:p w14:paraId="7C5A1DEC" w14:textId="7BCAAEC5" w:rsidR="00201E46" w:rsidRPr="00A426D6" w:rsidRDefault="00201E46" w:rsidP="0055459F">
            <w:pPr>
              <w:rPr>
                <w:rFonts w:ascii="Arial Narrow" w:hAnsi="Arial Narrow"/>
                <w:sz w:val="20"/>
                <w:szCs w:val="20"/>
              </w:rPr>
            </w:pPr>
            <w:r>
              <w:rPr>
                <w:rFonts w:ascii="Arial Narrow" w:hAnsi="Arial Narrow"/>
                <w:i/>
                <w:sz w:val="18"/>
                <w:szCs w:val="18"/>
              </w:rPr>
              <w:t xml:space="preserve">(iii) </w:t>
            </w:r>
            <w:r w:rsidRPr="00A426D6">
              <w:rPr>
                <w:rFonts w:ascii="Arial Narrow" w:hAnsi="Arial Narrow"/>
                <w:i/>
                <w:sz w:val="18"/>
                <w:szCs w:val="18"/>
              </w:rPr>
              <w:t>Eligible for treatment with ezetimibe monotherapy</w:t>
            </w:r>
          </w:p>
        </w:tc>
        <w:tc>
          <w:tcPr>
            <w:tcW w:w="3827" w:type="dxa"/>
            <w:vMerge/>
          </w:tcPr>
          <w:p w14:paraId="283AF2DA" w14:textId="77777777" w:rsidR="00201E46" w:rsidRPr="0088486E" w:rsidRDefault="00201E46" w:rsidP="0055459F">
            <w:pPr>
              <w:rPr>
                <w:rFonts w:ascii="Arial Narrow" w:hAnsi="Arial Narrow"/>
                <w:sz w:val="20"/>
                <w:szCs w:val="20"/>
              </w:rPr>
            </w:pPr>
          </w:p>
        </w:tc>
      </w:tr>
      <w:tr w:rsidR="00201E46" w:rsidRPr="0088486E" w14:paraId="2CC6FDE0" w14:textId="77777777" w:rsidTr="000F489B">
        <w:tc>
          <w:tcPr>
            <w:tcW w:w="1155" w:type="dxa"/>
            <w:vMerge/>
          </w:tcPr>
          <w:p w14:paraId="215AC5B5" w14:textId="77777777" w:rsidR="00201E46" w:rsidRPr="0088486E" w:rsidRDefault="00201E46" w:rsidP="0055459F">
            <w:pPr>
              <w:rPr>
                <w:rFonts w:ascii="Arial Narrow" w:hAnsi="Arial Narrow"/>
                <w:b/>
                <w:sz w:val="20"/>
                <w:szCs w:val="20"/>
              </w:rPr>
            </w:pPr>
          </w:p>
        </w:tc>
        <w:tc>
          <w:tcPr>
            <w:tcW w:w="4232" w:type="dxa"/>
          </w:tcPr>
          <w:p w14:paraId="3E6BB36E" w14:textId="74865876" w:rsidR="00201E46" w:rsidRDefault="00201E46" w:rsidP="00A426D6">
            <w:pPr>
              <w:spacing w:line="264" w:lineRule="auto"/>
              <w:contextualSpacing/>
              <w:rPr>
                <w:rFonts w:ascii="Arial Narrow" w:eastAsia="Calibri" w:hAnsi="Arial Narrow" w:cs="Times New Roman"/>
                <w:sz w:val="18"/>
                <w:szCs w:val="18"/>
              </w:rPr>
            </w:pPr>
            <w:r w:rsidRPr="00A426D6">
              <w:rPr>
                <w:rFonts w:ascii="Arial Narrow" w:eastAsia="Calibri" w:hAnsi="Arial Narrow" w:cs="Times New Roman"/>
                <w:sz w:val="18"/>
                <w:szCs w:val="18"/>
              </w:rPr>
              <w:t>Although monotherapy with ezetimibe is only permitted under the PBS for patients in whom statins are contraindicated or not tolerated, it is unlikely that trials conducted specifically in populations in whom statins are contraindicated or not tolerated have been performed.</w:t>
            </w:r>
            <w:r>
              <w:rPr>
                <w:rFonts w:ascii="Arial Narrow" w:eastAsia="Calibri" w:hAnsi="Arial Narrow" w:cs="Times New Roman"/>
                <w:sz w:val="18"/>
                <w:szCs w:val="18"/>
              </w:rPr>
              <w:t xml:space="preserve"> </w:t>
            </w:r>
          </w:p>
          <w:p w14:paraId="7072E760" w14:textId="77777777" w:rsidR="00201E46" w:rsidRDefault="00201E46" w:rsidP="00A426D6">
            <w:pPr>
              <w:spacing w:line="264" w:lineRule="auto"/>
              <w:contextualSpacing/>
              <w:rPr>
                <w:rFonts w:ascii="Arial Narrow" w:eastAsia="Calibri" w:hAnsi="Arial Narrow" w:cs="Times New Roman"/>
                <w:sz w:val="18"/>
                <w:szCs w:val="18"/>
              </w:rPr>
            </w:pPr>
          </w:p>
          <w:p w14:paraId="325F6E0C" w14:textId="03234996" w:rsidR="00201E46" w:rsidRPr="00201E46" w:rsidRDefault="00201E46" w:rsidP="00201E46">
            <w:pPr>
              <w:spacing w:line="264" w:lineRule="auto"/>
              <w:contextualSpacing/>
              <w:rPr>
                <w:rFonts w:ascii="Arial Narrow" w:eastAsia="Calibri" w:hAnsi="Arial Narrow" w:cs="Times New Roman"/>
                <w:sz w:val="18"/>
                <w:szCs w:val="18"/>
              </w:rPr>
            </w:pPr>
            <w:r>
              <w:rPr>
                <w:rFonts w:ascii="Arial Narrow" w:eastAsia="Calibri" w:hAnsi="Arial Narrow" w:cs="Times New Roman"/>
                <w:sz w:val="18"/>
                <w:szCs w:val="18"/>
              </w:rPr>
              <w:t xml:space="preserve">The same </w:t>
            </w:r>
            <w:r w:rsidRPr="00201E46">
              <w:rPr>
                <w:rFonts w:ascii="Arial Narrow" w:eastAsia="Calibri" w:hAnsi="Arial Narrow" w:cs="Times New Roman"/>
                <w:sz w:val="18"/>
                <w:szCs w:val="18"/>
              </w:rPr>
              <w:t>eligibility</w:t>
            </w:r>
            <w:r>
              <w:rPr>
                <w:rFonts w:ascii="Arial Narrow" w:eastAsia="Calibri" w:hAnsi="Arial Narrow" w:cs="Times New Roman"/>
                <w:sz w:val="18"/>
                <w:szCs w:val="18"/>
              </w:rPr>
              <w:t xml:space="preserve"> criteria as in</w:t>
            </w:r>
            <w:r w:rsidRPr="00201E46">
              <w:rPr>
                <w:rFonts w:ascii="Arial Narrow" w:eastAsia="Calibri" w:hAnsi="Arial Narrow" w:cs="Times New Roman"/>
                <w:sz w:val="18"/>
                <w:szCs w:val="18"/>
              </w:rPr>
              <w:t xml:space="preserve"> ezetimibe+statin combination treatment according to PBS restriction in NVPDA guidelines apply to selecting ezetimibe monotherapy trials</w:t>
            </w:r>
          </w:p>
        </w:tc>
        <w:tc>
          <w:tcPr>
            <w:tcW w:w="3827" w:type="dxa"/>
            <w:vMerge/>
          </w:tcPr>
          <w:p w14:paraId="120D8C2B" w14:textId="77777777" w:rsidR="00201E46" w:rsidRPr="0088486E" w:rsidRDefault="00201E46" w:rsidP="0055459F">
            <w:pPr>
              <w:rPr>
                <w:rFonts w:ascii="Arial Narrow" w:hAnsi="Arial Narrow"/>
                <w:sz w:val="20"/>
                <w:szCs w:val="20"/>
              </w:rPr>
            </w:pPr>
          </w:p>
        </w:tc>
      </w:tr>
      <w:tr w:rsidR="0088486E" w:rsidRPr="0088486E" w14:paraId="0A38DAEA" w14:textId="77777777" w:rsidTr="000F489B">
        <w:tc>
          <w:tcPr>
            <w:tcW w:w="1155" w:type="dxa"/>
          </w:tcPr>
          <w:p w14:paraId="271D8413" w14:textId="37D1A807" w:rsidR="0088486E" w:rsidRPr="0088486E" w:rsidRDefault="0088486E" w:rsidP="0055459F">
            <w:pPr>
              <w:rPr>
                <w:rFonts w:ascii="Arial Narrow" w:hAnsi="Arial Narrow"/>
                <w:b/>
                <w:sz w:val="20"/>
                <w:szCs w:val="20"/>
              </w:rPr>
            </w:pPr>
            <w:r w:rsidRPr="0088486E">
              <w:rPr>
                <w:rFonts w:ascii="Arial Narrow" w:hAnsi="Arial Narrow"/>
                <w:b/>
                <w:sz w:val="20"/>
                <w:szCs w:val="20"/>
              </w:rPr>
              <w:t xml:space="preserve">Intervention </w:t>
            </w:r>
          </w:p>
        </w:tc>
        <w:tc>
          <w:tcPr>
            <w:tcW w:w="4232" w:type="dxa"/>
          </w:tcPr>
          <w:p w14:paraId="3E61E6B2" w14:textId="3315C260" w:rsidR="00201E46" w:rsidRPr="00201E46" w:rsidRDefault="00201E46" w:rsidP="00201E46">
            <w:pPr>
              <w:rPr>
                <w:rFonts w:ascii="Arial Narrow" w:hAnsi="Arial Narrow"/>
                <w:sz w:val="18"/>
                <w:szCs w:val="18"/>
              </w:rPr>
            </w:pPr>
            <w:r>
              <w:rPr>
                <w:rFonts w:ascii="Arial Narrow" w:hAnsi="Arial Narrow"/>
                <w:sz w:val="18"/>
                <w:szCs w:val="18"/>
              </w:rPr>
              <w:t>•</w:t>
            </w:r>
            <w:r w:rsidRPr="00201E46">
              <w:rPr>
                <w:rFonts w:ascii="Arial Narrow" w:hAnsi="Arial Narrow"/>
                <w:sz w:val="18"/>
                <w:szCs w:val="18"/>
              </w:rPr>
              <w:t xml:space="preserve">Ezetimibe monotherapy </w:t>
            </w:r>
          </w:p>
          <w:p w14:paraId="4CDC1AF2" w14:textId="68E2A08C" w:rsidR="00201E46" w:rsidRPr="00201E46" w:rsidRDefault="00201E46" w:rsidP="00201E46">
            <w:pPr>
              <w:rPr>
                <w:rFonts w:ascii="Arial Narrow" w:hAnsi="Arial Narrow"/>
                <w:sz w:val="18"/>
                <w:szCs w:val="18"/>
              </w:rPr>
            </w:pPr>
            <w:r>
              <w:rPr>
                <w:rFonts w:ascii="Arial Narrow" w:hAnsi="Arial Narrow"/>
                <w:sz w:val="18"/>
                <w:szCs w:val="18"/>
              </w:rPr>
              <w:t>•</w:t>
            </w:r>
            <w:r w:rsidRPr="00201E46">
              <w:rPr>
                <w:rFonts w:ascii="Arial Narrow" w:hAnsi="Arial Narrow"/>
                <w:sz w:val="18"/>
                <w:szCs w:val="18"/>
              </w:rPr>
              <w:t>Ezetimibe administered 10mg daily (orally) in combination with simvastatin (SIM)</w:t>
            </w:r>
          </w:p>
          <w:p w14:paraId="33029F6A" w14:textId="09A81E49" w:rsidR="00201E46" w:rsidRPr="00201E46" w:rsidRDefault="00201E46" w:rsidP="00201E46">
            <w:pPr>
              <w:rPr>
                <w:rFonts w:ascii="Arial Narrow" w:hAnsi="Arial Narrow"/>
                <w:sz w:val="18"/>
                <w:szCs w:val="18"/>
              </w:rPr>
            </w:pPr>
            <w:r>
              <w:rPr>
                <w:rFonts w:ascii="Arial Narrow" w:hAnsi="Arial Narrow"/>
                <w:sz w:val="18"/>
                <w:szCs w:val="18"/>
              </w:rPr>
              <w:t>•</w:t>
            </w:r>
            <w:r w:rsidRPr="00201E46">
              <w:rPr>
                <w:rFonts w:ascii="Arial Narrow" w:hAnsi="Arial Narrow"/>
                <w:sz w:val="18"/>
                <w:szCs w:val="18"/>
              </w:rPr>
              <w:t>Ezetimibe administered 10mg daily (orally) in combination with atorvastatin (ATOR)</w:t>
            </w:r>
          </w:p>
          <w:p w14:paraId="1A7A5554" w14:textId="66F76851" w:rsidR="0088486E" w:rsidRPr="00201E46" w:rsidRDefault="00201E46" w:rsidP="00201E46">
            <w:pPr>
              <w:rPr>
                <w:rFonts w:ascii="Arial Narrow" w:hAnsi="Arial Narrow"/>
                <w:sz w:val="18"/>
                <w:szCs w:val="18"/>
              </w:rPr>
            </w:pPr>
            <w:r>
              <w:rPr>
                <w:rFonts w:ascii="Arial Narrow" w:hAnsi="Arial Narrow"/>
                <w:sz w:val="18"/>
                <w:szCs w:val="18"/>
              </w:rPr>
              <w:t>•</w:t>
            </w:r>
            <w:r w:rsidRPr="00201E46">
              <w:rPr>
                <w:rFonts w:ascii="Arial Narrow" w:hAnsi="Arial Narrow"/>
                <w:sz w:val="18"/>
                <w:szCs w:val="18"/>
              </w:rPr>
              <w:t>Ezetimibe administered 10mg daily (orally) in combination with rosuvastatin (ROSU</w:t>
            </w:r>
            <w:r w:rsidR="00690BCA">
              <w:rPr>
                <w:rFonts w:ascii="Arial Narrow" w:hAnsi="Arial Narrow"/>
                <w:sz w:val="18"/>
                <w:szCs w:val="18"/>
              </w:rPr>
              <w:t>V</w:t>
            </w:r>
            <w:r w:rsidRPr="00201E46">
              <w:rPr>
                <w:rFonts w:ascii="Arial Narrow" w:hAnsi="Arial Narrow"/>
                <w:sz w:val="18"/>
                <w:szCs w:val="18"/>
              </w:rPr>
              <w:t>)</w:t>
            </w:r>
          </w:p>
        </w:tc>
        <w:tc>
          <w:tcPr>
            <w:tcW w:w="3827" w:type="dxa"/>
          </w:tcPr>
          <w:p w14:paraId="622839E6" w14:textId="77777777" w:rsidR="0088486E" w:rsidRPr="00201E46" w:rsidRDefault="0088486E" w:rsidP="0055459F">
            <w:pPr>
              <w:rPr>
                <w:rFonts w:ascii="Arial Narrow" w:hAnsi="Arial Narrow"/>
                <w:sz w:val="18"/>
                <w:szCs w:val="18"/>
              </w:rPr>
            </w:pPr>
          </w:p>
          <w:p w14:paraId="515A248B" w14:textId="27322663" w:rsidR="0088486E" w:rsidRPr="00201E46" w:rsidRDefault="00201E46" w:rsidP="00FB1482">
            <w:pPr>
              <w:rPr>
                <w:rFonts w:ascii="Arial Narrow" w:hAnsi="Arial Narrow"/>
                <w:sz w:val="18"/>
                <w:szCs w:val="18"/>
              </w:rPr>
            </w:pPr>
            <w:r w:rsidRPr="00201E46">
              <w:rPr>
                <w:rFonts w:ascii="Arial Narrow" w:hAnsi="Arial Narrow"/>
                <w:sz w:val="18"/>
                <w:szCs w:val="18"/>
              </w:rPr>
              <w:t>Trials investigating combination use of ezetimibe and statins other than SIM, ATOR or ROSUV</w:t>
            </w:r>
          </w:p>
        </w:tc>
      </w:tr>
      <w:tr w:rsidR="0088486E" w:rsidRPr="0088486E" w14:paraId="61820A74" w14:textId="77777777" w:rsidTr="000F489B">
        <w:tc>
          <w:tcPr>
            <w:tcW w:w="1155" w:type="dxa"/>
          </w:tcPr>
          <w:p w14:paraId="4233047F" w14:textId="77777777" w:rsidR="0088486E" w:rsidRPr="0088486E" w:rsidRDefault="0088486E" w:rsidP="0055459F">
            <w:pPr>
              <w:rPr>
                <w:rFonts w:ascii="Arial Narrow" w:hAnsi="Arial Narrow"/>
                <w:b/>
                <w:sz w:val="20"/>
                <w:szCs w:val="20"/>
              </w:rPr>
            </w:pPr>
            <w:r w:rsidRPr="0088486E">
              <w:rPr>
                <w:rFonts w:ascii="Arial Narrow" w:hAnsi="Arial Narrow"/>
                <w:b/>
                <w:sz w:val="20"/>
                <w:szCs w:val="20"/>
              </w:rPr>
              <w:t xml:space="preserve">Comparator </w:t>
            </w:r>
          </w:p>
        </w:tc>
        <w:tc>
          <w:tcPr>
            <w:tcW w:w="4232" w:type="dxa"/>
          </w:tcPr>
          <w:p w14:paraId="40E87FFB" w14:textId="77777777" w:rsidR="00201E46" w:rsidRPr="00201E46" w:rsidRDefault="00201E46" w:rsidP="00201E46">
            <w:pPr>
              <w:rPr>
                <w:rFonts w:ascii="Arial Narrow" w:hAnsi="Arial Narrow"/>
                <w:sz w:val="18"/>
                <w:szCs w:val="18"/>
              </w:rPr>
            </w:pPr>
            <w:r w:rsidRPr="00201E46">
              <w:rPr>
                <w:rFonts w:ascii="Arial Narrow" w:hAnsi="Arial Narrow"/>
                <w:sz w:val="18"/>
                <w:szCs w:val="18"/>
              </w:rPr>
              <w:t>For ezetimibe monotherapy</w:t>
            </w:r>
          </w:p>
          <w:p w14:paraId="3282923B" w14:textId="59B26850" w:rsidR="00201E46" w:rsidRPr="00201E46" w:rsidRDefault="00201E46" w:rsidP="00201E46">
            <w:pPr>
              <w:rPr>
                <w:rFonts w:ascii="Arial Narrow" w:hAnsi="Arial Narrow"/>
                <w:sz w:val="18"/>
                <w:szCs w:val="18"/>
              </w:rPr>
            </w:pPr>
            <w:r>
              <w:rPr>
                <w:rFonts w:ascii="Arial Narrow" w:hAnsi="Arial Narrow"/>
                <w:sz w:val="18"/>
                <w:szCs w:val="18"/>
              </w:rPr>
              <w:t xml:space="preserve">• </w:t>
            </w:r>
            <w:r w:rsidRPr="00201E46">
              <w:rPr>
                <w:rFonts w:ascii="Arial Narrow" w:hAnsi="Arial Narrow"/>
                <w:sz w:val="18"/>
                <w:szCs w:val="18"/>
              </w:rPr>
              <w:t>no treatment (placebo)</w:t>
            </w:r>
          </w:p>
          <w:p w14:paraId="5630B74D" w14:textId="6158B89E" w:rsidR="00201E46" w:rsidRPr="00201E46" w:rsidRDefault="00201E46" w:rsidP="00201E46">
            <w:pPr>
              <w:rPr>
                <w:rFonts w:ascii="Arial Narrow" w:hAnsi="Arial Narrow"/>
                <w:sz w:val="18"/>
                <w:szCs w:val="18"/>
              </w:rPr>
            </w:pPr>
            <w:r>
              <w:rPr>
                <w:rFonts w:ascii="Arial Narrow" w:hAnsi="Arial Narrow"/>
                <w:sz w:val="18"/>
                <w:szCs w:val="18"/>
              </w:rPr>
              <w:t xml:space="preserve">• </w:t>
            </w:r>
            <w:r w:rsidRPr="00201E46">
              <w:rPr>
                <w:rFonts w:ascii="Arial Narrow" w:hAnsi="Arial Narrow"/>
                <w:sz w:val="18"/>
                <w:szCs w:val="18"/>
              </w:rPr>
              <w:t>cholestyramine</w:t>
            </w:r>
          </w:p>
          <w:p w14:paraId="25F4E4F5" w14:textId="77777777" w:rsidR="00201E46" w:rsidRPr="00201E46" w:rsidRDefault="00201E46" w:rsidP="00201E46">
            <w:pPr>
              <w:rPr>
                <w:rFonts w:ascii="Arial Narrow" w:hAnsi="Arial Narrow"/>
                <w:sz w:val="18"/>
                <w:szCs w:val="18"/>
              </w:rPr>
            </w:pPr>
            <w:r w:rsidRPr="00201E46">
              <w:rPr>
                <w:rFonts w:ascii="Arial Narrow" w:hAnsi="Arial Narrow"/>
                <w:sz w:val="18"/>
                <w:szCs w:val="18"/>
              </w:rPr>
              <w:t xml:space="preserve">For ezetimibe using in combination with a statin (SIM;ATOR or ROSUV) </w:t>
            </w:r>
          </w:p>
          <w:p w14:paraId="3F0058A1" w14:textId="1F37FB89" w:rsidR="00201E46" w:rsidRPr="00201E46" w:rsidRDefault="00201E46" w:rsidP="00201E46">
            <w:pPr>
              <w:rPr>
                <w:rFonts w:ascii="Arial Narrow" w:hAnsi="Arial Narrow"/>
                <w:sz w:val="18"/>
                <w:szCs w:val="18"/>
              </w:rPr>
            </w:pPr>
            <w:r>
              <w:rPr>
                <w:rFonts w:ascii="Arial Narrow" w:hAnsi="Arial Narrow"/>
                <w:sz w:val="18"/>
                <w:szCs w:val="18"/>
              </w:rPr>
              <w:t>•</w:t>
            </w:r>
            <w:r>
              <w:t xml:space="preserve"> </w:t>
            </w:r>
            <w:r w:rsidRPr="00201E46">
              <w:rPr>
                <w:rFonts w:ascii="Arial Narrow" w:hAnsi="Arial Narrow"/>
                <w:sz w:val="18"/>
                <w:szCs w:val="18"/>
              </w:rPr>
              <w:t>matching statin therapy ± no treatment (placebo)</w:t>
            </w:r>
          </w:p>
          <w:p w14:paraId="55C15F67" w14:textId="45F4CA2C" w:rsidR="00201E46" w:rsidRPr="00201E46" w:rsidRDefault="00201E46" w:rsidP="00201E46">
            <w:pPr>
              <w:rPr>
                <w:rFonts w:ascii="Arial Narrow" w:hAnsi="Arial Narrow"/>
                <w:sz w:val="18"/>
                <w:szCs w:val="18"/>
              </w:rPr>
            </w:pPr>
            <w:r>
              <w:rPr>
                <w:rFonts w:ascii="Arial Narrow" w:hAnsi="Arial Narrow"/>
                <w:sz w:val="18"/>
                <w:szCs w:val="18"/>
              </w:rPr>
              <w:t xml:space="preserve">• </w:t>
            </w:r>
            <w:r w:rsidRPr="00201E46">
              <w:rPr>
                <w:rFonts w:ascii="Arial Narrow" w:hAnsi="Arial Narrow"/>
                <w:sz w:val="18"/>
                <w:szCs w:val="18"/>
              </w:rPr>
              <w:t>up-titration of statin therapy (either in terms of dose or in terms of potency) ± no treatment (placebo)</w:t>
            </w:r>
          </w:p>
          <w:p w14:paraId="51A6373D" w14:textId="77777777" w:rsidR="0088486E" w:rsidRPr="00201E46" w:rsidRDefault="0088486E" w:rsidP="0055459F">
            <w:pPr>
              <w:rPr>
                <w:rFonts w:ascii="Arial Narrow" w:hAnsi="Arial Narrow"/>
                <w:sz w:val="18"/>
                <w:szCs w:val="18"/>
              </w:rPr>
            </w:pPr>
          </w:p>
        </w:tc>
        <w:tc>
          <w:tcPr>
            <w:tcW w:w="3827" w:type="dxa"/>
          </w:tcPr>
          <w:p w14:paraId="70A1FA32" w14:textId="77777777" w:rsidR="0088486E" w:rsidRPr="00201E46" w:rsidRDefault="0088486E" w:rsidP="0055459F">
            <w:pPr>
              <w:pStyle w:val="Default"/>
              <w:rPr>
                <w:rFonts w:ascii="Arial Narrow" w:hAnsi="Arial Narrow"/>
                <w:sz w:val="18"/>
                <w:szCs w:val="18"/>
              </w:rPr>
            </w:pPr>
            <w:r w:rsidRPr="00201E46">
              <w:rPr>
                <w:rFonts w:ascii="Arial Narrow" w:hAnsi="Arial Narrow"/>
                <w:sz w:val="18"/>
                <w:szCs w:val="18"/>
              </w:rPr>
              <w:t xml:space="preserve">studies of bile acid sequestrants + statin. </w:t>
            </w:r>
          </w:p>
          <w:p w14:paraId="1108449B" w14:textId="77777777" w:rsidR="0088486E" w:rsidRPr="00201E46" w:rsidRDefault="0088486E" w:rsidP="0055459F">
            <w:pPr>
              <w:pStyle w:val="Default"/>
              <w:rPr>
                <w:rFonts w:ascii="Arial Narrow" w:hAnsi="Arial Narrow"/>
                <w:sz w:val="18"/>
                <w:szCs w:val="18"/>
              </w:rPr>
            </w:pPr>
            <w:r w:rsidRPr="00201E46">
              <w:rPr>
                <w:rFonts w:ascii="Arial Narrow" w:hAnsi="Arial Narrow"/>
                <w:sz w:val="18"/>
                <w:szCs w:val="18"/>
              </w:rPr>
              <w:t xml:space="preserve">studies of fibrates + statin. </w:t>
            </w:r>
          </w:p>
          <w:p w14:paraId="053CAC47" w14:textId="77777777" w:rsidR="0088486E" w:rsidRPr="00201E46" w:rsidRDefault="0088486E" w:rsidP="0055459F">
            <w:pPr>
              <w:pStyle w:val="Default"/>
              <w:rPr>
                <w:rFonts w:ascii="Arial Narrow" w:hAnsi="Arial Narrow"/>
                <w:sz w:val="18"/>
                <w:szCs w:val="18"/>
              </w:rPr>
            </w:pPr>
            <w:r w:rsidRPr="00201E46">
              <w:rPr>
                <w:rFonts w:ascii="Arial Narrow" w:hAnsi="Arial Narrow"/>
                <w:sz w:val="18"/>
                <w:szCs w:val="18"/>
              </w:rPr>
              <w:t xml:space="preserve">studies of niacin + statin. </w:t>
            </w:r>
          </w:p>
          <w:p w14:paraId="03A9DB97" w14:textId="77777777" w:rsidR="0088486E" w:rsidRPr="00201E46" w:rsidRDefault="0088486E" w:rsidP="0055459F">
            <w:pPr>
              <w:rPr>
                <w:rFonts w:ascii="Arial Narrow" w:hAnsi="Arial Narrow"/>
                <w:sz w:val="18"/>
                <w:szCs w:val="18"/>
              </w:rPr>
            </w:pPr>
            <w:r w:rsidRPr="00201E46">
              <w:rPr>
                <w:rFonts w:ascii="Arial Narrow" w:hAnsi="Arial Narrow"/>
                <w:sz w:val="18"/>
                <w:szCs w:val="18"/>
              </w:rPr>
              <w:t xml:space="preserve">studies of omega-3 fatty acids + statin </w:t>
            </w:r>
          </w:p>
          <w:p w14:paraId="39AB1B64" w14:textId="77777777" w:rsidR="008A2CD1" w:rsidRPr="00201E46" w:rsidRDefault="0088486E" w:rsidP="0055459F">
            <w:pPr>
              <w:pStyle w:val="Default"/>
              <w:rPr>
                <w:rFonts w:ascii="Arial Narrow" w:hAnsi="Arial Narrow"/>
                <w:sz w:val="18"/>
                <w:szCs w:val="18"/>
              </w:rPr>
            </w:pPr>
            <w:r w:rsidRPr="00201E46">
              <w:rPr>
                <w:rFonts w:ascii="Arial Narrow" w:hAnsi="Arial Narrow"/>
                <w:sz w:val="18"/>
                <w:szCs w:val="18"/>
              </w:rPr>
              <w:t>studies if there was only placebo comparator (i.e. without a statin background therapy</w:t>
            </w:r>
            <w:r w:rsidR="00264223" w:rsidRPr="00201E46">
              <w:rPr>
                <w:rFonts w:ascii="Arial Narrow" w:hAnsi="Arial Narrow"/>
                <w:sz w:val="18"/>
                <w:szCs w:val="18"/>
              </w:rPr>
              <w:t>)</w:t>
            </w:r>
          </w:p>
          <w:p w14:paraId="2659E163" w14:textId="46998C11" w:rsidR="0088486E" w:rsidRPr="00690BCA" w:rsidRDefault="008A2CD1" w:rsidP="0055459F">
            <w:pPr>
              <w:pStyle w:val="Default"/>
              <w:rPr>
                <w:rFonts w:ascii="Arial Narrow" w:hAnsi="Arial Narrow"/>
                <w:color w:val="auto"/>
                <w:sz w:val="18"/>
                <w:szCs w:val="18"/>
              </w:rPr>
            </w:pPr>
            <w:r w:rsidRPr="00690BCA">
              <w:rPr>
                <w:rFonts w:ascii="Arial Narrow" w:hAnsi="Arial Narrow"/>
                <w:color w:val="auto"/>
                <w:sz w:val="18"/>
                <w:szCs w:val="18"/>
              </w:rPr>
              <w:t xml:space="preserve">studies </w:t>
            </w:r>
            <w:r w:rsidR="00FB1482" w:rsidRPr="00690BCA">
              <w:rPr>
                <w:rFonts w:ascii="Arial Narrow" w:hAnsi="Arial Narrow"/>
                <w:color w:val="auto"/>
                <w:sz w:val="18"/>
                <w:szCs w:val="18"/>
              </w:rPr>
              <w:t xml:space="preserve">(or individual arms of the trial) </w:t>
            </w:r>
            <w:r w:rsidRPr="00690BCA">
              <w:rPr>
                <w:rFonts w:ascii="Arial Narrow" w:hAnsi="Arial Narrow"/>
                <w:color w:val="auto"/>
                <w:sz w:val="18"/>
                <w:szCs w:val="18"/>
              </w:rPr>
              <w:t>of pravastatin or fluvastatin as more potent statins</w:t>
            </w:r>
            <w:r w:rsidR="0088486E" w:rsidRPr="00690BCA">
              <w:rPr>
                <w:rFonts w:ascii="Arial Narrow" w:hAnsi="Arial Narrow"/>
                <w:color w:val="auto"/>
                <w:sz w:val="18"/>
                <w:szCs w:val="18"/>
              </w:rPr>
              <w:t xml:space="preserve"> </w:t>
            </w:r>
          </w:p>
          <w:p w14:paraId="612848E9" w14:textId="77777777" w:rsidR="0088486E" w:rsidRPr="00201E46" w:rsidRDefault="0088486E" w:rsidP="0055459F">
            <w:pPr>
              <w:rPr>
                <w:rFonts w:ascii="Arial Narrow" w:hAnsi="Arial Narrow"/>
                <w:sz w:val="18"/>
                <w:szCs w:val="18"/>
              </w:rPr>
            </w:pPr>
          </w:p>
        </w:tc>
      </w:tr>
      <w:tr w:rsidR="0088486E" w:rsidRPr="0088486E" w14:paraId="7C421026" w14:textId="77777777" w:rsidTr="000F489B">
        <w:tc>
          <w:tcPr>
            <w:tcW w:w="1155" w:type="dxa"/>
          </w:tcPr>
          <w:p w14:paraId="54D7EEFD" w14:textId="77777777" w:rsidR="0088486E" w:rsidRPr="0088486E" w:rsidRDefault="0088486E" w:rsidP="0055459F">
            <w:pPr>
              <w:rPr>
                <w:rFonts w:ascii="Arial Narrow" w:hAnsi="Arial Narrow"/>
                <w:b/>
                <w:sz w:val="20"/>
                <w:szCs w:val="20"/>
              </w:rPr>
            </w:pPr>
            <w:r w:rsidRPr="0088486E">
              <w:rPr>
                <w:rFonts w:ascii="Arial Narrow" w:hAnsi="Arial Narrow"/>
                <w:b/>
                <w:sz w:val="20"/>
                <w:szCs w:val="20"/>
              </w:rPr>
              <w:t xml:space="preserve">Final Outcomes </w:t>
            </w:r>
          </w:p>
        </w:tc>
        <w:tc>
          <w:tcPr>
            <w:tcW w:w="4232" w:type="dxa"/>
          </w:tcPr>
          <w:p w14:paraId="7AF83A7F" w14:textId="31DD40FF" w:rsidR="0088486E" w:rsidRPr="004157F3" w:rsidRDefault="00264223" w:rsidP="00140129">
            <w:pPr>
              <w:pStyle w:val="ListParagraph"/>
              <w:numPr>
                <w:ilvl w:val="0"/>
                <w:numId w:val="1"/>
              </w:numPr>
              <w:rPr>
                <w:rFonts w:ascii="Arial Narrow" w:hAnsi="Arial Narrow"/>
                <w:sz w:val="18"/>
                <w:szCs w:val="18"/>
              </w:rPr>
            </w:pPr>
            <w:r w:rsidRPr="004157F3">
              <w:rPr>
                <w:rFonts w:ascii="Arial Narrow" w:hAnsi="Arial Narrow"/>
                <w:sz w:val="18"/>
                <w:szCs w:val="18"/>
              </w:rPr>
              <w:t>S</w:t>
            </w:r>
            <w:r w:rsidR="0088486E" w:rsidRPr="004157F3">
              <w:rPr>
                <w:rFonts w:ascii="Arial Narrow" w:hAnsi="Arial Narrow"/>
                <w:sz w:val="18"/>
                <w:szCs w:val="18"/>
              </w:rPr>
              <w:t>urvival;</w:t>
            </w:r>
          </w:p>
          <w:p w14:paraId="1FE90B22" w14:textId="77777777" w:rsidR="0088486E" w:rsidRPr="004157F3" w:rsidRDefault="0088486E" w:rsidP="00140129">
            <w:pPr>
              <w:pStyle w:val="ListParagraph"/>
              <w:numPr>
                <w:ilvl w:val="0"/>
                <w:numId w:val="1"/>
              </w:numPr>
              <w:rPr>
                <w:rFonts w:ascii="Arial Narrow" w:hAnsi="Arial Narrow"/>
                <w:sz w:val="18"/>
                <w:szCs w:val="18"/>
              </w:rPr>
            </w:pPr>
            <w:r w:rsidRPr="004157F3">
              <w:rPr>
                <w:rFonts w:ascii="Arial Narrow" w:hAnsi="Arial Narrow"/>
                <w:sz w:val="18"/>
                <w:szCs w:val="18"/>
              </w:rPr>
              <w:t>Quality-adjusted survival</w:t>
            </w:r>
          </w:p>
          <w:p w14:paraId="4A5CC788" w14:textId="77777777" w:rsidR="0088486E" w:rsidRPr="004157F3" w:rsidRDefault="0088486E" w:rsidP="00140129">
            <w:pPr>
              <w:pStyle w:val="ListParagraph"/>
              <w:numPr>
                <w:ilvl w:val="0"/>
                <w:numId w:val="1"/>
              </w:numPr>
              <w:rPr>
                <w:rFonts w:ascii="Arial Narrow" w:hAnsi="Arial Narrow"/>
                <w:sz w:val="18"/>
                <w:szCs w:val="18"/>
              </w:rPr>
            </w:pPr>
            <w:r w:rsidRPr="004157F3">
              <w:rPr>
                <w:rFonts w:ascii="Arial Narrow" w:hAnsi="Arial Narrow"/>
                <w:sz w:val="18"/>
                <w:szCs w:val="18"/>
              </w:rPr>
              <w:t>Fatal cardiovascular and cerebrovascular events;</w:t>
            </w:r>
          </w:p>
          <w:p w14:paraId="645F7E60" w14:textId="77777777" w:rsidR="0088486E" w:rsidRPr="004157F3" w:rsidRDefault="0088486E" w:rsidP="00140129">
            <w:pPr>
              <w:pStyle w:val="ListParagraph"/>
              <w:numPr>
                <w:ilvl w:val="0"/>
                <w:numId w:val="1"/>
              </w:numPr>
              <w:rPr>
                <w:rFonts w:ascii="Arial Narrow" w:hAnsi="Arial Narrow"/>
                <w:sz w:val="18"/>
                <w:szCs w:val="18"/>
              </w:rPr>
            </w:pPr>
            <w:r w:rsidRPr="004157F3">
              <w:rPr>
                <w:rFonts w:ascii="Arial Narrow" w:hAnsi="Arial Narrow"/>
                <w:sz w:val="18"/>
                <w:szCs w:val="18"/>
              </w:rPr>
              <w:t xml:space="preserve">Non-fatal events; </w:t>
            </w:r>
          </w:p>
          <w:p w14:paraId="3E801E23" w14:textId="77777777" w:rsidR="0088486E" w:rsidRPr="004157F3" w:rsidRDefault="0088486E" w:rsidP="00140129">
            <w:pPr>
              <w:pStyle w:val="ListParagraph"/>
              <w:numPr>
                <w:ilvl w:val="1"/>
                <w:numId w:val="1"/>
              </w:numPr>
              <w:rPr>
                <w:rFonts w:ascii="Arial Narrow" w:hAnsi="Arial Narrow"/>
                <w:sz w:val="18"/>
                <w:szCs w:val="18"/>
              </w:rPr>
            </w:pPr>
            <w:r w:rsidRPr="004157F3">
              <w:rPr>
                <w:rFonts w:ascii="Arial Narrow" w:hAnsi="Arial Narrow"/>
                <w:sz w:val="18"/>
                <w:szCs w:val="18"/>
              </w:rPr>
              <w:t>cardiovascular events;</w:t>
            </w:r>
          </w:p>
          <w:p w14:paraId="541108D1" w14:textId="77777777" w:rsidR="0088486E" w:rsidRPr="004157F3" w:rsidRDefault="0088486E" w:rsidP="00140129">
            <w:pPr>
              <w:pStyle w:val="ListParagraph"/>
              <w:numPr>
                <w:ilvl w:val="1"/>
                <w:numId w:val="1"/>
              </w:numPr>
              <w:rPr>
                <w:rFonts w:ascii="Arial Narrow" w:hAnsi="Arial Narrow"/>
                <w:sz w:val="18"/>
                <w:szCs w:val="18"/>
              </w:rPr>
            </w:pPr>
            <w:r w:rsidRPr="004157F3">
              <w:rPr>
                <w:rFonts w:ascii="Arial Narrow" w:hAnsi="Arial Narrow"/>
                <w:sz w:val="18"/>
                <w:szCs w:val="18"/>
              </w:rPr>
              <w:t>cerebrovascular events, and</w:t>
            </w:r>
          </w:p>
          <w:p w14:paraId="2C8C2D8B" w14:textId="77777777" w:rsidR="0088486E" w:rsidRPr="004157F3" w:rsidRDefault="0088486E" w:rsidP="00140129">
            <w:pPr>
              <w:pStyle w:val="ListParagraph"/>
              <w:numPr>
                <w:ilvl w:val="1"/>
                <w:numId w:val="1"/>
              </w:numPr>
              <w:rPr>
                <w:rFonts w:ascii="Arial Narrow" w:hAnsi="Arial Narrow"/>
                <w:sz w:val="18"/>
                <w:szCs w:val="18"/>
              </w:rPr>
            </w:pPr>
            <w:r w:rsidRPr="004157F3">
              <w:rPr>
                <w:rFonts w:ascii="Arial Narrow" w:hAnsi="Arial Narrow"/>
                <w:sz w:val="18"/>
                <w:szCs w:val="18"/>
              </w:rPr>
              <w:t>revascularization procedures</w:t>
            </w:r>
          </w:p>
        </w:tc>
        <w:tc>
          <w:tcPr>
            <w:tcW w:w="3827" w:type="dxa"/>
          </w:tcPr>
          <w:p w14:paraId="18BBEB64" w14:textId="30CF0410" w:rsidR="0088486E" w:rsidRPr="004157F3" w:rsidRDefault="0088486E" w:rsidP="004157F3">
            <w:pPr>
              <w:rPr>
                <w:rFonts w:ascii="Arial Narrow" w:hAnsi="Arial Narrow"/>
                <w:sz w:val="20"/>
                <w:szCs w:val="20"/>
              </w:rPr>
            </w:pPr>
          </w:p>
        </w:tc>
      </w:tr>
      <w:tr w:rsidR="0088486E" w:rsidRPr="0088486E" w14:paraId="2E466BAC" w14:textId="77777777" w:rsidTr="000F489B">
        <w:tc>
          <w:tcPr>
            <w:tcW w:w="1155" w:type="dxa"/>
          </w:tcPr>
          <w:p w14:paraId="0D72842F" w14:textId="77777777" w:rsidR="0088486E" w:rsidRPr="0088486E" w:rsidRDefault="0088486E" w:rsidP="0055459F">
            <w:pPr>
              <w:rPr>
                <w:rFonts w:ascii="Arial Narrow" w:hAnsi="Arial Narrow"/>
                <w:b/>
                <w:sz w:val="20"/>
                <w:szCs w:val="20"/>
              </w:rPr>
            </w:pPr>
            <w:r w:rsidRPr="0088486E">
              <w:rPr>
                <w:rFonts w:ascii="Arial Narrow" w:hAnsi="Arial Narrow"/>
                <w:b/>
                <w:sz w:val="20"/>
                <w:szCs w:val="20"/>
              </w:rPr>
              <w:t>Surrogate outcomes</w:t>
            </w:r>
          </w:p>
        </w:tc>
        <w:tc>
          <w:tcPr>
            <w:tcW w:w="4232" w:type="dxa"/>
          </w:tcPr>
          <w:p w14:paraId="7D45B4A5" w14:textId="62DBC4F2" w:rsidR="00264223" w:rsidRPr="004157F3" w:rsidRDefault="0088486E" w:rsidP="00140129">
            <w:pPr>
              <w:pStyle w:val="ListParagraph"/>
              <w:numPr>
                <w:ilvl w:val="0"/>
                <w:numId w:val="1"/>
              </w:numPr>
              <w:rPr>
                <w:rFonts w:ascii="Arial Narrow" w:hAnsi="Arial Narrow"/>
                <w:sz w:val="18"/>
                <w:szCs w:val="18"/>
              </w:rPr>
            </w:pPr>
            <w:r w:rsidRPr="004157F3">
              <w:rPr>
                <w:rFonts w:ascii="Arial Narrow" w:hAnsi="Arial Narrow"/>
                <w:sz w:val="18"/>
                <w:szCs w:val="18"/>
              </w:rPr>
              <w:t>lipid end-po</w:t>
            </w:r>
            <w:r w:rsidR="004157F3">
              <w:rPr>
                <w:rFonts w:ascii="Arial Narrow" w:hAnsi="Arial Narrow"/>
                <w:sz w:val="18"/>
                <w:szCs w:val="18"/>
              </w:rPr>
              <w:t>ints, such as Total-C, LDL-C and HDL-C</w:t>
            </w:r>
            <w:r w:rsidR="00264223" w:rsidRPr="004157F3">
              <w:rPr>
                <w:rFonts w:ascii="Arial Narrow" w:hAnsi="Arial Narrow"/>
                <w:sz w:val="18"/>
                <w:szCs w:val="18"/>
              </w:rPr>
              <w:t>;</w:t>
            </w:r>
          </w:p>
        </w:tc>
        <w:tc>
          <w:tcPr>
            <w:tcW w:w="3827" w:type="dxa"/>
          </w:tcPr>
          <w:p w14:paraId="24353E86" w14:textId="77777777" w:rsidR="0088486E" w:rsidRDefault="004157F3" w:rsidP="0055459F">
            <w:pPr>
              <w:rPr>
                <w:rFonts w:ascii="Arial Narrow" w:hAnsi="Arial Narrow"/>
                <w:sz w:val="18"/>
                <w:szCs w:val="18"/>
              </w:rPr>
            </w:pPr>
            <w:r w:rsidRPr="004157F3">
              <w:rPr>
                <w:rFonts w:ascii="Arial Narrow" w:hAnsi="Arial Narrow"/>
                <w:sz w:val="18"/>
                <w:szCs w:val="18"/>
              </w:rPr>
              <w:t>Trials reporting only measures of atherosclerosis (e.g., carotid intimal media wall thickness, coronary artery calcification score)</w:t>
            </w:r>
          </w:p>
          <w:p w14:paraId="76301945" w14:textId="2C5A3259" w:rsidR="0068741D" w:rsidRPr="0088486E" w:rsidRDefault="0068741D" w:rsidP="0055459F">
            <w:pPr>
              <w:rPr>
                <w:rFonts w:ascii="Arial Narrow" w:hAnsi="Arial Narrow"/>
                <w:sz w:val="20"/>
                <w:szCs w:val="20"/>
              </w:rPr>
            </w:pPr>
            <w:r w:rsidRPr="00690BCA">
              <w:rPr>
                <w:rFonts w:ascii="Arial Narrow" w:hAnsi="Arial Narrow"/>
                <w:sz w:val="18"/>
                <w:szCs w:val="18"/>
              </w:rPr>
              <w:t xml:space="preserve">The factorial studies that did not report results separately for each specific strength, so only pooled data is reported and the original data could not be recovered from the previous submissions </w:t>
            </w:r>
          </w:p>
        </w:tc>
      </w:tr>
      <w:tr w:rsidR="0088486E" w:rsidRPr="0088486E" w14:paraId="368436A4" w14:textId="77777777" w:rsidTr="000F489B">
        <w:tc>
          <w:tcPr>
            <w:tcW w:w="1155" w:type="dxa"/>
          </w:tcPr>
          <w:p w14:paraId="5E9D65D9" w14:textId="77EF4082" w:rsidR="0088486E" w:rsidRPr="0088486E" w:rsidRDefault="0088486E" w:rsidP="0055459F">
            <w:pPr>
              <w:rPr>
                <w:rFonts w:ascii="Arial Narrow" w:hAnsi="Arial Narrow"/>
                <w:b/>
                <w:sz w:val="20"/>
                <w:szCs w:val="20"/>
              </w:rPr>
            </w:pPr>
            <w:r w:rsidRPr="0088486E">
              <w:rPr>
                <w:rFonts w:ascii="Arial Narrow" w:hAnsi="Arial Narrow"/>
                <w:b/>
                <w:sz w:val="20"/>
                <w:szCs w:val="20"/>
              </w:rPr>
              <w:t>Safety outcomes</w:t>
            </w:r>
          </w:p>
        </w:tc>
        <w:tc>
          <w:tcPr>
            <w:tcW w:w="4232" w:type="dxa"/>
          </w:tcPr>
          <w:p w14:paraId="615A00F5" w14:textId="77777777" w:rsidR="004157F3" w:rsidRPr="004157F3" w:rsidRDefault="004157F3" w:rsidP="004157F3">
            <w:pPr>
              <w:spacing w:line="264" w:lineRule="auto"/>
              <w:rPr>
                <w:rFonts w:ascii="Arial Narrow" w:hAnsi="Arial Narrow"/>
                <w:sz w:val="18"/>
                <w:szCs w:val="18"/>
              </w:rPr>
            </w:pPr>
            <w:r w:rsidRPr="004157F3">
              <w:rPr>
                <w:rFonts w:ascii="Arial Narrow" w:hAnsi="Arial Narrow"/>
                <w:sz w:val="18"/>
                <w:szCs w:val="18"/>
              </w:rPr>
              <w:t>The following safety endpoints will be considered:</w:t>
            </w:r>
          </w:p>
          <w:p w14:paraId="54E3B28F" w14:textId="77777777" w:rsidR="004157F3" w:rsidRPr="004157F3" w:rsidRDefault="004157F3" w:rsidP="00140129">
            <w:pPr>
              <w:pStyle w:val="ListParagraph"/>
              <w:numPr>
                <w:ilvl w:val="0"/>
                <w:numId w:val="1"/>
              </w:numPr>
              <w:spacing w:line="264" w:lineRule="auto"/>
              <w:rPr>
                <w:rFonts w:ascii="Arial Narrow" w:hAnsi="Arial Narrow"/>
                <w:sz w:val="18"/>
                <w:szCs w:val="18"/>
              </w:rPr>
            </w:pPr>
            <w:r w:rsidRPr="004157F3">
              <w:rPr>
                <w:rFonts w:ascii="Arial Narrow" w:hAnsi="Arial Narrow"/>
                <w:sz w:val="18"/>
                <w:szCs w:val="18"/>
              </w:rPr>
              <w:t>adverse events (AEs)</w:t>
            </w:r>
          </w:p>
          <w:p w14:paraId="3E4605F2" w14:textId="77777777" w:rsidR="004157F3" w:rsidRPr="004157F3" w:rsidRDefault="004157F3" w:rsidP="00140129">
            <w:pPr>
              <w:pStyle w:val="ListParagraph"/>
              <w:numPr>
                <w:ilvl w:val="0"/>
                <w:numId w:val="1"/>
              </w:numPr>
              <w:spacing w:line="264" w:lineRule="auto"/>
              <w:rPr>
                <w:rFonts w:ascii="Arial Narrow" w:hAnsi="Arial Narrow"/>
                <w:sz w:val="18"/>
                <w:szCs w:val="18"/>
              </w:rPr>
            </w:pPr>
            <w:r w:rsidRPr="004157F3">
              <w:rPr>
                <w:rFonts w:ascii="Arial Narrow" w:hAnsi="Arial Narrow"/>
                <w:sz w:val="18"/>
                <w:szCs w:val="18"/>
              </w:rPr>
              <w:t>serious adverse events (SAEs)</w:t>
            </w:r>
          </w:p>
          <w:p w14:paraId="1F5EE145" w14:textId="77777777" w:rsidR="004157F3" w:rsidRPr="004157F3" w:rsidRDefault="004157F3" w:rsidP="00140129">
            <w:pPr>
              <w:pStyle w:val="ListParagraph"/>
              <w:numPr>
                <w:ilvl w:val="0"/>
                <w:numId w:val="1"/>
              </w:numPr>
              <w:spacing w:line="264" w:lineRule="auto"/>
              <w:rPr>
                <w:rFonts w:ascii="Arial Narrow" w:hAnsi="Arial Narrow"/>
                <w:sz w:val="18"/>
                <w:szCs w:val="18"/>
              </w:rPr>
            </w:pPr>
            <w:r w:rsidRPr="004157F3">
              <w:rPr>
                <w:rFonts w:ascii="Arial Narrow" w:hAnsi="Arial Narrow"/>
                <w:sz w:val="18"/>
                <w:szCs w:val="18"/>
              </w:rPr>
              <w:t>AEs leading to premature discontinuation of study drug</w:t>
            </w:r>
          </w:p>
          <w:p w14:paraId="15F4CB11" w14:textId="77777777" w:rsidR="004157F3" w:rsidRPr="004157F3" w:rsidRDefault="004157F3" w:rsidP="00140129">
            <w:pPr>
              <w:pStyle w:val="ListParagraph"/>
              <w:numPr>
                <w:ilvl w:val="0"/>
                <w:numId w:val="1"/>
              </w:numPr>
              <w:spacing w:line="264" w:lineRule="auto"/>
              <w:rPr>
                <w:rFonts w:ascii="Arial Narrow" w:hAnsi="Arial Narrow"/>
                <w:sz w:val="18"/>
                <w:szCs w:val="18"/>
              </w:rPr>
            </w:pPr>
            <w:r w:rsidRPr="004157F3">
              <w:rPr>
                <w:rFonts w:ascii="Arial Narrow" w:hAnsi="Arial Narrow"/>
                <w:sz w:val="18"/>
                <w:szCs w:val="18"/>
              </w:rPr>
              <w:lastRenderedPageBreak/>
              <w:t>AEs of specific interest, including</w:t>
            </w:r>
          </w:p>
          <w:p w14:paraId="6B1F0B16" w14:textId="77777777" w:rsidR="004157F3" w:rsidRPr="004157F3" w:rsidRDefault="004157F3" w:rsidP="00140129">
            <w:pPr>
              <w:pStyle w:val="ListParagraph"/>
              <w:numPr>
                <w:ilvl w:val="1"/>
                <w:numId w:val="1"/>
              </w:numPr>
              <w:spacing w:line="264" w:lineRule="auto"/>
              <w:rPr>
                <w:rFonts w:ascii="Arial Narrow" w:hAnsi="Arial Narrow"/>
                <w:sz w:val="18"/>
                <w:szCs w:val="18"/>
              </w:rPr>
            </w:pPr>
            <w:r w:rsidRPr="004157F3">
              <w:rPr>
                <w:rFonts w:ascii="Arial Narrow" w:hAnsi="Arial Narrow"/>
                <w:sz w:val="18"/>
                <w:szCs w:val="18"/>
              </w:rPr>
              <w:t xml:space="preserve">cancer, </w:t>
            </w:r>
          </w:p>
          <w:p w14:paraId="20F948E0" w14:textId="77777777" w:rsidR="004157F3" w:rsidRPr="004157F3" w:rsidRDefault="004157F3" w:rsidP="00140129">
            <w:pPr>
              <w:pStyle w:val="ListParagraph"/>
              <w:numPr>
                <w:ilvl w:val="1"/>
                <w:numId w:val="1"/>
              </w:numPr>
              <w:spacing w:line="264" w:lineRule="auto"/>
              <w:rPr>
                <w:rFonts w:ascii="Arial Narrow" w:hAnsi="Arial Narrow"/>
                <w:sz w:val="18"/>
                <w:szCs w:val="18"/>
              </w:rPr>
            </w:pPr>
            <w:r w:rsidRPr="004157F3">
              <w:rPr>
                <w:rFonts w:ascii="Arial Narrow" w:hAnsi="Arial Narrow"/>
                <w:sz w:val="18"/>
                <w:szCs w:val="18"/>
              </w:rPr>
              <w:t>elevated liver transaminases;</w:t>
            </w:r>
          </w:p>
          <w:p w14:paraId="166D72D9" w14:textId="77777777" w:rsidR="004157F3" w:rsidRPr="004157F3" w:rsidRDefault="004157F3" w:rsidP="00140129">
            <w:pPr>
              <w:pStyle w:val="ListParagraph"/>
              <w:numPr>
                <w:ilvl w:val="1"/>
                <w:numId w:val="1"/>
              </w:numPr>
              <w:spacing w:line="264" w:lineRule="auto"/>
              <w:rPr>
                <w:rFonts w:ascii="Arial Narrow" w:hAnsi="Arial Narrow"/>
                <w:sz w:val="18"/>
                <w:szCs w:val="18"/>
              </w:rPr>
            </w:pPr>
            <w:r w:rsidRPr="004157F3">
              <w:rPr>
                <w:rFonts w:ascii="Arial Narrow" w:hAnsi="Arial Narrow"/>
                <w:sz w:val="18"/>
                <w:szCs w:val="18"/>
              </w:rPr>
              <w:t>musculoskeletal events,</w:t>
            </w:r>
          </w:p>
          <w:p w14:paraId="7FDBAE84" w14:textId="77777777" w:rsidR="004157F3" w:rsidRPr="004157F3" w:rsidRDefault="004157F3" w:rsidP="00140129">
            <w:pPr>
              <w:pStyle w:val="ListParagraph"/>
              <w:numPr>
                <w:ilvl w:val="1"/>
                <w:numId w:val="1"/>
              </w:numPr>
              <w:spacing w:line="264" w:lineRule="auto"/>
              <w:rPr>
                <w:rFonts w:ascii="Arial Narrow" w:hAnsi="Arial Narrow"/>
                <w:sz w:val="18"/>
                <w:szCs w:val="18"/>
              </w:rPr>
            </w:pPr>
            <w:r w:rsidRPr="004157F3">
              <w:rPr>
                <w:rFonts w:ascii="Arial Narrow" w:hAnsi="Arial Narrow"/>
                <w:sz w:val="18"/>
                <w:szCs w:val="18"/>
              </w:rPr>
              <w:t>newly diagnosed diabetes mellitus,</w:t>
            </w:r>
          </w:p>
          <w:p w14:paraId="7AD4925B" w14:textId="29C30D4B" w:rsidR="0088486E" w:rsidRPr="004157F3" w:rsidRDefault="004157F3" w:rsidP="00140129">
            <w:pPr>
              <w:pStyle w:val="ListParagraph"/>
              <w:numPr>
                <w:ilvl w:val="0"/>
                <w:numId w:val="1"/>
              </w:numPr>
              <w:rPr>
                <w:rFonts w:ascii="Arial Narrow" w:hAnsi="Arial Narrow"/>
                <w:sz w:val="18"/>
                <w:szCs w:val="18"/>
              </w:rPr>
            </w:pPr>
            <w:r w:rsidRPr="004157F3">
              <w:rPr>
                <w:rFonts w:ascii="Arial Narrow" w:hAnsi="Arial Narrow"/>
                <w:sz w:val="18"/>
                <w:szCs w:val="18"/>
              </w:rPr>
              <w:t>acute kidney injury</w:t>
            </w:r>
          </w:p>
        </w:tc>
        <w:tc>
          <w:tcPr>
            <w:tcW w:w="3827" w:type="dxa"/>
          </w:tcPr>
          <w:p w14:paraId="47FFAC5D" w14:textId="0B072A8E" w:rsidR="0088486E" w:rsidRPr="0088486E" w:rsidRDefault="0088486E" w:rsidP="0055459F">
            <w:pPr>
              <w:rPr>
                <w:rFonts w:ascii="Arial Narrow" w:hAnsi="Arial Narrow"/>
                <w:sz w:val="20"/>
                <w:szCs w:val="20"/>
              </w:rPr>
            </w:pPr>
          </w:p>
        </w:tc>
      </w:tr>
      <w:tr w:rsidR="0088486E" w:rsidRPr="0088486E" w14:paraId="5DE0101A" w14:textId="77777777" w:rsidTr="000F489B">
        <w:tc>
          <w:tcPr>
            <w:tcW w:w="1155" w:type="dxa"/>
          </w:tcPr>
          <w:p w14:paraId="0930F6AA" w14:textId="77777777" w:rsidR="0088486E" w:rsidRPr="0088486E" w:rsidRDefault="0088486E" w:rsidP="0055459F">
            <w:pPr>
              <w:rPr>
                <w:rFonts w:ascii="Arial Narrow" w:hAnsi="Arial Narrow"/>
                <w:b/>
                <w:sz w:val="20"/>
                <w:szCs w:val="20"/>
              </w:rPr>
            </w:pPr>
            <w:r w:rsidRPr="0088486E">
              <w:rPr>
                <w:rFonts w:ascii="Arial Narrow" w:hAnsi="Arial Narrow"/>
                <w:b/>
                <w:sz w:val="20"/>
                <w:szCs w:val="20"/>
              </w:rPr>
              <w:lastRenderedPageBreak/>
              <w:t>Study design</w:t>
            </w:r>
          </w:p>
        </w:tc>
        <w:tc>
          <w:tcPr>
            <w:tcW w:w="4232" w:type="dxa"/>
          </w:tcPr>
          <w:p w14:paraId="082B417C" w14:textId="660FCB6B" w:rsidR="0088486E" w:rsidRPr="004157F3" w:rsidRDefault="0088486E" w:rsidP="00140129">
            <w:pPr>
              <w:pStyle w:val="ListParagraph"/>
              <w:numPr>
                <w:ilvl w:val="0"/>
                <w:numId w:val="6"/>
              </w:numPr>
              <w:jc w:val="both"/>
              <w:rPr>
                <w:rFonts w:ascii="Arial Narrow" w:hAnsi="Arial Narrow"/>
                <w:sz w:val="18"/>
                <w:szCs w:val="18"/>
              </w:rPr>
            </w:pPr>
            <w:r w:rsidRPr="004157F3">
              <w:rPr>
                <w:rFonts w:ascii="Arial Narrow" w:hAnsi="Arial Narrow"/>
                <w:sz w:val="18"/>
                <w:szCs w:val="18"/>
              </w:rPr>
              <w:t>Phase III</w:t>
            </w:r>
            <w:r w:rsidR="00784D51">
              <w:rPr>
                <w:rFonts w:ascii="Arial Narrow" w:hAnsi="Arial Narrow"/>
                <w:sz w:val="18"/>
                <w:szCs w:val="18"/>
              </w:rPr>
              <w:t>-IV</w:t>
            </w:r>
            <w:r w:rsidRPr="004157F3">
              <w:rPr>
                <w:rFonts w:ascii="Arial Narrow" w:hAnsi="Arial Narrow"/>
                <w:sz w:val="18"/>
                <w:szCs w:val="18"/>
              </w:rPr>
              <w:t xml:space="preserve"> ra</w:t>
            </w:r>
            <w:r w:rsidR="00264223" w:rsidRPr="004157F3">
              <w:rPr>
                <w:rFonts w:ascii="Arial Narrow" w:hAnsi="Arial Narrow"/>
                <w:sz w:val="18"/>
                <w:szCs w:val="18"/>
              </w:rPr>
              <w:t>ndomised controlled trial (RCT)</w:t>
            </w:r>
            <w:r w:rsidR="004157F3" w:rsidRPr="004157F3">
              <w:rPr>
                <w:rFonts w:ascii="Arial Narrow" w:hAnsi="Arial Narrow"/>
                <w:sz w:val="18"/>
                <w:szCs w:val="18"/>
              </w:rPr>
              <w:t xml:space="preserve"> including open-label trials</w:t>
            </w:r>
            <w:r w:rsidR="00264223" w:rsidRPr="004157F3">
              <w:rPr>
                <w:rFonts w:ascii="Arial Narrow" w:hAnsi="Arial Narrow"/>
                <w:sz w:val="18"/>
                <w:szCs w:val="18"/>
              </w:rPr>
              <w:t>;</w:t>
            </w:r>
          </w:p>
          <w:p w14:paraId="5628BB87" w14:textId="77777777" w:rsidR="00264223" w:rsidRPr="004157F3" w:rsidRDefault="00264223" w:rsidP="00140129">
            <w:pPr>
              <w:pStyle w:val="ListParagraph"/>
              <w:numPr>
                <w:ilvl w:val="0"/>
                <w:numId w:val="6"/>
              </w:numPr>
              <w:jc w:val="both"/>
              <w:rPr>
                <w:rFonts w:ascii="Arial Narrow" w:hAnsi="Arial Narrow"/>
                <w:sz w:val="18"/>
                <w:szCs w:val="18"/>
              </w:rPr>
            </w:pPr>
            <w:r w:rsidRPr="004157F3">
              <w:rPr>
                <w:rFonts w:ascii="Arial Narrow" w:hAnsi="Arial Narrow"/>
                <w:sz w:val="18"/>
                <w:szCs w:val="18"/>
              </w:rPr>
              <w:t xml:space="preserve">Extensions of the RCTs </w:t>
            </w:r>
            <w:r w:rsidR="004C1653" w:rsidRPr="004157F3">
              <w:rPr>
                <w:rFonts w:ascii="Arial Narrow" w:hAnsi="Arial Narrow"/>
                <w:sz w:val="18"/>
                <w:szCs w:val="18"/>
              </w:rPr>
              <w:t>if they meet selection criteria for “add-on” or “up-titration” studies;</w:t>
            </w:r>
          </w:p>
          <w:p w14:paraId="36739D5E" w14:textId="427C3F75" w:rsidR="004C1653" w:rsidRPr="004157F3" w:rsidRDefault="004C1653" w:rsidP="00140129">
            <w:pPr>
              <w:pStyle w:val="ListParagraph"/>
              <w:numPr>
                <w:ilvl w:val="0"/>
                <w:numId w:val="6"/>
              </w:numPr>
              <w:jc w:val="both"/>
              <w:rPr>
                <w:rFonts w:ascii="Arial Narrow" w:hAnsi="Arial Narrow"/>
                <w:sz w:val="18"/>
                <w:szCs w:val="18"/>
              </w:rPr>
            </w:pPr>
            <w:r w:rsidRPr="004157F3">
              <w:rPr>
                <w:rFonts w:ascii="Arial Narrow" w:hAnsi="Arial Narrow"/>
                <w:sz w:val="18"/>
                <w:szCs w:val="18"/>
              </w:rPr>
              <w:t>Extension of clinical trials over 24 weeks du</w:t>
            </w:r>
            <w:r w:rsidR="00690BCA">
              <w:rPr>
                <w:rFonts w:ascii="Arial Narrow" w:hAnsi="Arial Narrow"/>
                <w:sz w:val="18"/>
                <w:szCs w:val="18"/>
              </w:rPr>
              <w:t>ration (to inform final patient</w:t>
            </w:r>
            <w:r w:rsidRPr="004157F3">
              <w:rPr>
                <w:rFonts w:ascii="Arial Narrow" w:hAnsi="Arial Narrow"/>
                <w:sz w:val="18"/>
                <w:szCs w:val="18"/>
              </w:rPr>
              <w:t xml:space="preserve"> and safety outcomes)</w:t>
            </w:r>
          </w:p>
        </w:tc>
        <w:tc>
          <w:tcPr>
            <w:tcW w:w="3827" w:type="dxa"/>
          </w:tcPr>
          <w:p w14:paraId="0C68EF2D" w14:textId="06FBB5F2" w:rsidR="0088486E" w:rsidRPr="004157F3" w:rsidRDefault="0088486E" w:rsidP="00140129">
            <w:pPr>
              <w:pStyle w:val="ListParagraph"/>
              <w:numPr>
                <w:ilvl w:val="0"/>
                <w:numId w:val="2"/>
              </w:numPr>
              <w:ind w:left="317" w:hanging="283"/>
              <w:jc w:val="both"/>
              <w:rPr>
                <w:rFonts w:ascii="Arial Narrow" w:hAnsi="Arial Narrow"/>
                <w:sz w:val="18"/>
                <w:szCs w:val="18"/>
              </w:rPr>
            </w:pPr>
            <w:r w:rsidRPr="004157F3">
              <w:rPr>
                <w:rFonts w:ascii="Arial Narrow" w:hAnsi="Arial Narrow"/>
                <w:sz w:val="18"/>
                <w:szCs w:val="18"/>
              </w:rPr>
              <w:t>non- Phase III</w:t>
            </w:r>
            <w:r w:rsidR="00784D51">
              <w:rPr>
                <w:rFonts w:ascii="Arial Narrow" w:hAnsi="Arial Narrow"/>
                <w:sz w:val="18"/>
                <w:szCs w:val="18"/>
              </w:rPr>
              <w:t xml:space="preserve"> or IV</w:t>
            </w:r>
            <w:r w:rsidRPr="004157F3">
              <w:rPr>
                <w:rFonts w:ascii="Arial Narrow" w:hAnsi="Arial Narrow"/>
                <w:sz w:val="18"/>
                <w:szCs w:val="18"/>
              </w:rPr>
              <w:t xml:space="preserve"> RCTs </w:t>
            </w:r>
          </w:p>
          <w:p w14:paraId="30AC4486" w14:textId="77777777" w:rsidR="0088486E" w:rsidRPr="004157F3" w:rsidRDefault="0088486E" w:rsidP="00140129">
            <w:pPr>
              <w:pStyle w:val="ListParagraph"/>
              <w:numPr>
                <w:ilvl w:val="0"/>
                <w:numId w:val="2"/>
              </w:numPr>
              <w:ind w:left="317" w:hanging="283"/>
              <w:jc w:val="both"/>
              <w:rPr>
                <w:rFonts w:ascii="Arial Narrow" w:hAnsi="Arial Narrow"/>
                <w:sz w:val="18"/>
                <w:szCs w:val="18"/>
              </w:rPr>
            </w:pPr>
            <w:r w:rsidRPr="004157F3">
              <w:rPr>
                <w:rFonts w:ascii="Arial Narrow" w:hAnsi="Arial Narrow"/>
                <w:sz w:val="18"/>
                <w:szCs w:val="18"/>
              </w:rPr>
              <w:t>observational study;</w:t>
            </w:r>
          </w:p>
          <w:p w14:paraId="5BCDA4D7" w14:textId="77777777" w:rsidR="0088486E" w:rsidRPr="004157F3" w:rsidRDefault="0088486E" w:rsidP="00140129">
            <w:pPr>
              <w:pStyle w:val="ListParagraph"/>
              <w:numPr>
                <w:ilvl w:val="0"/>
                <w:numId w:val="2"/>
              </w:numPr>
              <w:ind w:left="317" w:hanging="283"/>
              <w:jc w:val="both"/>
              <w:rPr>
                <w:rFonts w:ascii="Arial Narrow" w:hAnsi="Arial Narrow"/>
                <w:sz w:val="18"/>
                <w:szCs w:val="18"/>
              </w:rPr>
            </w:pPr>
            <w:r w:rsidRPr="004157F3">
              <w:rPr>
                <w:rFonts w:ascii="Arial Narrow" w:hAnsi="Arial Narrow"/>
                <w:sz w:val="18"/>
                <w:szCs w:val="18"/>
              </w:rPr>
              <w:t>review articles (including reviews of cholesterol absorption inhibitors, ezetimibe data to data, new and current lipid lowering therapies, lipid management, clinical place of combination therapy, review of conference abstracts);</w:t>
            </w:r>
          </w:p>
          <w:p w14:paraId="7B39B5FA" w14:textId="77777777" w:rsidR="0088486E" w:rsidRPr="004157F3" w:rsidRDefault="0088486E" w:rsidP="00140129">
            <w:pPr>
              <w:pStyle w:val="ListParagraph"/>
              <w:numPr>
                <w:ilvl w:val="0"/>
                <w:numId w:val="2"/>
              </w:numPr>
              <w:ind w:left="317" w:hanging="283"/>
              <w:jc w:val="both"/>
              <w:rPr>
                <w:rFonts w:ascii="Arial Narrow" w:hAnsi="Arial Narrow"/>
                <w:sz w:val="18"/>
                <w:szCs w:val="18"/>
              </w:rPr>
            </w:pPr>
            <w:r w:rsidRPr="004157F3">
              <w:rPr>
                <w:rFonts w:ascii="Arial Narrow" w:hAnsi="Arial Narrow"/>
                <w:sz w:val="18"/>
                <w:szCs w:val="18"/>
              </w:rPr>
              <w:t>editorials, opinions;</w:t>
            </w:r>
          </w:p>
          <w:p w14:paraId="70072AE8" w14:textId="77777777" w:rsidR="0088486E" w:rsidRPr="004157F3" w:rsidRDefault="0088486E" w:rsidP="00140129">
            <w:pPr>
              <w:pStyle w:val="ListParagraph"/>
              <w:numPr>
                <w:ilvl w:val="0"/>
                <w:numId w:val="2"/>
              </w:numPr>
              <w:ind w:left="317" w:hanging="283"/>
              <w:jc w:val="both"/>
              <w:rPr>
                <w:rFonts w:ascii="Arial Narrow" w:hAnsi="Arial Narrow"/>
                <w:sz w:val="18"/>
                <w:szCs w:val="18"/>
              </w:rPr>
            </w:pPr>
            <w:r w:rsidRPr="004157F3">
              <w:rPr>
                <w:rFonts w:ascii="Arial Narrow" w:hAnsi="Arial Narrow"/>
                <w:sz w:val="18"/>
                <w:szCs w:val="18"/>
              </w:rPr>
              <w:t xml:space="preserve">published only as abstracts </w:t>
            </w:r>
          </w:p>
          <w:p w14:paraId="5E06067B" w14:textId="77777777" w:rsidR="0088486E" w:rsidRPr="004157F3" w:rsidRDefault="0088486E" w:rsidP="00140129">
            <w:pPr>
              <w:pStyle w:val="ListParagraph"/>
              <w:numPr>
                <w:ilvl w:val="0"/>
                <w:numId w:val="2"/>
              </w:numPr>
              <w:ind w:left="317" w:hanging="283"/>
              <w:jc w:val="both"/>
              <w:rPr>
                <w:rFonts w:ascii="Arial Narrow" w:hAnsi="Arial Narrow"/>
                <w:sz w:val="18"/>
                <w:szCs w:val="18"/>
              </w:rPr>
            </w:pPr>
            <w:r w:rsidRPr="004157F3">
              <w:rPr>
                <w:rFonts w:ascii="Arial Narrow" w:hAnsi="Arial Narrow"/>
                <w:sz w:val="18"/>
                <w:szCs w:val="18"/>
              </w:rPr>
              <w:t>available only as conference presentations;</w:t>
            </w:r>
          </w:p>
          <w:p w14:paraId="6E247DAA" w14:textId="77777777" w:rsidR="0088486E" w:rsidRDefault="0088486E" w:rsidP="00140129">
            <w:pPr>
              <w:pStyle w:val="ListParagraph"/>
              <w:numPr>
                <w:ilvl w:val="0"/>
                <w:numId w:val="2"/>
              </w:numPr>
              <w:ind w:left="317" w:hanging="283"/>
              <w:jc w:val="both"/>
              <w:rPr>
                <w:rFonts w:ascii="Arial Narrow" w:hAnsi="Arial Narrow"/>
                <w:sz w:val="18"/>
                <w:szCs w:val="18"/>
              </w:rPr>
            </w:pPr>
            <w:r w:rsidRPr="004157F3">
              <w:rPr>
                <w:rFonts w:ascii="Arial Narrow" w:hAnsi="Arial Narrow"/>
                <w:sz w:val="18"/>
                <w:szCs w:val="18"/>
              </w:rPr>
              <w:t xml:space="preserve">non–English-language publications.  </w:t>
            </w:r>
          </w:p>
          <w:p w14:paraId="283394CC" w14:textId="1B303AB4" w:rsidR="004157F3" w:rsidRPr="004157F3" w:rsidRDefault="004157F3" w:rsidP="00140129">
            <w:pPr>
              <w:pStyle w:val="ListParagraph"/>
              <w:numPr>
                <w:ilvl w:val="0"/>
                <w:numId w:val="2"/>
              </w:numPr>
              <w:ind w:left="317" w:hanging="283"/>
              <w:jc w:val="both"/>
              <w:rPr>
                <w:rFonts w:ascii="Arial Narrow" w:hAnsi="Arial Narrow"/>
                <w:sz w:val="18"/>
                <w:szCs w:val="18"/>
              </w:rPr>
            </w:pPr>
            <w:r>
              <w:rPr>
                <w:rFonts w:ascii="Arial Narrow" w:hAnsi="Arial Narrow"/>
                <w:sz w:val="18"/>
                <w:szCs w:val="18"/>
              </w:rPr>
              <w:t>RCT</w:t>
            </w:r>
            <w:r w:rsidR="0068741D">
              <w:rPr>
                <w:rFonts w:ascii="Arial Narrow" w:hAnsi="Arial Narrow"/>
                <w:sz w:val="18"/>
                <w:szCs w:val="18"/>
              </w:rPr>
              <w:t>s</w:t>
            </w:r>
            <w:r>
              <w:rPr>
                <w:rFonts w:ascii="Arial Narrow" w:hAnsi="Arial Narrow"/>
                <w:sz w:val="18"/>
                <w:szCs w:val="18"/>
              </w:rPr>
              <w:t xml:space="preserve"> considered of poor quality according to the amended Cochrane quality assessment criteria (i.e. the trials that do not report the measure of variation around the endpoints are automatically considered poor quality)</w:t>
            </w:r>
          </w:p>
        </w:tc>
      </w:tr>
      <w:tr w:rsidR="0088486E" w:rsidRPr="0088486E" w14:paraId="3730F18C" w14:textId="77777777" w:rsidTr="000F489B">
        <w:tc>
          <w:tcPr>
            <w:tcW w:w="1155" w:type="dxa"/>
          </w:tcPr>
          <w:p w14:paraId="77D6A5E9" w14:textId="73AF1AA8" w:rsidR="0088486E" w:rsidRPr="0088486E" w:rsidRDefault="0088486E" w:rsidP="0055459F">
            <w:pPr>
              <w:rPr>
                <w:rFonts w:ascii="Arial Narrow" w:hAnsi="Arial Narrow"/>
                <w:b/>
                <w:sz w:val="20"/>
                <w:szCs w:val="20"/>
              </w:rPr>
            </w:pPr>
            <w:r w:rsidRPr="0088486E">
              <w:rPr>
                <w:rFonts w:ascii="Arial Narrow" w:hAnsi="Arial Narrow"/>
                <w:b/>
                <w:sz w:val="20"/>
                <w:szCs w:val="20"/>
              </w:rPr>
              <w:t>Duration</w:t>
            </w:r>
          </w:p>
        </w:tc>
        <w:tc>
          <w:tcPr>
            <w:tcW w:w="4232" w:type="dxa"/>
          </w:tcPr>
          <w:p w14:paraId="00A7CE24" w14:textId="2BA17A0A" w:rsidR="0088486E" w:rsidRPr="004157F3" w:rsidRDefault="0088486E" w:rsidP="0055459F">
            <w:pPr>
              <w:rPr>
                <w:rFonts w:ascii="Arial Narrow" w:hAnsi="Arial Narrow"/>
                <w:sz w:val="18"/>
                <w:szCs w:val="18"/>
              </w:rPr>
            </w:pPr>
            <w:r w:rsidRPr="004157F3">
              <w:rPr>
                <w:rFonts w:ascii="Arial Narrow" w:hAnsi="Arial Narrow"/>
                <w:sz w:val="18"/>
                <w:szCs w:val="18"/>
              </w:rPr>
              <w:t xml:space="preserve">Treatment of at least </w:t>
            </w:r>
            <w:r w:rsidR="004157F3" w:rsidRPr="004157F3">
              <w:rPr>
                <w:rFonts w:ascii="Arial Narrow" w:hAnsi="Arial Narrow"/>
                <w:sz w:val="18"/>
                <w:szCs w:val="18"/>
              </w:rPr>
              <w:t>4</w:t>
            </w:r>
            <w:r w:rsidRPr="004157F3">
              <w:rPr>
                <w:rFonts w:ascii="Arial Narrow" w:hAnsi="Arial Narrow"/>
                <w:sz w:val="18"/>
                <w:szCs w:val="18"/>
              </w:rPr>
              <w:t xml:space="preserve"> weeks</w:t>
            </w:r>
          </w:p>
          <w:p w14:paraId="409BDD2C" w14:textId="77777777" w:rsidR="0088486E" w:rsidRPr="004157F3" w:rsidRDefault="0088486E" w:rsidP="0055459F">
            <w:pPr>
              <w:rPr>
                <w:rFonts w:ascii="Arial Narrow" w:hAnsi="Arial Narrow"/>
                <w:sz w:val="18"/>
                <w:szCs w:val="18"/>
              </w:rPr>
            </w:pPr>
          </w:p>
        </w:tc>
        <w:tc>
          <w:tcPr>
            <w:tcW w:w="3827" w:type="dxa"/>
          </w:tcPr>
          <w:p w14:paraId="3680AD43" w14:textId="1A1B91CC" w:rsidR="0088486E" w:rsidRPr="004157F3" w:rsidRDefault="0088486E" w:rsidP="00140129">
            <w:pPr>
              <w:pStyle w:val="ListParagraph"/>
              <w:numPr>
                <w:ilvl w:val="0"/>
                <w:numId w:val="3"/>
              </w:numPr>
              <w:ind w:left="317" w:hanging="283"/>
              <w:jc w:val="both"/>
              <w:rPr>
                <w:rFonts w:ascii="Arial Narrow" w:hAnsi="Arial Narrow"/>
                <w:sz w:val="18"/>
                <w:szCs w:val="18"/>
              </w:rPr>
            </w:pPr>
            <w:r w:rsidRPr="004157F3">
              <w:rPr>
                <w:rFonts w:ascii="Arial Narrow" w:hAnsi="Arial Narrow"/>
                <w:sz w:val="18"/>
                <w:szCs w:val="18"/>
              </w:rPr>
              <w:t xml:space="preserve">RCT with less than </w:t>
            </w:r>
            <w:r w:rsidR="004157F3" w:rsidRPr="004157F3">
              <w:rPr>
                <w:rFonts w:ascii="Arial Narrow" w:hAnsi="Arial Narrow"/>
                <w:sz w:val="18"/>
                <w:szCs w:val="18"/>
              </w:rPr>
              <w:t>4</w:t>
            </w:r>
            <w:r w:rsidR="004157F3">
              <w:rPr>
                <w:rFonts w:ascii="Arial Narrow" w:hAnsi="Arial Narrow"/>
                <w:sz w:val="18"/>
                <w:szCs w:val="18"/>
              </w:rPr>
              <w:t xml:space="preserve"> weeks treatment duration</w:t>
            </w:r>
            <w:r w:rsidRPr="004157F3">
              <w:rPr>
                <w:rFonts w:ascii="Arial Narrow" w:hAnsi="Arial Narrow"/>
                <w:sz w:val="18"/>
                <w:szCs w:val="18"/>
              </w:rPr>
              <w:t xml:space="preserve"> </w:t>
            </w:r>
          </w:p>
          <w:p w14:paraId="0183C533" w14:textId="2EB4EE3E" w:rsidR="0088486E" w:rsidRPr="004157F3" w:rsidRDefault="0088486E" w:rsidP="004157F3">
            <w:pPr>
              <w:pStyle w:val="ListParagraph"/>
              <w:ind w:left="317"/>
              <w:jc w:val="both"/>
              <w:rPr>
                <w:rFonts w:ascii="Arial Narrow" w:hAnsi="Arial Narrow"/>
                <w:sz w:val="18"/>
                <w:szCs w:val="18"/>
              </w:rPr>
            </w:pPr>
          </w:p>
        </w:tc>
      </w:tr>
      <w:tr w:rsidR="0088486E" w:rsidRPr="0088486E" w14:paraId="54767747" w14:textId="77777777" w:rsidTr="000F489B">
        <w:tc>
          <w:tcPr>
            <w:tcW w:w="1155" w:type="dxa"/>
          </w:tcPr>
          <w:p w14:paraId="6BAF4E4A" w14:textId="77777777" w:rsidR="0088486E" w:rsidRPr="0088486E" w:rsidRDefault="0088486E" w:rsidP="0055459F">
            <w:pPr>
              <w:rPr>
                <w:rFonts w:ascii="Arial Narrow" w:hAnsi="Arial Narrow"/>
                <w:b/>
                <w:sz w:val="20"/>
                <w:szCs w:val="20"/>
              </w:rPr>
            </w:pPr>
            <w:r w:rsidRPr="0088486E">
              <w:rPr>
                <w:rFonts w:ascii="Arial Narrow" w:hAnsi="Arial Narrow"/>
                <w:b/>
                <w:sz w:val="20"/>
                <w:szCs w:val="20"/>
              </w:rPr>
              <w:t xml:space="preserve">Others </w:t>
            </w:r>
          </w:p>
        </w:tc>
        <w:tc>
          <w:tcPr>
            <w:tcW w:w="4232" w:type="dxa"/>
          </w:tcPr>
          <w:p w14:paraId="3F5B6EA9" w14:textId="77777777" w:rsidR="0088486E" w:rsidRPr="004157F3" w:rsidRDefault="0088486E" w:rsidP="0055459F">
            <w:pPr>
              <w:rPr>
                <w:rFonts w:ascii="Arial Narrow" w:hAnsi="Arial Narrow"/>
                <w:sz w:val="18"/>
                <w:szCs w:val="18"/>
              </w:rPr>
            </w:pPr>
            <w:r w:rsidRPr="004157F3">
              <w:rPr>
                <w:rFonts w:ascii="Arial Narrow" w:hAnsi="Arial Narrow"/>
                <w:sz w:val="18"/>
                <w:szCs w:val="18"/>
              </w:rPr>
              <w:t>-</w:t>
            </w:r>
          </w:p>
        </w:tc>
        <w:tc>
          <w:tcPr>
            <w:tcW w:w="3827" w:type="dxa"/>
          </w:tcPr>
          <w:p w14:paraId="31B113F3" w14:textId="77777777" w:rsidR="0088486E" w:rsidRPr="004157F3" w:rsidRDefault="0088486E" w:rsidP="00140129">
            <w:pPr>
              <w:pStyle w:val="ListParagraph"/>
              <w:numPr>
                <w:ilvl w:val="0"/>
                <w:numId w:val="3"/>
              </w:numPr>
              <w:ind w:left="317" w:hanging="283"/>
              <w:jc w:val="both"/>
              <w:rPr>
                <w:rFonts w:ascii="Arial Narrow" w:hAnsi="Arial Narrow"/>
                <w:sz w:val="18"/>
                <w:szCs w:val="18"/>
              </w:rPr>
            </w:pPr>
            <w:r w:rsidRPr="004157F3">
              <w:rPr>
                <w:rFonts w:ascii="Arial Narrow" w:hAnsi="Arial Narrow"/>
                <w:sz w:val="18"/>
                <w:szCs w:val="18"/>
              </w:rPr>
              <w:t xml:space="preserve">Biochemistry, chemistry studies; </w:t>
            </w:r>
          </w:p>
          <w:p w14:paraId="715720D9" w14:textId="77777777" w:rsidR="0088486E" w:rsidRPr="004157F3" w:rsidRDefault="0088486E" w:rsidP="00140129">
            <w:pPr>
              <w:pStyle w:val="ListParagraph"/>
              <w:numPr>
                <w:ilvl w:val="0"/>
                <w:numId w:val="3"/>
              </w:numPr>
              <w:ind w:left="317" w:hanging="283"/>
              <w:jc w:val="both"/>
              <w:rPr>
                <w:rFonts w:ascii="Arial Narrow" w:hAnsi="Arial Narrow"/>
                <w:sz w:val="18"/>
                <w:szCs w:val="18"/>
              </w:rPr>
            </w:pPr>
            <w:r w:rsidRPr="004157F3">
              <w:rPr>
                <w:rFonts w:ascii="Arial Narrow" w:hAnsi="Arial Narrow"/>
                <w:sz w:val="18"/>
                <w:szCs w:val="18"/>
              </w:rPr>
              <w:t xml:space="preserve">preclinical animal studies, pharmacology studies; phase I and II pharmacokinetic and pharmacodynamics studies, clinical pharmacology, dose finding studies; </w:t>
            </w:r>
          </w:p>
          <w:p w14:paraId="3694214A" w14:textId="77777777" w:rsidR="0088486E" w:rsidRPr="004157F3" w:rsidRDefault="0088486E" w:rsidP="00140129">
            <w:pPr>
              <w:pStyle w:val="ListParagraph"/>
              <w:numPr>
                <w:ilvl w:val="0"/>
                <w:numId w:val="3"/>
              </w:numPr>
              <w:ind w:left="317" w:hanging="283"/>
              <w:jc w:val="both"/>
              <w:rPr>
                <w:rFonts w:ascii="Arial Narrow" w:hAnsi="Arial Narrow"/>
                <w:sz w:val="18"/>
                <w:szCs w:val="18"/>
              </w:rPr>
            </w:pPr>
            <w:r w:rsidRPr="004157F3">
              <w:rPr>
                <w:rFonts w:ascii="Arial Narrow" w:hAnsi="Arial Narrow"/>
                <w:sz w:val="18"/>
                <w:szCs w:val="18"/>
              </w:rPr>
              <w:t xml:space="preserve">register of new chemical entities under investigational use; </w:t>
            </w:r>
          </w:p>
          <w:p w14:paraId="6BCDE27B" w14:textId="77777777" w:rsidR="0088486E" w:rsidRPr="004157F3" w:rsidRDefault="0088486E" w:rsidP="00140129">
            <w:pPr>
              <w:pStyle w:val="ListParagraph"/>
              <w:numPr>
                <w:ilvl w:val="0"/>
                <w:numId w:val="3"/>
              </w:numPr>
              <w:ind w:left="317" w:hanging="283"/>
              <w:jc w:val="both"/>
              <w:rPr>
                <w:rFonts w:ascii="Arial Narrow" w:hAnsi="Arial Narrow"/>
                <w:sz w:val="18"/>
                <w:szCs w:val="18"/>
              </w:rPr>
            </w:pPr>
            <w:r w:rsidRPr="004157F3">
              <w:rPr>
                <w:rFonts w:ascii="Arial Narrow" w:hAnsi="Arial Narrow"/>
                <w:sz w:val="18"/>
                <w:szCs w:val="18"/>
              </w:rPr>
              <w:t>industry news/drug discovery/new developments</w:t>
            </w:r>
          </w:p>
        </w:tc>
      </w:tr>
    </w:tbl>
    <w:p w14:paraId="5FCABC87" w14:textId="6D23127A" w:rsidR="0088486E" w:rsidRPr="009F7E55" w:rsidRDefault="009F7E55" w:rsidP="00150354">
      <w:pPr>
        <w:rPr>
          <w:sz w:val="18"/>
          <w:szCs w:val="18"/>
        </w:rPr>
      </w:pPr>
      <w:r w:rsidRPr="009F7E55">
        <w:rPr>
          <w:sz w:val="18"/>
          <w:szCs w:val="18"/>
        </w:rPr>
        <w:t xml:space="preserve">* </w:t>
      </w:r>
      <w:r w:rsidR="004157F3" w:rsidRPr="002814C5">
        <w:rPr>
          <w:sz w:val="18"/>
          <w:szCs w:val="18"/>
        </w:rPr>
        <w:t>NVDPA</w:t>
      </w:r>
      <w:r w:rsidR="004157F3">
        <w:rPr>
          <w:sz w:val="18"/>
          <w:szCs w:val="18"/>
        </w:rPr>
        <w:t xml:space="preserve"> </w:t>
      </w:r>
      <w:r w:rsidR="004157F3" w:rsidRPr="002814C5">
        <w:rPr>
          <w:sz w:val="18"/>
          <w:szCs w:val="18"/>
        </w:rPr>
        <w:t>=</w:t>
      </w:r>
      <w:r w:rsidR="004157F3">
        <w:rPr>
          <w:sz w:val="18"/>
          <w:szCs w:val="18"/>
        </w:rPr>
        <w:t xml:space="preserve"> </w:t>
      </w:r>
      <w:r w:rsidR="004157F3" w:rsidRPr="002814C5">
        <w:rPr>
          <w:sz w:val="18"/>
          <w:szCs w:val="18"/>
        </w:rPr>
        <w:t>National Vascular Disease Prevention Alliance; NHF=National Heart Foundation;</w:t>
      </w:r>
      <w:r w:rsidR="004157F3">
        <w:rPr>
          <w:sz w:val="18"/>
          <w:szCs w:val="18"/>
        </w:rPr>
        <w:t xml:space="preserve"> CHD=coronary heart disease</w:t>
      </w:r>
    </w:p>
    <w:p w14:paraId="304DC9E2" w14:textId="4D23D5B5" w:rsidR="0020643F" w:rsidRDefault="004C1653" w:rsidP="00150354">
      <w:pPr>
        <w:sectPr w:rsidR="0020643F" w:rsidSect="004A2C03">
          <w:footerReference w:type="default" r:id="rId12"/>
          <w:endnotePr>
            <w:numFmt w:val="decimal"/>
          </w:endnotePr>
          <w:pgSz w:w="11906" w:h="16838"/>
          <w:pgMar w:top="1440" w:right="1133" w:bottom="1440" w:left="1440" w:header="708" w:footer="708" w:gutter="0"/>
          <w:pgNumType w:start="0"/>
          <w:cols w:space="708"/>
          <w:titlePg/>
          <w:docGrid w:linePitch="360"/>
        </w:sectPr>
      </w:pPr>
      <w:r>
        <w:t xml:space="preserve">A </w:t>
      </w:r>
      <w:r w:rsidR="00150354">
        <w:t xml:space="preserve">PRISMA flowchart </w:t>
      </w:r>
      <w:r w:rsidR="00150354" w:rsidRPr="006B45CB">
        <w:t>(Figure 2.2.1)</w:t>
      </w:r>
      <w:r w:rsidR="00150354">
        <w:t xml:space="preserve"> present</w:t>
      </w:r>
      <w:r>
        <w:t>s</w:t>
      </w:r>
      <w:r w:rsidR="00150354">
        <w:t xml:space="preserve"> the number of papers </w:t>
      </w:r>
      <w:r>
        <w:t>processed</w:t>
      </w:r>
      <w:r w:rsidR="00150354">
        <w:t xml:space="preserve"> at each stage of study selection</w:t>
      </w:r>
      <w:r w:rsidR="00A9681C">
        <w:t xml:space="preserve"> </w:t>
      </w:r>
      <w:r>
        <w:t>and the reasons for exclusions</w:t>
      </w:r>
      <w:r w:rsidR="00150354">
        <w:t xml:space="preserve">. </w:t>
      </w:r>
    </w:p>
    <w:p w14:paraId="5213E085" w14:textId="04D6F664" w:rsidR="0020643F" w:rsidRPr="0083333B" w:rsidRDefault="0020643F" w:rsidP="0020643F">
      <w:pPr>
        <w:pStyle w:val="Caption"/>
        <w:ind w:left="0"/>
        <w:rPr>
          <w:sz w:val="24"/>
          <w:szCs w:val="24"/>
        </w:rPr>
      </w:pPr>
      <w:r w:rsidRPr="0083333B">
        <w:rPr>
          <w:sz w:val="24"/>
          <w:szCs w:val="24"/>
        </w:rPr>
        <w:lastRenderedPageBreak/>
        <w:t>Figure 2.2.</w:t>
      </w:r>
      <w:r w:rsidR="00F3449D">
        <w:rPr>
          <w:sz w:val="24"/>
          <w:szCs w:val="24"/>
        </w:rPr>
        <w:t>1</w:t>
      </w:r>
      <w:r w:rsidRPr="0083333B">
        <w:rPr>
          <w:sz w:val="24"/>
          <w:szCs w:val="24"/>
        </w:rPr>
        <w:t xml:space="preserve"> </w:t>
      </w:r>
      <w:r w:rsidRPr="00341082">
        <w:rPr>
          <w:sz w:val="24"/>
          <w:szCs w:val="24"/>
        </w:rPr>
        <w:t>PRISMA flowchart</w:t>
      </w:r>
    </w:p>
    <w:p w14:paraId="06BF37A3" w14:textId="77777777" w:rsidR="0020643F" w:rsidRPr="0020643F" w:rsidRDefault="0020643F" w:rsidP="0020643F">
      <w:pPr>
        <w:rPr>
          <w:lang w:eastAsia="en-AU"/>
        </w:rPr>
      </w:pPr>
    </w:p>
    <w:p w14:paraId="077AA063" w14:textId="025747E0" w:rsidR="00150354" w:rsidRPr="00150354" w:rsidRDefault="00B65308" w:rsidP="00150354">
      <w:r>
        <w:object w:dxaOrig="14763" w:dyaOrig="14175" w14:anchorId="23189D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447.95pt" o:ole="">
            <v:imagedata r:id="rId13" o:title=""/>
          </v:shape>
          <o:OLEObject Type="Embed" ProgID="Visio.Drawing.15" ShapeID="_x0000_i1025" DrawAspect="Content" ObjectID="_1574244822" r:id="rId14"/>
        </w:object>
      </w:r>
    </w:p>
    <w:p w14:paraId="3E9F3A5B" w14:textId="77777777" w:rsidR="009A6F33" w:rsidRDefault="009A6F33" w:rsidP="00E35629">
      <w:pPr>
        <w:pStyle w:val="Heading2"/>
      </w:pPr>
    </w:p>
    <w:p w14:paraId="0667B163" w14:textId="77777777" w:rsidR="00E70ACD" w:rsidRDefault="00F54E61" w:rsidP="00E35629">
      <w:pPr>
        <w:pStyle w:val="Heading2"/>
      </w:pPr>
      <w:bookmarkStart w:id="27" w:name="_Toc467857749"/>
      <w:r>
        <w:t>2.2.2. Annotated search results</w:t>
      </w:r>
      <w:bookmarkEnd w:id="27"/>
    </w:p>
    <w:p w14:paraId="352D1F46" w14:textId="77777777" w:rsidR="0004489B" w:rsidRDefault="0004489B" w:rsidP="004023D5"/>
    <w:p w14:paraId="7A586FA4" w14:textId="22FA93DE" w:rsidR="00B83D6A" w:rsidRDefault="007D1770" w:rsidP="00B83D6A">
      <w:pPr>
        <w:jc w:val="both"/>
      </w:pPr>
      <w:r>
        <w:t>The literature search identified 3</w:t>
      </w:r>
      <w:r w:rsidR="00D21C8B">
        <w:t>10</w:t>
      </w:r>
      <w:r>
        <w:t xml:space="preserve"> full reports that were further assessed for eligibility.</w:t>
      </w:r>
      <w:r w:rsidR="00FC4F1D">
        <w:t xml:space="preserve"> </w:t>
      </w:r>
      <w:r w:rsidR="009E4AA3">
        <w:t xml:space="preserve">208 </w:t>
      </w:r>
      <w:r>
        <w:t xml:space="preserve">publications were </w:t>
      </w:r>
      <w:r w:rsidR="00FC4F1D">
        <w:t xml:space="preserve">excluded as not meeting the selection criteria, </w:t>
      </w:r>
      <w:r>
        <w:t xml:space="preserve">such as </w:t>
      </w:r>
      <w:r w:rsidR="004C485F">
        <w:t xml:space="preserve">the </w:t>
      </w:r>
      <w:r>
        <w:t>wrong comparator, wrong intervention (e.g. the dose was not listed on the PBS),</w:t>
      </w:r>
      <w:r w:rsidR="00FC4F1D">
        <w:t xml:space="preserve"> </w:t>
      </w:r>
      <w:r w:rsidR="00FC4F1D" w:rsidRPr="004C1653">
        <w:rPr>
          <w:i/>
        </w:rPr>
        <w:t>post-hoc</w:t>
      </w:r>
      <w:r w:rsidR="00FC4F1D">
        <w:t xml:space="preserve"> analyses of data from the already identified RCTs</w:t>
      </w:r>
      <w:r w:rsidR="004C485F">
        <w:t xml:space="preserve"> etc</w:t>
      </w:r>
      <w:r>
        <w:t>. A number of trials were excluded</w:t>
      </w:r>
      <w:r w:rsidR="00FC4F1D">
        <w:t xml:space="preserve"> because of the poor quality of reporting. </w:t>
      </w:r>
      <w:r w:rsidR="00B83D6A">
        <w:rPr>
          <w:rFonts w:eastAsiaTheme="minorHAnsi"/>
          <w:lang w:eastAsia="en-US"/>
        </w:rPr>
        <w:t>An additional search of Clinical Trial Registry identified three Korean studies (NCT00166504, NCT00496730, NCT00442897) examining the ezetimibe add-on therapy. However the full-text of these trial reports were not located for further assessment of their eligibility for the systematic review.</w:t>
      </w:r>
      <w:r w:rsidR="00D21C8B">
        <w:rPr>
          <w:rFonts w:eastAsiaTheme="minorHAnsi"/>
          <w:lang w:eastAsia="en-US"/>
        </w:rPr>
        <w:t xml:space="preserve"> The final update was conducted in October 2016 and identified one recently published meta-analysis.</w:t>
      </w:r>
    </w:p>
    <w:p w14:paraId="3C61F303" w14:textId="49025F64" w:rsidR="00FC4F1D" w:rsidRDefault="007D1770" w:rsidP="004C485F">
      <w:pPr>
        <w:jc w:val="both"/>
        <w:rPr>
          <w:rFonts w:eastAsiaTheme="minorHAnsi"/>
          <w:lang w:eastAsia="en-US"/>
        </w:rPr>
      </w:pPr>
      <w:r>
        <w:lastRenderedPageBreak/>
        <w:t xml:space="preserve">The </w:t>
      </w:r>
      <w:r w:rsidR="004C485F">
        <w:t>final selection consisted of</w:t>
      </w:r>
      <w:r>
        <w:t xml:space="preserve"> 62 publications that correspond to 30 original RCTs that met the selection criteria for </w:t>
      </w:r>
      <w:r w:rsidRPr="0004489B">
        <w:rPr>
          <w:rFonts w:eastAsiaTheme="minorHAnsi"/>
          <w:lang w:eastAsia="en-US"/>
        </w:rPr>
        <w:t>clinical efficacy and safety ezetimibe co-administered with a statin</w:t>
      </w:r>
      <w:r>
        <w:t>.  Four of these RCTs were also used in the assessment of efficacy and safety of ezetimibe monotherapy</w:t>
      </w:r>
      <w:r w:rsidR="00B82D13">
        <w:t>.</w:t>
      </w:r>
      <w:r>
        <w:t xml:space="preserve"> </w:t>
      </w:r>
      <w:r w:rsidR="00FC4F1D">
        <w:t>Five open-label extension studies of the included tria</w:t>
      </w:r>
      <w:r w:rsidR="00C00758">
        <w:t>ls were identified (Ballantyne 2004</w:t>
      </w:r>
      <w:r w:rsidR="00C00758">
        <w:fldChar w:fldCharType="begin"/>
      </w:r>
      <w:r w:rsidR="00C00758">
        <w:instrText xml:space="preserve"> NOTEREF _Ref460670294 \f \h </w:instrText>
      </w:r>
      <w:r w:rsidR="00C00758">
        <w:fldChar w:fldCharType="separate"/>
      </w:r>
      <w:r w:rsidR="00CA6F76" w:rsidRPr="00CA6F76">
        <w:rPr>
          <w:rStyle w:val="EndnoteReference"/>
        </w:rPr>
        <w:t>14</w:t>
      </w:r>
      <w:r w:rsidR="00C00758">
        <w:fldChar w:fldCharType="end"/>
      </w:r>
      <w:r w:rsidR="00C00758">
        <w:t>; Bays</w:t>
      </w:r>
      <w:r w:rsidR="00FC4F1D">
        <w:t xml:space="preserve"> 2008</w:t>
      </w:r>
      <w:bookmarkStart w:id="28" w:name="_Ref460672386"/>
      <w:r w:rsidR="00C00758">
        <w:rPr>
          <w:rStyle w:val="EndnoteReference"/>
        </w:rPr>
        <w:endnoteReference w:id="19"/>
      </w:r>
      <w:bookmarkEnd w:id="28"/>
      <w:r w:rsidR="00C00758">
        <w:t xml:space="preserve">; Masana </w:t>
      </w:r>
      <w:r w:rsidR="00FC4F1D">
        <w:t>2005</w:t>
      </w:r>
      <w:bookmarkStart w:id="29" w:name="_Ref460762278"/>
      <w:r w:rsidR="00C00758">
        <w:rPr>
          <w:rStyle w:val="EndnoteReference"/>
        </w:rPr>
        <w:endnoteReference w:id="20"/>
      </w:r>
      <w:bookmarkEnd w:id="29"/>
      <w:r w:rsidR="00C00758">
        <w:t xml:space="preserve">; Ose </w:t>
      </w:r>
      <w:r w:rsidR="00FC4F1D">
        <w:t>2007</w:t>
      </w:r>
      <w:r w:rsidR="00D87071">
        <w:rPr>
          <w:rStyle w:val="EndnoteReference"/>
        </w:rPr>
        <w:endnoteReference w:id="21"/>
      </w:r>
      <w:r w:rsidR="00D87071">
        <w:t xml:space="preserve">; Strony </w:t>
      </w:r>
      <w:r w:rsidR="00FC4F1D">
        <w:t>2008</w:t>
      </w:r>
      <w:r w:rsidR="00D87071">
        <w:rPr>
          <w:rStyle w:val="EndnoteReference"/>
        </w:rPr>
        <w:endnoteReference w:id="22"/>
      </w:r>
      <w:r w:rsidR="00FC4F1D">
        <w:t>) but were subsequently excluded due to inadequate reporting of the outcomes (no long-term patient outcome</w:t>
      </w:r>
      <w:r w:rsidR="00F301C5">
        <w:t>s</w:t>
      </w:r>
      <w:r w:rsidR="00FC4F1D">
        <w:t xml:space="preserve"> and no bas</w:t>
      </w:r>
      <w:r w:rsidR="00F301C5">
        <w:t>eline data</w:t>
      </w:r>
      <w:r w:rsidR="00FC4F1D">
        <w:t xml:space="preserve"> for comparison of the surrogate outcomes). Table 2.2.4.1 in Section 2.2.4 below shows the master list of the RCTs of </w:t>
      </w:r>
      <w:r w:rsidR="00FC4F1D" w:rsidRPr="0004489B">
        <w:rPr>
          <w:rFonts w:eastAsiaTheme="minorHAnsi"/>
          <w:lang w:eastAsia="en-US"/>
        </w:rPr>
        <w:t>ezetimibe co-administered with a statin</w:t>
      </w:r>
      <w:r w:rsidR="00FC4F1D">
        <w:rPr>
          <w:rFonts w:eastAsiaTheme="minorHAnsi"/>
          <w:lang w:eastAsia="en-US"/>
        </w:rPr>
        <w:t xml:space="preserve"> vs placebo added to a statin (equivalent to statin monotherapy).</w:t>
      </w:r>
    </w:p>
    <w:p w14:paraId="2C67CA13" w14:textId="1AD021F7" w:rsidR="004D0A2F" w:rsidRPr="00B83D6A" w:rsidRDefault="00FC4F1D" w:rsidP="000C43DD">
      <w:pPr>
        <w:jc w:val="both"/>
        <w:rPr>
          <w:rFonts w:eastAsiaTheme="minorHAnsi"/>
          <w:lang w:eastAsia="en-US"/>
        </w:rPr>
      </w:pPr>
      <w:r>
        <w:t>The literature search identified 1</w:t>
      </w:r>
      <w:r w:rsidR="009E4AA3">
        <w:t>8</w:t>
      </w:r>
      <w:r>
        <w:t xml:space="preserve"> publications that assessed </w:t>
      </w:r>
      <w:r w:rsidRPr="0004489B">
        <w:rPr>
          <w:rFonts w:eastAsiaTheme="minorHAnsi"/>
          <w:lang w:eastAsia="en-US"/>
        </w:rPr>
        <w:t xml:space="preserve">clinical efficacy and safety </w:t>
      </w:r>
      <w:r>
        <w:rPr>
          <w:rFonts w:eastAsiaTheme="minorHAnsi"/>
          <w:lang w:eastAsia="en-US"/>
        </w:rPr>
        <w:t xml:space="preserve">of </w:t>
      </w:r>
      <w:r w:rsidRPr="0004489B">
        <w:rPr>
          <w:rFonts w:eastAsiaTheme="minorHAnsi"/>
          <w:lang w:eastAsia="en-US"/>
        </w:rPr>
        <w:t>ezetimibe monotherapy</w:t>
      </w:r>
      <w:r>
        <w:rPr>
          <w:rFonts w:eastAsiaTheme="minorHAnsi"/>
          <w:lang w:eastAsia="en-US"/>
        </w:rPr>
        <w:t xml:space="preserve">, including </w:t>
      </w:r>
      <w:r w:rsidR="00B82D13">
        <w:rPr>
          <w:rFonts w:eastAsiaTheme="minorHAnsi"/>
          <w:lang w:eastAsia="en-US"/>
        </w:rPr>
        <w:t xml:space="preserve">four </w:t>
      </w:r>
      <w:r>
        <w:rPr>
          <w:rFonts w:eastAsiaTheme="minorHAnsi"/>
          <w:lang w:eastAsia="en-US"/>
        </w:rPr>
        <w:t>publications that assessed ezetimibe as monotherapy in one of the arms, while</w:t>
      </w:r>
      <w:r w:rsidRPr="0004489B">
        <w:rPr>
          <w:rFonts w:eastAsiaTheme="minorHAnsi"/>
          <w:lang w:eastAsia="en-US"/>
        </w:rPr>
        <w:t xml:space="preserve"> ezetimibe </w:t>
      </w:r>
      <w:r>
        <w:rPr>
          <w:rFonts w:eastAsiaTheme="minorHAnsi"/>
          <w:lang w:eastAsia="en-US"/>
        </w:rPr>
        <w:t xml:space="preserve">was </w:t>
      </w:r>
      <w:r w:rsidRPr="0004489B">
        <w:rPr>
          <w:rFonts w:eastAsiaTheme="minorHAnsi"/>
          <w:lang w:eastAsia="en-US"/>
        </w:rPr>
        <w:t>co-administered with a statin</w:t>
      </w:r>
      <w:r>
        <w:rPr>
          <w:rFonts w:eastAsiaTheme="minorHAnsi"/>
          <w:lang w:eastAsia="en-US"/>
        </w:rPr>
        <w:t xml:space="preserve"> in other arms of these trials. </w:t>
      </w:r>
      <w:r w:rsidR="009E4AA3">
        <w:rPr>
          <w:rFonts w:eastAsiaTheme="minorHAnsi"/>
          <w:lang w:eastAsia="en-US"/>
        </w:rPr>
        <w:t xml:space="preserve">Nine </w:t>
      </w:r>
      <w:r>
        <w:rPr>
          <w:rFonts w:eastAsiaTheme="minorHAnsi"/>
          <w:lang w:eastAsia="en-US"/>
        </w:rPr>
        <w:t xml:space="preserve">of the </w:t>
      </w:r>
      <w:r>
        <w:t xml:space="preserve">identified </w:t>
      </w:r>
      <w:r w:rsidR="009E4AA3">
        <w:t xml:space="preserve">18 </w:t>
      </w:r>
      <w:r>
        <w:t xml:space="preserve">publications </w:t>
      </w:r>
      <w:r>
        <w:rPr>
          <w:rFonts w:eastAsiaTheme="minorHAnsi"/>
          <w:lang w:eastAsia="en-US"/>
        </w:rPr>
        <w:t xml:space="preserve">met </w:t>
      </w:r>
      <w:r>
        <w:t>the selection criteria. Other studies were excluded because of insufficient reporting of the measure of variation around the endpoints.  Table 2.2.4.</w:t>
      </w:r>
      <w:r w:rsidR="009E4AA3">
        <w:t>1</w:t>
      </w:r>
      <w:r>
        <w:t xml:space="preserve"> in Section 2.2.4 below shows the master list of the RCTs of </w:t>
      </w:r>
      <w:r w:rsidRPr="0004489B">
        <w:rPr>
          <w:rFonts w:eastAsiaTheme="minorHAnsi"/>
          <w:lang w:eastAsia="en-US"/>
        </w:rPr>
        <w:t>ezetimibe</w:t>
      </w:r>
      <w:r>
        <w:rPr>
          <w:rFonts w:eastAsiaTheme="minorHAnsi"/>
          <w:lang w:eastAsia="en-US"/>
        </w:rPr>
        <w:t xml:space="preserve"> as monotherapy.</w:t>
      </w:r>
    </w:p>
    <w:p w14:paraId="2A0FD4C2" w14:textId="13209617" w:rsidR="00FC4F1D" w:rsidRDefault="00FC4F1D" w:rsidP="004023D5">
      <w:r w:rsidRPr="000A4940">
        <w:t xml:space="preserve">Table </w:t>
      </w:r>
      <w:r w:rsidR="000C43DD" w:rsidRPr="000A4940">
        <w:t>A2.1</w:t>
      </w:r>
      <w:r w:rsidRPr="000A4940">
        <w:t xml:space="preserve"> in Appendix</w:t>
      </w:r>
      <w:r w:rsidR="000C43DD" w:rsidRPr="000A4940">
        <w:t xml:space="preserve"> 2</w:t>
      </w:r>
      <w:r w:rsidRPr="000A4940">
        <w:t xml:space="preserve"> lists</w:t>
      </w:r>
      <w:r>
        <w:t xml:space="preserve"> the excluded </w:t>
      </w:r>
      <w:r w:rsidR="000C43DD">
        <w:t>published reports of the identified RCTs</w:t>
      </w:r>
      <w:r>
        <w:t xml:space="preserve"> with reasons.</w:t>
      </w:r>
    </w:p>
    <w:p w14:paraId="280619AF" w14:textId="4793E74B" w:rsidR="0004489B" w:rsidRPr="0004489B" w:rsidRDefault="0004489B" w:rsidP="0004489B">
      <w:pPr>
        <w:jc w:val="both"/>
        <w:rPr>
          <w:rFonts w:eastAsiaTheme="minorHAnsi"/>
          <w:lang w:eastAsia="en-US"/>
        </w:rPr>
      </w:pPr>
      <w:r w:rsidRPr="0004489B">
        <w:rPr>
          <w:rFonts w:eastAsiaTheme="minorHAnsi"/>
          <w:lang w:eastAsia="en-US"/>
        </w:rPr>
        <w:t xml:space="preserve">A </w:t>
      </w:r>
      <w:r w:rsidR="00FC4F1D">
        <w:rPr>
          <w:rFonts w:eastAsiaTheme="minorHAnsi"/>
          <w:lang w:eastAsia="en-US"/>
        </w:rPr>
        <w:t xml:space="preserve">separate </w:t>
      </w:r>
      <w:r w:rsidRPr="0004489B">
        <w:rPr>
          <w:rFonts w:eastAsiaTheme="minorHAnsi"/>
          <w:lang w:eastAsia="en-US"/>
        </w:rPr>
        <w:t>systematic literature search was conducted to identify systematic reviews that assessed clinical efficacy and safety of ezetimibe monotherapy or ezetimibe co-administered with a statin therapy in treatment of hypercholesterolaemia. Systematic reviews were included if they analysed final patient outcomes and/or surrogate outcomes reported in randomised, controlled trials (RCTs) and open-label extensions that documented the final outcomes and/or adverse events.</w:t>
      </w:r>
    </w:p>
    <w:p w14:paraId="0D141370" w14:textId="6566D48F" w:rsidR="0004489B" w:rsidRDefault="0004489B" w:rsidP="0004489B">
      <w:pPr>
        <w:jc w:val="both"/>
        <w:rPr>
          <w:rFonts w:eastAsiaTheme="minorHAnsi"/>
          <w:lang w:eastAsia="en-US"/>
        </w:rPr>
      </w:pPr>
      <w:r w:rsidRPr="0004489B">
        <w:rPr>
          <w:rFonts w:eastAsiaTheme="minorHAnsi"/>
          <w:lang w:eastAsia="en-US"/>
        </w:rPr>
        <w:t>We identif</w:t>
      </w:r>
      <w:r w:rsidR="00D21C8B">
        <w:rPr>
          <w:rFonts w:eastAsiaTheme="minorHAnsi"/>
          <w:lang w:eastAsia="en-US"/>
        </w:rPr>
        <w:t>ied 15</w:t>
      </w:r>
      <w:r w:rsidR="00E31DB7">
        <w:rPr>
          <w:rFonts w:eastAsiaTheme="minorHAnsi"/>
          <w:lang w:eastAsia="en-US"/>
        </w:rPr>
        <w:t xml:space="preserve"> publications (AHRQ 2009=</w:t>
      </w:r>
      <w:r w:rsidRPr="0004489B">
        <w:rPr>
          <w:rFonts w:eastAsiaTheme="minorHAnsi"/>
          <w:lang w:eastAsia="en-US"/>
        </w:rPr>
        <w:t>Sharma 2009</w:t>
      </w:r>
      <w:r w:rsidR="00D87071">
        <w:rPr>
          <w:rFonts w:eastAsiaTheme="minorHAnsi"/>
          <w:lang w:eastAsia="en-US"/>
        </w:rPr>
        <w:t>a</w:t>
      </w:r>
      <w:bookmarkStart w:id="30" w:name="_Ref460672156"/>
      <w:r w:rsidR="00D87071">
        <w:rPr>
          <w:rStyle w:val="EndnoteReference"/>
          <w:rFonts w:eastAsiaTheme="minorHAnsi"/>
          <w:lang w:eastAsia="en-US"/>
        </w:rPr>
        <w:endnoteReference w:id="23"/>
      </w:r>
      <w:bookmarkEnd w:id="30"/>
      <w:r w:rsidR="00E31DB7">
        <w:rPr>
          <w:rFonts w:eastAsiaTheme="minorHAnsi"/>
          <w:lang w:eastAsia="en-US"/>
        </w:rPr>
        <w:t xml:space="preserve"> &amp;</w:t>
      </w:r>
      <w:r w:rsidR="00D87071">
        <w:rPr>
          <w:rFonts w:eastAsiaTheme="minorHAnsi"/>
          <w:lang w:eastAsia="en-US"/>
        </w:rPr>
        <w:t>Sharma 2009b</w:t>
      </w:r>
      <w:r w:rsidR="00D87071">
        <w:rPr>
          <w:rStyle w:val="EndnoteReference"/>
          <w:rFonts w:eastAsiaTheme="minorHAnsi"/>
          <w:lang w:eastAsia="en-US"/>
        </w:rPr>
        <w:endnoteReference w:id="24"/>
      </w:r>
      <w:r w:rsidR="00E31DB7">
        <w:rPr>
          <w:rFonts w:eastAsiaTheme="minorHAnsi"/>
          <w:lang w:eastAsia="en-US"/>
        </w:rPr>
        <w:t>),</w:t>
      </w:r>
      <w:r w:rsidRPr="0004489B">
        <w:rPr>
          <w:rFonts w:eastAsiaTheme="minorHAnsi"/>
          <w:lang w:eastAsia="en-US"/>
        </w:rPr>
        <w:t xml:space="preserve"> AHRQ 2014</w:t>
      </w:r>
      <w:bookmarkStart w:id="31" w:name="_Ref460678680"/>
      <w:r w:rsidR="00E31DB7">
        <w:rPr>
          <w:rStyle w:val="EndnoteReference"/>
          <w:rFonts w:eastAsiaTheme="minorHAnsi"/>
          <w:lang w:eastAsia="en-US"/>
        </w:rPr>
        <w:endnoteReference w:id="25"/>
      </w:r>
      <w:bookmarkEnd w:id="31"/>
      <w:r w:rsidRPr="0004489B">
        <w:rPr>
          <w:rFonts w:eastAsiaTheme="minorHAnsi"/>
          <w:lang w:eastAsia="en-US"/>
        </w:rPr>
        <w:t>; Gudzune, 2014</w:t>
      </w:r>
      <w:bookmarkStart w:id="32" w:name="_Ref460672137"/>
      <w:r w:rsidR="00D87071">
        <w:rPr>
          <w:rStyle w:val="EndnoteReference"/>
          <w:rFonts w:eastAsiaTheme="minorHAnsi"/>
          <w:lang w:eastAsia="en-US"/>
        </w:rPr>
        <w:endnoteReference w:id="26"/>
      </w:r>
      <w:bookmarkEnd w:id="32"/>
      <w:r w:rsidRPr="0004489B">
        <w:rPr>
          <w:rFonts w:eastAsiaTheme="minorHAnsi"/>
          <w:lang w:eastAsia="en-US"/>
        </w:rPr>
        <w:t>; Mikhailidis 2007</w:t>
      </w:r>
      <w:r w:rsidR="00E31DB7">
        <w:rPr>
          <w:rStyle w:val="EndnoteReference"/>
          <w:rFonts w:eastAsiaTheme="minorHAnsi"/>
          <w:lang w:eastAsia="en-US"/>
        </w:rPr>
        <w:endnoteReference w:id="27"/>
      </w:r>
      <w:r w:rsidRPr="0004489B">
        <w:rPr>
          <w:rFonts w:eastAsiaTheme="minorHAnsi"/>
          <w:lang w:eastAsia="en-US"/>
        </w:rPr>
        <w:t>; Mikhailidis 2011</w:t>
      </w:r>
      <w:r w:rsidR="00E31DB7">
        <w:rPr>
          <w:rStyle w:val="EndnoteReference"/>
          <w:rFonts w:eastAsiaTheme="minorHAnsi"/>
          <w:lang w:eastAsia="en-US"/>
        </w:rPr>
        <w:endnoteReference w:id="28"/>
      </w:r>
      <w:r w:rsidRPr="0004489B">
        <w:rPr>
          <w:rFonts w:eastAsiaTheme="minorHAnsi"/>
          <w:lang w:eastAsia="en-US"/>
        </w:rPr>
        <w:t>; Tunceli 2010</w:t>
      </w:r>
      <w:r w:rsidR="00E31DB7">
        <w:rPr>
          <w:rStyle w:val="EndnoteReference"/>
          <w:rFonts w:eastAsiaTheme="minorHAnsi"/>
          <w:lang w:eastAsia="en-US"/>
        </w:rPr>
        <w:endnoteReference w:id="29"/>
      </w:r>
      <w:r w:rsidRPr="0004489B">
        <w:rPr>
          <w:rFonts w:eastAsiaTheme="minorHAnsi"/>
          <w:lang w:eastAsia="en-US"/>
        </w:rPr>
        <w:t>; Kashani 2008</w:t>
      </w:r>
      <w:r w:rsidR="00030F52">
        <w:rPr>
          <w:rStyle w:val="EndnoteReference"/>
          <w:rFonts w:eastAsiaTheme="minorHAnsi"/>
          <w:lang w:eastAsia="en-US"/>
        </w:rPr>
        <w:endnoteReference w:id="30"/>
      </w:r>
      <w:r w:rsidRPr="0004489B">
        <w:rPr>
          <w:rFonts w:eastAsiaTheme="minorHAnsi"/>
          <w:lang w:eastAsia="en-US"/>
        </w:rPr>
        <w:t>; Luo 2015</w:t>
      </w:r>
      <w:r w:rsidR="00030F52">
        <w:rPr>
          <w:rStyle w:val="EndnoteReference"/>
          <w:rFonts w:eastAsiaTheme="minorHAnsi"/>
          <w:lang w:eastAsia="en-US"/>
        </w:rPr>
        <w:endnoteReference w:id="31"/>
      </w:r>
      <w:r w:rsidRPr="0004489B">
        <w:rPr>
          <w:rFonts w:eastAsiaTheme="minorHAnsi"/>
          <w:lang w:eastAsia="en-US"/>
        </w:rPr>
        <w:t>; Sando 2015</w:t>
      </w:r>
      <w:bookmarkStart w:id="33" w:name="_Ref460672107"/>
      <w:r w:rsidR="00030F52">
        <w:rPr>
          <w:rStyle w:val="EndnoteReference"/>
          <w:rFonts w:eastAsiaTheme="minorHAnsi"/>
          <w:lang w:eastAsia="en-US"/>
        </w:rPr>
        <w:endnoteReference w:id="32"/>
      </w:r>
      <w:bookmarkEnd w:id="33"/>
      <w:r w:rsidRPr="0004489B">
        <w:rPr>
          <w:rFonts w:eastAsiaTheme="minorHAnsi"/>
          <w:lang w:eastAsia="en-US"/>
        </w:rPr>
        <w:t>; Ijioma 2011</w:t>
      </w:r>
      <w:bookmarkStart w:id="34" w:name="_Ref460672119"/>
      <w:r w:rsidR="00030F52">
        <w:rPr>
          <w:rStyle w:val="EndnoteReference"/>
          <w:rFonts w:eastAsiaTheme="minorHAnsi"/>
          <w:lang w:eastAsia="en-US"/>
        </w:rPr>
        <w:endnoteReference w:id="33"/>
      </w:r>
      <w:bookmarkEnd w:id="34"/>
      <w:r w:rsidRPr="0004489B">
        <w:rPr>
          <w:rFonts w:eastAsiaTheme="minorHAnsi"/>
          <w:lang w:eastAsia="en-US"/>
        </w:rPr>
        <w:t>; HTA 2008</w:t>
      </w:r>
      <w:r w:rsidR="00F678F6">
        <w:rPr>
          <w:rFonts w:eastAsiaTheme="minorHAnsi"/>
          <w:lang w:eastAsia="en-US"/>
        </w:rPr>
        <w:t>=Ara 2008</w:t>
      </w:r>
      <w:bookmarkStart w:id="35" w:name="_Ref460679393"/>
      <w:r w:rsidR="00F678F6">
        <w:rPr>
          <w:rStyle w:val="EndnoteReference"/>
          <w:rFonts w:eastAsiaTheme="minorHAnsi"/>
          <w:lang w:eastAsia="en-US"/>
        </w:rPr>
        <w:endnoteReference w:id="34"/>
      </w:r>
      <w:bookmarkEnd w:id="35"/>
      <w:r w:rsidRPr="0004489B">
        <w:rPr>
          <w:rFonts w:eastAsiaTheme="minorHAnsi"/>
          <w:lang w:eastAsia="en-US"/>
        </w:rPr>
        <w:t>; Pandor 2009</w:t>
      </w:r>
      <w:bookmarkStart w:id="36" w:name="_Ref460681521"/>
      <w:r w:rsidR="00F678F6">
        <w:rPr>
          <w:rStyle w:val="EndnoteReference"/>
          <w:rFonts w:eastAsiaTheme="minorHAnsi"/>
          <w:lang w:eastAsia="en-US"/>
        </w:rPr>
        <w:endnoteReference w:id="35"/>
      </w:r>
      <w:bookmarkEnd w:id="36"/>
      <w:r w:rsidRPr="0004489B">
        <w:rPr>
          <w:rFonts w:eastAsiaTheme="minorHAnsi"/>
          <w:lang w:eastAsia="en-US"/>
        </w:rPr>
        <w:t>; Battagia 2015</w:t>
      </w:r>
      <w:r w:rsidR="00F678F6">
        <w:rPr>
          <w:rStyle w:val="EndnoteReference"/>
          <w:rFonts w:eastAsiaTheme="minorHAnsi"/>
          <w:lang w:eastAsia="en-US"/>
        </w:rPr>
        <w:endnoteReference w:id="36"/>
      </w:r>
      <w:r w:rsidR="00D21C8B">
        <w:rPr>
          <w:rFonts w:eastAsiaTheme="minorHAnsi"/>
          <w:lang w:eastAsia="en-US"/>
        </w:rPr>
        <w:t xml:space="preserve">, </w:t>
      </w:r>
      <w:r w:rsidR="00D21C8B" w:rsidRPr="00D21C8B">
        <w:rPr>
          <w:rFonts w:eastAsiaTheme="minorHAnsi"/>
          <w:lang w:eastAsia="en-US"/>
        </w:rPr>
        <w:t>Silverman</w:t>
      </w:r>
      <w:r w:rsidR="00D21C8B">
        <w:rPr>
          <w:rStyle w:val="EndnoteReference"/>
          <w:rFonts w:eastAsiaTheme="minorHAnsi"/>
          <w:lang w:eastAsia="en-US"/>
        </w:rPr>
        <w:endnoteReference w:id="37"/>
      </w:r>
      <w:r w:rsidR="00D21C8B">
        <w:rPr>
          <w:rFonts w:eastAsiaTheme="minorHAnsi"/>
          <w:lang w:eastAsia="en-US"/>
        </w:rPr>
        <w:t>) representing 12</w:t>
      </w:r>
      <w:r w:rsidRPr="0004489B">
        <w:rPr>
          <w:rFonts w:eastAsiaTheme="minorHAnsi"/>
          <w:lang w:eastAsia="en-US"/>
        </w:rPr>
        <w:t xml:space="preserve"> original systematic reviews  that met the selection criteria. In addition, an independent assessment (HTA 2015) of the 2015 Merck and Co ezetimibe submission to the UK National Institute for Health and Clinical Excellence (NICE) was located on the Internet.  </w:t>
      </w:r>
      <w:r w:rsidR="00593175">
        <w:rPr>
          <w:rFonts w:eastAsiaTheme="minorHAnsi"/>
          <w:lang w:eastAsia="en-US"/>
        </w:rPr>
        <w:t xml:space="preserve">These are described in </w:t>
      </w:r>
      <w:r w:rsidR="008A5E64">
        <w:rPr>
          <w:rFonts w:eastAsiaTheme="minorHAnsi"/>
          <w:lang w:eastAsia="en-US"/>
        </w:rPr>
        <w:t xml:space="preserve">Section </w:t>
      </w:r>
      <w:r w:rsidR="00593175">
        <w:rPr>
          <w:rFonts w:eastAsiaTheme="minorHAnsi"/>
          <w:lang w:eastAsia="en-US"/>
        </w:rPr>
        <w:t>2.2.3.</w:t>
      </w:r>
    </w:p>
    <w:p w14:paraId="3DB3CEF5" w14:textId="77777777" w:rsidR="00F3449D" w:rsidRPr="0004489B" w:rsidRDefault="00F3449D" w:rsidP="0004489B">
      <w:pPr>
        <w:jc w:val="both"/>
        <w:rPr>
          <w:rFonts w:eastAsiaTheme="minorHAnsi"/>
          <w:lang w:eastAsia="en-US"/>
        </w:rPr>
      </w:pPr>
    </w:p>
    <w:p w14:paraId="2DFDCABC" w14:textId="22FA69EA" w:rsidR="0004489B" w:rsidRDefault="00E35629" w:rsidP="0004489B">
      <w:pPr>
        <w:pStyle w:val="Heading2"/>
      </w:pPr>
      <w:bookmarkStart w:id="37" w:name="_Toc467857750"/>
      <w:r>
        <w:t xml:space="preserve">2.2.3. </w:t>
      </w:r>
      <w:r w:rsidR="0004489B" w:rsidRPr="0004489B">
        <w:t>Systematic reviews of clinical efficacy and safety of ezetimibe monotherapy and ezetimibe in combination with a statin</w:t>
      </w:r>
      <w:bookmarkEnd w:id="37"/>
    </w:p>
    <w:p w14:paraId="7DFECF09" w14:textId="1307D186" w:rsidR="00F809F6" w:rsidRDefault="00F809F6" w:rsidP="0004489B">
      <w:pPr>
        <w:pStyle w:val="Heading2"/>
      </w:pPr>
    </w:p>
    <w:p w14:paraId="7E37F497" w14:textId="082A8CDC" w:rsidR="004719AC" w:rsidRDefault="004719AC" w:rsidP="0012280B">
      <w:pPr>
        <w:jc w:val="both"/>
        <w:rPr>
          <w:rFonts w:eastAsiaTheme="minorHAnsi"/>
          <w:lang w:eastAsia="en-US"/>
        </w:rPr>
      </w:pPr>
      <w:r w:rsidRPr="0004489B">
        <w:rPr>
          <w:rFonts w:eastAsiaTheme="minorHAnsi"/>
          <w:lang w:eastAsia="en-US"/>
        </w:rPr>
        <w:t xml:space="preserve">Table </w:t>
      </w:r>
      <w:r>
        <w:rPr>
          <w:rFonts w:eastAsiaTheme="minorHAnsi"/>
          <w:lang w:eastAsia="en-US"/>
        </w:rPr>
        <w:t>2.2.3.1</w:t>
      </w:r>
      <w:r w:rsidRPr="0004489B">
        <w:rPr>
          <w:rFonts w:eastAsiaTheme="minorHAnsi"/>
          <w:lang w:eastAsia="en-US"/>
        </w:rPr>
        <w:t xml:space="preserve"> provides the short summary of the identified systematic reviews. For more details</w:t>
      </w:r>
      <w:r w:rsidR="00DD0CD0">
        <w:rPr>
          <w:rFonts w:eastAsiaTheme="minorHAnsi"/>
          <w:lang w:eastAsia="en-US"/>
        </w:rPr>
        <w:t xml:space="preserve"> and results of assessment of the quality of the systematic reviews</w:t>
      </w:r>
      <w:r w:rsidRPr="0004489B">
        <w:rPr>
          <w:rFonts w:eastAsiaTheme="minorHAnsi"/>
          <w:lang w:eastAsia="en-US"/>
        </w:rPr>
        <w:t xml:space="preserve"> refer to </w:t>
      </w:r>
      <w:r w:rsidRPr="000A4940">
        <w:rPr>
          <w:rFonts w:eastAsiaTheme="minorHAnsi"/>
          <w:lang w:eastAsia="en-US"/>
        </w:rPr>
        <w:t>Appendix</w:t>
      </w:r>
      <w:r w:rsidR="00DD0CD0" w:rsidRPr="000A4940">
        <w:rPr>
          <w:rFonts w:eastAsiaTheme="minorHAnsi"/>
          <w:lang w:eastAsia="en-US"/>
        </w:rPr>
        <w:t xml:space="preserve"> 3</w:t>
      </w:r>
      <w:r w:rsidRPr="000A4940">
        <w:rPr>
          <w:rFonts w:eastAsiaTheme="minorHAnsi"/>
          <w:lang w:eastAsia="en-US"/>
        </w:rPr>
        <w:t>,</w:t>
      </w:r>
      <w:r w:rsidRPr="0004489B">
        <w:rPr>
          <w:rFonts w:eastAsiaTheme="minorHAnsi"/>
          <w:lang w:eastAsia="en-US"/>
        </w:rPr>
        <w:t xml:space="preserve"> which describes the identified systematic reviews in terms of objectives, population, selection criteria, methods and results. </w:t>
      </w:r>
      <w:r>
        <w:rPr>
          <w:rFonts w:eastAsiaTheme="minorHAnsi"/>
          <w:lang w:eastAsia="en-US"/>
        </w:rPr>
        <w:t xml:space="preserve"> </w:t>
      </w:r>
      <w:r w:rsidRPr="004719AC">
        <w:rPr>
          <w:rFonts w:eastAsiaTheme="minorHAnsi"/>
          <w:lang w:eastAsia="en-US"/>
        </w:rPr>
        <w:t>Assessment of the quality of identified reviews was carried out according to the criteria of the Centr</w:t>
      </w:r>
      <w:r>
        <w:rPr>
          <w:rFonts w:eastAsiaTheme="minorHAnsi"/>
          <w:lang w:eastAsia="en-US"/>
        </w:rPr>
        <w:t xml:space="preserve">e for Review Dissemination (UK). </w:t>
      </w:r>
      <w:r w:rsidRPr="004719AC">
        <w:rPr>
          <w:rFonts w:eastAsiaTheme="minorHAnsi"/>
          <w:lang w:eastAsia="en-US"/>
        </w:rPr>
        <w:t>Most of the identified reviews were of high or good quality. Two of the systematic reviews were assessed as poor quality (Sando 2015</w:t>
      </w:r>
      <w:r w:rsidR="00F678F6">
        <w:rPr>
          <w:rFonts w:eastAsiaTheme="minorHAnsi"/>
          <w:lang w:eastAsia="en-US"/>
        </w:rPr>
        <w:fldChar w:fldCharType="begin"/>
      </w:r>
      <w:r w:rsidR="00F678F6">
        <w:rPr>
          <w:rFonts w:eastAsiaTheme="minorHAnsi"/>
          <w:lang w:eastAsia="en-US"/>
        </w:rPr>
        <w:instrText xml:space="preserve"> NOTEREF _Ref460672107 \f \h </w:instrText>
      </w:r>
      <w:r w:rsidR="00F678F6">
        <w:rPr>
          <w:rFonts w:eastAsiaTheme="minorHAnsi"/>
          <w:lang w:eastAsia="en-US"/>
        </w:rPr>
      </w:r>
      <w:r w:rsidR="00F678F6">
        <w:rPr>
          <w:rFonts w:eastAsiaTheme="minorHAnsi"/>
          <w:lang w:eastAsia="en-US"/>
        </w:rPr>
        <w:fldChar w:fldCharType="separate"/>
      </w:r>
      <w:r w:rsidR="00CA6F76" w:rsidRPr="00CA6F76">
        <w:rPr>
          <w:rStyle w:val="EndnoteReference"/>
        </w:rPr>
        <w:t>32</w:t>
      </w:r>
      <w:r w:rsidR="00F678F6">
        <w:rPr>
          <w:rFonts w:eastAsiaTheme="minorHAnsi"/>
          <w:lang w:eastAsia="en-US"/>
        </w:rPr>
        <w:fldChar w:fldCharType="end"/>
      </w:r>
      <w:r w:rsidRPr="004719AC">
        <w:rPr>
          <w:rFonts w:eastAsiaTheme="minorHAnsi"/>
          <w:lang w:eastAsia="en-US"/>
        </w:rPr>
        <w:t>; Ijioma 2011</w:t>
      </w:r>
      <w:r w:rsidR="00F678F6">
        <w:rPr>
          <w:rFonts w:eastAsiaTheme="minorHAnsi"/>
          <w:lang w:eastAsia="en-US"/>
        </w:rPr>
        <w:fldChar w:fldCharType="begin"/>
      </w:r>
      <w:r w:rsidR="00F678F6">
        <w:rPr>
          <w:rFonts w:eastAsiaTheme="minorHAnsi"/>
          <w:lang w:eastAsia="en-US"/>
        </w:rPr>
        <w:instrText xml:space="preserve"> NOTEREF _Ref460672119 \f \h </w:instrText>
      </w:r>
      <w:r w:rsidR="00F678F6">
        <w:rPr>
          <w:rFonts w:eastAsiaTheme="minorHAnsi"/>
          <w:lang w:eastAsia="en-US"/>
        </w:rPr>
      </w:r>
      <w:r w:rsidR="00F678F6">
        <w:rPr>
          <w:rFonts w:eastAsiaTheme="minorHAnsi"/>
          <w:lang w:eastAsia="en-US"/>
        </w:rPr>
        <w:fldChar w:fldCharType="separate"/>
      </w:r>
      <w:r w:rsidR="00CA6F76" w:rsidRPr="00CA6F76">
        <w:rPr>
          <w:rStyle w:val="EndnoteReference"/>
        </w:rPr>
        <w:t>33</w:t>
      </w:r>
      <w:r w:rsidR="00F678F6">
        <w:rPr>
          <w:rFonts w:eastAsiaTheme="minorHAnsi"/>
          <w:lang w:eastAsia="en-US"/>
        </w:rPr>
        <w:fldChar w:fldCharType="end"/>
      </w:r>
      <w:r w:rsidRPr="004719AC">
        <w:rPr>
          <w:rFonts w:eastAsiaTheme="minorHAnsi"/>
          <w:lang w:eastAsia="en-US"/>
        </w:rPr>
        <w:t xml:space="preserve">) and excluded from further consideration. </w:t>
      </w:r>
    </w:p>
    <w:p w14:paraId="50F03417" w14:textId="00370B4E" w:rsidR="004719AC" w:rsidRDefault="004719AC" w:rsidP="0012280B">
      <w:pPr>
        <w:jc w:val="both"/>
        <w:rPr>
          <w:rFonts w:eastAsiaTheme="minorHAnsi"/>
          <w:lang w:eastAsia="en-US"/>
        </w:rPr>
      </w:pPr>
      <w:r w:rsidRPr="004719AC">
        <w:rPr>
          <w:rFonts w:eastAsiaTheme="minorHAnsi"/>
          <w:lang w:eastAsia="en-US"/>
        </w:rPr>
        <w:t xml:space="preserve">In many instances the strength of evidence was moderate to poor due to a paucity of studies and poor quality of existing studies. In risk of bias assessment the identified trials were frequently downgraded for lack of blinding by participant and study personnel (performance bias), for not reporting the blinding of outcome assessors (detection bias), or for not accounting for losses to follow up or handling of incomplete data (attrition bias). Variance estimates for the between group differences in any outcomes over time was often not reported. In some instances, the studies did not report a mean difference or </w:t>
      </w:r>
      <w:r w:rsidRPr="004719AC">
        <w:rPr>
          <w:rFonts w:eastAsiaTheme="minorHAnsi"/>
          <w:lang w:eastAsia="en-US"/>
        </w:rPr>
        <w:lastRenderedPageBreak/>
        <w:t>point estimate stating only that there was no significant difference between the groups. In addition, some studies did not report an intention-to-treat analysis and others did not specify the number analysed in each arm. Studies often pooled results on adverse effects across arms, which limited the authors’ ability to compare the rates of adverse events in the intervention and comparators arms or with respect to the different doses and potencies of combination and monotherapy. Given the poor quality of reporting and small number of trials some of the identified systematic reviews did not conduct meta-analyses (e.g. all AHRQ reports and subsequent publications). Where meta-analysis was conducted, substantial heterogeneity was present in most cases. The evidence base was also limited due to the short duration of mos</w:t>
      </w:r>
      <w:r>
        <w:rPr>
          <w:rFonts w:eastAsiaTheme="minorHAnsi"/>
          <w:lang w:eastAsia="en-US"/>
        </w:rPr>
        <w:t>t identified trials.</w:t>
      </w:r>
    </w:p>
    <w:p w14:paraId="00A0C6DC" w14:textId="0F700E07" w:rsidR="002F7705" w:rsidRPr="004719AC" w:rsidRDefault="004719AC" w:rsidP="004719AC">
      <w:pPr>
        <w:jc w:val="both"/>
        <w:rPr>
          <w:rFonts w:eastAsiaTheme="minorHAnsi"/>
          <w:lang w:eastAsia="en-US"/>
        </w:rPr>
        <w:sectPr w:rsidR="002F7705" w:rsidRPr="004719AC" w:rsidSect="0016290F">
          <w:endnotePr>
            <w:numFmt w:val="decimal"/>
          </w:endnotePr>
          <w:pgSz w:w="11906" w:h="16838"/>
          <w:pgMar w:top="1440" w:right="1133" w:bottom="1440" w:left="1440" w:header="708" w:footer="708" w:gutter="0"/>
          <w:cols w:space="708"/>
          <w:docGrid w:linePitch="360"/>
        </w:sectPr>
      </w:pPr>
      <w:r w:rsidRPr="004719AC">
        <w:rPr>
          <w:rFonts w:eastAsiaTheme="minorHAnsi"/>
          <w:lang w:eastAsia="en-US"/>
        </w:rPr>
        <w:t>Only the most recent updates of the earlier work are included in the narrative description below, i.e. only results presented in the systematic review by Gudzune 2014</w:t>
      </w:r>
      <w:r w:rsidR="00F678F6">
        <w:rPr>
          <w:rFonts w:eastAsiaTheme="minorHAnsi"/>
          <w:lang w:eastAsia="en-US"/>
        </w:rPr>
        <w:fldChar w:fldCharType="begin"/>
      </w:r>
      <w:r w:rsidR="00F678F6">
        <w:rPr>
          <w:rFonts w:eastAsiaTheme="minorHAnsi"/>
          <w:lang w:eastAsia="en-US"/>
        </w:rPr>
        <w:instrText xml:space="preserve"> NOTEREF _Ref460672137 \f \h </w:instrText>
      </w:r>
      <w:r w:rsidR="00F678F6">
        <w:rPr>
          <w:rFonts w:eastAsiaTheme="minorHAnsi"/>
          <w:lang w:eastAsia="en-US"/>
        </w:rPr>
      </w:r>
      <w:r w:rsidR="00F678F6">
        <w:rPr>
          <w:rFonts w:eastAsiaTheme="minorHAnsi"/>
          <w:lang w:eastAsia="en-US"/>
        </w:rPr>
        <w:fldChar w:fldCharType="separate"/>
      </w:r>
      <w:r w:rsidR="00CA6F76" w:rsidRPr="00CA6F76">
        <w:rPr>
          <w:rStyle w:val="EndnoteReference"/>
        </w:rPr>
        <w:t>26</w:t>
      </w:r>
      <w:r w:rsidR="00F678F6">
        <w:rPr>
          <w:rFonts w:eastAsiaTheme="minorHAnsi"/>
          <w:lang w:eastAsia="en-US"/>
        </w:rPr>
        <w:fldChar w:fldCharType="end"/>
      </w:r>
      <w:r w:rsidRPr="004719AC">
        <w:rPr>
          <w:rFonts w:eastAsiaTheme="minorHAnsi"/>
          <w:lang w:eastAsia="en-US"/>
        </w:rPr>
        <w:t xml:space="preserve"> </w:t>
      </w:r>
      <w:r>
        <w:rPr>
          <w:rFonts w:eastAsiaTheme="minorHAnsi"/>
          <w:lang w:eastAsia="en-US"/>
        </w:rPr>
        <w:t xml:space="preserve">and </w:t>
      </w:r>
      <w:r w:rsidR="00F678F6">
        <w:rPr>
          <w:rFonts w:eastAsiaTheme="minorHAnsi"/>
          <w:lang w:eastAsia="en-US"/>
        </w:rPr>
        <w:t xml:space="preserve">the </w:t>
      </w:r>
      <w:r>
        <w:rPr>
          <w:rFonts w:eastAsiaTheme="minorHAnsi"/>
          <w:lang w:eastAsia="en-US"/>
        </w:rPr>
        <w:t>2014 AHRQ</w:t>
      </w:r>
      <w:r w:rsidR="00F678F6">
        <w:rPr>
          <w:rFonts w:eastAsiaTheme="minorHAnsi"/>
          <w:lang w:eastAsia="en-US"/>
        </w:rPr>
        <w:t xml:space="preserve"> </w:t>
      </w:r>
      <w:r>
        <w:rPr>
          <w:rFonts w:eastAsiaTheme="minorHAnsi"/>
          <w:lang w:eastAsia="en-US"/>
        </w:rPr>
        <w:t>report</w:t>
      </w:r>
      <w:r w:rsidRPr="004719AC">
        <w:rPr>
          <w:rFonts w:eastAsiaTheme="minorHAnsi"/>
          <w:lang w:eastAsia="en-US"/>
        </w:rPr>
        <w:t xml:space="preserve"> that </w:t>
      </w:r>
      <w:r>
        <w:rPr>
          <w:rFonts w:eastAsiaTheme="minorHAnsi"/>
          <w:lang w:eastAsia="en-US"/>
        </w:rPr>
        <w:t>presented</w:t>
      </w:r>
      <w:r w:rsidRPr="004719AC">
        <w:rPr>
          <w:rFonts w:eastAsiaTheme="minorHAnsi"/>
          <w:lang w:eastAsia="en-US"/>
        </w:rPr>
        <w:t xml:space="preserve"> an update of Sharma </w:t>
      </w:r>
      <w:r>
        <w:rPr>
          <w:rFonts w:eastAsiaTheme="minorHAnsi"/>
          <w:lang w:eastAsia="en-US"/>
        </w:rPr>
        <w:t>(</w:t>
      </w:r>
      <w:r w:rsidRPr="004719AC">
        <w:rPr>
          <w:rFonts w:eastAsiaTheme="minorHAnsi"/>
          <w:lang w:eastAsia="en-US"/>
        </w:rPr>
        <w:t>2009</w:t>
      </w:r>
      <w:r>
        <w:rPr>
          <w:rFonts w:eastAsiaTheme="minorHAnsi"/>
          <w:lang w:eastAsia="en-US"/>
        </w:rPr>
        <w:t>)</w:t>
      </w:r>
      <w:r w:rsidR="00F678F6">
        <w:rPr>
          <w:rFonts w:eastAsiaTheme="minorHAnsi"/>
          <w:lang w:eastAsia="en-US"/>
        </w:rPr>
        <w:fldChar w:fldCharType="begin"/>
      </w:r>
      <w:r w:rsidR="00F678F6">
        <w:rPr>
          <w:rFonts w:eastAsiaTheme="minorHAnsi"/>
          <w:lang w:eastAsia="en-US"/>
        </w:rPr>
        <w:instrText xml:space="preserve"> NOTEREF _Ref460672156 \f \h </w:instrText>
      </w:r>
      <w:r w:rsidR="00F678F6">
        <w:rPr>
          <w:rFonts w:eastAsiaTheme="minorHAnsi"/>
          <w:lang w:eastAsia="en-US"/>
        </w:rPr>
      </w:r>
      <w:r w:rsidR="00F678F6">
        <w:rPr>
          <w:rFonts w:eastAsiaTheme="minorHAnsi"/>
          <w:lang w:eastAsia="en-US"/>
        </w:rPr>
        <w:fldChar w:fldCharType="separate"/>
      </w:r>
      <w:r w:rsidR="00CA6F76" w:rsidRPr="00CA6F76">
        <w:rPr>
          <w:rStyle w:val="EndnoteReference"/>
        </w:rPr>
        <w:t>23</w:t>
      </w:r>
      <w:r w:rsidR="00F678F6">
        <w:rPr>
          <w:rFonts w:eastAsiaTheme="minorHAnsi"/>
          <w:lang w:eastAsia="en-US"/>
        </w:rPr>
        <w:fldChar w:fldCharType="end"/>
      </w:r>
      <w:r w:rsidRPr="004719AC">
        <w:rPr>
          <w:rFonts w:eastAsiaTheme="minorHAnsi"/>
          <w:lang w:eastAsia="en-US"/>
        </w:rPr>
        <w:t xml:space="preserve"> and </w:t>
      </w:r>
      <w:r w:rsidR="00F678F6">
        <w:rPr>
          <w:rFonts w:eastAsiaTheme="minorHAnsi"/>
          <w:lang w:eastAsia="en-US"/>
        </w:rPr>
        <w:t xml:space="preserve">the </w:t>
      </w:r>
      <w:r w:rsidRPr="004719AC">
        <w:rPr>
          <w:rFonts w:eastAsiaTheme="minorHAnsi"/>
          <w:lang w:eastAsia="en-US"/>
        </w:rPr>
        <w:t xml:space="preserve">2009 AHRQ report in the population at a high risk of CVD were included. </w:t>
      </w:r>
      <w:r w:rsidR="002F7705">
        <w:rPr>
          <w:rFonts w:eastAsiaTheme="minorHAnsi"/>
          <w:lang w:eastAsia="en-US"/>
        </w:rPr>
        <w:t xml:space="preserve">These systematic reviews included </w:t>
      </w:r>
      <w:r w:rsidR="008F55A0">
        <w:rPr>
          <w:rFonts w:eastAsiaTheme="minorHAnsi"/>
          <w:lang w:eastAsia="en-US"/>
        </w:rPr>
        <w:t>the</w:t>
      </w:r>
      <w:r w:rsidR="002F7705">
        <w:rPr>
          <w:rFonts w:eastAsiaTheme="minorHAnsi"/>
          <w:lang w:eastAsia="en-US"/>
        </w:rPr>
        <w:t xml:space="preserve"> high to medium risk population with </w:t>
      </w:r>
      <w:r w:rsidR="008F55A0">
        <w:rPr>
          <w:rFonts w:eastAsiaTheme="minorHAnsi"/>
          <w:lang w:eastAsia="en-US"/>
        </w:rPr>
        <w:t xml:space="preserve">most of the </w:t>
      </w:r>
      <w:r w:rsidR="002F7705">
        <w:rPr>
          <w:rFonts w:eastAsiaTheme="minorHAnsi"/>
          <w:lang w:eastAsia="en-US"/>
        </w:rPr>
        <w:t xml:space="preserve">trials included in </w:t>
      </w:r>
      <w:r w:rsidR="002F7705" w:rsidRPr="004719AC">
        <w:rPr>
          <w:rFonts w:eastAsiaTheme="minorHAnsi"/>
          <w:lang w:eastAsia="en-US"/>
        </w:rPr>
        <w:t>Gudzune 2014</w:t>
      </w:r>
      <w:r w:rsidR="002F7705">
        <w:rPr>
          <w:rFonts w:eastAsiaTheme="minorHAnsi"/>
          <w:lang w:eastAsia="en-US"/>
        </w:rPr>
        <w:fldChar w:fldCharType="begin"/>
      </w:r>
      <w:r w:rsidR="002F7705">
        <w:rPr>
          <w:rFonts w:eastAsiaTheme="minorHAnsi"/>
          <w:lang w:eastAsia="en-US"/>
        </w:rPr>
        <w:instrText xml:space="preserve"> NOTEREF _Ref460672137 \f \h </w:instrText>
      </w:r>
      <w:r w:rsidR="002F7705">
        <w:rPr>
          <w:rFonts w:eastAsiaTheme="minorHAnsi"/>
          <w:lang w:eastAsia="en-US"/>
        </w:rPr>
      </w:r>
      <w:r w:rsidR="002F7705">
        <w:rPr>
          <w:rFonts w:eastAsiaTheme="minorHAnsi"/>
          <w:lang w:eastAsia="en-US"/>
        </w:rPr>
        <w:fldChar w:fldCharType="separate"/>
      </w:r>
      <w:r w:rsidR="00CA6F76" w:rsidRPr="00CA6F76">
        <w:rPr>
          <w:rStyle w:val="EndnoteReference"/>
        </w:rPr>
        <w:t>26</w:t>
      </w:r>
      <w:r w:rsidR="002F7705">
        <w:rPr>
          <w:rFonts w:eastAsiaTheme="minorHAnsi"/>
          <w:lang w:eastAsia="en-US"/>
        </w:rPr>
        <w:fldChar w:fldCharType="end"/>
      </w:r>
      <w:r w:rsidR="002F7705">
        <w:rPr>
          <w:rFonts w:eastAsiaTheme="minorHAnsi"/>
          <w:lang w:eastAsia="en-US"/>
        </w:rPr>
        <w:t xml:space="preserve"> systematic review specifically targeting the secondary prevention population (i.e. patients diagnosed with CHD).  The AHRQ reports categorised the RCTs by the intensity of statin in the intervention and the comparator arms.</w:t>
      </w:r>
      <w:r w:rsidR="008F55A0">
        <w:rPr>
          <w:rFonts w:eastAsiaTheme="minorHAnsi"/>
          <w:lang w:eastAsia="en-US"/>
        </w:rPr>
        <w:t xml:space="preserve"> The HTA 2008 and HTA 2015 reports identified the target population as patients with hypercholesterolaemia who are inadequately controlled on statin monotherapy. The primary analysis was conducted in a general population, but subgroup analyses for high risk population and a subgroup with DM was also attempted. </w:t>
      </w:r>
      <w:r w:rsidR="002F7705" w:rsidRPr="002F7705">
        <w:rPr>
          <w:rFonts w:eastAsiaTheme="minorHAnsi"/>
          <w:i/>
          <w:lang w:eastAsia="en-US"/>
        </w:rPr>
        <w:t>Unlike our review, none of the published systematic reviews categorised the trials by the first or the second line of ezetimibe therapy</w:t>
      </w:r>
      <w:r w:rsidR="002F7705">
        <w:rPr>
          <w:rFonts w:eastAsiaTheme="minorHAnsi"/>
          <w:lang w:eastAsia="en-US"/>
        </w:rPr>
        <w:t>.</w:t>
      </w:r>
    </w:p>
    <w:p w14:paraId="5E8E442D" w14:textId="41FD7156" w:rsidR="00F809F6" w:rsidRPr="0083333B" w:rsidRDefault="008C096A" w:rsidP="00912F4E">
      <w:pPr>
        <w:pStyle w:val="Caption"/>
        <w:ind w:left="0"/>
        <w:rPr>
          <w:sz w:val="24"/>
          <w:szCs w:val="24"/>
        </w:rPr>
      </w:pPr>
      <w:r w:rsidRPr="0083333B">
        <w:rPr>
          <w:sz w:val="24"/>
          <w:szCs w:val="24"/>
        </w:rPr>
        <w:lastRenderedPageBreak/>
        <w:t>Table 2.2.3.</w:t>
      </w:r>
      <w:r w:rsidR="0004489B" w:rsidRPr="0083333B">
        <w:rPr>
          <w:sz w:val="24"/>
          <w:szCs w:val="24"/>
        </w:rPr>
        <w:t>1</w:t>
      </w:r>
      <w:r w:rsidRPr="0083333B">
        <w:rPr>
          <w:sz w:val="24"/>
          <w:szCs w:val="24"/>
        </w:rPr>
        <w:t xml:space="preserve"> Systematic reviews </w:t>
      </w:r>
      <w:r w:rsidR="00C81C1E" w:rsidRPr="0083333B">
        <w:rPr>
          <w:sz w:val="24"/>
          <w:szCs w:val="24"/>
        </w:rPr>
        <w:t>identified in the systematic literature search</w:t>
      </w:r>
    </w:p>
    <w:tbl>
      <w:tblPr>
        <w:tblStyle w:val="TableGrid1"/>
        <w:tblW w:w="15163" w:type="dxa"/>
        <w:tblLayout w:type="fixed"/>
        <w:tblLook w:val="04A0" w:firstRow="1" w:lastRow="0" w:firstColumn="1" w:lastColumn="0" w:noHBand="0" w:noVBand="1"/>
      </w:tblPr>
      <w:tblGrid>
        <w:gridCol w:w="3964"/>
        <w:gridCol w:w="2126"/>
        <w:gridCol w:w="2410"/>
        <w:gridCol w:w="2027"/>
        <w:gridCol w:w="2206"/>
        <w:gridCol w:w="2430"/>
      </w:tblGrid>
      <w:tr w:rsidR="00F809F6" w:rsidRPr="008C096A" w14:paraId="69D4F73B" w14:textId="77777777" w:rsidTr="00491286">
        <w:tc>
          <w:tcPr>
            <w:tcW w:w="3964" w:type="dxa"/>
          </w:tcPr>
          <w:p w14:paraId="39EED791" w14:textId="77777777" w:rsidR="00F809F6" w:rsidRPr="008C096A" w:rsidRDefault="00F809F6" w:rsidP="00F809F6">
            <w:pPr>
              <w:rPr>
                <w:rFonts w:ascii="Arial Narrow" w:hAnsi="Arial Narrow"/>
                <w:b/>
                <w:sz w:val="20"/>
                <w:szCs w:val="20"/>
              </w:rPr>
            </w:pPr>
            <w:r w:rsidRPr="008C096A">
              <w:rPr>
                <w:rFonts w:ascii="Arial Narrow" w:hAnsi="Arial Narrow"/>
                <w:b/>
                <w:sz w:val="20"/>
                <w:szCs w:val="20"/>
              </w:rPr>
              <w:t>Systematic review/</w:t>
            </w:r>
          </w:p>
          <w:p w14:paraId="1AD0AC98" w14:textId="77777777" w:rsidR="00F809F6" w:rsidRPr="008C096A" w:rsidRDefault="00F809F6" w:rsidP="00F809F6">
            <w:pPr>
              <w:rPr>
                <w:rFonts w:ascii="Arial Narrow" w:hAnsi="Arial Narrow"/>
                <w:b/>
                <w:sz w:val="20"/>
                <w:szCs w:val="20"/>
              </w:rPr>
            </w:pPr>
            <w:r w:rsidRPr="008C096A">
              <w:rPr>
                <w:rFonts w:ascii="Arial Narrow" w:hAnsi="Arial Narrow"/>
                <w:b/>
                <w:sz w:val="20"/>
                <w:szCs w:val="20"/>
              </w:rPr>
              <w:t>country</w:t>
            </w:r>
          </w:p>
        </w:tc>
        <w:tc>
          <w:tcPr>
            <w:tcW w:w="2126" w:type="dxa"/>
          </w:tcPr>
          <w:p w14:paraId="527A11AB" w14:textId="77777777" w:rsidR="00F809F6" w:rsidRPr="008C096A" w:rsidRDefault="00F809F6" w:rsidP="00F809F6">
            <w:pPr>
              <w:rPr>
                <w:rFonts w:ascii="Arial Narrow" w:hAnsi="Arial Narrow"/>
                <w:b/>
                <w:sz w:val="20"/>
                <w:szCs w:val="20"/>
              </w:rPr>
            </w:pPr>
            <w:r w:rsidRPr="008C096A">
              <w:rPr>
                <w:rFonts w:ascii="Arial Narrow" w:hAnsi="Arial Narrow"/>
                <w:b/>
                <w:sz w:val="20"/>
                <w:szCs w:val="20"/>
              </w:rPr>
              <w:t>Population</w:t>
            </w:r>
          </w:p>
        </w:tc>
        <w:tc>
          <w:tcPr>
            <w:tcW w:w="2410" w:type="dxa"/>
          </w:tcPr>
          <w:p w14:paraId="3004ADC8" w14:textId="77777777" w:rsidR="00F809F6" w:rsidRPr="008C096A" w:rsidRDefault="00F809F6" w:rsidP="00F809F6">
            <w:pPr>
              <w:rPr>
                <w:rFonts w:ascii="Arial Narrow" w:hAnsi="Arial Narrow"/>
                <w:b/>
                <w:sz w:val="20"/>
                <w:szCs w:val="20"/>
              </w:rPr>
            </w:pPr>
            <w:r w:rsidRPr="008C096A">
              <w:rPr>
                <w:rFonts w:ascii="Arial Narrow" w:hAnsi="Arial Narrow"/>
                <w:b/>
                <w:sz w:val="20"/>
                <w:szCs w:val="20"/>
              </w:rPr>
              <w:t>Relevant interventions/</w:t>
            </w:r>
          </w:p>
          <w:p w14:paraId="3E8B9145" w14:textId="77777777" w:rsidR="00F809F6" w:rsidRPr="008C096A" w:rsidRDefault="00F809F6" w:rsidP="00F809F6">
            <w:pPr>
              <w:rPr>
                <w:rFonts w:ascii="Arial Narrow" w:hAnsi="Arial Narrow"/>
                <w:b/>
                <w:sz w:val="20"/>
                <w:szCs w:val="20"/>
              </w:rPr>
            </w:pPr>
            <w:r w:rsidRPr="008C096A">
              <w:rPr>
                <w:rFonts w:ascii="Arial Narrow" w:hAnsi="Arial Narrow"/>
                <w:b/>
                <w:sz w:val="20"/>
                <w:szCs w:val="20"/>
              </w:rPr>
              <w:t>comparators</w:t>
            </w:r>
          </w:p>
        </w:tc>
        <w:tc>
          <w:tcPr>
            <w:tcW w:w="2027" w:type="dxa"/>
          </w:tcPr>
          <w:p w14:paraId="0B50E613" w14:textId="77777777" w:rsidR="00F809F6" w:rsidRPr="008C096A" w:rsidRDefault="00F809F6" w:rsidP="00F809F6">
            <w:pPr>
              <w:rPr>
                <w:rFonts w:ascii="Arial Narrow" w:hAnsi="Arial Narrow"/>
                <w:b/>
                <w:sz w:val="20"/>
                <w:szCs w:val="20"/>
              </w:rPr>
            </w:pPr>
            <w:r w:rsidRPr="008C096A">
              <w:rPr>
                <w:rFonts w:ascii="Arial Narrow" w:hAnsi="Arial Narrow"/>
                <w:b/>
                <w:sz w:val="20"/>
                <w:szCs w:val="20"/>
              </w:rPr>
              <w:t>End points reported and/ or meta-analysed</w:t>
            </w:r>
          </w:p>
        </w:tc>
        <w:tc>
          <w:tcPr>
            <w:tcW w:w="2206" w:type="dxa"/>
          </w:tcPr>
          <w:p w14:paraId="399730DB" w14:textId="77777777" w:rsidR="00F809F6" w:rsidRPr="008C096A" w:rsidRDefault="00F809F6" w:rsidP="00F809F6">
            <w:pPr>
              <w:rPr>
                <w:rFonts w:ascii="Arial Narrow" w:hAnsi="Arial Narrow"/>
                <w:b/>
                <w:sz w:val="20"/>
                <w:szCs w:val="20"/>
              </w:rPr>
            </w:pPr>
            <w:r w:rsidRPr="008C096A">
              <w:rPr>
                <w:rFonts w:ascii="Arial Narrow" w:hAnsi="Arial Narrow"/>
                <w:b/>
                <w:sz w:val="20"/>
                <w:szCs w:val="20"/>
              </w:rPr>
              <w:t>Main conclusion</w:t>
            </w:r>
          </w:p>
        </w:tc>
        <w:tc>
          <w:tcPr>
            <w:tcW w:w="2430" w:type="dxa"/>
          </w:tcPr>
          <w:p w14:paraId="783A261C" w14:textId="77777777" w:rsidR="00F809F6" w:rsidRPr="008C096A" w:rsidRDefault="00F809F6" w:rsidP="00F809F6">
            <w:pPr>
              <w:rPr>
                <w:rFonts w:ascii="Arial Narrow" w:hAnsi="Arial Narrow"/>
                <w:b/>
                <w:sz w:val="20"/>
                <w:szCs w:val="20"/>
              </w:rPr>
            </w:pPr>
            <w:r w:rsidRPr="008C096A">
              <w:rPr>
                <w:rFonts w:ascii="Arial Narrow" w:hAnsi="Arial Narrow"/>
                <w:b/>
                <w:sz w:val="20"/>
                <w:szCs w:val="20"/>
              </w:rPr>
              <w:t>Relevance to the present review</w:t>
            </w:r>
          </w:p>
        </w:tc>
      </w:tr>
      <w:tr w:rsidR="00F809F6" w:rsidRPr="008C096A" w14:paraId="1048F34A" w14:textId="77777777" w:rsidTr="00491286">
        <w:tc>
          <w:tcPr>
            <w:tcW w:w="3964" w:type="dxa"/>
          </w:tcPr>
          <w:p w14:paraId="60BF52F3" w14:textId="1DDC2691" w:rsidR="008C096A" w:rsidRPr="008C096A" w:rsidRDefault="008C096A" w:rsidP="008C096A">
            <w:pPr>
              <w:rPr>
                <w:rFonts w:ascii="Arial Narrow" w:hAnsi="Arial Narrow"/>
                <w:sz w:val="20"/>
                <w:szCs w:val="20"/>
              </w:rPr>
            </w:pPr>
            <w:r w:rsidRPr="008C096A">
              <w:rPr>
                <w:rFonts w:ascii="Arial Narrow" w:hAnsi="Arial Narrow"/>
                <w:sz w:val="20"/>
                <w:szCs w:val="20"/>
              </w:rPr>
              <w:t>Sharma M, Ansari MT, Abou-Setta AM,</w:t>
            </w:r>
            <w:r>
              <w:rPr>
                <w:rFonts w:ascii="Arial Narrow" w:hAnsi="Arial Narrow"/>
                <w:sz w:val="20"/>
                <w:szCs w:val="20"/>
              </w:rPr>
              <w:t xml:space="preserve"> Soares-Weiser K, Ooi TC, Sears </w:t>
            </w:r>
            <w:r w:rsidRPr="008C096A">
              <w:rPr>
                <w:rFonts w:ascii="Arial Narrow" w:hAnsi="Arial Narrow"/>
                <w:sz w:val="20"/>
                <w:szCs w:val="20"/>
              </w:rPr>
              <w:t>M, et al. Systematic review: comparative effectiveness and harms of combination</w:t>
            </w:r>
          </w:p>
          <w:p w14:paraId="26DE20A0" w14:textId="77777777" w:rsidR="008C096A" w:rsidRPr="008C096A" w:rsidRDefault="008C096A" w:rsidP="008C096A">
            <w:pPr>
              <w:rPr>
                <w:rFonts w:ascii="Arial Narrow" w:hAnsi="Arial Narrow"/>
                <w:sz w:val="20"/>
                <w:szCs w:val="20"/>
              </w:rPr>
            </w:pPr>
            <w:r w:rsidRPr="008C096A">
              <w:rPr>
                <w:rFonts w:ascii="Arial Narrow" w:hAnsi="Arial Narrow"/>
                <w:sz w:val="20"/>
                <w:szCs w:val="20"/>
              </w:rPr>
              <w:t>therapy and monotherapy for dyslipidemia. Ann Intern Med. 2009;151:622-30.</w:t>
            </w:r>
          </w:p>
          <w:p w14:paraId="329666A1" w14:textId="77777777" w:rsidR="008C096A" w:rsidRPr="008C096A" w:rsidRDefault="008C096A" w:rsidP="008C096A">
            <w:pPr>
              <w:rPr>
                <w:rFonts w:ascii="Arial Narrow" w:hAnsi="Arial Narrow"/>
                <w:sz w:val="20"/>
                <w:szCs w:val="20"/>
              </w:rPr>
            </w:pPr>
          </w:p>
          <w:p w14:paraId="4CE65445" w14:textId="056E822A" w:rsidR="008C096A" w:rsidRPr="008C096A" w:rsidRDefault="008C096A" w:rsidP="008C096A">
            <w:pPr>
              <w:rPr>
                <w:rFonts w:ascii="Arial Narrow" w:hAnsi="Arial Narrow"/>
                <w:sz w:val="20"/>
                <w:szCs w:val="20"/>
              </w:rPr>
            </w:pPr>
            <w:r w:rsidRPr="008C096A">
              <w:rPr>
                <w:rFonts w:ascii="Arial Narrow" w:hAnsi="Arial Narrow"/>
                <w:sz w:val="20"/>
                <w:szCs w:val="20"/>
              </w:rPr>
              <w:t>Sharma M, Ansari M, Soares-Weiser K</w:t>
            </w:r>
            <w:r>
              <w:rPr>
                <w:rFonts w:ascii="Arial Narrow" w:hAnsi="Arial Narrow"/>
                <w:sz w:val="20"/>
                <w:szCs w:val="20"/>
              </w:rPr>
              <w:t xml:space="preserve">, Abou-setta A, Ooi T, Sears M, </w:t>
            </w:r>
            <w:r w:rsidRPr="008C096A">
              <w:rPr>
                <w:rFonts w:ascii="Arial Narrow" w:hAnsi="Arial Narrow"/>
                <w:sz w:val="20"/>
                <w:szCs w:val="20"/>
              </w:rPr>
              <w:t>et al. Comparative Effectiveness of Lipid-Modifying Agents. AHRQ Evidence</w:t>
            </w:r>
          </w:p>
          <w:p w14:paraId="340BC78D" w14:textId="77777777" w:rsidR="008C096A" w:rsidRDefault="008C096A" w:rsidP="008C096A">
            <w:pPr>
              <w:rPr>
                <w:rFonts w:ascii="Arial Narrow" w:hAnsi="Arial Narrow"/>
                <w:sz w:val="20"/>
                <w:szCs w:val="20"/>
              </w:rPr>
            </w:pPr>
            <w:r w:rsidRPr="008C096A">
              <w:rPr>
                <w:rFonts w:ascii="Arial Narrow" w:hAnsi="Arial Narrow"/>
                <w:sz w:val="20"/>
                <w:szCs w:val="20"/>
              </w:rPr>
              <w:t>Report 09-EHC024-1. 2009.</w:t>
            </w:r>
          </w:p>
          <w:p w14:paraId="0971E9E3" w14:textId="77777777" w:rsidR="008C096A" w:rsidRDefault="008C096A" w:rsidP="008C096A">
            <w:pPr>
              <w:rPr>
                <w:rFonts w:ascii="Arial Narrow" w:hAnsi="Arial Narrow"/>
                <w:sz w:val="20"/>
                <w:szCs w:val="20"/>
              </w:rPr>
            </w:pPr>
          </w:p>
          <w:p w14:paraId="7AA96EA0" w14:textId="42F34384" w:rsidR="00F809F6" w:rsidRPr="008C096A" w:rsidRDefault="00F809F6" w:rsidP="008C096A">
            <w:pPr>
              <w:rPr>
                <w:rFonts w:ascii="Arial Narrow" w:hAnsi="Arial Narrow"/>
                <w:sz w:val="20"/>
                <w:szCs w:val="20"/>
              </w:rPr>
            </w:pPr>
            <w:r w:rsidRPr="008C096A">
              <w:rPr>
                <w:rFonts w:ascii="Arial Narrow" w:hAnsi="Arial Narrow"/>
                <w:sz w:val="20"/>
                <w:szCs w:val="20"/>
              </w:rPr>
              <w:t>USA</w:t>
            </w:r>
          </w:p>
        </w:tc>
        <w:tc>
          <w:tcPr>
            <w:tcW w:w="2126" w:type="dxa"/>
          </w:tcPr>
          <w:p w14:paraId="5105EA42"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High-risk patients with dyslipidaemia (defined as those with a 10 year coronary heart disease risk greater than 20%, mean baseline low-density lipoprotein levels of at least 5.0 mmol/L (≥190 milligrams/ decilitre, or both) who require an intensive lipid-lowering therapy.</w:t>
            </w:r>
          </w:p>
        </w:tc>
        <w:tc>
          <w:tcPr>
            <w:tcW w:w="2410" w:type="dxa"/>
          </w:tcPr>
          <w:p w14:paraId="6AF8C2CF"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Ezetimibe mg / Simvastatin mg 10/10, 10/20, 10/40, 10/80;</w:t>
            </w:r>
          </w:p>
          <w:p w14:paraId="6456816C"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compared to a statin administered in a higher or the matching dose to the statin in the intervention arm</w:t>
            </w:r>
          </w:p>
          <w:p w14:paraId="65B000BF" w14:textId="77777777" w:rsidR="00F809F6" w:rsidRPr="008C096A" w:rsidRDefault="00F809F6" w:rsidP="00F809F6">
            <w:pPr>
              <w:rPr>
                <w:rFonts w:ascii="Arial Narrow" w:hAnsi="Arial Narrow"/>
                <w:sz w:val="20"/>
                <w:szCs w:val="20"/>
              </w:rPr>
            </w:pPr>
          </w:p>
        </w:tc>
        <w:tc>
          <w:tcPr>
            <w:tcW w:w="2027" w:type="dxa"/>
          </w:tcPr>
          <w:p w14:paraId="2C198A89"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All-cause mortality and vascular death; MI, acute coronary syndrome, stroke, transient ischaemic attack, and re-vascularisation procedures. SAE &amp; AE;  attainment of adenosine triphosphate and ATP-III LDL-C goals, LDL-C and HDL-C</w:t>
            </w:r>
          </w:p>
        </w:tc>
        <w:tc>
          <w:tcPr>
            <w:tcW w:w="2206" w:type="dxa"/>
          </w:tcPr>
          <w:p w14:paraId="6AE479DE" w14:textId="77777777" w:rsidR="00F809F6" w:rsidRPr="008C096A" w:rsidRDefault="00F809F6" w:rsidP="00F809F6">
            <w:pPr>
              <w:ind w:right="-144"/>
              <w:rPr>
                <w:rFonts w:ascii="Arial Narrow" w:hAnsi="Arial Narrow"/>
                <w:sz w:val="20"/>
                <w:szCs w:val="20"/>
              </w:rPr>
            </w:pPr>
            <w:r w:rsidRPr="008C096A">
              <w:rPr>
                <w:rFonts w:ascii="Arial Narrow" w:hAnsi="Arial Narrow"/>
                <w:sz w:val="20"/>
                <w:szCs w:val="20"/>
              </w:rPr>
              <w:t>Lower target lipid levels were more often achieved with statin– ezetimibe combination than with high-dose statin mono-therapy.</w:t>
            </w:r>
          </w:p>
          <w:p w14:paraId="5A241A28" w14:textId="77777777" w:rsidR="00F809F6" w:rsidRPr="008C096A" w:rsidRDefault="00F809F6" w:rsidP="00F809F6">
            <w:pPr>
              <w:ind w:right="-144"/>
              <w:rPr>
                <w:rFonts w:ascii="Arial Narrow" w:hAnsi="Arial Narrow"/>
                <w:sz w:val="20"/>
                <w:szCs w:val="20"/>
              </w:rPr>
            </w:pPr>
            <w:r w:rsidRPr="008C096A">
              <w:rPr>
                <w:rFonts w:ascii="Arial Narrow" w:hAnsi="Arial Narrow"/>
                <w:sz w:val="20"/>
                <w:szCs w:val="20"/>
              </w:rPr>
              <w:t>Insufficient evidence that combining a statin with another agent improved final outcomes (MI, stroke, or mortality) more often than high- dose statin monotherapy</w:t>
            </w:r>
          </w:p>
        </w:tc>
        <w:tc>
          <w:tcPr>
            <w:tcW w:w="2430" w:type="dxa"/>
          </w:tcPr>
          <w:p w14:paraId="360C4893" w14:textId="7F5C617A" w:rsidR="00F809F6" w:rsidRPr="008C096A" w:rsidRDefault="00F809F6" w:rsidP="0030073F">
            <w:pPr>
              <w:rPr>
                <w:rFonts w:ascii="Arial Narrow" w:hAnsi="Arial Narrow"/>
                <w:sz w:val="20"/>
                <w:szCs w:val="20"/>
              </w:rPr>
            </w:pPr>
            <w:r w:rsidRPr="008C096A">
              <w:rPr>
                <w:rFonts w:ascii="Arial Narrow" w:hAnsi="Arial Narrow"/>
                <w:sz w:val="20"/>
                <w:szCs w:val="20"/>
              </w:rPr>
              <w:t>Moderately relevant to a subgroup without a diagnosed CHD</w:t>
            </w:r>
            <w:r w:rsidR="0030073F">
              <w:rPr>
                <w:rFonts w:ascii="Arial Narrow" w:hAnsi="Arial Narrow"/>
                <w:sz w:val="20"/>
                <w:szCs w:val="20"/>
              </w:rPr>
              <w:t xml:space="preserve"> (primary prevention population)</w:t>
            </w:r>
            <w:r w:rsidRPr="008C096A">
              <w:rPr>
                <w:rFonts w:ascii="Arial Narrow" w:hAnsi="Arial Narrow"/>
                <w:sz w:val="20"/>
                <w:szCs w:val="20"/>
              </w:rPr>
              <w:t>. Limited indication (ez+simvastatin only).  Patients were not required to be at the highest tolera</w:t>
            </w:r>
            <w:r w:rsidR="0030073F">
              <w:rPr>
                <w:rFonts w:ascii="Arial Narrow" w:hAnsi="Arial Narrow"/>
                <w:sz w:val="20"/>
                <w:szCs w:val="20"/>
              </w:rPr>
              <w:t>ted</w:t>
            </w:r>
            <w:r w:rsidRPr="008C096A">
              <w:rPr>
                <w:rFonts w:ascii="Arial Narrow" w:hAnsi="Arial Narrow"/>
                <w:sz w:val="20"/>
                <w:szCs w:val="20"/>
              </w:rPr>
              <w:t xml:space="preserve"> dose of statin in either arm. Definition of high risk inconsistent with GSLLD criteria </w:t>
            </w:r>
          </w:p>
        </w:tc>
      </w:tr>
      <w:tr w:rsidR="00F809F6" w:rsidRPr="008C096A" w14:paraId="04645DEA" w14:textId="77777777" w:rsidTr="00491286">
        <w:tc>
          <w:tcPr>
            <w:tcW w:w="3964" w:type="dxa"/>
          </w:tcPr>
          <w:p w14:paraId="75CF4AFA" w14:textId="77777777" w:rsidR="008C096A" w:rsidRPr="008C096A" w:rsidRDefault="008C096A" w:rsidP="008C096A">
            <w:pPr>
              <w:rPr>
                <w:rFonts w:ascii="Arial Narrow" w:hAnsi="Arial Narrow"/>
                <w:sz w:val="20"/>
                <w:szCs w:val="20"/>
              </w:rPr>
            </w:pPr>
            <w:r w:rsidRPr="008C096A">
              <w:rPr>
                <w:rFonts w:ascii="Arial Narrow" w:hAnsi="Arial Narrow"/>
                <w:sz w:val="20"/>
                <w:szCs w:val="20"/>
              </w:rPr>
              <w:t>Gudzune, Monroe, Sharma, et al</w:t>
            </w:r>
          </w:p>
          <w:p w14:paraId="2C7C604B" w14:textId="77777777" w:rsidR="008C096A" w:rsidRPr="008C096A" w:rsidRDefault="008C096A" w:rsidP="008C096A">
            <w:pPr>
              <w:rPr>
                <w:rFonts w:ascii="Arial Narrow" w:hAnsi="Arial Narrow"/>
                <w:sz w:val="20"/>
                <w:szCs w:val="20"/>
              </w:rPr>
            </w:pPr>
            <w:r w:rsidRPr="008C096A">
              <w:rPr>
                <w:rFonts w:ascii="Arial Narrow" w:hAnsi="Arial Narrow"/>
                <w:sz w:val="20"/>
                <w:szCs w:val="20"/>
              </w:rPr>
              <w:t>Effectiveness of combination therapy with statin and another lipid-modifying agent compared with intensified statin monotherapy: a systematic review. Annals of Internal Medicine; 2014; 160(7) 468-76</w:t>
            </w:r>
          </w:p>
          <w:p w14:paraId="3A86E04F" w14:textId="77777777" w:rsidR="008C096A" w:rsidRPr="008C096A" w:rsidRDefault="008C096A" w:rsidP="008C096A">
            <w:pPr>
              <w:rPr>
                <w:rFonts w:ascii="Arial Narrow" w:hAnsi="Arial Narrow"/>
                <w:sz w:val="20"/>
                <w:szCs w:val="20"/>
              </w:rPr>
            </w:pPr>
          </w:p>
          <w:p w14:paraId="305C0164" w14:textId="242939E5" w:rsidR="008C096A" w:rsidRDefault="008C096A" w:rsidP="008C096A">
            <w:pPr>
              <w:rPr>
                <w:rFonts w:ascii="Arial Narrow" w:hAnsi="Arial Narrow"/>
                <w:sz w:val="20"/>
                <w:szCs w:val="20"/>
              </w:rPr>
            </w:pPr>
            <w:r w:rsidRPr="008C096A">
              <w:rPr>
                <w:rFonts w:ascii="Arial Narrow" w:hAnsi="Arial Narrow"/>
                <w:sz w:val="20"/>
                <w:szCs w:val="20"/>
              </w:rPr>
              <w:t>Anne K. Monroe, Combination Therapy Versus Intensification of Statin Monotherapy: An Update AH</w:t>
            </w:r>
            <w:r>
              <w:rPr>
                <w:rFonts w:ascii="Arial Narrow" w:hAnsi="Arial Narrow"/>
                <w:sz w:val="20"/>
                <w:szCs w:val="20"/>
              </w:rPr>
              <w:t xml:space="preserve">RQ Publication No. 14-EHC013-EF </w:t>
            </w:r>
            <w:r w:rsidRPr="008C096A">
              <w:rPr>
                <w:rFonts w:ascii="Arial Narrow" w:hAnsi="Arial Narrow"/>
                <w:sz w:val="20"/>
                <w:szCs w:val="20"/>
              </w:rPr>
              <w:t>February 2014</w:t>
            </w:r>
          </w:p>
          <w:p w14:paraId="374768D1" w14:textId="77777777" w:rsidR="008C096A" w:rsidRDefault="008C096A" w:rsidP="008C096A">
            <w:pPr>
              <w:rPr>
                <w:rFonts w:ascii="Arial Narrow" w:hAnsi="Arial Narrow"/>
                <w:sz w:val="20"/>
                <w:szCs w:val="20"/>
              </w:rPr>
            </w:pPr>
          </w:p>
          <w:p w14:paraId="76950E66" w14:textId="54AE217C" w:rsidR="00F809F6" w:rsidRPr="008C096A" w:rsidRDefault="00F809F6" w:rsidP="008C096A">
            <w:pPr>
              <w:rPr>
                <w:rFonts w:ascii="Arial Narrow" w:hAnsi="Arial Narrow"/>
                <w:sz w:val="20"/>
                <w:szCs w:val="20"/>
              </w:rPr>
            </w:pPr>
            <w:r w:rsidRPr="008C096A">
              <w:rPr>
                <w:rFonts w:ascii="Arial Narrow" w:hAnsi="Arial Narrow"/>
                <w:sz w:val="20"/>
                <w:szCs w:val="20"/>
              </w:rPr>
              <w:t>USA</w:t>
            </w:r>
          </w:p>
        </w:tc>
        <w:tc>
          <w:tcPr>
            <w:tcW w:w="2126" w:type="dxa"/>
          </w:tcPr>
          <w:p w14:paraId="4F564D46"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Adults at moderate to high-risk of atherosclerotic CVD (defined as 10-year CHD risk ≥10% or baseline LDL-C ≥190 mg/dL (4.91 mmol/L), pre-existing</w:t>
            </w:r>
          </w:p>
          <w:p w14:paraId="3CDF57C3"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ASCVD, or DM</w:t>
            </w:r>
          </w:p>
        </w:tc>
        <w:tc>
          <w:tcPr>
            <w:tcW w:w="2410" w:type="dxa"/>
          </w:tcPr>
          <w:p w14:paraId="5F36ABCE"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 “moderated” combination</w:t>
            </w:r>
          </w:p>
          <w:p w14:paraId="4F69E11E"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regimen of a lower dose of a statin + non-statin lipid lowering drug compared with a higher-intensity statin monotherapy</w:t>
            </w:r>
          </w:p>
        </w:tc>
        <w:tc>
          <w:tcPr>
            <w:tcW w:w="2027" w:type="dxa"/>
          </w:tcPr>
          <w:p w14:paraId="2BEE093A"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Final outcomes: All-cause mortality, acute coronary events, cerebro-vascular events, revascularization</w:t>
            </w:r>
          </w:p>
          <w:p w14:paraId="65E4BAED"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 xml:space="preserve">procedures; </w:t>
            </w:r>
          </w:p>
          <w:p w14:paraId="12E41388"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Surrogate: LDL-C; adherence (investigator defined) and harm (SAEs, AEs withdrawals due to AEs).</w:t>
            </w:r>
          </w:p>
        </w:tc>
        <w:tc>
          <w:tcPr>
            <w:tcW w:w="2206" w:type="dxa"/>
          </w:tcPr>
          <w:p w14:paraId="52CDFE6E"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Insufficient evidence to compare long-term final outcomes. The combination of ezetimibe and lower-intensity statin would lower LDL-C to the level similar to or better than those of higher intensity statin monotherapy while producing similar rates of short-term adverse events.</w:t>
            </w:r>
          </w:p>
        </w:tc>
        <w:tc>
          <w:tcPr>
            <w:tcW w:w="2430" w:type="dxa"/>
          </w:tcPr>
          <w:p w14:paraId="43A69A60" w14:textId="2D0B2F27" w:rsidR="00F809F6" w:rsidRPr="008C096A" w:rsidRDefault="00F809F6" w:rsidP="00F809F6">
            <w:pPr>
              <w:rPr>
                <w:rFonts w:ascii="Arial Narrow" w:hAnsi="Arial Narrow"/>
                <w:sz w:val="20"/>
                <w:szCs w:val="20"/>
              </w:rPr>
            </w:pPr>
            <w:r w:rsidRPr="008C096A">
              <w:rPr>
                <w:rFonts w:ascii="Arial Narrow" w:hAnsi="Arial Narrow"/>
                <w:sz w:val="20"/>
                <w:szCs w:val="20"/>
              </w:rPr>
              <w:t xml:space="preserve">Moderately relevant for patients with and without the CHD diagnosis. Patients were not required to be at the highest </w:t>
            </w:r>
            <w:r w:rsidR="0030073F">
              <w:rPr>
                <w:rFonts w:ascii="Arial Narrow" w:hAnsi="Arial Narrow"/>
                <w:sz w:val="20"/>
                <w:szCs w:val="20"/>
              </w:rPr>
              <w:t>tolerated</w:t>
            </w:r>
            <w:r w:rsidRPr="008C096A">
              <w:rPr>
                <w:rFonts w:ascii="Arial Narrow" w:hAnsi="Arial Narrow"/>
                <w:sz w:val="20"/>
                <w:szCs w:val="20"/>
              </w:rPr>
              <w:t xml:space="preserve"> dose of statin in either arm.</w:t>
            </w:r>
          </w:p>
          <w:p w14:paraId="697D3B99"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Definition of high risk of CVD corresponds to ACC/AHA criteria but inconsistent with GSLLD criteria.</w:t>
            </w:r>
          </w:p>
        </w:tc>
      </w:tr>
      <w:tr w:rsidR="00F809F6" w:rsidRPr="008C096A" w14:paraId="197EAFE2" w14:textId="77777777" w:rsidTr="00491286">
        <w:tc>
          <w:tcPr>
            <w:tcW w:w="3964" w:type="dxa"/>
          </w:tcPr>
          <w:p w14:paraId="2DFC6C31" w14:textId="03A4CBF0" w:rsidR="008C096A" w:rsidRPr="008C096A" w:rsidRDefault="00F809F6" w:rsidP="008C096A">
            <w:pPr>
              <w:rPr>
                <w:rFonts w:ascii="Arial Narrow" w:hAnsi="Arial Narrow"/>
                <w:sz w:val="20"/>
                <w:szCs w:val="20"/>
              </w:rPr>
            </w:pPr>
            <w:r w:rsidRPr="008C096A">
              <w:rPr>
                <w:rFonts w:ascii="Arial Narrow" w:hAnsi="Arial Narrow"/>
                <w:sz w:val="20"/>
                <w:szCs w:val="20"/>
              </w:rPr>
              <w:t>HTA 2008</w:t>
            </w:r>
            <w:r w:rsidR="008C096A">
              <w:rPr>
                <w:rFonts w:ascii="Arial Narrow" w:hAnsi="Arial Narrow"/>
                <w:sz w:val="20"/>
                <w:szCs w:val="20"/>
              </w:rPr>
              <w:t xml:space="preserve"> </w:t>
            </w:r>
          </w:p>
          <w:p w14:paraId="19737AC1" w14:textId="71356B4C" w:rsidR="00F809F6" w:rsidRPr="008C096A" w:rsidRDefault="008C096A" w:rsidP="008C096A">
            <w:pPr>
              <w:rPr>
                <w:rFonts w:ascii="Arial Narrow" w:hAnsi="Arial Narrow"/>
                <w:sz w:val="20"/>
                <w:szCs w:val="20"/>
              </w:rPr>
            </w:pPr>
            <w:r w:rsidRPr="008C096A">
              <w:rPr>
                <w:rFonts w:ascii="Arial Narrow" w:hAnsi="Arial Narrow"/>
                <w:sz w:val="20"/>
                <w:szCs w:val="20"/>
              </w:rPr>
              <w:t>Ara R, Tumur I, Pandor A, Duenas A, Williams R, Wilkin</w:t>
            </w:r>
            <w:r>
              <w:rPr>
                <w:rFonts w:ascii="Arial Narrow" w:hAnsi="Arial Narrow"/>
                <w:sz w:val="20"/>
                <w:szCs w:val="20"/>
              </w:rPr>
              <w:t xml:space="preserve">son A, et al. Ezetimibe for the </w:t>
            </w:r>
            <w:r w:rsidRPr="008C096A">
              <w:rPr>
                <w:rFonts w:ascii="Arial Narrow" w:hAnsi="Arial Narrow"/>
                <w:sz w:val="20"/>
                <w:szCs w:val="20"/>
              </w:rPr>
              <w:t xml:space="preserve">treatment of hyper-cholesterolaemia: a systematic </w:t>
            </w:r>
            <w:r>
              <w:rPr>
                <w:rFonts w:ascii="Arial Narrow" w:hAnsi="Arial Narrow"/>
                <w:sz w:val="20"/>
                <w:szCs w:val="20"/>
              </w:rPr>
              <w:t xml:space="preserve">review and economic evaluation. </w:t>
            </w:r>
            <w:r w:rsidRPr="008C096A">
              <w:rPr>
                <w:rFonts w:ascii="Arial Narrow" w:hAnsi="Arial Narrow"/>
                <w:sz w:val="20"/>
                <w:szCs w:val="20"/>
              </w:rPr>
              <w:t>Health Technology Assessment 2008;12(21)</w:t>
            </w:r>
          </w:p>
          <w:p w14:paraId="643062B1" w14:textId="77777777" w:rsidR="008C096A" w:rsidRDefault="008C096A" w:rsidP="00F809F6">
            <w:pPr>
              <w:rPr>
                <w:rFonts w:ascii="Arial Narrow" w:hAnsi="Arial Narrow"/>
                <w:sz w:val="20"/>
                <w:szCs w:val="20"/>
              </w:rPr>
            </w:pPr>
          </w:p>
          <w:p w14:paraId="7E39000C"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UK</w:t>
            </w:r>
          </w:p>
        </w:tc>
        <w:tc>
          <w:tcPr>
            <w:tcW w:w="2126" w:type="dxa"/>
          </w:tcPr>
          <w:p w14:paraId="6BC3C691"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 xml:space="preserve">Adults (age &gt; 18 years) with primary (heterozygous familial or non-familial) hyper-cholesterolaemia </w:t>
            </w:r>
          </w:p>
          <w:p w14:paraId="50A58C68"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whose condition is not appropriately controlled with a statin alone or</w:t>
            </w:r>
          </w:p>
          <w:p w14:paraId="7A0842A0"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in whom a statin is considered inappropriate or is not tolerated</w:t>
            </w:r>
          </w:p>
        </w:tc>
        <w:tc>
          <w:tcPr>
            <w:tcW w:w="2410" w:type="dxa"/>
          </w:tcPr>
          <w:p w14:paraId="29F0F3F4"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Interventions:</w:t>
            </w:r>
          </w:p>
          <w:p w14:paraId="1BCBACFD"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 Ezetimibe monotherapy</w:t>
            </w:r>
          </w:p>
          <w:p w14:paraId="6FB8151D" w14:textId="2554AE0F" w:rsidR="00F809F6" w:rsidRPr="008C096A" w:rsidRDefault="00F809F6" w:rsidP="00F809F6">
            <w:pPr>
              <w:rPr>
                <w:rFonts w:ascii="Arial Narrow" w:hAnsi="Arial Narrow"/>
                <w:sz w:val="20"/>
                <w:szCs w:val="20"/>
              </w:rPr>
            </w:pPr>
            <w:r w:rsidRPr="008C096A">
              <w:rPr>
                <w:rFonts w:ascii="Arial Narrow" w:hAnsi="Arial Narrow"/>
                <w:sz w:val="20"/>
                <w:szCs w:val="20"/>
              </w:rPr>
              <w:t>b)</w:t>
            </w:r>
            <w:r w:rsidR="005E442D">
              <w:rPr>
                <w:rFonts w:ascii="Arial Narrow" w:hAnsi="Arial Narrow"/>
                <w:sz w:val="20"/>
                <w:szCs w:val="20"/>
              </w:rPr>
              <w:t xml:space="preserve"> </w:t>
            </w:r>
            <w:r w:rsidRPr="008C096A">
              <w:rPr>
                <w:rFonts w:ascii="Arial Narrow" w:hAnsi="Arial Narrow"/>
                <w:sz w:val="20"/>
                <w:szCs w:val="20"/>
              </w:rPr>
              <w:t>Ezetimibe+simvastatin;</w:t>
            </w:r>
          </w:p>
          <w:p w14:paraId="040EE403"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 Ezetimibe +statin</w:t>
            </w:r>
          </w:p>
          <w:p w14:paraId="4A4DFEE9" w14:textId="77777777" w:rsidR="00F809F6" w:rsidRPr="008C096A" w:rsidRDefault="00F809F6" w:rsidP="00F809F6">
            <w:pPr>
              <w:rPr>
                <w:rFonts w:ascii="Arial Narrow" w:hAnsi="Arial Narrow"/>
                <w:sz w:val="20"/>
                <w:szCs w:val="20"/>
              </w:rPr>
            </w:pPr>
          </w:p>
          <w:p w14:paraId="2D3916D9"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Comparators:</w:t>
            </w:r>
          </w:p>
          <w:p w14:paraId="022E5362"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 xml:space="preserve">a) placebo </w:t>
            </w:r>
          </w:p>
          <w:p w14:paraId="46419431"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b) placebo + matching lipid-lowering drug</w:t>
            </w:r>
          </w:p>
          <w:p w14:paraId="5CDF017B"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 placebo + up-titrated statin</w:t>
            </w:r>
          </w:p>
        </w:tc>
        <w:tc>
          <w:tcPr>
            <w:tcW w:w="2027" w:type="dxa"/>
          </w:tcPr>
          <w:p w14:paraId="7248A8D1"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Survival, fatal and non-fatal cardiovascular events, adverse effects of treatment and health-related quality of life (HRQoL). In the absence of clinical end points, surrogate end-point data LDL-C, total cholesterol and HDL-C were used.</w:t>
            </w:r>
          </w:p>
        </w:tc>
        <w:tc>
          <w:tcPr>
            <w:tcW w:w="2206" w:type="dxa"/>
          </w:tcPr>
          <w:p w14:paraId="688151A9"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Insufficient evidence to compare long-term final outcomes. Ezetimibe alone or in combination with a statin was effective in reducing LDL-C in short-term studies. When used alone, ezetimibe is less effective than statins</w:t>
            </w:r>
          </w:p>
        </w:tc>
        <w:tc>
          <w:tcPr>
            <w:tcW w:w="2430" w:type="dxa"/>
          </w:tcPr>
          <w:p w14:paraId="4426A46D" w14:textId="3037B19A" w:rsidR="00F809F6" w:rsidRPr="008C096A" w:rsidRDefault="00F809F6" w:rsidP="00945D69">
            <w:pPr>
              <w:rPr>
                <w:rFonts w:ascii="Arial Narrow" w:hAnsi="Arial Narrow"/>
                <w:sz w:val="20"/>
                <w:szCs w:val="20"/>
              </w:rPr>
            </w:pPr>
            <w:r w:rsidRPr="008C096A">
              <w:rPr>
                <w:rFonts w:ascii="Arial Narrow" w:hAnsi="Arial Narrow"/>
                <w:sz w:val="20"/>
                <w:szCs w:val="20"/>
              </w:rPr>
              <w:t xml:space="preserve">Moderately relevant: Population is defined in </w:t>
            </w:r>
            <w:r w:rsidR="00945D69">
              <w:rPr>
                <w:rFonts w:ascii="Arial Narrow" w:hAnsi="Arial Narrow"/>
                <w:sz w:val="20"/>
                <w:szCs w:val="20"/>
              </w:rPr>
              <w:t>similar terms</w:t>
            </w:r>
            <w:r w:rsidRPr="008C096A">
              <w:rPr>
                <w:rFonts w:ascii="Arial Narrow" w:hAnsi="Arial Narrow"/>
                <w:sz w:val="20"/>
                <w:szCs w:val="20"/>
              </w:rPr>
              <w:t xml:space="preserve"> as in the present review</w:t>
            </w:r>
            <w:r w:rsidR="00945D69">
              <w:rPr>
                <w:rFonts w:ascii="Arial Narrow" w:hAnsi="Arial Narrow"/>
                <w:sz w:val="20"/>
                <w:szCs w:val="20"/>
              </w:rPr>
              <w:t>, subgroup analysis is conducted for secondary prevention population.  However,</w:t>
            </w:r>
            <w:r w:rsidRPr="008C096A">
              <w:rPr>
                <w:rFonts w:ascii="Arial Narrow" w:hAnsi="Arial Narrow"/>
                <w:sz w:val="20"/>
                <w:szCs w:val="20"/>
              </w:rPr>
              <w:t xml:space="preserve"> </w:t>
            </w:r>
            <w:r w:rsidR="00945D69">
              <w:rPr>
                <w:rFonts w:ascii="Arial Narrow" w:hAnsi="Arial Narrow"/>
                <w:sz w:val="20"/>
                <w:szCs w:val="20"/>
              </w:rPr>
              <w:t>there was no requirement for the target population not being controlled on the highest tolerated dose of statin.</w:t>
            </w:r>
          </w:p>
        </w:tc>
      </w:tr>
      <w:tr w:rsidR="00F809F6" w:rsidRPr="008C096A" w14:paraId="045E8AF0" w14:textId="77777777" w:rsidTr="00491286">
        <w:tc>
          <w:tcPr>
            <w:tcW w:w="3964" w:type="dxa"/>
          </w:tcPr>
          <w:p w14:paraId="70003899" w14:textId="45813F9D" w:rsidR="00872B49" w:rsidRPr="00872B49" w:rsidRDefault="00872B49" w:rsidP="00872B49">
            <w:pPr>
              <w:rPr>
                <w:rFonts w:ascii="Arial Narrow" w:hAnsi="Arial Narrow"/>
                <w:sz w:val="20"/>
                <w:szCs w:val="20"/>
              </w:rPr>
            </w:pPr>
            <w:r>
              <w:rPr>
                <w:rFonts w:ascii="Arial Narrow" w:hAnsi="Arial Narrow"/>
                <w:sz w:val="20"/>
                <w:szCs w:val="20"/>
              </w:rPr>
              <w:lastRenderedPageBreak/>
              <w:t xml:space="preserve">Pandor, A. </w:t>
            </w:r>
            <w:r w:rsidRPr="00872B49">
              <w:rPr>
                <w:rFonts w:ascii="Arial Narrow" w:hAnsi="Arial Narrow"/>
                <w:sz w:val="20"/>
                <w:szCs w:val="20"/>
              </w:rPr>
              <w:t>Ara, R. M. et al Ezetimibe monotherapy for cholesterol lowering in 2,722 people: systematic review and meta-analysis of randomized controlled trials</w:t>
            </w:r>
          </w:p>
          <w:p w14:paraId="29A2D31E" w14:textId="77777777" w:rsidR="00872B49" w:rsidRDefault="00872B49" w:rsidP="00872B49">
            <w:pPr>
              <w:rPr>
                <w:rFonts w:ascii="Arial Narrow" w:hAnsi="Arial Narrow"/>
                <w:sz w:val="20"/>
                <w:szCs w:val="20"/>
              </w:rPr>
            </w:pPr>
            <w:r w:rsidRPr="00872B49">
              <w:rPr>
                <w:rFonts w:ascii="Arial Narrow" w:hAnsi="Arial Narrow"/>
                <w:sz w:val="20"/>
                <w:szCs w:val="20"/>
              </w:rPr>
              <w:t>Journal of Internal Medicine, 2009, 265(5)568-80.</w:t>
            </w:r>
          </w:p>
          <w:p w14:paraId="0A724779" w14:textId="77777777" w:rsidR="00872B49" w:rsidRDefault="00872B49" w:rsidP="00872B49">
            <w:pPr>
              <w:rPr>
                <w:rFonts w:ascii="Arial Narrow" w:hAnsi="Arial Narrow"/>
                <w:sz w:val="20"/>
                <w:szCs w:val="20"/>
              </w:rPr>
            </w:pPr>
          </w:p>
          <w:p w14:paraId="036BBA5A" w14:textId="6689E416" w:rsidR="00F809F6" w:rsidRPr="008C096A" w:rsidRDefault="00F809F6" w:rsidP="00872B49">
            <w:pPr>
              <w:rPr>
                <w:rFonts w:ascii="Arial Narrow" w:hAnsi="Arial Narrow"/>
                <w:sz w:val="20"/>
                <w:szCs w:val="20"/>
              </w:rPr>
            </w:pPr>
            <w:r w:rsidRPr="008C096A">
              <w:rPr>
                <w:rFonts w:ascii="Arial Narrow" w:hAnsi="Arial Narrow"/>
                <w:sz w:val="20"/>
                <w:szCs w:val="20"/>
              </w:rPr>
              <w:t>UK</w:t>
            </w:r>
          </w:p>
        </w:tc>
        <w:tc>
          <w:tcPr>
            <w:tcW w:w="2126" w:type="dxa"/>
          </w:tcPr>
          <w:p w14:paraId="56D8C7DD"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Adults (age &gt; 18 years) with heterozygous familial and</w:t>
            </w:r>
          </w:p>
          <w:p w14:paraId="557859D4"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non-familial hypercholesterolaemia.</w:t>
            </w:r>
          </w:p>
        </w:tc>
        <w:tc>
          <w:tcPr>
            <w:tcW w:w="2410" w:type="dxa"/>
          </w:tcPr>
          <w:p w14:paraId="051AED1D"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Ezetimibe monotherapy</w:t>
            </w:r>
          </w:p>
          <w:p w14:paraId="750735DE"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compared to placebo</w:t>
            </w:r>
          </w:p>
        </w:tc>
        <w:tc>
          <w:tcPr>
            <w:tcW w:w="2027" w:type="dxa"/>
          </w:tcPr>
          <w:p w14:paraId="30AA78AA"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Primary: survival, fatal and non-fatal cardiovascular events, AEs and health-related quality of life. Surrogate: changes in serum TC, LDL-C, HDL-C, and triglycerides</w:t>
            </w:r>
          </w:p>
        </w:tc>
        <w:tc>
          <w:tcPr>
            <w:tcW w:w="2206" w:type="dxa"/>
          </w:tcPr>
          <w:p w14:paraId="16E3E4B5"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 xml:space="preserve">Ezetimibe mono-therapy significantly reduced LDL-C compared with placebo.Significant potentially favour-rable changes were also observed in TC, HDL-C and triglyceride levels. </w:t>
            </w:r>
          </w:p>
          <w:p w14:paraId="3FC9AA27"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ezetimibe mono-therapy was well tolerated with a safety profile similar to placebo</w:t>
            </w:r>
          </w:p>
        </w:tc>
        <w:tc>
          <w:tcPr>
            <w:tcW w:w="2430" w:type="dxa"/>
          </w:tcPr>
          <w:p w14:paraId="36916F10"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Limited relevance: research question restricted ezetimibe monotherapy to patients intolerant to a statin, but no RCT with such a selection criterion was found.</w:t>
            </w:r>
          </w:p>
        </w:tc>
      </w:tr>
      <w:tr w:rsidR="00F809F6" w:rsidRPr="008C096A" w14:paraId="3CA8DA81" w14:textId="77777777" w:rsidTr="00491286">
        <w:tc>
          <w:tcPr>
            <w:tcW w:w="3964" w:type="dxa"/>
          </w:tcPr>
          <w:p w14:paraId="3A04CFA9" w14:textId="5B324B17" w:rsidR="00F809F6" w:rsidRPr="008C096A" w:rsidRDefault="00F809F6" w:rsidP="00F809F6">
            <w:pPr>
              <w:rPr>
                <w:rFonts w:ascii="Arial Narrow" w:hAnsi="Arial Narrow"/>
                <w:sz w:val="20"/>
                <w:szCs w:val="20"/>
              </w:rPr>
            </w:pPr>
            <w:r w:rsidRPr="008C096A">
              <w:rPr>
                <w:rFonts w:ascii="Arial Narrow" w:hAnsi="Arial Narrow"/>
                <w:sz w:val="20"/>
                <w:szCs w:val="20"/>
              </w:rPr>
              <w:t>HTA 2015</w:t>
            </w:r>
            <w:r w:rsidR="00872B49">
              <w:rPr>
                <w:rFonts w:ascii="Arial Narrow" w:hAnsi="Arial Narrow"/>
                <w:sz w:val="20"/>
                <w:szCs w:val="20"/>
              </w:rPr>
              <w:t xml:space="preserve"> (unpublished independent assessment of the Merck and Co 2015 ezetimibe submission to NICE)</w:t>
            </w:r>
          </w:p>
          <w:p w14:paraId="5F65B088" w14:textId="77777777" w:rsidR="00872B49" w:rsidRDefault="00872B49" w:rsidP="00F809F6">
            <w:pPr>
              <w:rPr>
                <w:rFonts w:ascii="Arial Narrow" w:hAnsi="Arial Narrow"/>
                <w:sz w:val="20"/>
                <w:szCs w:val="20"/>
              </w:rPr>
            </w:pPr>
          </w:p>
          <w:p w14:paraId="659F6241"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UK</w:t>
            </w:r>
          </w:p>
        </w:tc>
        <w:tc>
          <w:tcPr>
            <w:tcW w:w="2126" w:type="dxa"/>
          </w:tcPr>
          <w:p w14:paraId="2E894BFA"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 xml:space="preserve">Adults (age &gt; 18 years) with primary (heterozygous familial or non-familial) hyper-cholesterolaemia </w:t>
            </w:r>
          </w:p>
          <w:p w14:paraId="64349307"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whose condition is not appropriately controlled with a statin alone or</w:t>
            </w:r>
          </w:p>
          <w:p w14:paraId="4FF9723F"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in whom a statin is considered inappropriate or is not tolerated</w:t>
            </w:r>
          </w:p>
        </w:tc>
        <w:tc>
          <w:tcPr>
            <w:tcW w:w="2410" w:type="dxa"/>
          </w:tcPr>
          <w:p w14:paraId="2FA0BAA5"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Interventions:</w:t>
            </w:r>
          </w:p>
          <w:p w14:paraId="44252B07"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 Ezetimibe monotherapy</w:t>
            </w:r>
          </w:p>
          <w:p w14:paraId="60F07246"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b)Ezetimibe+simvastatin</w:t>
            </w:r>
          </w:p>
          <w:p w14:paraId="035CD341" w14:textId="77777777" w:rsidR="00F809F6" w:rsidRPr="008C096A" w:rsidRDefault="00F809F6" w:rsidP="00F809F6">
            <w:pPr>
              <w:rPr>
                <w:rFonts w:ascii="Arial Narrow" w:hAnsi="Arial Narrow"/>
                <w:sz w:val="20"/>
                <w:szCs w:val="20"/>
              </w:rPr>
            </w:pPr>
          </w:p>
          <w:p w14:paraId="1B2126B4"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Comparators:</w:t>
            </w:r>
          </w:p>
          <w:p w14:paraId="61D682CF"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 xml:space="preserve">a) placebo </w:t>
            </w:r>
          </w:p>
          <w:p w14:paraId="7D651A9C"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b) placebo in combination with the matching lipid-lowering drug</w:t>
            </w:r>
          </w:p>
        </w:tc>
        <w:tc>
          <w:tcPr>
            <w:tcW w:w="2027" w:type="dxa"/>
          </w:tcPr>
          <w:p w14:paraId="2ABAC397"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Survival, fatal and non-fatal cardiovascular events, adverse effects of treatment and health-related quality of life (HRQoL). In the absence of clinical end points, surrogate end-point data LDL-C, total cholesterol and HDL-C were used.</w:t>
            </w:r>
          </w:p>
        </w:tc>
        <w:tc>
          <w:tcPr>
            <w:tcW w:w="2206" w:type="dxa"/>
          </w:tcPr>
          <w:p w14:paraId="59EE4781"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Ezetimibe monotherapy resulted in a significantly greater reduction in the LDL-C percentage change from baseline compared to placebo. Combination of ezetimibe+statin resulted in significantly greater reduction in the LDL-C percentage change from baseline and in total cholesterol compared to the matching dose of a statin alone</w:t>
            </w:r>
          </w:p>
        </w:tc>
        <w:tc>
          <w:tcPr>
            <w:tcW w:w="2430" w:type="dxa"/>
          </w:tcPr>
          <w:p w14:paraId="2539FCED" w14:textId="08131CA7" w:rsidR="00F809F6" w:rsidRPr="008C096A" w:rsidRDefault="005E442D" w:rsidP="00424ECC">
            <w:pPr>
              <w:rPr>
                <w:rFonts w:ascii="Arial Narrow" w:hAnsi="Arial Narrow"/>
                <w:sz w:val="20"/>
                <w:szCs w:val="20"/>
              </w:rPr>
            </w:pPr>
            <w:r w:rsidRPr="008C096A">
              <w:rPr>
                <w:rFonts w:ascii="Arial Narrow" w:hAnsi="Arial Narrow"/>
                <w:sz w:val="20"/>
                <w:szCs w:val="20"/>
              </w:rPr>
              <w:t>Moderately relevant:</w:t>
            </w:r>
            <w:r w:rsidR="00424ECC">
              <w:rPr>
                <w:rFonts w:ascii="Arial Narrow" w:hAnsi="Arial Narrow"/>
                <w:sz w:val="20"/>
                <w:szCs w:val="20"/>
              </w:rPr>
              <w:t xml:space="preserve"> the target population</w:t>
            </w:r>
            <w:r w:rsidRPr="008C096A">
              <w:rPr>
                <w:rFonts w:ascii="Arial Narrow" w:hAnsi="Arial Narrow"/>
                <w:sz w:val="20"/>
                <w:szCs w:val="20"/>
              </w:rPr>
              <w:t xml:space="preserve"> </w:t>
            </w:r>
            <w:r w:rsidR="00424ECC" w:rsidRPr="00424ECC">
              <w:rPr>
                <w:rFonts w:ascii="Arial Narrow" w:hAnsi="Arial Narrow"/>
                <w:sz w:val="20"/>
                <w:szCs w:val="20"/>
              </w:rPr>
              <w:t>included only patients who cannot increase their st</w:t>
            </w:r>
            <w:r w:rsidR="00424ECC">
              <w:rPr>
                <w:rFonts w:ascii="Arial Narrow" w:hAnsi="Arial Narrow"/>
                <w:sz w:val="20"/>
                <w:szCs w:val="20"/>
              </w:rPr>
              <w:t xml:space="preserve">atin dose due to intolerance or </w:t>
            </w:r>
            <w:r w:rsidR="00424ECC" w:rsidRPr="00424ECC">
              <w:rPr>
                <w:rFonts w:ascii="Arial Narrow" w:hAnsi="Arial Narrow"/>
                <w:sz w:val="20"/>
                <w:szCs w:val="20"/>
              </w:rPr>
              <w:t xml:space="preserve">contraindication. </w:t>
            </w:r>
            <w:r w:rsidR="00424ECC" w:rsidRPr="00424ECC">
              <w:rPr>
                <w:rFonts w:ascii="Arial Narrow" w:hAnsi="Arial Narrow"/>
                <w:i/>
                <w:sz w:val="20"/>
                <w:szCs w:val="20"/>
              </w:rPr>
              <w:t>The stated definition of the population is equivalent to the target population in the present review, however since no RCT with such a selection</w:t>
            </w:r>
            <w:r w:rsidR="00424ECC">
              <w:rPr>
                <w:rFonts w:ascii="Arial Narrow" w:hAnsi="Arial Narrow"/>
                <w:i/>
                <w:sz w:val="20"/>
                <w:szCs w:val="20"/>
              </w:rPr>
              <w:t xml:space="preserve"> criterion</w:t>
            </w:r>
            <w:r w:rsidR="00424ECC" w:rsidRPr="00424ECC">
              <w:rPr>
                <w:rFonts w:ascii="Arial Narrow" w:hAnsi="Arial Narrow"/>
                <w:i/>
                <w:sz w:val="20"/>
                <w:szCs w:val="20"/>
              </w:rPr>
              <w:t xml:space="preserve"> was found, the assumption was made that all patients in add-on EZ studies are on the maximum tolerated dose of statin. Up-titration studies were excluded.</w:t>
            </w:r>
            <w:r w:rsidR="00424ECC">
              <w:rPr>
                <w:rFonts w:ascii="Arial Narrow" w:hAnsi="Arial Narrow"/>
                <w:sz w:val="20"/>
                <w:szCs w:val="20"/>
              </w:rPr>
              <w:t xml:space="preserve"> </w:t>
            </w:r>
          </w:p>
        </w:tc>
      </w:tr>
      <w:tr w:rsidR="00F809F6" w:rsidRPr="008C096A" w14:paraId="21179B34" w14:textId="77777777" w:rsidTr="00491286">
        <w:tc>
          <w:tcPr>
            <w:tcW w:w="3964" w:type="dxa"/>
          </w:tcPr>
          <w:p w14:paraId="5E437A49" w14:textId="3B030687" w:rsidR="00872B49" w:rsidRPr="00872B49" w:rsidRDefault="00872B49" w:rsidP="00872B49">
            <w:pPr>
              <w:rPr>
                <w:rFonts w:ascii="Arial Narrow" w:hAnsi="Arial Narrow"/>
                <w:sz w:val="20"/>
                <w:szCs w:val="20"/>
              </w:rPr>
            </w:pPr>
            <w:r>
              <w:rPr>
                <w:rFonts w:ascii="Arial Narrow" w:hAnsi="Arial Narrow"/>
                <w:sz w:val="20"/>
                <w:szCs w:val="20"/>
              </w:rPr>
              <w:t xml:space="preserve">Mikhailidis DP. Sibbring, </w:t>
            </w:r>
            <w:r w:rsidRPr="00872B49">
              <w:rPr>
                <w:rFonts w:ascii="Arial Narrow" w:hAnsi="Arial Narrow"/>
                <w:sz w:val="20"/>
                <w:szCs w:val="20"/>
              </w:rPr>
              <w:t>Ballantyne G.M. Davies et al</w:t>
            </w:r>
          </w:p>
          <w:p w14:paraId="5597A11E" w14:textId="088E7CF1" w:rsidR="00872B49" w:rsidRPr="00872B49" w:rsidRDefault="00872B49" w:rsidP="00872B49">
            <w:pPr>
              <w:rPr>
                <w:rFonts w:ascii="Arial Narrow" w:hAnsi="Arial Narrow"/>
                <w:sz w:val="20"/>
                <w:szCs w:val="20"/>
              </w:rPr>
            </w:pPr>
            <w:r w:rsidRPr="00872B49">
              <w:rPr>
                <w:rFonts w:ascii="Arial Narrow" w:hAnsi="Arial Narrow"/>
                <w:sz w:val="20"/>
                <w:szCs w:val="20"/>
              </w:rPr>
              <w:t>Meta-analy</w:t>
            </w:r>
            <w:r w:rsidR="006D7030">
              <w:rPr>
                <w:rFonts w:ascii="Arial Narrow" w:hAnsi="Arial Narrow"/>
                <w:sz w:val="20"/>
                <w:szCs w:val="20"/>
              </w:rPr>
              <w:t xml:space="preserve">sis of the cholesterol lowering </w:t>
            </w:r>
            <w:r>
              <w:rPr>
                <w:rFonts w:ascii="Arial Narrow" w:hAnsi="Arial Narrow"/>
                <w:sz w:val="20"/>
                <w:szCs w:val="20"/>
              </w:rPr>
              <w:t xml:space="preserve">effect of ezetimibe </w:t>
            </w:r>
            <w:r w:rsidRPr="00872B49">
              <w:rPr>
                <w:rFonts w:ascii="Arial Narrow" w:hAnsi="Arial Narrow"/>
                <w:sz w:val="20"/>
                <w:szCs w:val="20"/>
              </w:rPr>
              <w:t>added to ongoing statin therapy. Current Medical Research and Opinion; 2007</w:t>
            </w:r>
          </w:p>
          <w:p w14:paraId="4992D845" w14:textId="77777777" w:rsidR="00872B49" w:rsidRDefault="00872B49" w:rsidP="00872B49">
            <w:pPr>
              <w:rPr>
                <w:rFonts w:ascii="Arial Narrow" w:hAnsi="Arial Narrow"/>
                <w:sz w:val="20"/>
                <w:szCs w:val="20"/>
              </w:rPr>
            </w:pPr>
            <w:r w:rsidRPr="00872B49">
              <w:rPr>
                <w:rFonts w:ascii="Arial Narrow" w:hAnsi="Arial Narrow"/>
                <w:sz w:val="20"/>
                <w:szCs w:val="20"/>
              </w:rPr>
              <w:t>Vol. 23, No. 8, 2009–2026</w:t>
            </w:r>
          </w:p>
          <w:p w14:paraId="3A4BB4C6" w14:textId="77777777" w:rsidR="00872B49" w:rsidRDefault="00872B49" w:rsidP="00872B49">
            <w:pPr>
              <w:rPr>
                <w:rFonts w:ascii="Arial Narrow" w:hAnsi="Arial Narrow"/>
                <w:sz w:val="20"/>
                <w:szCs w:val="20"/>
              </w:rPr>
            </w:pPr>
          </w:p>
          <w:p w14:paraId="289134D6" w14:textId="217FAE3A" w:rsidR="00F809F6" w:rsidRPr="008C096A" w:rsidRDefault="00F809F6" w:rsidP="00872B49">
            <w:pPr>
              <w:rPr>
                <w:rFonts w:ascii="Arial Narrow" w:hAnsi="Arial Narrow"/>
                <w:sz w:val="20"/>
                <w:szCs w:val="20"/>
              </w:rPr>
            </w:pPr>
            <w:r w:rsidRPr="008C096A">
              <w:rPr>
                <w:rFonts w:ascii="Arial Narrow" w:hAnsi="Arial Narrow"/>
                <w:sz w:val="20"/>
                <w:szCs w:val="20"/>
              </w:rPr>
              <w:t>UK</w:t>
            </w:r>
          </w:p>
        </w:tc>
        <w:tc>
          <w:tcPr>
            <w:tcW w:w="2126" w:type="dxa"/>
          </w:tcPr>
          <w:p w14:paraId="65A4C384"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Adults with primary hypercholesterolaemia or hyper-lipidaemia homozygous familial sitosterolaemia</w:t>
            </w:r>
          </w:p>
          <w:p w14:paraId="7CED8D9E"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whose LDL-C levels were above those recommended by NCEP Adult Treatment</w:t>
            </w:r>
          </w:p>
          <w:p w14:paraId="405EF177"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Panel (ATP) II/III guideline criteria</w:t>
            </w:r>
          </w:p>
        </w:tc>
        <w:tc>
          <w:tcPr>
            <w:tcW w:w="2410" w:type="dxa"/>
          </w:tcPr>
          <w:p w14:paraId="156240DE"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Add-on studies  that compared</w:t>
            </w:r>
          </w:p>
          <w:p w14:paraId="755F47EE"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treatment with ezetimibe or placebo added to the undergoing statin therapy. Ezetimibe in</w:t>
            </w:r>
          </w:p>
          <w:p w14:paraId="63577A02"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 xml:space="preserve">combination with a statin compared with placebo+ statin (i.e. statin monotherapy) </w:t>
            </w:r>
          </w:p>
        </w:tc>
        <w:tc>
          <w:tcPr>
            <w:tcW w:w="2027" w:type="dxa"/>
          </w:tcPr>
          <w:p w14:paraId="2DF08501"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 xml:space="preserve">Only the surrogate outcomes were extracted: mean % changes from baseline and in total cholesterol; LDL-C, HDL-C; Proportion of patients achieving the LDL-C goal. </w:t>
            </w:r>
          </w:p>
        </w:tc>
        <w:tc>
          <w:tcPr>
            <w:tcW w:w="2206" w:type="dxa"/>
          </w:tcPr>
          <w:p w14:paraId="7F2B4EE0"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 significantly greater percentage reduction in LDL-C levels was</w:t>
            </w:r>
          </w:p>
          <w:p w14:paraId="3B7DED92"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achieved in ezetimibe+statin combination  vs statin mono-therapy;</w:t>
            </w:r>
          </w:p>
        </w:tc>
        <w:tc>
          <w:tcPr>
            <w:tcW w:w="2430" w:type="dxa"/>
          </w:tcPr>
          <w:p w14:paraId="690FE02A"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Moderately relevant: Patients were not required to be at the highest tolerated dose of statin in the combination arm. NCEP ATP-III LDL-C criteria do not fully correspond to GSLLD criteria.</w:t>
            </w:r>
          </w:p>
        </w:tc>
      </w:tr>
      <w:tr w:rsidR="00F809F6" w:rsidRPr="008C096A" w14:paraId="1327AF6F" w14:textId="77777777" w:rsidTr="00491286">
        <w:tc>
          <w:tcPr>
            <w:tcW w:w="3964" w:type="dxa"/>
          </w:tcPr>
          <w:p w14:paraId="27C8455E" w14:textId="77777777" w:rsidR="00872B49" w:rsidRDefault="00872B49" w:rsidP="00F809F6">
            <w:pPr>
              <w:rPr>
                <w:rFonts w:ascii="Arial Narrow" w:hAnsi="Arial Narrow"/>
                <w:sz w:val="20"/>
                <w:szCs w:val="20"/>
              </w:rPr>
            </w:pPr>
            <w:r w:rsidRPr="00872B49">
              <w:rPr>
                <w:rFonts w:ascii="Arial Narrow" w:hAnsi="Arial Narrow"/>
                <w:sz w:val="20"/>
                <w:szCs w:val="20"/>
              </w:rPr>
              <w:lastRenderedPageBreak/>
              <w:t>Mikhailidis DP Comparative efficacy of the addition of ezetimibe to statin vs statin titration in patients with hypercholesterolaemia: systematic review and meta-analysis. Curr Med Res Opin. 2011 Jun;27(6):1191-210</w:t>
            </w:r>
          </w:p>
          <w:p w14:paraId="04854885" w14:textId="77777777" w:rsidR="00872B49" w:rsidRDefault="00872B49" w:rsidP="00F809F6">
            <w:pPr>
              <w:rPr>
                <w:rFonts w:ascii="Arial Narrow" w:hAnsi="Arial Narrow"/>
                <w:sz w:val="20"/>
                <w:szCs w:val="20"/>
              </w:rPr>
            </w:pPr>
          </w:p>
          <w:p w14:paraId="0C5A8840" w14:textId="4919F97F" w:rsidR="00F809F6" w:rsidRPr="008C096A" w:rsidRDefault="00F809F6" w:rsidP="00F809F6">
            <w:pPr>
              <w:rPr>
                <w:rFonts w:ascii="Arial Narrow" w:hAnsi="Arial Narrow"/>
                <w:sz w:val="20"/>
                <w:szCs w:val="20"/>
              </w:rPr>
            </w:pPr>
            <w:r w:rsidRPr="008C096A">
              <w:rPr>
                <w:rFonts w:ascii="Arial Narrow" w:hAnsi="Arial Narrow"/>
                <w:sz w:val="20"/>
                <w:szCs w:val="20"/>
              </w:rPr>
              <w:t>UK</w:t>
            </w:r>
          </w:p>
        </w:tc>
        <w:tc>
          <w:tcPr>
            <w:tcW w:w="2126" w:type="dxa"/>
          </w:tcPr>
          <w:p w14:paraId="0829C8E9"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Adults with primary hypercholesterolaemia or hyperlipidaemia who had not received statin therapy before (first line treatment), or whose cholesterol levels were not controlled by their existing statin monotherapy (second line treatment)</w:t>
            </w:r>
          </w:p>
        </w:tc>
        <w:tc>
          <w:tcPr>
            <w:tcW w:w="2410" w:type="dxa"/>
          </w:tcPr>
          <w:p w14:paraId="460D34F6"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Ezetimibe in</w:t>
            </w:r>
          </w:p>
          <w:p w14:paraId="03B5A28E"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combination with a statin compared with doubling of the statin mono-therapy dose (other methods of statin up-titration were not specifically excluded). Not limited to RCTs</w:t>
            </w:r>
          </w:p>
        </w:tc>
        <w:tc>
          <w:tcPr>
            <w:tcW w:w="2027" w:type="dxa"/>
          </w:tcPr>
          <w:p w14:paraId="6A29C540"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Only the surrogate outcomes were extracted: Proportion of patients achieving the LDL-C goal (typically 2.59 mmol/L; range 1.8–2.59 mmol/L), mean % changes from baseline in LDL-C, HDL-C and total cholesterol.</w:t>
            </w:r>
          </w:p>
        </w:tc>
        <w:tc>
          <w:tcPr>
            <w:tcW w:w="2206" w:type="dxa"/>
          </w:tcPr>
          <w:p w14:paraId="5F8113C5"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 significantly greater percentage reduction in LDL-C levels was</w:t>
            </w:r>
          </w:p>
          <w:p w14:paraId="75E05F81"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achieved in ezetimibe+statin combination  vs statin mono-therapy; Reduction in LDL-C levels attributed to add-on ezetimibe</w:t>
            </w:r>
          </w:p>
          <w:p w14:paraId="3BBCCA21"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was significantly greater than that for statin dose doubling</w:t>
            </w:r>
          </w:p>
        </w:tc>
        <w:tc>
          <w:tcPr>
            <w:tcW w:w="2430" w:type="dxa"/>
          </w:tcPr>
          <w:p w14:paraId="54A32DFA" w14:textId="4A4948EB" w:rsidR="00F809F6" w:rsidRPr="008C096A" w:rsidRDefault="00F809F6" w:rsidP="00CA77DE">
            <w:pPr>
              <w:rPr>
                <w:rFonts w:ascii="Arial Narrow" w:hAnsi="Arial Narrow"/>
                <w:sz w:val="20"/>
                <w:szCs w:val="20"/>
              </w:rPr>
            </w:pPr>
            <w:r w:rsidRPr="008C096A">
              <w:rPr>
                <w:rFonts w:ascii="Arial Narrow" w:hAnsi="Arial Narrow"/>
                <w:sz w:val="20"/>
                <w:szCs w:val="20"/>
              </w:rPr>
              <w:t xml:space="preserve">The most relevant </w:t>
            </w:r>
            <w:r w:rsidR="00CA77DE">
              <w:rPr>
                <w:rFonts w:ascii="Arial Narrow" w:hAnsi="Arial Narrow"/>
                <w:sz w:val="20"/>
                <w:szCs w:val="20"/>
              </w:rPr>
              <w:t>with respect to the</w:t>
            </w:r>
            <w:r w:rsidRPr="008C096A">
              <w:rPr>
                <w:rFonts w:ascii="Arial Narrow" w:hAnsi="Arial Narrow"/>
                <w:sz w:val="20"/>
                <w:szCs w:val="20"/>
              </w:rPr>
              <w:t xml:space="preserve"> intervention; statin monotherapy was up-titrated if the patients did not achieve the LDL-C goal at baseline; </w:t>
            </w:r>
            <w:r w:rsidR="0074048F">
              <w:rPr>
                <w:rFonts w:ascii="Arial Narrow" w:hAnsi="Arial Narrow"/>
                <w:sz w:val="20"/>
                <w:szCs w:val="20"/>
              </w:rPr>
              <w:t xml:space="preserve">However, </w:t>
            </w:r>
            <w:r w:rsidR="00CA77DE">
              <w:rPr>
                <w:rFonts w:ascii="Arial Narrow" w:hAnsi="Arial Narrow"/>
                <w:sz w:val="20"/>
                <w:szCs w:val="20"/>
              </w:rPr>
              <w:t>p</w:t>
            </w:r>
            <w:r w:rsidRPr="008C096A">
              <w:rPr>
                <w:rFonts w:ascii="Arial Narrow" w:hAnsi="Arial Narrow"/>
                <w:sz w:val="20"/>
                <w:szCs w:val="20"/>
              </w:rPr>
              <w:t xml:space="preserve">atients were not required to be at the </w:t>
            </w:r>
            <w:r w:rsidR="00CA77DE">
              <w:rPr>
                <w:rFonts w:ascii="Arial Narrow" w:hAnsi="Arial Narrow"/>
                <w:sz w:val="20"/>
                <w:szCs w:val="20"/>
              </w:rPr>
              <w:t xml:space="preserve">maximally </w:t>
            </w:r>
            <w:r w:rsidRPr="008C096A">
              <w:rPr>
                <w:rFonts w:ascii="Arial Narrow" w:hAnsi="Arial Narrow"/>
                <w:sz w:val="20"/>
                <w:szCs w:val="20"/>
              </w:rPr>
              <w:t>tolerated dose of statin in the combination arm</w:t>
            </w:r>
          </w:p>
        </w:tc>
      </w:tr>
      <w:tr w:rsidR="00F809F6" w:rsidRPr="008C096A" w14:paraId="5AA8F149" w14:textId="77777777" w:rsidTr="00491286">
        <w:tc>
          <w:tcPr>
            <w:tcW w:w="3964" w:type="dxa"/>
          </w:tcPr>
          <w:p w14:paraId="24C7C5A4" w14:textId="60D543FA" w:rsidR="00C81C1E" w:rsidRDefault="00C81C1E" w:rsidP="00F809F6">
            <w:pPr>
              <w:rPr>
                <w:rFonts w:ascii="Arial Narrow" w:hAnsi="Arial Narrow"/>
                <w:sz w:val="20"/>
                <w:szCs w:val="20"/>
              </w:rPr>
            </w:pPr>
            <w:r w:rsidRPr="00C81C1E">
              <w:rPr>
                <w:rFonts w:ascii="Arial Narrow" w:hAnsi="Arial Narrow"/>
                <w:sz w:val="20"/>
                <w:szCs w:val="20"/>
              </w:rPr>
              <w:t>Kashani A, Sallam T, Bheemreddy S, Mann DL, Wang Y, Foody JM. Am J Cardiol. Review of side-effect profile of combination ezetimibe and statin therapy in randomized clinical trials.2008;</w:t>
            </w:r>
            <w:r>
              <w:rPr>
                <w:rFonts w:ascii="Arial Narrow" w:hAnsi="Arial Narrow"/>
                <w:sz w:val="20"/>
                <w:szCs w:val="20"/>
              </w:rPr>
              <w:t xml:space="preserve"> </w:t>
            </w:r>
            <w:r w:rsidRPr="00C81C1E">
              <w:rPr>
                <w:rFonts w:ascii="Arial Narrow" w:hAnsi="Arial Narrow"/>
                <w:sz w:val="20"/>
                <w:szCs w:val="20"/>
              </w:rPr>
              <w:t xml:space="preserve">101(11):1606-13. </w:t>
            </w:r>
          </w:p>
          <w:p w14:paraId="598AF5F4" w14:textId="77777777" w:rsidR="00C81C1E" w:rsidRDefault="00C81C1E" w:rsidP="00F809F6">
            <w:pPr>
              <w:rPr>
                <w:rFonts w:ascii="Arial Narrow" w:hAnsi="Arial Narrow"/>
                <w:sz w:val="20"/>
                <w:szCs w:val="20"/>
              </w:rPr>
            </w:pPr>
          </w:p>
          <w:p w14:paraId="357F6126" w14:textId="1EF5DF79" w:rsidR="00F809F6" w:rsidRPr="008C096A" w:rsidRDefault="00F809F6" w:rsidP="00F809F6">
            <w:pPr>
              <w:rPr>
                <w:rFonts w:ascii="Arial Narrow" w:hAnsi="Arial Narrow"/>
                <w:sz w:val="20"/>
                <w:szCs w:val="20"/>
              </w:rPr>
            </w:pPr>
            <w:r w:rsidRPr="008C096A">
              <w:rPr>
                <w:rFonts w:ascii="Arial Narrow" w:hAnsi="Arial Narrow"/>
                <w:sz w:val="20"/>
                <w:szCs w:val="20"/>
              </w:rPr>
              <w:t>USA</w:t>
            </w:r>
          </w:p>
        </w:tc>
        <w:tc>
          <w:tcPr>
            <w:tcW w:w="2126" w:type="dxa"/>
          </w:tcPr>
          <w:p w14:paraId="72BEB3A9"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General population of adults (age &gt;18 years) with hyperlipidaemia (defined uniquely within each study). Studies limited to specific patient populations were excluded.</w:t>
            </w:r>
          </w:p>
        </w:tc>
        <w:tc>
          <w:tcPr>
            <w:tcW w:w="2410" w:type="dxa"/>
          </w:tcPr>
          <w:p w14:paraId="18FF57D4"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Compare the pooled estimates of the rates of AEs in treatment with ezetimibe alone or ezetimibe in</w:t>
            </w:r>
          </w:p>
          <w:p w14:paraId="16D91631"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combination with a statin vs a statin monotherapy</w:t>
            </w:r>
          </w:p>
        </w:tc>
        <w:tc>
          <w:tcPr>
            <w:tcW w:w="2027" w:type="dxa"/>
          </w:tcPr>
          <w:p w14:paraId="213515CB"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Rates of AEs defined as myalgias, creatine kinase increases, rhabdomyolysis, transaminase</w:t>
            </w:r>
          </w:p>
          <w:p w14:paraId="0C91C4DF"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increases, gastrointestinal adverse events; discontinuations because of an adverse event</w:t>
            </w:r>
          </w:p>
        </w:tc>
        <w:tc>
          <w:tcPr>
            <w:tcW w:w="2206" w:type="dxa"/>
          </w:tcPr>
          <w:p w14:paraId="4F3A545C"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Based on this systematic review, the addition of ezetimibe to statin therapy does not significantly increase the incidence of adverse events</w:t>
            </w:r>
          </w:p>
        </w:tc>
        <w:tc>
          <w:tcPr>
            <w:tcW w:w="2430" w:type="dxa"/>
          </w:tcPr>
          <w:p w14:paraId="0BC333DA" w14:textId="6C95BCE6" w:rsidR="00F809F6" w:rsidRPr="008C096A" w:rsidRDefault="00F809F6" w:rsidP="00F809F6">
            <w:pPr>
              <w:rPr>
                <w:rFonts w:ascii="Arial Narrow" w:hAnsi="Arial Narrow"/>
                <w:sz w:val="20"/>
                <w:szCs w:val="20"/>
              </w:rPr>
            </w:pPr>
            <w:r w:rsidRPr="008C096A">
              <w:rPr>
                <w:rFonts w:ascii="Arial Narrow" w:hAnsi="Arial Narrow"/>
                <w:sz w:val="20"/>
                <w:szCs w:val="20"/>
              </w:rPr>
              <w:t xml:space="preserve">Limited relevance Patients were not required to be at the highest tolerated dose of statin in the combination arm. Ezetimibe monotherapy was not restricted to patients intolerant to a statin; </w:t>
            </w:r>
            <w:r w:rsidR="00561AD1">
              <w:rPr>
                <w:rFonts w:ascii="Arial Narrow" w:hAnsi="Arial Narrow"/>
                <w:sz w:val="20"/>
                <w:szCs w:val="20"/>
              </w:rPr>
              <w:t>statin was a wrong comparator for EZ monotherapy in our review</w:t>
            </w:r>
          </w:p>
        </w:tc>
      </w:tr>
      <w:tr w:rsidR="00F809F6" w:rsidRPr="008C096A" w14:paraId="463BE9DE" w14:textId="77777777" w:rsidTr="00491286">
        <w:tc>
          <w:tcPr>
            <w:tcW w:w="3964" w:type="dxa"/>
          </w:tcPr>
          <w:p w14:paraId="565FD87B" w14:textId="2BD68C68" w:rsidR="00C81C1E" w:rsidRDefault="00C81C1E" w:rsidP="00C81C1E">
            <w:pPr>
              <w:rPr>
                <w:rFonts w:ascii="Arial Narrow" w:hAnsi="Arial Narrow"/>
                <w:sz w:val="20"/>
                <w:szCs w:val="20"/>
              </w:rPr>
            </w:pPr>
            <w:r w:rsidRPr="00320664">
              <w:rPr>
                <w:rFonts w:ascii="Arial Narrow" w:hAnsi="Arial Narrow"/>
                <w:sz w:val="20"/>
                <w:szCs w:val="20"/>
                <w:lang w:val="nl-NL"/>
              </w:rPr>
              <w:t xml:space="preserve">Luo L, Yuan X, Huang W, et al. </w:t>
            </w:r>
            <w:r>
              <w:rPr>
                <w:rFonts w:ascii="Arial Narrow" w:hAnsi="Arial Narrow"/>
                <w:sz w:val="20"/>
                <w:szCs w:val="20"/>
              </w:rPr>
              <w:t xml:space="preserve">Safety and co-administration of </w:t>
            </w:r>
            <w:r w:rsidRPr="00C81C1E">
              <w:rPr>
                <w:rFonts w:ascii="Arial Narrow" w:hAnsi="Arial Narrow"/>
                <w:sz w:val="20"/>
                <w:szCs w:val="20"/>
              </w:rPr>
              <w:t>ez</w:t>
            </w:r>
            <w:r>
              <w:rPr>
                <w:rFonts w:ascii="Arial Narrow" w:hAnsi="Arial Narrow"/>
                <w:sz w:val="20"/>
                <w:szCs w:val="20"/>
              </w:rPr>
              <w:t xml:space="preserve">etimibe and statins in patients </w:t>
            </w:r>
            <w:r w:rsidRPr="00C81C1E">
              <w:rPr>
                <w:rFonts w:ascii="Arial Narrow" w:hAnsi="Arial Narrow"/>
                <w:sz w:val="20"/>
                <w:szCs w:val="20"/>
              </w:rPr>
              <w:t>with hyper-cholesterolemia: a meta-analysis. Intern Med J. 2015;45:546–557.</w:t>
            </w:r>
          </w:p>
          <w:p w14:paraId="57C6B0C1" w14:textId="77777777" w:rsidR="00C81C1E" w:rsidRDefault="00C81C1E" w:rsidP="00C81C1E">
            <w:pPr>
              <w:rPr>
                <w:rFonts w:ascii="Arial Narrow" w:hAnsi="Arial Narrow"/>
                <w:sz w:val="20"/>
                <w:szCs w:val="20"/>
              </w:rPr>
            </w:pPr>
          </w:p>
          <w:p w14:paraId="31F6F9FA" w14:textId="3600CD09" w:rsidR="00F809F6" w:rsidRPr="008C096A" w:rsidRDefault="00F809F6" w:rsidP="00C81C1E">
            <w:pPr>
              <w:rPr>
                <w:rFonts w:ascii="Arial Narrow" w:hAnsi="Arial Narrow"/>
                <w:sz w:val="20"/>
                <w:szCs w:val="20"/>
              </w:rPr>
            </w:pPr>
            <w:r w:rsidRPr="008C096A">
              <w:rPr>
                <w:rFonts w:ascii="Arial Narrow" w:hAnsi="Arial Narrow"/>
                <w:sz w:val="20"/>
                <w:szCs w:val="20"/>
              </w:rPr>
              <w:t>China</w:t>
            </w:r>
          </w:p>
        </w:tc>
        <w:tc>
          <w:tcPr>
            <w:tcW w:w="2126" w:type="dxa"/>
          </w:tcPr>
          <w:p w14:paraId="6AE0A763"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Patients (age &gt;18 years) diagnosed with hyper-cholesterolaemia, whose LDL-C levels were above NCEP ATP III guidelines.</w:t>
            </w:r>
          </w:p>
        </w:tc>
        <w:tc>
          <w:tcPr>
            <w:tcW w:w="2410" w:type="dxa"/>
          </w:tcPr>
          <w:p w14:paraId="47826A50"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Compare the pooled estimates of the rates of SAEs and AEs in treatment with ezetimibe– statin combination therapy vs a statin monotherapy</w:t>
            </w:r>
          </w:p>
        </w:tc>
        <w:tc>
          <w:tcPr>
            <w:tcW w:w="2027" w:type="dxa"/>
          </w:tcPr>
          <w:p w14:paraId="713567E2"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Rates of SAEs (defined by the RCT design); rates of AEs, treatment discontinuations due to AEs, allergic reactions or rashes, incidence of elevated ALT; AST; creatine kinase and gastrointestinal AEs.</w:t>
            </w:r>
          </w:p>
        </w:tc>
        <w:tc>
          <w:tcPr>
            <w:tcW w:w="2206" w:type="dxa"/>
          </w:tcPr>
          <w:p w14:paraId="28DF4DBA"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The incidence of adverse events was similar between ezetimibe–statin combination therapy and statin monotherapy</w:t>
            </w:r>
          </w:p>
        </w:tc>
        <w:tc>
          <w:tcPr>
            <w:tcW w:w="2430" w:type="dxa"/>
          </w:tcPr>
          <w:p w14:paraId="19B59F88"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Limited relevance</w:t>
            </w:r>
          </w:p>
          <w:p w14:paraId="156C5DE3" w14:textId="77777777" w:rsidR="00F809F6" w:rsidRDefault="00F809F6" w:rsidP="00F809F6">
            <w:pPr>
              <w:rPr>
                <w:rFonts w:ascii="Arial Narrow" w:hAnsi="Arial Narrow"/>
                <w:sz w:val="20"/>
                <w:szCs w:val="20"/>
              </w:rPr>
            </w:pPr>
            <w:r w:rsidRPr="008C096A">
              <w:rPr>
                <w:rFonts w:ascii="Arial Narrow" w:hAnsi="Arial Narrow"/>
                <w:sz w:val="20"/>
                <w:szCs w:val="20"/>
              </w:rPr>
              <w:t>Patients were not required to be at the highest tolerated dose of statin in the combination arm. NCEP ATP-III LDL-C criteria do not fully correspond to GSLLD criteria.</w:t>
            </w:r>
          </w:p>
          <w:p w14:paraId="67B5D868" w14:textId="371153EC" w:rsidR="00561AD1" w:rsidRPr="008C096A" w:rsidRDefault="00561AD1" w:rsidP="00561AD1">
            <w:pPr>
              <w:rPr>
                <w:rFonts w:ascii="Arial Narrow" w:hAnsi="Arial Narrow"/>
                <w:sz w:val="20"/>
                <w:szCs w:val="20"/>
              </w:rPr>
            </w:pPr>
            <w:r>
              <w:rPr>
                <w:rFonts w:ascii="Arial Narrow" w:hAnsi="Arial Narrow"/>
                <w:sz w:val="20"/>
                <w:szCs w:val="20"/>
              </w:rPr>
              <w:t>Statin was a wrong comparator for EZ monotherapy in our review</w:t>
            </w:r>
          </w:p>
        </w:tc>
      </w:tr>
      <w:tr w:rsidR="00F809F6" w:rsidRPr="008C096A" w14:paraId="03A69D95" w14:textId="77777777" w:rsidTr="00491286">
        <w:tc>
          <w:tcPr>
            <w:tcW w:w="3964" w:type="dxa"/>
          </w:tcPr>
          <w:p w14:paraId="399BC02E" w14:textId="3BDA27C6" w:rsidR="00C81C1E" w:rsidRDefault="00C81C1E" w:rsidP="006D7030">
            <w:pPr>
              <w:ind w:right="-108"/>
              <w:rPr>
                <w:rFonts w:ascii="Arial Narrow" w:hAnsi="Arial Narrow"/>
                <w:sz w:val="20"/>
                <w:szCs w:val="20"/>
              </w:rPr>
            </w:pPr>
            <w:r>
              <w:rPr>
                <w:rFonts w:ascii="Arial Narrow" w:hAnsi="Arial Narrow"/>
                <w:sz w:val="20"/>
                <w:szCs w:val="20"/>
              </w:rPr>
              <w:t xml:space="preserve">Ijioma, N. </w:t>
            </w:r>
            <w:r w:rsidR="006D7030">
              <w:rPr>
                <w:rFonts w:ascii="Arial Narrow" w:hAnsi="Arial Narrow"/>
                <w:sz w:val="20"/>
                <w:szCs w:val="20"/>
              </w:rPr>
              <w:t>Robinson,J.</w:t>
            </w:r>
            <w:r w:rsidR="00E23BF6">
              <w:rPr>
                <w:rFonts w:ascii="Arial Narrow" w:hAnsi="Arial Narrow"/>
                <w:sz w:val="20"/>
                <w:szCs w:val="20"/>
              </w:rPr>
              <w:t xml:space="preserve">G. </w:t>
            </w:r>
            <w:r w:rsidRPr="00C81C1E">
              <w:rPr>
                <w:rFonts w:ascii="Arial Narrow" w:hAnsi="Arial Narrow"/>
                <w:sz w:val="20"/>
                <w:szCs w:val="20"/>
              </w:rPr>
              <w:t>Lipid-lowering effects of ezetimibe</w:t>
            </w:r>
            <w:r>
              <w:rPr>
                <w:rFonts w:ascii="Arial Narrow" w:hAnsi="Arial Narrow"/>
                <w:sz w:val="20"/>
                <w:szCs w:val="20"/>
              </w:rPr>
              <w:t xml:space="preserve"> and simvastatin in combination </w:t>
            </w:r>
            <w:r w:rsidRPr="00C81C1E">
              <w:rPr>
                <w:rFonts w:ascii="Arial Narrow" w:hAnsi="Arial Narrow"/>
                <w:sz w:val="20"/>
                <w:szCs w:val="20"/>
              </w:rPr>
              <w:t xml:space="preserve">Expert Review of Cardiovascular Therapy 2011; 9(2) 131-145 </w:t>
            </w:r>
          </w:p>
          <w:p w14:paraId="0BBF3470" w14:textId="2728861F" w:rsidR="00F809F6" w:rsidRPr="008C096A" w:rsidRDefault="00F809F6" w:rsidP="00C81C1E">
            <w:pPr>
              <w:rPr>
                <w:rFonts w:ascii="Arial Narrow" w:hAnsi="Arial Narrow"/>
                <w:sz w:val="20"/>
                <w:szCs w:val="20"/>
              </w:rPr>
            </w:pPr>
            <w:r w:rsidRPr="008C096A">
              <w:rPr>
                <w:rFonts w:ascii="Arial Narrow" w:hAnsi="Arial Narrow"/>
                <w:sz w:val="20"/>
                <w:szCs w:val="20"/>
              </w:rPr>
              <w:t>USA</w:t>
            </w:r>
          </w:p>
        </w:tc>
        <w:tc>
          <w:tcPr>
            <w:tcW w:w="11199" w:type="dxa"/>
            <w:gridSpan w:val="5"/>
          </w:tcPr>
          <w:p w14:paraId="414B5FCA" w14:textId="39D67D6F" w:rsidR="00F809F6" w:rsidRPr="006B45CB" w:rsidRDefault="00F809F6" w:rsidP="006F3BC7">
            <w:pPr>
              <w:rPr>
                <w:rFonts w:ascii="Arial Narrow" w:hAnsi="Arial Narrow"/>
                <w:sz w:val="20"/>
                <w:szCs w:val="20"/>
              </w:rPr>
            </w:pPr>
            <w:r w:rsidRPr="006B45CB">
              <w:rPr>
                <w:rFonts w:ascii="Arial Narrow" w:hAnsi="Arial Narrow"/>
                <w:sz w:val="20"/>
                <w:szCs w:val="20"/>
              </w:rPr>
              <w:t>Poor quality review, no systematic analysis of the evidence, excluded from further considerations; see Appendix</w:t>
            </w:r>
            <w:r w:rsidR="006F3BC7">
              <w:rPr>
                <w:rFonts w:ascii="Arial Narrow" w:hAnsi="Arial Narrow"/>
                <w:sz w:val="20"/>
                <w:szCs w:val="20"/>
              </w:rPr>
              <w:t xml:space="preserve"> 3</w:t>
            </w:r>
          </w:p>
        </w:tc>
      </w:tr>
      <w:tr w:rsidR="00F809F6" w:rsidRPr="008C096A" w14:paraId="474F855B" w14:textId="77777777" w:rsidTr="00491286">
        <w:tc>
          <w:tcPr>
            <w:tcW w:w="3964" w:type="dxa"/>
          </w:tcPr>
          <w:p w14:paraId="04990F37" w14:textId="63C60406" w:rsidR="00E23BF6" w:rsidRDefault="00E23BF6" w:rsidP="00E23BF6">
            <w:pPr>
              <w:rPr>
                <w:rFonts w:ascii="Arial Narrow" w:hAnsi="Arial Narrow"/>
                <w:sz w:val="20"/>
                <w:szCs w:val="20"/>
              </w:rPr>
            </w:pPr>
            <w:r>
              <w:rPr>
                <w:rFonts w:ascii="Arial Narrow" w:hAnsi="Arial Narrow"/>
                <w:sz w:val="20"/>
                <w:szCs w:val="20"/>
              </w:rPr>
              <w:t xml:space="preserve">Sando Karen R. </w:t>
            </w:r>
            <w:r w:rsidRPr="00E23BF6">
              <w:rPr>
                <w:rFonts w:ascii="Arial Narrow" w:hAnsi="Arial Narrow"/>
                <w:sz w:val="20"/>
                <w:szCs w:val="20"/>
              </w:rPr>
              <w:t>Nonstatin Therapies for Manage</w:t>
            </w:r>
            <w:r>
              <w:rPr>
                <w:rFonts w:ascii="Arial Narrow" w:hAnsi="Arial Narrow"/>
                <w:sz w:val="20"/>
                <w:szCs w:val="20"/>
              </w:rPr>
              <w:t xml:space="preserve">ment of Dyslipidemia: A Review. </w:t>
            </w:r>
            <w:r w:rsidR="006D7030">
              <w:rPr>
                <w:rFonts w:ascii="Arial Narrow" w:hAnsi="Arial Narrow"/>
                <w:sz w:val="20"/>
                <w:szCs w:val="20"/>
              </w:rPr>
              <w:t xml:space="preserve">Clinical </w:t>
            </w:r>
            <w:r w:rsidR="006D7030">
              <w:rPr>
                <w:rFonts w:ascii="Arial Narrow" w:hAnsi="Arial Narrow"/>
                <w:sz w:val="20"/>
                <w:szCs w:val="20"/>
              </w:rPr>
              <w:lastRenderedPageBreak/>
              <w:t xml:space="preserve">Therapeutics </w:t>
            </w:r>
            <w:r w:rsidRPr="00E23BF6">
              <w:rPr>
                <w:rFonts w:ascii="Arial Narrow" w:hAnsi="Arial Narrow"/>
                <w:sz w:val="20"/>
                <w:szCs w:val="20"/>
              </w:rPr>
              <w:t>Volume 37, Issue 10, 1 October 2015, Pages 2153–2179</w:t>
            </w:r>
          </w:p>
          <w:p w14:paraId="29E75B69" w14:textId="7EE958FD" w:rsidR="00F809F6" w:rsidRPr="008C096A" w:rsidRDefault="00F809F6" w:rsidP="00E23BF6">
            <w:pPr>
              <w:rPr>
                <w:rFonts w:ascii="Arial Narrow" w:hAnsi="Arial Narrow"/>
                <w:sz w:val="20"/>
                <w:szCs w:val="20"/>
              </w:rPr>
            </w:pPr>
            <w:r w:rsidRPr="008C096A">
              <w:rPr>
                <w:rFonts w:ascii="Arial Narrow" w:hAnsi="Arial Narrow"/>
                <w:sz w:val="20"/>
                <w:szCs w:val="20"/>
              </w:rPr>
              <w:t>USA</w:t>
            </w:r>
          </w:p>
        </w:tc>
        <w:tc>
          <w:tcPr>
            <w:tcW w:w="11199" w:type="dxa"/>
            <w:gridSpan w:val="5"/>
          </w:tcPr>
          <w:p w14:paraId="2BAA8225" w14:textId="521803A5" w:rsidR="00F809F6" w:rsidRPr="006B45CB" w:rsidRDefault="00F809F6" w:rsidP="006F3BC7">
            <w:pPr>
              <w:rPr>
                <w:rFonts w:ascii="Arial Narrow" w:hAnsi="Arial Narrow"/>
                <w:sz w:val="20"/>
                <w:szCs w:val="20"/>
              </w:rPr>
            </w:pPr>
            <w:r w:rsidRPr="006B45CB">
              <w:rPr>
                <w:rFonts w:ascii="Arial Narrow" w:hAnsi="Arial Narrow"/>
                <w:sz w:val="20"/>
                <w:szCs w:val="20"/>
              </w:rPr>
              <w:lastRenderedPageBreak/>
              <w:t>Poor quality review, no systematic analysis of the evidence, excluded from fu</w:t>
            </w:r>
            <w:r w:rsidR="006F3BC7">
              <w:rPr>
                <w:rFonts w:ascii="Arial Narrow" w:hAnsi="Arial Narrow"/>
                <w:sz w:val="20"/>
                <w:szCs w:val="20"/>
              </w:rPr>
              <w:t xml:space="preserve">rther considerations; see </w:t>
            </w:r>
            <w:r w:rsidRPr="006B45CB">
              <w:rPr>
                <w:rFonts w:ascii="Arial Narrow" w:hAnsi="Arial Narrow"/>
                <w:sz w:val="20"/>
                <w:szCs w:val="20"/>
              </w:rPr>
              <w:t>Appendix</w:t>
            </w:r>
            <w:r w:rsidR="006F3BC7">
              <w:rPr>
                <w:rFonts w:ascii="Arial Narrow" w:hAnsi="Arial Narrow"/>
                <w:sz w:val="20"/>
                <w:szCs w:val="20"/>
              </w:rPr>
              <w:t xml:space="preserve"> 3</w:t>
            </w:r>
          </w:p>
        </w:tc>
      </w:tr>
      <w:tr w:rsidR="00F809F6" w:rsidRPr="008C096A" w14:paraId="5CDA940E" w14:textId="77777777" w:rsidTr="00491286">
        <w:tc>
          <w:tcPr>
            <w:tcW w:w="3964" w:type="dxa"/>
          </w:tcPr>
          <w:p w14:paraId="3CE4E194" w14:textId="698D7ED4" w:rsidR="00E23BF6" w:rsidRDefault="00E23BF6" w:rsidP="00E23BF6">
            <w:pPr>
              <w:rPr>
                <w:rFonts w:ascii="Arial Narrow" w:hAnsi="Arial Narrow"/>
                <w:sz w:val="20"/>
                <w:szCs w:val="20"/>
              </w:rPr>
            </w:pPr>
            <w:r w:rsidRPr="00E23BF6">
              <w:rPr>
                <w:rFonts w:ascii="Arial Narrow" w:hAnsi="Arial Narrow"/>
                <w:sz w:val="20"/>
                <w:szCs w:val="20"/>
              </w:rPr>
              <w:lastRenderedPageBreak/>
              <w:t>Battaggia A, Donzelli A, Font M, Molteni D, Galvano Clinical Efficacy and Safety of Ezetimibe on Major Cardiovascular Endpoints:</w:t>
            </w:r>
            <w:r>
              <w:rPr>
                <w:rFonts w:ascii="Arial Narrow" w:hAnsi="Arial Narrow"/>
                <w:sz w:val="20"/>
                <w:szCs w:val="20"/>
              </w:rPr>
              <w:t xml:space="preserve"> </w:t>
            </w:r>
            <w:r w:rsidRPr="00E23BF6">
              <w:rPr>
                <w:rFonts w:ascii="Arial Narrow" w:hAnsi="Arial Narrow"/>
                <w:sz w:val="20"/>
                <w:szCs w:val="20"/>
              </w:rPr>
              <w:t>Systematic Review and Meta-Analysis of Randomized Controlled Trials. PLoS ONE (2015) 10(4):e0124587.</w:t>
            </w:r>
          </w:p>
          <w:p w14:paraId="504C5BEA" w14:textId="77777777" w:rsidR="00E23BF6" w:rsidRDefault="00E23BF6" w:rsidP="00E23BF6">
            <w:pPr>
              <w:rPr>
                <w:rFonts w:ascii="Arial Narrow" w:hAnsi="Arial Narrow"/>
                <w:sz w:val="20"/>
                <w:szCs w:val="20"/>
              </w:rPr>
            </w:pPr>
          </w:p>
          <w:p w14:paraId="4F7DA63C" w14:textId="33AEB46C" w:rsidR="00F809F6" w:rsidRPr="008C096A" w:rsidRDefault="00F809F6" w:rsidP="00E23BF6">
            <w:pPr>
              <w:rPr>
                <w:rFonts w:ascii="Arial Narrow" w:hAnsi="Arial Narrow"/>
                <w:sz w:val="20"/>
                <w:szCs w:val="20"/>
              </w:rPr>
            </w:pPr>
            <w:r w:rsidRPr="008C096A">
              <w:rPr>
                <w:rFonts w:ascii="Arial Narrow" w:hAnsi="Arial Narrow"/>
                <w:sz w:val="20"/>
                <w:szCs w:val="20"/>
              </w:rPr>
              <w:t>Italy</w:t>
            </w:r>
          </w:p>
        </w:tc>
        <w:tc>
          <w:tcPr>
            <w:tcW w:w="2126" w:type="dxa"/>
          </w:tcPr>
          <w:p w14:paraId="225F31DA"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Participants were (adult?) males or females of all ages regardless of the clinical condition (</w:t>
            </w:r>
            <w:r w:rsidRPr="008C096A">
              <w:rPr>
                <w:rFonts w:ascii="Arial Narrow" w:hAnsi="Arial Narrow"/>
                <w:i/>
                <w:sz w:val="20"/>
                <w:szCs w:val="20"/>
              </w:rPr>
              <w:t>that is subgroups of patients with CVD, DM, CKD were all eligible - assessors)</w:t>
            </w:r>
          </w:p>
        </w:tc>
        <w:tc>
          <w:tcPr>
            <w:tcW w:w="2410" w:type="dxa"/>
          </w:tcPr>
          <w:p w14:paraId="39083ACF"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Interventions:</w:t>
            </w:r>
          </w:p>
          <w:p w14:paraId="0BC4DD09"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a) Ezetimibe alone</w:t>
            </w:r>
          </w:p>
          <w:p w14:paraId="1A6060D6"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b) Ezetimibe+ another lipid-lowering drug</w:t>
            </w:r>
          </w:p>
          <w:p w14:paraId="7E6FBEEA"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c)Ezetimibe+simvastatin</w:t>
            </w:r>
          </w:p>
          <w:p w14:paraId="1FFC1AA9" w14:textId="77777777" w:rsidR="00F809F6" w:rsidRPr="008C096A" w:rsidRDefault="00F809F6" w:rsidP="00F809F6">
            <w:pPr>
              <w:rPr>
                <w:rFonts w:ascii="Arial Narrow" w:hAnsi="Arial Narrow"/>
                <w:sz w:val="20"/>
                <w:szCs w:val="20"/>
              </w:rPr>
            </w:pPr>
          </w:p>
          <w:p w14:paraId="25977E6B"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Comparators:</w:t>
            </w:r>
          </w:p>
          <w:p w14:paraId="3FD98B1D"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 xml:space="preserve">a) placebo </w:t>
            </w:r>
          </w:p>
          <w:p w14:paraId="17BAB2E0"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b) placebo in combination with the matching lipid-lowering drug</w:t>
            </w:r>
          </w:p>
          <w:p w14:paraId="706CFEF5"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 placebo</w:t>
            </w:r>
          </w:p>
        </w:tc>
        <w:tc>
          <w:tcPr>
            <w:tcW w:w="2027" w:type="dxa"/>
          </w:tcPr>
          <w:p w14:paraId="207DF710"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 xml:space="preserve">All-cause and </w:t>
            </w:r>
          </w:p>
          <w:p w14:paraId="1B7BF69C"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CV mortality; stroke; MI; cancer; SAEs that results in death, is life-threatening, or requires or prolongs hospital stay, or causes persistent or significant disability etc.</w:t>
            </w:r>
          </w:p>
        </w:tc>
        <w:tc>
          <w:tcPr>
            <w:tcW w:w="2206" w:type="dxa"/>
          </w:tcPr>
          <w:p w14:paraId="7DB07152"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Ezetimibe±simvastatin had inconsistent effects on important final outcomes. No firm conclusions are possible, but findings indicative of damage suggest much more selective use of Ezetimibe± simvastatin.</w:t>
            </w:r>
          </w:p>
        </w:tc>
        <w:tc>
          <w:tcPr>
            <w:tcW w:w="2430" w:type="dxa"/>
          </w:tcPr>
          <w:p w14:paraId="74F84EE5" w14:textId="77777777" w:rsidR="00F809F6" w:rsidRPr="008C096A" w:rsidRDefault="00F809F6" w:rsidP="00F809F6">
            <w:pPr>
              <w:rPr>
                <w:rFonts w:ascii="Arial Narrow" w:hAnsi="Arial Narrow"/>
                <w:sz w:val="20"/>
                <w:szCs w:val="20"/>
              </w:rPr>
            </w:pPr>
            <w:r w:rsidRPr="008C096A">
              <w:rPr>
                <w:rFonts w:ascii="Arial Narrow" w:hAnsi="Arial Narrow"/>
                <w:sz w:val="20"/>
                <w:szCs w:val="20"/>
              </w:rPr>
              <w:t>Limited relevance;</w:t>
            </w:r>
          </w:p>
          <w:p w14:paraId="74F7ADFC" w14:textId="675AB61E" w:rsidR="00F809F6" w:rsidRPr="008C096A" w:rsidRDefault="00F809F6" w:rsidP="00F809F6">
            <w:pPr>
              <w:rPr>
                <w:rFonts w:ascii="Arial Narrow" w:hAnsi="Arial Narrow"/>
                <w:sz w:val="20"/>
                <w:szCs w:val="20"/>
              </w:rPr>
            </w:pPr>
            <w:r w:rsidRPr="008C096A">
              <w:rPr>
                <w:rFonts w:ascii="Arial Narrow" w:hAnsi="Arial Narrow"/>
                <w:sz w:val="20"/>
                <w:szCs w:val="20"/>
              </w:rPr>
              <w:t>Neither the RCTs nor the meta-analysis were powered to detect the difference</w:t>
            </w:r>
            <w:r w:rsidR="00561AD1">
              <w:rPr>
                <w:rFonts w:ascii="Arial Narrow" w:hAnsi="Arial Narrow"/>
                <w:sz w:val="20"/>
                <w:szCs w:val="20"/>
              </w:rPr>
              <w:t xml:space="preserve"> in final outcomes</w:t>
            </w:r>
            <w:r w:rsidRPr="008C096A">
              <w:rPr>
                <w:rFonts w:ascii="Arial Narrow" w:hAnsi="Arial Narrow"/>
                <w:sz w:val="20"/>
                <w:szCs w:val="20"/>
              </w:rPr>
              <w:t>. Most of the RCTs would not meet our selection criteria</w:t>
            </w:r>
          </w:p>
        </w:tc>
      </w:tr>
      <w:tr w:rsidR="00C74935" w:rsidRPr="008C096A" w14:paraId="23A4A7EE" w14:textId="77777777" w:rsidTr="00491286">
        <w:tc>
          <w:tcPr>
            <w:tcW w:w="3964" w:type="dxa"/>
          </w:tcPr>
          <w:p w14:paraId="22E190A0" w14:textId="77777777" w:rsidR="00C74935" w:rsidRDefault="00C74935" w:rsidP="00C74935">
            <w:pPr>
              <w:rPr>
                <w:rFonts w:ascii="Arial Narrow" w:hAnsi="Arial Narrow"/>
                <w:sz w:val="20"/>
                <w:szCs w:val="20"/>
              </w:rPr>
            </w:pPr>
            <w:r w:rsidRPr="00C74935">
              <w:rPr>
                <w:rFonts w:ascii="Arial Narrow" w:hAnsi="Arial Narrow"/>
                <w:sz w:val="20"/>
                <w:szCs w:val="20"/>
              </w:rPr>
              <w:t>Silverman Michael G,. Ference Brian A, Im Kyungah</w:t>
            </w:r>
            <w:r>
              <w:rPr>
                <w:rFonts w:ascii="Arial Narrow" w:hAnsi="Arial Narrow"/>
                <w:sz w:val="20"/>
                <w:szCs w:val="20"/>
              </w:rPr>
              <w:t xml:space="preserve">, </w:t>
            </w:r>
            <w:r w:rsidRPr="00C74935">
              <w:rPr>
                <w:rFonts w:ascii="Arial Narrow" w:hAnsi="Arial Narrow"/>
                <w:sz w:val="20"/>
                <w:szCs w:val="20"/>
              </w:rPr>
              <w:t>Wiviott, Stephen D. Giugliano, Robert P Grundy, ScottM.; Braunwald Eugene,</w:t>
            </w:r>
            <w:r>
              <w:rPr>
                <w:rFonts w:ascii="Arial Narrow" w:hAnsi="Arial Narrow"/>
                <w:sz w:val="20"/>
                <w:szCs w:val="20"/>
              </w:rPr>
              <w:t xml:space="preserve"> </w:t>
            </w:r>
            <w:r w:rsidRPr="00C74935">
              <w:rPr>
                <w:rFonts w:ascii="Arial Narrow" w:hAnsi="Arial Narrow"/>
                <w:sz w:val="20"/>
                <w:szCs w:val="20"/>
              </w:rPr>
              <w:t>Sabatine, Marc S</w:t>
            </w:r>
            <w:r>
              <w:rPr>
                <w:rFonts w:ascii="Arial Narrow" w:hAnsi="Arial Narrow"/>
                <w:sz w:val="20"/>
                <w:szCs w:val="20"/>
              </w:rPr>
              <w:t xml:space="preserve">. </w:t>
            </w:r>
            <w:r w:rsidRPr="00C74935">
              <w:rPr>
                <w:rFonts w:ascii="Arial Narrow" w:hAnsi="Arial Narrow"/>
                <w:sz w:val="20"/>
                <w:szCs w:val="20"/>
              </w:rPr>
              <w:t>Association Between Lowerin</w:t>
            </w:r>
            <w:r>
              <w:rPr>
                <w:rFonts w:ascii="Arial Narrow" w:hAnsi="Arial Narrow"/>
                <w:sz w:val="20"/>
                <w:szCs w:val="20"/>
              </w:rPr>
              <w:t xml:space="preserve">g LDL-C and Cardiovascular Risk </w:t>
            </w:r>
            <w:r w:rsidRPr="00C74935">
              <w:rPr>
                <w:rFonts w:ascii="Arial Narrow" w:hAnsi="Arial Narrow"/>
                <w:sz w:val="20"/>
                <w:szCs w:val="20"/>
              </w:rPr>
              <w:t>Reduction Among Diff</w:t>
            </w:r>
            <w:r>
              <w:rPr>
                <w:rFonts w:ascii="Arial Narrow" w:hAnsi="Arial Narrow"/>
                <w:sz w:val="20"/>
                <w:szCs w:val="20"/>
              </w:rPr>
              <w:t xml:space="preserve">erent Therapeutic Interventions </w:t>
            </w:r>
            <w:r w:rsidRPr="00C74935">
              <w:rPr>
                <w:rFonts w:ascii="Arial Narrow" w:hAnsi="Arial Narrow"/>
                <w:sz w:val="20"/>
                <w:szCs w:val="20"/>
              </w:rPr>
              <w:t>A Systematic Review and Meta-analysis</w:t>
            </w:r>
            <w:r>
              <w:rPr>
                <w:rFonts w:ascii="Arial Narrow" w:hAnsi="Arial Narrow"/>
                <w:sz w:val="20"/>
                <w:szCs w:val="20"/>
              </w:rPr>
              <w:t>.</w:t>
            </w:r>
            <w:r w:rsidR="00A23CAE">
              <w:t xml:space="preserve"> </w:t>
            </w:r>
            <w:r w:rsidR="00A23CAE" w:rsidRPr="00A23CAE">
              <w:rPr>
                <w:rFonts w:ascii="Arial Narrow" w:hAnsi="Arial Narrow"/>
                <w:sz w:val="20"/>
                <w:szCs w:val="20"/>
              </w:rPr>
              <w:t>JAMA. 2016;316(12):1289-1297.</w:t>
            </w:r>
          </w:p>
          <w:p w14:paraId="42760DDC" w14:textId="77777777" w:rsidR="00A23CAE" w:rsidRDefault="00A23CAE" w:rsidP="00C74935">
            <w:pPr>
              <w:rPr>
                <w:rFonts w:ascii="Arial Narrow" w:hAnsi="Arial Narrow"/>
                <w:sz w:val="20"/>
                <w:szCs w:val="20"/>
              </w:rPr>
            </w:pPr>
          </w:p>
          <w:p w14:paraId="358FABF8" w14:textId="45FE928E" w:rsidR="00A23CAE" w:rsidRPr="00E23BF6" w:rsidRDefault="00A23CAE" w:rsidP="00C74935">
            <w:pPr>
              <w:rPr>
                <w:rFonts w:ascii="Arial Narrow" w:hAnsi="Arial Narrow"/>
                <w:sz w:val="20"/>
                <w:szCs w:val="20"/>
              </w:rPr>
            </w:pPr>
            <w:r>
              <w:rPr>
                <w:rFonts w:ascii="Arial Narrow" w:hAnsi="Arial Narrow"/>
                <w:sz w:val="20"/>
                <w:szCs w:val="20"/>
              </w:rPr>
              <w:t>USA</w:t>
            </w:r>
          </w:p>
        </w:tc>
        <w:tc>
          <w:tcPr>
            <w:tcW w:w="2126" w:type="dxa"/>
          </w:tcPr>
          <w:p w14:paraId="31B38216" w14:textId="0DD98523" w:rsidR="006F3BC7" w:rsidRPr="006F3BC7" w:rsidRDefault="006F3BC7" w:rsidP="006F3BC7">
            <w:pPr>
              <w:rPr>
                <w:rFonts w:ascii="Arial Narrow" w:hAnsi="Arial Narrow"/>
                <w:sz w:val="20"/>
                <w:szCs w:val="20"/>
              </w:rPr>
            </w:pPr>
            <w:r>
              <w:rPr>
                <w:rFonts w:ascii="Arial Narrow" w:hAnsi="Arial Narrow"/>
                <w:sz w:val="20"/>
                <w:szCs w:val="20"/>
              </w:rPr>
              <w:t>Not described. Assumed to be</w:t>
            </w:r>
            <w:r w:rsidRPr="008C096A">
              <w:rPr>
                <w:rFonts w:ascii="Arial Narrow" w:hAnsi="Arial Narrow"/>
                <w:sz w:val="20"/>
                <w:szCs w:val="20"/>
              </w:rPr>
              <w:t xml:space="preserve"> males or females (age &gt;18 years) diagnosed with hyper-cholesterolaemia</w:t>
            </w:r>
            <w:r>
              <w:rPr>
                <w:rFonts w:ascii="Arial Narrow" w:hAnsi="Arial Narrow"/>
                <w:sz w:val="20"/>
                <w:szCs w:val="20"/>
              </w:rPr>
              <w:t xml:space="preserve">. Trials that enrolled </w:t>
            </w:r>
            <w:r w:rsidRPr="006F3BC7">
              <w:rPr>
                <w:rFonts w:ascii="Arial Narrow" w:hAnsi="Arial Narrow"/>
                <w:sz w:val="20"/>
                <w:szCs w:val="20"/>
              </w:rPr>
              <w:t>study population focused on participants</w:t>
            </w:r>
          </w:p>
          <w:p w14:paraId="4E925591" w14:textId="77777777" w:rsidR="006F3BC7" w:rsidRPr="006F3BC7" w:rsidRDefault="006F3BC7" w:rsidP="006F3BC7">
            <w:pPr>
              <w:rPr>
                <w:rFonts w:ascii="Arial Narrow" w:hAnsi="Arial Narrow"/>
                <w:sz w:val="20"/>
                <w:szCs w:val="20"/>
              </w:rPr>
            </w:pPr>
            <w:r w:rsidRPr="006F3BC7">
              <w:rPr>
                <w:rFonts w:ascii="Arial Narrow" w:hAnsi="Arial Narrow"/>
                <w:sz w:val="20"/>
                <w:szCs w:val="20"/>
              </w:rPr>
              <w:t>with significant competing risks (ie, heart failure or</w:t>
            </w:r>
          </w:p>
          <w:p w14:paraId="63C517FE" w14:textId="6CD5491C" w:rsidR="00C74935" w:rsidRPr="008C096A" w:rsidRDefault="006F3BC7" w:rsidP="006F3BC7">
            <w:pPr>
              <w:rPr>
                <w:rFonts w:ascii="Arial Narrow" w:hAnsi="Arial Narrow"/>
                <w:sz w:val="20"/>
                <w:szCs w:val="20"/>
              </w:rPr>
            </w:pPr>
            <w:r w:rsidRPr="006F3BC7">
              <w:rPr>
                <w:rFonts w:ascii="Arial Narrow" w:hAnsi="Arial Narrow"/>
                <w:sz w:val="20"/>
                <w:szCs w:val="20"/>
              </w:rPr>
              <w:t>chronic kidney disease</w:t>
            </w:r>
            <w:r>
              <w:rPr>
                <w:rFonts w:ascii="Arial Narrow" w:hAnsi="Arial Narrow"/>
                <w:sz w:val="20"/>
                <w:szCs w:val="20"/>
              </w:rPr>
              <w:t>) were excluded</w:t>
            </w:r>
          </w:p>
        </w:tc>
        <w:tc>
          <w:tcPr>
            <w:tcW w:w="2410" w:type="dxa"/>
          </w:tcPr>
          <w:p w14:paraId="073FDBAA" w14:textId="6B7C56F0" w:rsidR="00491286" w:rsidRDefault="00491286" w:rsidP="00491286">
            <w:pPr>
              <w:ind w:right="-108"/>
              <w:rPr>
                <w:rFonts w:ascii="Arial Narrow" w:hAnsi="Arial Narrow"/>
                <w:sz w:val="20"/>
                <w:szCs w:val="20"/>
              </w:rPr>
            </w:pPr>
            <w:r w:rsidRPr="00491286">
              <w:rPr>
                <w:rFonts w:ascii="Arial Narrow" w:hAnsi="Arial Narrow"/>
                <w:sz w:val="20"/>
                <w:szCs w:val="20"/>
              </w:rPr>
              <w:t xml:space="preserve">4 groups </w:t>
            </w:r>
            <w:r>
              <w:rPr>
                <w:rFonts w:ascii="Arial Narrow" w:hAnsi="Arial Narrow"/>
                <w:sz w:val="20"/>
                <w:szCs w:val="20"/>
              </w:rPr>
              <w:t>of interventions:</w:t>
            </w:r>
          </w:p>
          <w:p w14:paraId="561AA36D" w14:textId="764D957A" w:rsidR="00491286" w:rsidRPr="00491286" w:rsidRDefault="00491286" w:rsidP="00491286">
            <w:pPr>
              <w:ind w:right="-108"/>
              <w:rPr>
                <w:rFonts w:ascii="Arial Narrow" w:hAnsi="Arial Narrow"/>
                <w:sz w:val="20"/>
                <w:szCs w:val="20"/>
              </w:rPr>
            </w:pPr>
            <w:r w:rsidRPr="00491286">
              <w:rPr>
                <w:rFonts w:ascii="Arial Narrow" w:hAnsi="Arial Narrow"/>
                <w:sz w:val="20"/>
                <w:szCs w:val="20"/>
              </w:rPr>
              <w:t>1) statins;</w:t>
            </w:r>
          </w:p>
          <w:p w14:paraId="0ADA11C2" w14:textId="4C468893" w:rsidR="00491286" w:rsidRDefault="00491286" w:rsidP="00C01830">
            <w:pPr>
              <w:autoSpaceDE w:val="0"/>
              <w:autoSpaceDN w:val="0"/>
              <w:adjustRightInd w:val="0"/>
              <w:rPr>
                <w:rFonts w:ascii="Arial Narrow" w:hAnsi="Arial Narrow"/>
                <w:sz w:val="20"/>
                <w:szCs w:val="20"/>
              </w:rPr>
            </w:pPr>
            <w:r w:rsidRPr="00491286">
              <w:rPr>
                <w:rFonts w:ascii="Arial Narrow" w:hAnsi="Arial Narrow"/>
                <w:sz w:val="20"/>
                <w:szCs w:val="20"/>
              </w:rPr>
              <w:t xml:space="preserve">2) nonstatin therapies that </w:t>
            </w:r>
            <w:r w:rsidR="00C01830" w:rsidRPr="00C01830">
              <w:rPr>
                <w:rFonts w:ascii="Arial Narrow" w:hAnsi="Arial Narrow"/>
                <w:sz w:val="20"/>
                <w:szCs w:val="20"/>
              </w:rPr>
              <w:t>lead</w:t>
            </w:r>
            <w:r w:rsidR="00C01830">
              <w:rPr>
                <w:rFonts w:ascii="Arial Narrow" w:hAnsi="Arial Narrow"/>
                <w:sz w:val="20"/>
                <w:szCs w:val="20"/>
              </w:rPr>
              <w:t xml:space="preserve"> </w:t>
            </w:r>
            <w:r w:rsidR="00C01830" w:rsidRPr="00C01830">
              <w:rPr>
                <w:rFonts w:ascii="Arial Narrow" w:hAnsi="Arial Narrow"/>
                <w:sz w:val="20"/>
                <w:szCs w:val="20"/>
              </w:rPr>
              <w:t>to upregulation of LDL receptor expression</w:t>
            </w:r>
            <w:r>
              <w:rPr>
                <w:rFonts w:ascii="Arial Narrow" w:hAnsi="Arial Narrow"/>
                <w:sz w:val="20"/>
                <w:szCs w:val="20"/>
              </w:rPr>
              <w:t>;(</w:t>
            </w:r>
            <w:r w:rsidR="00444E1D">
              <w:rPr>
                <w:rFonts w:ascii="Arial Narrow" w:hAnsi="Arial Narrow"/>
                <w:sz w:val="20"/>
                <w:szCs w:val="20"/>
              </w:rPr>
              <w:t xml:space="preserve">healthy </w:t>
            </w:r>
            <w:r>
              <w:rPr>
                <w:rFonts w:ascii="Arial Narrow" w:hAnsi="Arial Narrow"/>
                <w:sz w:val="20"/>
                <w:szCs w:val="20"/>
              </w:rPr>
              <w:t xml:space="preserve">diet, bile acid </w:t>
            </w:r>
            <w:r w:rsidRPr="00491286">
              <w:rPr>
                <w:rFonts w:ascii="Arial Narrow" w:hAnsi="Arial Narrow"/>
                <w:sz w:val="20"/>
                <w:szCs w:val="20"/>
              </w:rPr>
              <w:t>sequestrants, ilea</w:t>
            </w:r>
            <w:r>
              <w:rPr>
                <w:rFonts w:ascii="Arial Narrow" w:hAnsi="Arial Narrow"/>
                <w:sz w:val="20"/>
                <w:szCs w:val="20"/>
              </w:rPr>
              <w:t xml:space="preserve">l bypass surgery, </w:t>
            </w:r>
            <w:r w:rsidR="00444E1D" w:rsidRPr="00444E1D">
              <w:rPr>
                <w:rFonts w:ascii="Arial Narrow" w:hAnsi="Arial Narrow"/>
                <w:color w:val="2E74B5" w:themeColor="accent1" w:themeShade="BF"/>
                <w:sz w:val="20"/>
                <w:szCs w:val="20"/>
              </w:rPr>
              <w:t>SIMVA40mg+ezetimibe</w:t>
            </w:r>
            <w:r w:rsidR="00C01830">
              <w:rPr>
                <w:rFonts w:ascii="Arial Narrow" w:hAnsi="Arial Narrow"/>
                <w:sz w:val="20"/>
                <w:szCs w:val="20"/>
              </w:rPr>
              <w:t>)</w:t>
            </w:r>
          </w:p>
          <w:p w14:paraId="06D68204" w14:textId="08C6368C" w:rsidR="00491286" w:rsidRPr="00491286" w:rsidRDefault="00491286" w:rsidP="00491286">
            <w:pPr>
              <w:ind w:right="-108"/>
              <w:rPr>
                <w:rFonts w:ascii="Arial Narrow" w:hAnsi="Arial Narrow"/>
                <w:sz w:val="20"/>
                <w:szCs w:val="20"/>
              </w:rPr>
            </w:pPr>
            <w:r>
              <w:rPr>
                <w:rFonts w:ascii="Arial Narrow" w:hAnsi="Arial Narrow"/>
                <w:sz w:val="20"/>
                <w:szCs w:val="20"/>
              </w:rPr>
              <w:t>3)</w:t>
            </w:r>
            <w:r>
              <w:t xml:space="preserve"> </w:t>
            </w:r>
            <w:r w:rsidRPr="00491286">
              <w:rPr>
                <w:rFonts w:ascii="Arial Narrow" w:hAnsi="Arial Narrow"/>
                <w:sz w:val="20"/>
                <w:szCs w:val="20"/>
              </w:rPr>
              <w:t>interventions that do not reduce LDL-C levels primarily</w:t>
            </w:r>
          </w:p>
          <w:p w14:paraId="10FE0697" w14:textId="64F54334" w:rsidR="00491286" w:rsidRDefault="00491286" w:rsidP="00491286">
            <w:pPr>
              <w:ind w:right="-108"/>
              <w:rPr>
                <w:rFonts w:ascii="Arial Narrow" w:hAnsi="Arial Narrow"/>
                <w:sz w:val="20"/>
                <w:szCs w:val="20"/>
              </w:rPr>
            </w:pPr>
            <w:r w:rsidRPr="00491286">
              <w:rPr>
                <w:rFonts w:ascii="Arial Narrow" w:hAnsi="Arial Narrow"/>
                <w:sz w:val="20"/>
                <w:szCs w:val="20"/>
              </w:rPr>
              <w:t>through upregulation of LDL rec</w:t>
            </w:r>
            <w:r>
              <w:rPr>
                <w:rFonts w:ascii="Arial Narrow" w:hAnsi="Arial Narrow"/>
                <w:sz w:val="20"/>
                <w:szCs w:val="20"/>
              </w:rPr>
              <w:t xml:space="preserve">eptor expression (i.e, fibrates, </w:t>
            </w:r>
            <w:r w:rsidRPr="00491286">
              <w:rPr>
                <w:rFonts w:ascii="Arial Narrow" w:hAnsi="Arial Narrow"/>
                <w:sz w:val="20"/>
                <w:szCs w:val="20"/>
              </w:rPr>
              <w:t>niacin, cholesteryl ester transfer protein inhibitors)</w:t>
            </w:r>
          </w:p>
          <w:p w14:paraId="4D400810" w14:textId="77777777" w:rsidR="00491286" w:rsidRDefault="00491286" w:rsidP="00491286">
            <w:pPr>
              <w:ind w:right="-108"/>
              <w:rPr>
                <w:rFonts w:ascii="Arial Narrow" w:hAnsi="Arial Narrow"/>
                <w:sz w:val="20"/>
                <w:szCs w:val="20"/>
              </w:rPr>
            </w:pPr>
            <w:r>
              <w:rPr>
                <w:rFonts w:ascii="Arial Narrow" w:hAnsi="Arial Narrow"/>
                <w:sz w:val="20"/>
                <w:szCs w:val="20"/>
              </w:rPr>
              <w:t>4)</w:t>
            </w:r>
            <w:r>
              <w:t xml:space="preserve"> </w:t>
            </w:r>
            <w:r w:rsidRPr="00491286">
              <w:rPr>
                <w:rFonts w:ascii="Arial Narrow" w:hAnsi="Arial Narrow"/>
                <w:sz w:val="20"/>
                <w:szCs w:val="20"/>
              </w:rPr>
              <w:t>PCS</w:t>
            </w:r>
            <w:r>
              <w:rPr>
                <w:rFonts w:ascii="Arial Narrow" w:hAnsi="Arial Narrow"/>
                <w:sz w:val="20"/>
                <w:szCs w:val="20"/>
              </w:rPr>
              <w:t xml:space="preserve">K9 inhibitors, which upregulate </w:t>
            </w:r>
            <w:r w:rsidRPr="00491286">
              <w:rPr>
                <w:rFonts w:ascii="Arial Narrow" w:hAnsi="Arial Narrow"/>
                <w:sz w:val="20"/>
                <w:szCs w:val="20"/>
              </w:rPr>
              <w:t>LDL-C clearance through the LDL receptor</w:t>
            </w:r>
          </w:p>
          <w:p w14:paraId="0E0C39B7" w14:textId="77777777" w:rsidR="00C01830" w:rsidRDefault="00C01830" w:rsidP="00C01830">
            <w:pPr>
              <w:rPr>
                <w:rFonts w:ascii="Arial Narrow" w:hAnsi="Arial Narrow"/>
                <w:sz w:val="20"/>
                <w:szCs w:val="20"/>
              </w:rPr>
            </w:pPr>
          </w:p>
          <w:p w14:paraId="1C91523A" w14:textId="77777777" w:rsidR="00C01830" w:rsidRPr="008C096A" w:rsidRDefault="00C01830" w:rsidP="00C01830">
            <w:pPr>
              <w:rPr>
                <w:rFonts w:ascii="Arial Narrow" w:hAnsi="Arial Narrow"/>
                <w:sz w:val="20"/>
                <w:szCs w:val="20"/>
              </w:rPr>
            </w:pPr>
            <w:r w:rsidRPr="008C096A">
              <w:rPr>
                <w:rFonts w:ascii="Arial Narrow" w:hAnsi="Arial Narrow"/>
                <w:sz w:val="20"/>
                <w:szCs w:val="20"/>
              </w:rPr>
              <w:t>Comparators:</w:t>
            </w:r>
          </w:p>
          <w:p w14:paraId="7B36005D" w14:textId="77777777" w:rsidR="00C01830" w:rsidRDefault="00C01830" w:rsidP="00C01830">
            <w:pPr>
              <w:ind w:right="-108"/>
              <w:rPr>
                <w:rFonts w:ascii="Arial Narrow" w:hAnsi="Arial Narrow"/>
                <w:sz w:val="20"/>
                <w:szCs w:val="20"/>
              </w:rPr>
            </w:pPr>
            <w:r>
              <w:rPr>
                <w:rFonts w:ascii="Arial Narrow" w:hAnsi="Arial Narrow"/>
                <w:sz w:val="20"/>
                <w:szCs w:val="20"/>
              </w:rPr>
              <w:t>1) placebo; more potent statin</w:t>
            </w:r>
          </w:p>
          <w:p w14:paraId="35C99C93" w14:textId="3D3C8FDC" w:rsidR="00156DA3" w:rsidRDefault="00444E1D" w:rsidP="00156DA3">
            <w:pPr>
              <w:ind w:right="-108"/>
              <w:rPr>
                <w:rFonts w:ascii="Arial Narrow" w:hAnsi="Arial Narrow"/>
                <w:sz w:val="20"/>
                <w:szCs w:val="20"/>
              </w:rPr>
            </w:pPr>
            <w:r>
              <w:rPr>
                <w:rFonts w:ascii="Arial Narrow" w:hAnsi="Arial Narrow"/>
                <w:sz w:val="20"/>
                <w:szCs w:val="20"/>
              </w:rPr>
              <w:t xml:space="preserve">2) </w:t>
            </w:r>
            <w:r w:rsidR="00156DA3">
              <w:rPr>
                <w:rFonts w:ascii="Arial Narrow" w:hAnsi="Arial Narrow"/>
                <w:sz w:val="20"/>
                <w:szCs w:val="20"/>
              </w:rPr>
              <w:t xml:space="preserve">vs </w:t>
            </w:r>
            <w:r w:rsidR="00156DA3" w:rsidRPr="00444E1D">
              <w:rPr>
                <w:rFonts w:ascii="Arial Narrow" w:hAnsi="Arial Narrow"/>
                <w:color w:val="2E74B5" w:themeColor="accent1" w:themeShade="BF"/>
                <w:sz w:val="20"/>
                <w:szCs w:val="20"/>
              </w:rPr>
              <w:t>ezetimibe</w:t>
            </w:r>
            <w:r w:rsidR="00156DA3">
              <w:rPr>
                <w:rFonts w:ascii="Arial Narrow" w:hAnsi="Arial Narrow"/>
                <w:color w:val="2E74B5" w:themeColor="accent1" w:themeShade="BF"/>
                <w:sz w:val="20"/>
                <w:szCs w:val="20"/>
              </w:rPr>
              <w:t xml:space="preserve"> </w:t>
            </w:r>
            <w:r w:rsidR="00156DA3" w:rsidRPr="00156DA3">
              <w:rPr>
                <w:rFonts w:ascii="Arial Narrow" w:hAnsi="Arial Narrow"/>
                <w:sz w:val="20"/>
                <w:szCs w:val="20"/>
              </w:rPr>
              <w:t xml:space="preserve">the comparator </w:t>
            </w:r>
            <w:r w:rsidR="00156DA3">
              <w:rPr>
                <w:rFonts w:ascii="Arial Narrow" w:hAnsi="Arial Narrow"/>
                <w:sz w:val="20"/>
                <w:szCs w:val="20"/>
              </w:rPr>
              <w:t>SIMVA40mg+placebo;</w:t>
            </w:r>
          </w:p>
          <w:p w14:paraId="23C73032" w14:textId="77777777" w:rsidR="00444E1D" w:rsidRDefault="00156DA3" w:rsidP="00156DA3">
            <w:pPr>
              <w:ind w:right="-108"/>
              <w:rPr>
                <w:rFonts w:ascii="Arial Narrow" w:hAnsi="Arial Narrow"/>
                <w:sz w:val="20"/>
                <w:szCs w:val="20"/>
              </w:rPr>
            </w:pPr>
            <w:r>
              <w:rPr>
                <w:rFonts w:ascii="Arial Narrow" w:hAnsi="Arial Narrow"/>
                <w:sz w:val="20"/>
                <w:szCs w:val="20"/>
              </w:rPr>
              <w:t>3) placebo or SIMVA+placebo</w:t>
            </w:r>
          </w:p>
          <w:p w14:paraId="1B364F61" w14:textId="2B90C409" w:rsidR="00156DA3" w:rsidRPr="00C01830" w:rsidRDefault="00156DA3" w:rsidP="00156DA3">
            <w:pPr>
              <w:ind w:right="-108"/>
              <w:rPr>
                <w:rFonts w:ascii="Arial Narrow" w:hAnsi="Arial Narrow"/>
                <w:sz w:val="20"/>
                <w:szCs w:val="20"/>
              </w:rPr>
            </w:pPr>
            <w:r>
              <w:rPr>
                <w:rFonts w:ascii="Arial Narrow" w:hAnsi="Arial Narrow"/>
                <w:sz w:val="20"/>
                <w:szCs w:val="20"/>
              </w:rPr>
              <w:t>4) placebo</w:t>
            </w:r>
          </w:p>
        </w:tc>
        <w:tc>
          <w:tcPr>
            <w:tcW w:w="2027" w:type="dxa"/>
          </w:tcPr>
          <w:p w14:paraId="254475E2" w14:textId="76F62AF7" w:rsidR="0074048F" w:rsidRPr="0074048F" w:rsidRDefault="0074048F" w:rsidP="0074048F">
            <w:pPr>
              <w:rPr>
                <w:rFonts w:ascii="Arial Narrow" w:hAnsi="Arial Narrow"/>
                <w:sz w:val="20"/>
                <w:szCs w:val="20"/>
              </w:rPr>
            </w:pPr>
            <w:r>
              <w:rPr>
                <w:rFonts w:ascii="Arial Narrow" w:hAnsi="Arial Narrow"/>
                <w:sz w:val="20"/>
                <w:szCs w:val="20"/>
              </w:rPr>
              <w:t xml:space="preserve">A </w:t>
            </w:r>
            <w:r w:rsidRPr="0074048F">
              <w:rPr>
                <w:rFonts w:ascii="Arial Narrow" w:hAnsi="Arial Narrow"/>
                <w:sz w:val="20"/>
                <w:szCs w:val="20"/>
              </w:rPr>
              <w:t>composite end point of major vascular</w:t>
            </w:r>
          </w:p>
          <w:p w14:paraId="060ECF44" w14:textId="77777777" w:rsidR="00C74935" w:rsidRDefault="0074048F" w:rsidP="0074048F">
            <w:pPr>
              <w:rPr>
                <w:rFonts w:ascii="Arial Narrow" w:hAnsi="Arial Narrow"/>
                <w:sz w:val="20"/>
                <w:szCs w:val="20"/>
              </w:rPr>
            </w:pPr>
            <w:r w:rsidRPr="0074048F">
              <w:rPr>
                <w:rFonts w:ascii="Arial Narrow" w:hAnsi="Arial Narrow"/>
                <w:sz w:val="20"/>
                <w:szCs w:val="20"/>
              </w:rPr>
              <w:t>events, which consisted of cardiovascular death, acute</w:t>
            </w:r>
            <w:r>
              <w:rPr>
                <w:rFonts w:ascii="Arial Narrow" w:hAnsi="Arial Narrow"/>
                <w:sz w:val="20"/>
                <w:szCs w:val="20"/>
              </w:rPr>
              <w:t xml:space="preserve"> MI or </w:t>
            </w:r>
            <w:r w:rsidRPr="0074048F">
              <w:rPr>
                <w:rFonts w:ascii="Arial Narrow" w:hAnsi="Arial Narrow"/>
                <w:sz w:val="20"/>
                <w:szCs w:val="20"/>
              </w:rPr>
              <w:t>other ac</w:t>
            </w:r>
            <w:r>
              <w:rPr>
                <w:rFonts w:ascii="Arial Narrow" w:hAnsi="Arial Narrow"/>
                <w:sz w:val="20"/>
                <w:szCs w:val="20"/>
              </w:rPr>
              <w:t xml:space="preserve">ute coronary syndrome, coronary revascularization, </w:t>
            </w:r>
            <w:r w:rsidRPr="0074048F">
              <w:rPr>
                <w:rFonts w:ascii="Arial Narrow" w:hAnsi="Arial Narrow"/>
                <w:sz w:val="20"/>
                <w:szCs w:val="20"/>
              </w:rPr>
              <w:t>and stroke</w:t>
            </w:r>
            <w:r>
              <w:rPr>
                <w:rFonts w:ascii="Arial Narrow" w:hAnsi="Arial Narrow"/>
                <w:sz w:val="20"/>
                <w:szCs w:val="20"/>
              </w:rPr>
              <w:t>. In some trial that was a secondary outcome</w:t>
            </w:r>
            <w:r w:rsidR="00C01830">
              <w:rPr>
                <w:rFonts w:ascii="Arial Narrow" w:hAnsi="Arial Narrow"/>
                <w:sz w:val="20"/>
                <w:szCs w:val="20"/>
              </w:rPr>
              <w:t>.</w:t>
            </w:r>
          </w:p>
          <w:p w14:paraId="10653324" w14:textId="77777777" w:rsidR="00C01830" w:rsidRPr="00C01830" w:rsidRDefault="00C01830" w:rsidP="00C01830">
            <w:pPr>
              <w:rPr>
                <w:rFonts w:ascii="Arial Narrow" w:hAnsi="Arial Narrow"/>
                <w:sz w:val="20"/>
                <w:szCs w:val="20"/>
              </w:rPr>
            </w:pPr>
            <w:r w:rsidRPr="00C01830">
              <w:rPr>
                <w:rFonts w:ascii="Arial Narrow" w:hAnsi="Arial Narrow"/>
                <w:sz w:val="20"/>
                <w:szCs w:val="20"/>
              </w:rPr>
              <w:t>The association between the absolute amount of LDL-C</w:t>
            </w:r>
          </w:p>
          <w:p w14:paraId="1567B92F" w14:textId="77777777" w:rsidR="00C01830" w:rsidRPr="00C01830" w:rsidRDefault="00C01830" w:rsidP="00C01830">
            <w:pPr>
              <w:rPr>
                <w:rFonts w:ascii="Arial Narrow" w:hAnsi="Arial Narrow"/>
                <w:sz w:val="20"/>
                <w:szCs w:val="20"/>
              </w:rPr>
            </w:pPr>
            <w:r w:rsidRPr="00C01830">
              <w:rPr>
                <w:rFonts w:ascii="Arial Narrow" w:hAnsi="Arial Narrow"/>
                <w:sz w:val="20"/>
                <w:szCs w:val="20"/>
              </w:rPr>
              <w:t>reduction of an intervention (calculated as the difference in</w:t>
            </w:r>
          </w:p>
          <w:p w14:paraId="4737F007" w14:textId="77777777" w:rsidR="00C01830" w:rsidRPr="00C01830" w:rsidRDefault="00C01830" w:rsidP="00C01830">
            <w:pPr>
              <w:rPr>
                <w:rFonts w:ascii="Arial Narrow" w:hAnsi="Arial Narrow"/>
                <w:sz w:val="20"/>
                <w:szCs w:val="20"/>
              </w:rPr>
            </w:pPr>
            <w:r w:rsidRPr="00C01830">
              <w:rPr>
                <w:rFonts w:ascii="Arial Narrow" w:hAnsi="Arial Narrow"/>
                <w:sz w:val="20"/>
                <w:szCs w:val="20"/>
              </w:rPr>
              <w:t>achieved LDL-C levels between the 2 treatment groups) and</w:t>
            </w:r>
          </w:p>
          <w:p w14:paraId="48001FF9" w14:textId="77777777" w:rsidR="00C01830" w:rsidRPr="00C01830" w:rsidRDefault="00C01830" w:rsidP="00C01830">
            <w:pPr>
              <w:rPr>
                <w:rFonts w:ascii="Arial Narrow" w:hAnsi="Arial Narrow"/>
                <w:sz w:val="20"/>
                <w:szCs w:val="20"/>
              </w:rPr>
            </w:pPr>
            <w:r w:rsidRPr="00C01830">
              <w:rPr>
                <w:rFonts w:ascii="Arial Narrow" w:hAnsi="Arial Narrow"/>
                <w:sz w:val="20"/>
                <w:szCs w:val="20"/>
              </w:rPr>
              <w:t>the hazard or risk ratio for major vascular events with that</w:t>
            </w:r>
          </w:p>
          <w:p w14:paraId="0D90097E" w14:textId="47D76EB8" w:rsidR="00C01830" w:rsidRPr="008C096A" w:rsidRDefault="00C01830" w:rsidP="00C01830">
            <w:pPr>
              <w:rPr>
                <w:rFonts w:ascii="Arial Narrow" w:hAnsi="Arial Narrow"/>
                <w:sz w:val="20"/>
                <w:szCs w:val="20"/>
              </w:rPr>
            </w:pPr>
            <w:r w:rsidRPr="00C01830">
              <w:rPr>
                <w:rFonts w:ascii="Arial Narrow" w:hAnsi="Arial Narrow"/>
                <w:sz w:val="20"/>
                <w:szCs w:val="20"/>
              </w:rPr>
              <w:t>intervention was evaluated</w:t>
            </w:r>
          </w:p>
        </w:tc>
        <w:tc>
          <w:tcPr>
            <w:tcW w:w="2206" w:type="dxa"/>
          </w:tcPr>
          <w:p w14:paraId="5293B4ED" w14:textId="23FB4301" w:rsidR="006F3BC7" w:rsidRPr="006F3BC7" w:rsidRDefault="006F3BC7" w:rsidP="006F3BC7">
            <w:pPr>
              <w:rPr>
                <w:rFonts w:ascii="Arial Narrow" w:hAnsi="Arial Narrow"/>
                <w:sz w:val="20"/>
                <w:szCs w:val="20"/>
              </w:rPr>
            </w:pPr>
            <w:r w:rsidRPr="006F3BC7">
              <w:rPr>
                <w:rFonts w:ascii="Arial Narrow" w:hAnsi="Arial Narrow"/>
                <w:sz w:val="20"/>
                <w:szCs w:val="20"/>
              </w:rPr>
              <w:t>These data suggest stati</w:t>
            </w:r>
            <w:r>
              <w:rPr>
                <w:rFonts w:ascii="Arial Narrow" w:hAnsi="Arial Narrow"/>
                <w:sz w:val="20"/>
                <w:szCs w:val="20"/>
              </w:rPr>
              <w:t xml:space="preserve">ns and nonstatin therapies that </w:t>
            </w:r>
            <w:r w:rsidRPr="006F3BC7">
              <w:rPr>
                <w:rFonts w:ascii="Arial Narrow" w:hAnsi="Arial Narrow"/>
                <w:sz w:val="20"/>
                <w:szCs w:val="20"/>
              </w:rPr>
              <w:t>act through upregulation</w:t>
            </w:r>
            <w:r>
              <w:rPr>
                <w:rFonts w:ascii="Arial Narrow" w:hAnsi="Arial Narrow"/>
                <w:sz w:val="20"/>
                <w:szCs w:val="20"/>
              </w:rPr>
              <w:t xml:space="preserve"> of LDL receptor expression are </w:t>
            </w:r>
            <w:r w:rsidRPr="006F3BC7">
              <w:rPr>
                <w:rFonts w:ascii="Arial Narrow" w:hAnsi="Arial Narrow"/>
                <w:sz w:val="20"/>
                <w:szCs w:val="20"/>
              </w:rPr>
              <w:t>associated with similar cardiovascular risk reduction per decrease</w:t>
            </w:r>
          </w:p>
          <w:p w14:paraId="69C8E4A9" w14:textId="393F4A87" w:rsidR="00C74935" w:rsidRPr="008C096A" w:rsidRDefault="006F3BC7" w:rsidP="006F3BC7">
            <w:pPr>
              <w:rPr>
                <w:rFonts w:ascii="Arial Narrow" w:hAnsi="Arial Narrow"/>
                <w:sz w:val="20"/>
                <w:szCs w:val="20"/>
              </w:rPr>
            </w:pPr>
            <w:r w:rsidRPr="006F3BC7">
              <w:rPr>
                <w:rFonts w:ascii="Arial Narrow" w:hAnsi="Arial Narrow"/>
                <w:sz w:val="20"/>
                <w:szCs w:val="20"/>
              </w:rPr>
              <w:t>in LDL-C. The clinical val</w:t>
            </w:r>
            <w:r>
              <w:rPr>
                <w:rFonts w:ascii="Arial Narrow" w:hAnsi="Arial Narrow"/>
                <w:sz w:val="20"/>
                <w:szCs w:val="20"/>
              </w:rPr>
              <w:t xml:space="preserve">ue of adding specific nonstatin interventions to lower LDL-C to </w:t>
            </w:r>
            <w:r w:rsidRPr="006F3BC7">
              <w:rPr>
                <w:rFonts w:ascii="Arial Narrow" w:hAnsi="Arial Narrow"/>
                <w:sz w:val="20"/>
                <w:szCs w:val="20"/>
              </w:rPr>
              <w:t>b</w:t>
            </w:r>
            <w:r>
              <w:rPr>
                <w:rFonts w:ascii="Arial Narrow" w:hAnsi="Arial Narrow"/>
                <w:sz w:val="20"/>
                <w:szCs w:val="20"/>
              </w:rPr>
              <w:t xml:space="preserve">ackground statin therapy should </w:t>
            </w:r>
            <w:r w:rsidRPr="006F3BC7">
              <w:rPr>
                <w:rFonts w:ascii="Arial Narrow" w:hAnsi="Arial Narrow"/>
                <w:sz w:val="20"/>
                <w:szCs w:val="20"/>
              </w:rPr>
              <w:t>be confirmed in appropriately powered clinical trials.</w:t>
            </w:r>
          </w:p>
        </w:tc>
        <w:tc>
          <w:tcPr>
            <w:tcW w:w="2430" w:type="dxa"/>
          </w:tcPr>
          <w:p w14:paraId="5AF928F2" w14:textId="2AD232E6" w:rsidR="0074048F" w:rsidRPr="008C096A" w:rsidRDefault="00491286" w:rsidP="00CA77DE">
            <w:pPr>
              <w:rPr>
                <w:rFonts w:ascii="Arial Narrow" w:hAnsi="Arial Narrow"/>
                <w:sz w:val="20"/>
                <w:szCs w:val="20"/>
              </w:rPr>
            </w:pPr>
            <w:r>
              <w:rPr>
                <w:rFonts w:ascii="Arial Narrow" w:hAnsi="Arial Narrow"/>
                <w:sz w:val="20"/>
                <w:szCs w:val="20"/>
              </w:rPr>
              <w:t>Fairly</w:t>
            </w:r>
            <w:r w:rsidR="0074048F">
              <w:rPr>
                <w:rFonts w:ascii="Arial Narrow" w:hAnsi="Arial Narrow"/>
                <w:sz w:val="20"/>
                <w:szCs w:val="20"/>
              </w:rPr>
              <w:t xml:space="preserve"> relevant, as the meta-analysis of the final rather than </w:t>
            </w:r>
            <w:r w:rsidR="00A93E6E" w:rsidRPr="00A93E6E">
              <w:rPr>
                <w:rFonts w:ascii="Arial Narrow" w:hAnsi="Arial Narrow"/>
                <w:sz w:val="20"/>
                <w:szCs w:val="20"/>
              </w:rPr>
              <w:t>surrogate</w:t>
            </w:r>
            <w:r w:rsidR="0074048F">
              <w:rPr>
                <w:rFonts w:ascii="Arial Narrow" w:hAnsi="Arial Narrow"/>
                <w:sz w:val="20"/>
                <w:szCs w:val="20"/>
              </w:rPr>
              <w:t xml:space="preserve"> outcomes</w:t>
            </w:r>
            <w:r w:rsidR="00A93E6E">
              <w:rPr>
                <w:rFonts w:ascii="Arial Narrow" w:hAnsi="Arial Narrow"/>
                <w:sz w:val="20"/>
                <w:szCs w:val="20"/>
              </w:rPr>
              <w:t xml:space="preserve"> is undertaken</w:t>
            </w:r>
            <w:r w:rsidR="0074048F">
              <w:rPr>
                <w:rFonts w:ascii="Arial Narrow" w:hAnsi="Arial Narrow"/>
                <w:sz w:val="20"/>
                <w:szCs w:val="20"/>
              </w:rPr>
              <w:t xml:space="preserve">. </w:t>
            </w:r>
            <w:r w:rsidR="00A93E6E">
              <w:rPr>
                <w:rFonts w:ascii="Arial Narrow" w:hAnsi="Arial Narrow"/>
                <w:sz w:val="20"/>
                <w:szCs w:val="20"/>
              </w:rPr>
              <w:t xml:space="preserve">In comparison to the meta-analysis by </w:t>
            </w:r>
            <w:r w:rsidR="00A93E6E" w:rsidRPr="00E23BF6">
              <w:rPr>
                <w:rFonts w:ascii="Arial Narrow" w:hAnsi="Arial Narrow"/>
                <w:sz w:val="20"/>
                <w:szCs w:val="20"/>
              </w:rPr>
              <w:t>Battaggia</w:t>
            </w:r>
            <w:r w:rsidR="00A93E6E">
              <w:rPr>
                <w:rFonts w:ascii="Arial Narrow" w:hAnsi="Arial Narrow"/>
                <w:sz w:val="20"/>
                <w:szCs w:val="20"/>
              </w:rPr>
              <w:t xml:space="preserve"> (2015), this is a higher quality meta-analysis in terms of methods and theoretical foundations. Still,</w:t>
            </w:r>
            <w:r w:rsidR="0074048F">
              <w:rPr>
                <w:rFonts w:ascii="Arial Narrow" w:hAnsi="Arial Narrow"/>
                <w:sz w:val="20"/>
                <w:szCs w:val="20"/>
              </w:rPr>
              <w:t xml:space="preserve"> </w:t>
            </w:r>
            <w:r w:rsidR="00A93E6E">
              <w:rPr>
                <w:rFonts w:ascii="Arial Narrow" w:hAnsi="Arial Narrow"/>
                <w:sz w:val="20"/>
                <w:szCs w:val="20"/>
              </w:rPr>
              <w:t>m</w:t>
            </w:r>
            <w:r>
              <w:rPr>
                <w:rFonts w:ascii="Arial Narrow" w:hAnsi="Arial Narrow"/>
                <w:sz w:val="20"/>
                <w:szCs w:val="20"/>
              </w:rPr>
              <w:t xml:space="preserve">ost of the trials would not meet our selection criteria </w:t>
            </w:r>
            <w:r w:rsidR="00444E1D">
              <w:rPr>
                <w:rFonts w:ascii="Arial Narrow" w:hAnsi="Arial Narrow"/>
                <w:sz w:val="20"/>
                <w:szCs w:val="20"/>
              </w:rPr>
              <w:t>(</w:t>
            </w:r>
            <w:r w:rsidR="00A93E6E">
              <w:rPr>
                <w:rFonts w:ascii="Arial Narrow" w:hAnsi="Arial Narrow"/>
                <w:sz w:val="20"/>
                <w:szCs w:val="20"/>
              </w:rPr>
              <w:t xml:space="preserve">except for </w:t>
            </w:r>
            <w:r w:rsidR="00444E1D">
              <w:rPr>
                <w:rFonts w:ascii="Arial Narrow" w:hAnsi="Arial Narrow"/>
                <w:sz w:val="20"/>
                <w:szCs w:val="20"/>
              </w:rPr>
              <w:t xml:space="preserve">IMPROVE IT trial, the only ezetimibe in combination with statin </w:t>
            </w:r>
            <w:r w:rsidR="00A93E6E">
              <w:rPr>
                <w:rFonts w:ascii="Arial Narrow" w:hAnsi="Arial Narrow"/>
                <w:sz w:val="20"/>
                <w:szCs w:val="20"/>
              </w:rPr>
              <w:t xml:space="preserve">trial </w:t>
            </w:r>
            <w:r w:rsidR="00444E1D">
              <w:rPr>
                <w:rFonts w:ascii="Arial Narrow" w:hAnsi="Arial Narrow"/>
                <w:sz w:val="20"/>
                <w:szCs w:val="20"/>
              </w:rPr>
              <w:t>that was included</w:t>
            </w:r>
            <w:r w:rsidR="00A93E6E">
              <w:rPr>
                <w:rFonts w:ascii="Arial Narrow" w:hAnsi="Arial Narrow"/>
                <w:sz w:val="20"/>
                <w:szCs w:val="20"/>
              </w:rPr>
              <w:t xml:space="preserve"> in group 2 and meta-analysed alongside with surgical intervention</w:t>
            </w:r>
            <w:r w:rsidR="00444E1D">
              <w:rPr>
                <w:rFonts w:ascii="Arial Narrow" w:hAnsi="Arial Narrow"/>
                <w:sz w:val="20"/>
                <w:szCs w:val="20"/>
              </w:rPr>
              <w:t xml:space="preserve">). Most of the </w:t>
            </w:r>
            <w:r w:rsidR="00444E1D" w:rsidRPr="00041459">
              <w:rPr>
                <w:rFonts w:ascii="Arial Narrow" w:hAnsi="Arial Narrow"/>
                <w:sz w:val="20"/>
                <w:szCs w:val="20"/>
              </w:rPr>
              <w:t>RCTs</w:t>
            </w:r>
            <w:r w:rsidR="0074048F" w:rsidRPr="00041459">
              <w:rPr>
                <w:rFonts w:ascii="Arial Narrow" w:hAnsi="Arial Narrow"/>
                <w:sz w:val="20"/>
                <w:szCs w:val="20"/>
              </w:rPr>
              <w:t xml:space="preserve"> were </w:t>
            </w:r>
            <w:r w:rsidRPr="00041459">
              <w:rPr>
                <w:rFonts w:ascii="Arial Narrow" w:hAnsi="Arial Narrow"/>
                <w:sz w:val="20"/>
                <w:szCs w:val="20"/>
              </w:rPr>
              <w:t xml:space="preserve">not </w:t>
            </w:r>
            <w:r w:rsidR="0074048F" w:rsidRPr="00041459">
              <w:rPr>
                <w:rFonts w:ascii="Arial Narrow" w:hAnsi="Arial Narrow"/>
                <w:sz w:val="20"/>
                <w:szCs w:val="20"/>
              </w:rPr>
              <w:t>powered</w:t>
            </w:r>
            <w:r w:rsidR="0074048F" w:rsidRPr="008C096A">
              <w:rPr>
                <w:rFonts w:ascii="Arial Narrow" w:hAnsi="Arial Narrow"/>
                <w:sz w:val="20"/>
                <w:szCs w:val="20"/>
              </w:rPr>
              <w:t xml:space="preserve"> to detect the difference</w:t>
            </w:r>
            <w:r w:rsidR="0074048F">
              <w:rPr>
                <w:rFonts w:ascii="Arial Narrow" w:hAnsi="Arial Narrow"/>
                <w:sz w:val="20"/>
                <w:szCs w:val="20"/>
              </w:rPr>
              <w:t xml:space="preserve"> in</w:t>
            </w:r>
            <w:r>
              <w:rPr>
                <w:rFonts w:ascii="Arial Narrow" w:hAnsi="Arial Narrow"/>
                <w:sz w:val="20"/>
                <w:szCs w:val="20"/>
              </w:rPr>
              <w:t xml:space="preserve"> the</w:t>
            </w:r>
            <w:r w:rsidR="0074048F">
              <w:rPr>
                <w:rFonts w:ascii="Arial Narrow" w:hAnsi="Arial Narrow"/>
                <w:sz w:val="20"/>
                <w:szCs w:val="20"/>
              </w:rPr>
              <w:t xml:space="preserve"> final outcomes</w:t>
            </w:r>
            <w:r>
              <w:rPr>
                <w:rFonts w:ascii="Arial Narrow" w:hAnsi="Arial Narrow"/>
                <w:sz w:val="20"/>
                <w:szCs w:val="20"/>
              </w:rPr>
              <w:t xml:space="preserve">. </w:t>
            </w:r>
            <w:r w:rsidRPr="008C096A">
              <w:rPr>
                <w:rFonts w:ascii="Arial Narrow" w:hAnsi="Arial Narrow"/>
                <w:sz w:val="20"/>
                <w:szCs w:val="20"/>
              </w:rPr>
              <w:t xml:space="preserve">Patients </w:t>
            </w:r>
            <w:r w:rsidR="00444E1D">
              <w:rPr>
                <w:rFonts w:ascii="Arial Narrow" w:hAnsi="Arial Narrow"/>
                <w:sz w:val="20"/>
                <w:szCs w:val="20"/>
              </w:rPr>
              <w:t xml:space="preserve">in IMPROVE IT trial </w:t>
            </w:r>
            <w:r w:rsidRPr="008C096A">
              <w:rPr>
                <w:rFonts w:ascii="Arial Narrow" w:hAnsi="Arial Narrow"/>
                <w:sz w:val="20"/>
                <w:szCs w:val="20"/>
              </w:rPr>
              <w:t xml:space="preserve">were not required to be </w:t>
            </w:r>
            <w:r w:rsidR="00CA77DE">
              <w:rPr>
                <w:rFonts w:ascii="Arial Narrow" w:hAnsi="Arial Narrow"/>
                <w:sz w:val="20"/>
                <w:szCs w:val="20"/>
              </w:rPr>
              <w:t>on</w:t>
            </w:r>
            <w:r w:rsidRPr="008C096A">
              <w:rPr>
                <w:rFonts w:ascii="Arial Narrow" w:hAnsi="Arial Narrow"/>
                <w:sz w:val="20"/>
                <w:szCs w:val="20"/>
              </w:rPr>
              <w:t xml:space="preserve"> the </w:t>
            </w:r>
            <w:r w:rsidR="00CA77DE">
              <w:rPr>
                <w:rFonts w:ascii="Arial Narrow" w:hAnsi="Arial Narrow"/>
                <w:sz w:val="20"/>
                <w:szCs w:val="20"/>
              </w:rPr>
              <w:t>maximum</w:t>
            </w:r>
            <w:r w:rsidRPr="008C096A">
              <w:rPr>
                <w:rFonts w:ascii="Arial Narrow" w:hAnsi="Arial Narrow"/>
                <w:sz w:val="20"/>
                <w:szCs w:val="20"/>
              </w:rPr>
              <w:t xml:space="preserve"> tolerated dose of statin.</w:t>
            </w:r>
            <w:r w:rsidR="00444E1D">
              <w:rPr>
                <w:rFonts w:ascii="Arial Narrow" w:hAnsi="Arial Narrow"/>
                <w:sz w:val="20"/>
                <w:szCs w:val="20"/>
              </w:rPr>
              <w:t xml:space="preserve"> </w:t>
            </w:r>
          </w:p>
        </w:tc>
      </w:tr>
    </w:tbl>
    <w:p w14:paraId="4605FB82" w14:textId="12889004" w:rsidR="008C096A" w:rsidRDefault="008C096A" w:rsidP="00F809F6">
      <w:pPr>
        <w:sectPr w:rsidR="008C096A" w:rsidSect="008C096A">
          <w:endnotePr>
            <w:numFmt w:val="decimal"/>
          </w:endnotePr>
          <w:pgSz w:w="16838" w:h="11906" w:orient="landscape"/>
          <w:pgMar w:top="1440" w:right="1440" w:bottom="1134" w:left="1440" w:header="709" w:footer="709" w:gutter="0"/>
          <w:cols w:space="708"/>
          <w:docGrid w:linePitch="360"/>
        </w:sectPr>
      </w:pPr>
    </w:p>
    <w:p w14:paraId="2E25A553" w14:textId="7CA273C4" w:rsidR="004719AC" w:rsidRDefault="004719AC" w:rsidP="004719AC">
      <w:pPr>
        <w:pStyle w:val="Heading3"/>
      </w:pPr>
      <w:r>
        <w:lastRenderedPageBreak/>
        <w:t>Narrative description of the s</w:t>
      </w:r>
      <w:r w:rsidRPr="0004489B">
        <w:t>ystematic reviews of clinical efficacy and safety of ezetimibe monotherapy and ezetimibe in combination with a statin</w:t>
      </w:r>
    </w:p>
    <w:p w14:paraId="7F402534" w14:textId="77777777" w:rsidR="004719AC" w:rsidRDefault="004719AC" w:rsidP="004719AC"/>
    <w:p w14:paraId="160330FC" w14:textId="6A32272A" w:rsidR="004719AC" w:rsidRPr="004719AC" w:rsidRDefault="000D6208" w:rsidP="000D6208">
      <w:pPr>
        <w:jc w:val="both"/>
        <w:rPr>
          <w:rFonts w:eastAsiaTheme="minorHAnsi"/>
          <w:lang w:eastAsia="en-US"/>
        </w:rPr>
      </w:pPr>
      <w:r>
        <w:rPr>
          <w:rFonts w:eastAsiaTheme="minorHAnsi"/>
          <w:b/>
          <w:lang w:eastAsia="en-US"/>
        </w:rPr>
        <w:t>None</w:t>
      </w:r>
      <w:r w:rsidR="004719AC" w:rsidRPr="004719AC">
        <w:rPr>
          <w:rFonts w:eastAsiaTheme="minorHAnsi"/>
          <w:b/>
          <w:lang w:eastAsia="en-US"/>
        </w:rPr>
        <w:t xml:space="preserve"> of the identified systematic reviews presented conclusive evidence on the long-t</w:t>
      </w:r>
      <w:r w:rsidR="007D0F2E">
        <w:rPr>
          <w:rFonts w:eastAsiaTheme="minorHAnsi"/>
          <w:b/>
          <w:lang w:eastAsia="en-US"/>
        </w:rPr>
        <w:t>erm risk of cardiovascular events (CVEs)</w:t>
      </w:r>
      <w:r w:rsidR="004719AC" w:rsidRPr="004719AC">
        <w:rPr>
          <w:rFonts w:eastAsiaTheme="minorHAnsi"/>
          <w:b/>
          <w:lang w:eastAsia="en-US"/>
        </w:rPr>
        <w:t xml:space="preserve"> in general population with hypercholesterolaemia</w:t>
      </w:r>
      <w:r>
        <w:rPr>
          <w:rFonts w:eastAsiaTheme="minorHAnsi"/>
          <w:b/>
          <w:lang w:eastAsia="en-US"/>
        </w:rPr>
        <w:t xml:space="preserve"> treated with combination of statin and ezetimibe</w:t>
      </w:r>
      <w:r w:rsidR="004719AC" w:rsidRPr="004719AC">
        <w:rPr>
          <w:rFonts w:eastAsiaTheme="minorHAnsi"/>
          <w:lang w:eastAsia="en-US"/>
        </w:rPr>
        <w:t>. Many of the studies included in the systematic reviews were of insufficient duration to adequately assess long-term clinical outcomes of mortality, acute coronary events, and</w:t>
      </w:r>
      <w:r w:rsidR="007D0F2E">
        <w:rPr>
          <w:rFonts w:eastAsiaTheme="minorHAnsi"/>
          <w:lang w:eastAsia="en-US"/>
        </w:rPr>
        <w:t xml:space="preserve"> revascularization procedures</w:t>
      </w:r>
      <w:r w:rsidR="004719AC" w:rsidRPr="004719AC">
        <w:rPr>
          <w:rFonts w:eastAsiaTheme="minorHAnsi"/>
          <w:lang w:eastAsia="en-US"/>
        </w:rPr>
        <w:t>. T</w:t>
      </w:r>
      <w:r w:rsidR="001D6E18">
        <w:rPr>
          <w:rFonts w:eastAsiaTheme="minorHAnsi"/>
          <w:lang w:eastAsia="en-US"/>
        </w:rPr>
        <w:t>wo</w:t>
      </w:r>
      <w:r w:rsidR="004719AC" w:rsidRPr="004719AC">
        <w:rPr>
          <w:rFonts w:eastAsiaTheme="minorHAnsi"/>
          <w:lang w:eastAsia="en-US"/>
        </w:rPr>
        <w:t xml:space="preserve"> systematic review</w:t>
      </w:r>
      <w:r w:rsidR="001D6E18">
        <w:rPr>
          <w:rFonts w:eastAsiaTheme="minorHAnsi"/>
          <w:lang w:eastAsia="en-US"/>
        </w:rPr>
        <w:t>s</w:t>
      </w:r>
      <w:r w:rsidR="004719AC" w:rsidRPr="004719AC">
        <w:rPr>
          <w:rFonts w:eastAsiaTheme="minorHAnsi"/>
          <w:lang w:eastAsia="en-US"/>
        </w:rPr>
        <w:t xml:space="preserve"> by Battagia (2015)</w:t>
      </w:r>
      <w:r w:rsidR="001D6E18">
        <w:rPr>
          <w:rFonts w:eastAsiaTheme="minorHAnsi"/>
          <w:lang w:eastAsia="en-US"/>
        </w:rPr>
        <w:t xml:space="preserve"> and by </w:t>
      </w:r>
      <w:r w:rsidR="001D6E18" w:rsidRPr="001D6E18">
        <w:rPr>
          <w:rFonts w:eastAsiaTheme="minorHAnsi"/>
          <w:lang w:eastAsia="en-US"/>
        </w:rPr>
        <w:t>Silverman</w:t>
      </w:r>
      <w:r w:rsidR="001D6E18">
        <w:rPr>
          <w:rFonts w:eastAsiaTheme="minorHAnsi"/>
          <w:lang w:eastAsia="en-US"/>
        </w:rPr>
        <w:t xml:space="preserve"> (2016)</w:t>
      </w:r>
      <w:r w:rsidR="004719AC" w:rsidRPr="004719AC">
        <w:rPr>
          <w:rFonts w:eastAsiaTheme="minorHAnsi"/>
          <w:lang w:eastAsia="en-US"/>
        </w:rPr>
        <w:t xml:space="preserve"> w</w:t>
      </w:r>
      <w:r w:rsidR="001D6E18">
        <w:rPr>
          <w:rFonts w:eastAsiaTheme="minorHAnsi"/>
          <w:lang w:eastAsia="en-US"/>
        </w:rPr>
        <w:t>ere</w:t>
      </w:r>
      <w:r w:rsidR="004719AC" w:rsidRPr="004719AC">
        <w:rPr>
          <w:rFonts w:eastAsiaTheme="minorHAnsi"/>
          <w:lang w:eastAsia="en-US"/>
        </w:rPr>
        <w:t xml:space="preserve"> specifically designed to meta-analyse mortality and morbidity outcomes listed in seven RCTs as clinical end points</w:t>
      </w:r>
      <w:r w:rsidR="001D6E18">
        <w:rPr>
          <w:rFonts w:eastAsiaTheme="minorHAnsi"/>
          <w:lang w:eastAsia="en-US"/>
        </w:rPr>
        <w:t xml:space="preserve"> (</w:t>
      </w:r>
      <w:r w:rsidR="001D6E18" w:rsidRPr="004719AC">
        <w:rPr>
          <w:rFonts w:eastAsiaTheme="minorHAnsi"/>
          <w:lang w:eastAsia="en-US"/>
        </w:rPr>
        <w:t>Battagia</w:t>
      </w:r>
      <w:r w:rsidR="001D6E18">
        <w:rPr>
          <w:rFonts w:eastAsiaTheme="minorHAnsi"/>
          <w:lang w:eastAsia="en-US"/>
        </w:rPr>
        <w:t xml:space="preserve"> </w:t>
      </w:r>
      <w:r w:rsidR="001D6E18" w:rsidRPr="004719AC">
        <w:rPr>
          <w:rFonts w:eastAsiaTheme="minorHAnsi"/>
          <w:lang w:eastAsia="en-US"/>
        </w:rPr>
        <w:t>2015)</w:t>
      </w:r>
      <w:r w:rsidR="001D6E18">
        <w:rPr>
          <w:rFonts w:eastAsiaTheme="minorHAnsi"/>
          <w:lang w:eastAsia="en-US"/>
        </w:rPr>
        <w:t xml:space="preserve"> or a</w:t>
      </w:r>
      <w:r w:rsidR="001D6E18" w:rsidRPr="001D6E18">
        <w:rPr>
          <w:rFonts w:eastAsiaTheme="minorHAnsi"/>
          <w:lang w:eastAsia="en-US"/>
        </w:rPr>
        <w:t xml:space="preserve"> compos</w:t>
      </w:r>
      <w:r w:rsidR="001D6E18">
        <w:rPr>
          <w:rFonts w:eastAsiaTheme="minorHAnsi"/>
          <w:lang w:eastAsia="en-US"/>
        </w:rPr>
        <w:t xml:space="preserve">ite end point of major vascular </w:t>
      </w:r>
      <w:r w:rsidR="001D6E18" w:rsidRPr="001D6E18">
        <w:rPr>
          <w:rFonts w:eastAsiaTheme="minorHAnsi"/>
          <w:lang w:eastAsia="en-US"/>
        </w:rPr>
        <w:t>events, which consisted of cardiovascular death, acute MI or other acute coronary syndrome, coronary revascularization, and stroke</w:t>
      </w:r>
      <w:r w:rsidR="001D6E18">
        <w:rPr>
          <w:rFonts w:eastAsiaTheme="minorHAnsi"/>
          <w:lang w:eastAsia="en-US"/>
        </w:rPr>
        <w:t xml:space="preserve"> (</w:t>
      </w:r>
      <w:r w:rsidR="001D6E18" w:rsidRPr="001D6E18">
        <w:rPr>
          <w:rFonts w:eastAsiaTheme="minorHAnsi"/>
          <w:lang w:eastAsia="en-US"/>
        </w:rPr>
        <w:t>Silverman</w:t>
      </w:r>
      <w:r w:rsidR="001D6E18">
        <w:rPr>
          <w:rFonts w:eastAsiaTheme="minorHAnsi"/>
          <w:lang w:eastAsia="en-US"/>
        </w:rPr>
        <w:t xml:space="preserve"> 2016)</w:t>
      </w:r>
      <w:r w:rsidR="004719AC" w:rsidRPr="004719AC">
        <w:rPr>
          <w:rFonts w:eastAsiaTheme="minorHAnsi"/>
          <w:lang w:eastAsia="en-US"/>
        </w:rPr>
        <w:t xml:space="preserve">. Since, in our view, meta-analysing the outcomes collected in very different populations in the RCTs with incompatible designs was not justified, </w:t>
      </w:r>
      <w:r w:rsidR="001D6E18">
        <w:rPr>
          <w:rFonts w:eastAsiaTheme="minorHAnsi"/>
          <w:lang w:eastAsia="en-US"/>
        </w:rPr>
        <w:t>results reported in th</w:t>
      </w:r>
      <w:r>
        <w:rPr>
          <w:rFonts w:eastAsiaTheme="minorHAnsi"/>
          <w:lang w:eastAsia="en-US"/>
        </w:rPr>
        <w:t>ese</w:t>
      </w:r>
      <w:r w:rsidR="001D6E18">
        <w:rPr>
          <w:rFonts w:eastAsiaTheme="minorHAnsi"/>
          <w:lang w:eastAsia="en-US"/>
        </w:rPr>
        <w:t xml:space="preserve"> studies should be interpreted with caution. </w:t>
      </w:r>
      <w:r>
        <w:rPr>
          <w:rFonts w:eastAsiaTheme="minorHAnsi"/>
          <w:lang w:eastAsia="en-US"/>
        </w:rPr>
        <w:t>Unlike the study by</w:t>
      </w:r>
      <w:r w:rsidR="001D6E18">
        <w:rPr>
          <w:rFonts w:eastAsiaTheme="minorHAnsi"/>
          <w:lang w:eastAsia="en-US"/>
        </w:rPr>
        <w:t xml:space="preserve"> </w:t>
      </w:r>
      <w:r w:rsidRPr="004719AC">
        <w:rPr>
          <w:rFonts w:eastAsiaTheme="minorHAnsi"/>
          <w:lang w:eastAsia="en-US"/>
        </w:rPr>
        <w:t>Battagia</w:t>
      </w:r>
      <w:r>
        <w:rPr>
          <w:rFonts w:eastAsiaTheme="minorHAnsi"/>
          <w:lang w:eastAsia="en-US"/>
        </w:rPr>
        <w:t xml:space="preserve"> (</w:t>
      </w:r>
      <w:r w:rsidRPr="004719AC">
        <w:rPr>
          <w:rFonts w:eastAsiaTheme="minorHAnsi"/>
          <w:lang w:eastAsia="en-US"/>
        </w:rPr>
        <w:t>2015</w:t>
      </w:r>
      <w:r>
        <w:rPr>
          <w:rFonts w:eastAsiaTheme="minorHAnsi"/>
          <w:lang w:eastAsia="en-US"/>
        </w:rPr>
        <w:t xml:space="preserve">), the </w:t>
      </w:r>
      <w:r w:rsidR="001D6E18">
        <w:rPr>
          <w:rFonts w:eastAsiaTheme="minorHAnsi"/>
          <w:lang w:eastAsia="en-US"/>
        </w:rPr>
        <w:t xml:space="preserve">meta-analysis by </w:t>
      </w:r>
      <w:r w:rsidR="001D6E18" w:rsidRPr="001D6E18">
        <w:rPr>
          <w:rFonts w:eastAsiaTheme="minorHAnsi"/>
          <w:lang w:eastAsia="en-US"/>
        </w:rPr>
        <w:t>Silverman</w:t>
      </w:r>
      <w:r w:rsidR="001D6E18">
        <w:rPr>
          <w:rFonts w:eastAsiaTheme="minorHAnsi"/>
          <w:lang w:eastAsia="en-US"/>
        </w:rPr>
        <w:t xml:space="preserve"> (2016) </w:t>
      </w:r>
      <w:r>
        <w:rPr>
          <w:rFonts w:eastAsiaTheme="minorHAnsi"/>
          <w:lang w:eastAsia="en-US"/>
        </w:rPr>
        <w:t>had used theoretical foundations for selecting and grouping the studies into 4 intervention groups (only one was relevant to the reseach question of the present Review), so</w:t>
      </w:r>
      <w:r w:rsidR="001D6E18">
        <w:rPr>
          <w:rFonts w:eastAsiaTheme="minorHAnsi"/>
          <w:lang w:eastAsia="en-US"/>
        </w:rPr>
        <w:t xml:space="preserve"> </w:t>
      </w:r>
      <w:r w:rsidR="004719AC" w:rsidRPr="004719AC">
        <w:rPr>
          <w:rFonts w:eastAsiaTheme="minorHAnsi"/>
          <w:lang w:eastAsia="en-US"/>
        </w:rPr>
        <w:t>no further discussion of the results of the systematic review by Battagia (2015) is presented here</w:t>
      </w:r>
      <w:r w:rsidR="004719AC">
        <w:rPr>
          <w:rFonts w:eastAsiaTheme="minorHAnsi"/>
          <w:lang w:eastAsia="en-US"/>
        </w:rPr>
        <w:t>.</w:t>
      </w:r>
      <w:r>
        <w:rPr>
          <w:rFonts w:eastAsiaTheme="minorHAnsi"/>
          <w:lang w:eastAsia="en-US"/>
        </w:rPr>
        <w:t xml:space="preserve"> Presentation of the results of the meta-analysis reported by  </w:t>
      </w:r>
      <w:r w:rsidRPr="001D6E18">
        <w:rPr>
          <w:rFonts w:eastAsiaTheme="minorHAnsi"/>
          <w:lang w:eastAsia="en-US"/>
        </w:rPr>
        <w:t>Silverman</w:t>
      </w:r>
      <w:r>
        <w:rPr>
          <w:rFonts w:eastAsiaTheme="minorHAnsi"/>
          <w:lang w:eastAsia="en-US"/>
        </w:rPr>
        <w:t xml:space="preserve"> (2016) are limited to the intervention group defined as  “</w:t>
      </w:r>
      <w:r w:rsidRPr="000D6208">
        <w:rPr>
          <w:rFonts w:eastAsiaTheme="minorHAnsi"/>
          <w:lang w:eastAsia="en-US"/>
        </w:rPr>
        <w:t>nonstatin therapies that</w:t>
      </w:r>
      <w:r>
        <w:rPr>
          <w:rFonts w:eastAsiaTheme="minorHAnsi"/>
          <w:lang w:eastAsia="en-US"/>
        </w:rPr>
        <w:t xml:space="preserve"> ultimately lower LDL-C predomi</w:t>
      </w:r>
      <w:r w:rsidRPr="000D6208">
        <w:rPr>
          <w:rFonts w:eastAsiaTheme="minorHAnsi"/>
          <w:lang w:eastAsia="en-US"/>
        </w:rPr>
        <w:t>nantly by lowering intrahepat</w:t>
      </w:r>
      <w:r>
        <w:rPr>
          <w:rFonts w:eastAsiaTheme="minorHAnsi"/>
          <w:lang w:eastAsia="en-US"/>
        </w:rPr>
        <w:t xml:space="preserve">ic cholesterol, thereby leading </w:t>
      </w:r>
      <w:r w:rsidRPr="000D6208">
        <w:rPr>
          <w:rFonts w:eastAsiaTheme="minorHAnsi"/>
          <w:lang w:eastAsia="en-US"/>
        </w:rPr>
        <w:t>to upregulation of LDL rec</w:t>
      </w:r>
      <w:r>
        <w:rPr>
          <w:rFonts w:eastAsiaTheme="minorHAnsi"/>
          <w:lang w:eastAsia="en-US"/>
        </w:rPr>
        <w:t xml:space="preserve">eptor expression (i.e, diet, </w:t>
      </w:r>
      <w:r w:rsidRPr="000D6208">
        <w:rPr>
          <w:rFonts w:eastAsiaTheme="minorHAnsi"/>
          <w:lang w:eastAsia="en-US"/>
        </w:rPr>
        <w:t>bile acid sequestrants, ileal bypass surgery, and ezetimibe)</w:t>
      </w:r>
      <w:r>
        <w:rPr>
          <w:rFonts w:eastAsiaTheme="minorHAnsi"/>
          <w:lang w:eastAsia="en-US"/>
        </w:rPr>
        <w:t>”. The only ezetimibe RCT that met the selection criteria was IMPROVE IT trial (Cannon 2015), described in details elsewhere in the Review.</w:t>
      </w:r>
    </w:p>
    <w:p w14:paraId="137AFDCE" w14:textId="2D3F8B49" w:rsidR="004719AC" w:rsidRPr="004719AC" w:rsidRDefault="004719AC" w:rsidP="000D6208">
      <w:pPr>
        <w:spacing w:after="0" w:line="240" w:lineRule="auto"/>
        <w:jc w:val="both"/>
        <w:rPr>
          <w:rFonts w:eastAsiaTheme="minorHAnsi"/>
          <w:lang w:eastAsia="en-US"/>
        </w:rPr>
      </w:pPr>
      <w:r w:rsidRPr="004719AC">
        <w:rPr>
          <w:rFonts w:eastAsiaTheme="minorHAnsi"/>
          <w:lang w:eastAsia="en-US"/>
        </w:rPr>
        <w:t xml:space="preserve">In the absence of sufficient data on the long-term patient outcomes other systematic reviews focused on the surrogate lipid-lowering outcomes. </w:t>
      </w:r>
      <w:r w:rsidR="007D0F2E">
        <w:rPr>
          <w:rFonts w:eastAsiaTheme="minorHAnsi"/>
          <w:lang w:eastAsia="en-US"/>
        </w:rPr>
        <w:t>We identified</w:t>
      </w:r>
      <w:r w:rsidRPr="004719AC">
        <w:rPr>
          <w:rFonts w:eastAsiaTheme="minorHAnsi"/>
          <w:lang w:eastAsia="en-US"/>
        </w:rPr>
        <w:t xml:space="preserve"> five systematic analyses of surrogate outcomes in general population with hyperch</w:t>
      </w:r>
      <w:r w:rsidR="006D7030">
        <w:rPr>
          <w:rFonts w:eastAsiaTheme="minorHAnsi"/>
          <w:lang w:eastAsia="en-US"/>
        </w:rPr>
        <w:t>olesterolaemia (Mikhailidis 2007, Mikhailidis 2011</w:t>
      </w:r>
      <w:r w:rsidRPr="004719AC">
        <w:rPr>
          <w:rFonts w:eastAsiaTheme="minorHAnsi"/>
          <w:lang w:eastAsia="en-US"/>
        </w:rPr>
        <w:t>, HTA 2008</w:t>
      </w:r>
      <w:r w:rsidR="002A7D44">
        <w:rPr>
          <w:rFonts w:eastAsiaTheme="minorHAnsi"/>
          <w:lang w:eastAsia="en-US"/>
        </w:rPr>
        <w:t xml:space="preserve"> (Ara 2008)</w:t>
      </w:r>
      <w:r w:rsidRPr="004719AC">
        <w:rPr>
          <w:rFonts w:eastAsiaTheme="minorHAnsi"/>
          <w:lang w:eastAsia="en-US"/>
        </w:rPr>
        <w:t xml:space="preserve"> HTA 2015</w:t>
      </w:r>
      <w:r w:rsidR="002A7D44">
        <w:rPr>
          <w:rFonts w:eastAsiaTheme="minorHAnsi"/>
          <w:lang w:eastAsia="en-US"/>
        </w:rPr>
        <w:t xml:space="preserve"> (unpublished)</w:t>
      </w:r>
      <w:r w:rsidRPr="004719AC">
        <w:rPr>
          <w:rFonts w:eastAsiaTheme="minorHAnsi"/>
          <w:lang w:eastAsia="en-US"/>
        </w:rPr>
        <w:t>, Pandor</w:t>
      </w:r>
      <w:r w:rsidRPr="004719AC">
        <w:rPr>
          <w:rFonts w:eastAsiaTheme="minorHAnsi"/>
          <w:i/>
          <w:lang w:eastAsia="en-US"/>
        </w:rPr>
        <w:t xml:space="preserve"> </w:t>
      </w:r>
      <w:r w:rsidRPr="004719AC">
        <w:rPr>
          <w:rFonts w:eastAsiaTheme="minorHAnsi"/>
          <w:lang w:eastAsia="en-US"/>
        </w:rPr>
        <w:t xml:space="preserve">2009); systematic analysis of surrogate outcomes in the population with high </w:t>
      </w:r>
      <w:r w:rsidR="007D0F2E">
        <w:rPr>
          <w:rFonts w:eastAsiaTheme="minorHAnsi"/>
          <w:lang w:eastAsia="en-US"/>
        </w:rPr>
        <w:t>risk of cardiovascular disease (</w:t>
      </w:r>
      <w:r w:rsidRPr="004719AC">
        <w:rPr>
          <w:rFonts w:eastAsiaTheme="minorHAnsi"/>
          <w:lang w:eastAsia="en-US"/>
        </w:rPr>
        <w:t>CVD</w:t>
      </w:r>
      <w:r w:rsidR="007D0F2E">
        <w:rPr>
          <w:rFonts w:eastAsiaTheme="minorHAnsi"/>
          <w:lang w:eastAsia="en-US"/>
        </w:rPr>
        <w:t>)</w:t>
      </w:r>
      <w:r w:rsidRPr="004719AC">
        <w:rPr>
          <w:rFonts w:eastAsiaTheme="minorHAnsi"/>
          <w:lang w:eastAsia="en-US"/>
        </w:rPr>
        <w:t xml:space="preserve"> reported in Sharma 2009 (AHRQ 2009) </w:t>
      </w:r>
      <w:r w:rsidR="007D0F2E">
        <w:rPr>
          <w:rFonts w:eastAsiaTheme="minorHAnsi"/>
          <w:lang w:eastAsia="en-US"/>
        </w:rPr>
        <w:t xml:space="preserve">and </w:t>
      </w:r>
      <w:r w:rsidRPr="004719AC">
        <w:rPr>
          <w:rFonts w:eastAsiaTheme="minorHAnsi"/>
          <w:lang w:eastAsia="en-US"/>
        </w:rPr>
        <w:t xml:space="preserve">was further updated in Gudzune, 2014 (AHRQ 2014). Systematic analyses of surrogate outcomes in special subgroups (e.g. patients with </w:t>
      </w:r>
      <w:r w:rsidR="00DC3ADC">
        <w:rPr>
          <w:rFonts w:eastAsiaTheme="minorHAnsi"/>
          <w:lang w:eastAsia="en-US"/>
        </w:rPr>
        <w:t>diabetes mellitus</w:t>
      </w:r>
      <w:r w:rsidRPr="004719AC">
        <w:rPr>
          <w:rFonts w:eastAsiaTheme="minorHAnsi"/>
          <w:lang w:eastAsia="en-US"/>
        </w:rPr>
        <w:t xml:space="preserve">) were attempted in HTA 2008, HTA 2015 and Gudzune (2014) but the conclusions were limited by the paucity of evidence. Two systematic reviews were specifically designed to analyse the safety outcomes of ezetimibe as monotherapy (Kashani 2008) or ezetimibe in combination with other statins </w:t>
      </w:r>
      <w:r w:rsidR="00705406">
        <w:rPr>
          <w:rFonts w:eastAsiaTheme="minorHAnsi"/>
          <w:lang w:eastAsia="en-US"/>
        </w:rPr>
        <w:t xml:space="preserve">using </w:t>
      </w:r>
      <w:r w:rsidRPr="004719AC">
        <w:rPr>
          <w:rFonts w:eastAsiaTheme="minorHAnsi"/>
          <w:lang w:eastAsia="en-US"/>
        </w:rPr>
        <w:t>statin</w:t>
      </w:r>
      <w:r w:rsidR="00705406">
        <w:rPr>
          <w:rFonts w:eastAsiaTheme="minorHAnsi"/>
          <w:lang w:eastAsia="en-US"/>
        </w:rPr>
        <w:t xml:space="preserve"> </w:t>
      </w:r>
      <w:r w:rsidR="00705406" w:rsidRPr="004719AC">
        <w:rPr>
          <w:rFonts w:eastAsiaTheme="minorHAnsi"/>
          <w:lang w:eastAsia="en-US"/>
        </w:rPr>
        <w:t>monotherapy</w:t>
      </w:r>
      <w:r w:rsidRPr="004719AC">
        <w:rPr>
          <w:rFonts w:eastAsiaTheme="minorHAnsi"/>
          <w:lang w:eastAsia="en-US"/>
        </w:rPr>
        <w:t xml:space="preserve"> </w:t>
      </w:r>
      <w:r w:rsidR="00705406">
        <w:rPr>
          <w:rFonts w:eastAsiaTheme="minorHAnsi"/>
          <w:lang w:eastAsia="en-US"/>
        </w:rPr>
        <w:t>as a comparator</w:t>
      </w:r>
      <w:r w:rsidRPr="004719AC">
        <w:rPr>
          <w:rFonts w:eastAsiaTheme="minorHAnsi"/>
          <w:lang w:eastAsia="en-US"/>
        </w:rPr>
        <w:t xml:space="preserve"> (Kashani 2008, Luo 2015). The safety profile of ezetimibe monotherapy vs placebo was also investigated in the systematic review by Pandor</w:t>
      </w:r>
      <w:r w:rsidRPr="004719AC">
        <w:rPr>
          <w:rFonts w:eastAsiaTheme="minorHAnsi"/>
          <w:i/>
          <w:lang w:eastAsia="en-US"/>
        </w:rPr>
        <w:t xml:space="preserve"> </w:t>
      </w:r>
      <w:r w:rsidRPr="004719AC">
        <w:rPr>
          <w:rFonts w:eastAsiaTheme="minorHAnsi"/>
          <w:lang w:eastAsia="en-US"/>
        </w:rPr>
        <w:t>(2009).</w:t>
      </w:r>
    </w:p>
    <w:p w14:paraId="5A1725E5" w14:textId="77777777" w:rsidR="00912F4E" w:rsidRDefault="00912F4E" w:rsidP="000D6208">
      <w:pPr>
        <w:pStyle w:val="Heading4"/>
        <w:spacing w:before="0" w:line="240" w:lineRule="auto"/>
        <w:rPr>
          <w:lang w:eastAsia="en-US"/>
        </w:rPr>
      </w:pPr>
    </w:p>
    <w:p w14:paraId="1D73D621" w14:textId="4515A506" w:rsidR="004719AC" w:rsidRPr="004719AC" w:rsidRDefault="00912F4E" w:rsidP="000D6208">
      <w:pPr>
        <w:pStyle w:val="Heading4"/>
        <w:spacing w:before="0" w:line="240" w:lineRule="auto"/>
        <w:rPr>
          <w:lang w:eastAsia="en-US"/>
        </w:rPr>
      </w:pPr>
      <w:r>
        <w:rPr>
          <w:lang w:eastAsia="en-US"/>
        </w:rPr>
        <w:t xml:space="preserve">Results reported in </w:t>
      </w:r>
      <w:r w:rsidR="004719AC" w:rsidRPr="004719AC">
        <w:rPr>
          <w:lang w:eastAsia="en-US"/>
        </w:rPr>
        <w:t xml:space="preserve">Agency for Healthcare Research and Quality (AHRQ); US Department of Health and Human Services </w:t>
      </w:r>
    </w:p>
    <w:p w14:paraId="50FD68F8" w14:textId="77777777" w:rsidR="004719AC" w:rsidRDefault="004719AC" w:rsidP="000D6208">
      <w:pPr>
        <w:spacing w:after="0" w:line="240" w:lineRule="auto"/>
      </w:pPr>
    </w:p>
    <w:p w14:paraId="508EA612" w14:textId="5D6C7192" w:rsidR="004719AC" w:rsidRDefault="004719AC" w:rsidP="000D6208">
      <w:pPr>
        <w:spacing w:after="0" w:line="240" w:lineRule="auto"/>
        <w:jc w:val="both"/>
        <w:rPr>
          <w:rFonts w:eastAsiaTheme="minorHAnsi"/>
          <w:lang w:eastAsia="en-US"/>
        </w:rPr>
      </w:pPr>
      <w:r w:rsidRPr="004719AC">
        <w:rPr>
          <w:rFonts w:eastAsiaTheme="minorHAnsi"/>
          <w:lang w:eastAsia="en-US"/>
        </w:rPr>
        <w:t xml:space="preserve">In 2009 the AHRQ conducted the first investigation into the benefits and harms of combination of statin and other lipid-modifying medications compared to a higher dose of statin monotherapy in the population identified as having high CHD risk (Sharma 2009). Following publication of the 2013 American College Cardiology (ACC) and American Heart Association (AHA) guidelines that introduced a new definition of the CV risk and </w:t>
      </w:r>
      <w:r w:rsidR="00D3499B">
        <w:rPr>
          <w:rFonts w:eastAsiaTheme="minorHAnsi"/>
          <w:lang w:eastAsia="en-US"/>
        </w:rPr>
        <w:t xml:space="preserve">did not recommend </w:t>
      </w:r>
      <w:r w:rsidRPr="004719AC">
        <w:rPr>
          <w:rFonts w:eastAsiaTheme="minorHAnsi"/>
          <w:lang w:eastAsia="en-US"/>
        </w:rPr>
        <w:t>LDL-C thresholds</w:t>
      </w:r>
      <w:r w:rsidR="00D3499B">
        <w:rPr>
          <w:rFonts w:eastAsiaTheme="minorHAnsi"/>
          <w:lang w:eastAsia="en-US"/>
        </w:rPr>
        <w:t xml:space="preserve"> as a clinical goal</w:t>
      </w:r>
      <w:r w:rsidRPr="004719AC">
        <w:rPr>
          <w:rFonts w:eastAsiaTheme="minorHAnsi"/>
          <w:lang w:eastAsia="en-US"/>
        </w:rPr>
        <w:t xml:space="preserve">, the AHRQ undertook in 2014 an update of its original review aligning the definition of the target population at high-risk of atherosclerotic CVD to the recommendations of ACC/AHA. The 2014 AHRQ report compared surrogate outcomes, tolerability and safety of the combination therapy (not limited, but inclusive of ezetimibe + statin combination) with intensification of statin monotherapy. </w:t>
      </w:r>
    </w:p>
    <w:p w14:paraId="1F0F4088" w14:textId="77777777" w:rsidR="000D6208" w:rsidRPr="004719AC" w:rsidRDefault="000D6208" w:rsidP="000D6208">
      <w:pPr>
        <w:spacing w:after="0" w:line="240" w:lineRule="auto"/>
        <w:jc w:val="both"/>
        <w:rPr>
          <w:rFonts w:eastAsiaTheme="minorHAnsi"/>
          <w:lang w:eastAsia="en-US"/>
        </w:rPr>
      </w:pPr>
    </w:p>
    <w:p w14:paraId="0B85E21A" w14:textId="17DD2017" w:rsidR="004719AC" w:rsidRPr="004719AC" w:rsidRDefault="004719AC" w:rsidP="004719AC">
      <w:pPr>
        <w:rPr>
          <w:rFonts w:eastAsiaTheme="minorHAnsi"/>
          <w:lang w:eastAsia="en-US"/>
        </w:rPr>
      </w:pPr>
      <w:r w:rsidRPr="004719AC">
        <w:rPr>
          <w:rFonts w:eastAsiaTheme="minorHAnsi"/>
          <w:lang w:eastAsia="en-US"/>
        </w:rPr>
        <w:lastRenderedPageBreak/>
        <w:t xml:space="preserve">The authors identified forty randomized trials (10,955 participants) that compared ezetimibe + statin combination with more potent statin monotherapy. Studies where comparator was a statin of the same [matching] potency as in the intervention arm were excluded. The potency of the statins was assigned as shown in Table </w:t>
      </w:r>
      <w:r w:rsidR="00912F4E">
        <w:rPr>
          <w:rFonts w:eastAsiaTheme="minorHAnsi"/>
          <w:lang w:eastAsia="en-US"/>
        </w:rPr>
        <w:t>2.2.3.2</w:t>
      </w:r>
      <w:r w:rsidRPr="004719AC">
        <w:rPr>
          <w:rFonts w:eastAsiaTheme="minorHAnsi"/>
          <w:lang w:eastAsia="en-US"/>
        </w:rPr>
        <w:t>.</w:t>
      </w:r>
    </w:p>
    <w:p w14:paraId="2A3FB698" w14:textId="1B97D790" w:rsidR="004719AC" w:rsidRPr="0083333B" w:rsidRDefault="00912F4E" w:rsidP="00912F4E">
      <w:pPr>
        <w:pStyle w:val="Caption"/>
        <w:ind w:left="0"/>
        <w:rPr>
          <w:sz w:val="24"/>
          <w:szCs w:val="24"/>
        </w:rPr>
      </w:pPr>
      <w:r w:rsidRPr="0083333B">
        <w:rPr>
          <w:sz w:val="24"/>
          <w:szCs w:val="24"/>
        </w:rPr>
        <w:t>Table 2.2.3.2.</w:t>
      </w:r>
      <w:r w:rsidR="004719AC" w:rsidRPr="0083333B">
        <w:rPr>
          <w:sz w:val="24"/>
          <w:szCs w:val="24"/>
        </w:rPr>
        <w:t>Different dosing of specific statins based on potency to reduce LDL-C</w:t>
      </w:r>
    </w:p>
    <w:tbl>
      <w:tblPr>
        <w:tblStyle w:val="TableGrid2"/>
        <w:tblW w:w="9209" w:type="dxa"/>
        <w:tblLook w:val="04A0" w:firstRow="1" w:lastRow="0" w:firstColumn="1" w:lastColumn="0" w:noHBand="0" w:noVBand="1"/>
      </w:tblPr>
      <w:tblGrid>
        <w:gridCol w:w="1072"/>
        <w:gridCol w:w="940"/>
        <w:gridCol w:w="1205"/>
        <w:gridCol w:w="1139"/>
        <w:gridCol w:w="1109"/>
        <w:gridCol w:w="1155"/>
        <w:gridCol w:w="1225"/>
        <w:gridCol w:w="1364"/>
      </w:tblGrid>
      <w:tr w:rsidR="004719AC" w:rsidRPr="00B65308" w14:paraId="46012F22" w14:textId="77777777" w:rsidTr="006609C9">
        <w:tc>
          <w:tcPr>
            <w:tcW w:w="1072" w:type="dxa"/>
          </w:tcPr>
          <w:p w14:paraId="694CB311" w14:textId="77777777" w:rsidR="004719AC" w:rsidRPr="00B65308" w:rsidRDefault="004719AC" w:rsidP="00674C02">
            <w:pPr>
              <w:ind w:right="-39"/>
              <w:rPr>
                <w:rFonts w:ascii="Arial Narrow" w:hAnsi="Arial Narrow" w:cs="Times New Roman"/>
                <w:bCs/>
              </w:rPr>
            </w:pPr>
            <w:r w:rsidRPr="00B65308">
              <w:rPr>
                <w:rFonts w:ascii="Arial Narrow" w:hAnsi="Arial Narrow" w:cs="Times New Roman"/>
                <w:bCs/>
              </w:rPr>
              <w:t>Potency</w:t>
            </w:r>
          </w:p>
          <w:p w14:paraId="3E7E88D0" w14:textId="77777777" w:rsidR="004719AC" w:rsidRPr="00B65308" w:rsidRDefault="004719AC" w:rsidP="004719AC">
            <w:pPr>
              <w:rPr>
                <w:rFonts w:ascii="Arial Narrow" w:hAnsi="Arial Narrow" w:cs="Times New Roman"/>
                <w:bCs/>
              </w:rPr>
            </w:pPr>
          </w:p>
        </w:tc>
        <w:tc>
          <w:tcPr>
            <w:tcW w:w="940" w:type="dxa"/>
          </w:tcPr>
          <w:p w14:paraId="17537426" w14:textId="77777777" w:rsidR="004719AC" w:rsidRPr="00B65308" w:rsidRDefault="004719AC" w:rsidP="00674C02">
            <w:pPr>
              <w:autoSpaceDE w:val="0"/>
              <w:autoSpaceDN w:val="0"/>
              <w:adjustRightInd w:val="0"/>
              <w:ind w:right="-136"/>
              <w:rPr>
                <w:rFonts w:ascii="Arial Narrow" w:hAnsi="Arial Narrow" w:cs="Times New Roman"/>
                <w:bCs/>
              </w:rPr>
            </w:pPr>
            <w:r w:rsidRPr="00B65308">
              <w:rPr>
                <w:rFonts w:ascii="Arial Narrow" w:hAnsi="Arial Narrow" w:cs="Times New Roman"/>
                <w:bCs/>
              </w:rPr>
              <w:t>LDL-C reduction</w:t>
            </w:r>
          </w:p>
        </w:tc>
        <w:tc>
          <w:tcPr>
            <w:tcW w:w="1205" w:type="dxa"/>
          </w:tcPr>
          <w:p w14:paraId="779B8E73" w14:textId="77777777" w:rsidR="004719AC" w:rsidRPr="00B65308" w:rsidRDefault="004719AC" w:rsidP="00674C02">
            <w:pPr>
              <w:autoSpaceDE w:val="0"/>
              <w:autoSpaceDN w:val="0"/>
              <w:adjustRightInd w:val="0"/>
              <w:ind w:right="-121"/>
              <w:rPr>
                <w:rFonts w:ascii="Arial Narrow" w:hAnsi="Arial Narrow" w:cs="Times New Roman"/>
                <w:bCs/>
              </w:rPr>
            </w:pPr>
            <w:r w:rsidRPr="00B65308">
              <w:rPr>
                <w:rFonts w:ascii="Arial Narrow" w:hAnsi="Arial Narrow" w:cs="Times New Roman"/>
                <w:bCs/>
              </w:rPr>
              <w:t xml:space="preserve">Atorvastatin </w:t>
            </w:r>
          </w:p>
          <w:p w14:paraId="25B4B7E8" w14:textId="77777777" w:rsidR="004719AC" w:rsidRPr="00B65308" w:rsidRDefault="004719AC" w:rsidP="004719AC">
            <w:pPr>
              <w:autoSpaceDE w:val="0"/>
              <w:autoSpaceDN w:val="0"/>
              <w:adjustRightInd w:val="0"/>
              <w:rPr>
                <w:rFonts w:ascii="Arial Narrow" w:hAnsi="Arial Narrow" w:cs="Times New Roman"/>
                <w:bCs/>
              </w:rPr>
            </w:pPr>
            <w:r w:rsidRPr="00B65308">
              <w:rPr>
                <w:rFonts w:ascii="Arial Narrow" w:hAnsi="Arial Narrow" w:cs="Times New Roman"/>
                <w:bCs/>
              </w:rPr>
              <w:t xml:space="preserve">(mg/day) </w:t>
            </w:r>
          </w:p>
        </w:tc>
        <w:tc>
          <w:tcPr>
            <w:tcW w:w="1139" w:type="dxa"/>
          </w:tcPr>
          <w:p w14:paraId="210008F0" w14:textId="77777777" w:rsidR="004719AC" w:rsidRPr="00B65308" w:rsidRDefault="004719AC" w:rsidP="00674C02">
            <w:pPr>
              <w:autoSpaceDE w:val="0"/>
              <w:autoSpaceDN w:val="0"/>
              <w:adjustRightInd w:val="0"/>
              <w:ind w:right="-73"/>
              <w:rPr>
                <w:rFonts w:ascii="Arial Narrow" w:hAnsi="Arial Narrow" w:cs="Times New Roman"/>
                <w:bCs/>
              </w:rPr>
            </w:pPr>
            <w:r w:rsidRPr="00B65308">
              <w:rPr>
                <w:rFonts w:ascii="Arial Narrow" w:hAnsi="Arial Narrow" w:cs="Times New Roman"/>
                <w:bCs/>
              </w:rPr>
              <w:t xml:space="preserve">Fluvastatin </w:t>
            </w:r>
          </w:p>
          <w:p w14:paraId="1963A7DF" w14:textId="77777777" w:rsidR="004719AC" w:rsidRPr="00B65308" w:rsidRDefault="004719AC" w:rsidP="004719AC">
            <w:pPr>
              <w:autoSpaceDE w:val="0"/>
              <w:autoSpaceDN w:val="0"/>
              <w:adjustRightInd w:val="0"/>
              <w:rPr>
                <w:rFonts w:ascii="Arial Narrow" w:hAnsi="Arial Narrow" w:cs="Times New Roman"/>
                <w:bCs/>
              </w:rPr>
            </w:pPr>
            <w:r w:rsidRPr="00B65308">
              <w:rPr>
                <w:rFonts w:ascii="Arial Narrow" w:hAnsi="Arial Narrow" w:cs="Times New Roman"/>
                <w:bCs/>
              </w:rPr>
              <w:t xml:space="preserve">(mg/day) </w:t>
            </w:r>
          </w:p>
        </w:tc>
        <w:tc>
          <w:tcPr>
            <w:tcW w:w="1109" w:type="dxa"/>
          </w:tcPr>
          <w:p w14:paraId="1F2BD0D5" w14:textId="77777777" w:rsidR="004719AC" w:rsidRPr="00B65308" w:rsidRDefault="004719AC" w:rsidP="00674C02">
            <w:pPr>
              <w:autoSpaceDE w:val="0"/>
              <w:autoSpaceDN w:val="0"/>
              <w:adjustRightInd w:val="0"/>
              <w:ind w:right="-73"/>
              <w:rPr>
                <w:rFonts w:ascii="Arial Narrow" w:hAnsi="Arial Narrow" w:cs="Times New Roman"/>
                <w:bCs/>
              </w:rPr>
            </w:pPr>
            <w:r w:rsidRPr="00B65308">
              <w:rPr>
                <w:rFonts w:ascii="Arial Narrow" w:hAnsi="Arial Narrow" w:cs="Times New Roman"/>
                <w:bCs/>
              </w:rPr>
              <w:t xml:space="preserve">Lovastatin </w:t>
            </w:r>
          </w:p>
          <w:p w14:paraId="6EF74568" w14:textId="77777777" w:rsidR="004719AC" w:rsidRPr="00B65308" w:rsidRDefault="004719AC" w:rsidP="00674C02">
            <w:pPr>
              <w:ind w:right="-73"/>
              <w:rPr>
                <w:rFonts w:ascii="Arial Narrow" w:hAnsi="Arial Narrow" w:cs="Times New Roman"/>
                <w:bCs/>
              </w:rPr>
            </w:pPr>
            <w:r w:rsidRPr="00B65308">
              <w:rPr>
                <w:rFonts w:ascii="Arial Narrow" w:hAnsi="Arial Narrow" w:cs="Times New Roman"/>
                <w:bCs/>
              </w:rPr>
              <w:t xml:space="preserve">(mg/day) </w:t>
            </w:r>
          </w:p>
        </w:tc>
        <w:tc>
          <w:tcPr>
            <w:tcW w:w="1155" w:type="dxa"/>
          </w:tcPr>
          <w:p w14:paraId="1F2E924E" w14:textId="77777777" w:rsidR="004719AC" w:rsidRPr="00B65308" w:rsidRDefault="004719AC" w:rsidP="00674C02">
            <w:pPr>
              <w:autoSpaceDE w:val="0"/>
              <w:autoSpaceDN w:val="0"/>
              <w:adjustRightInd w:val="0"/>
              <w:ind w:right="-166"/>
              <w:rPr>
                <w:rFonts w:ascii="Arial Narrow" w:hAnsi="Arial Narrow" w:cs="Times New Roman"/>
                <w:bCs/>
              </w:rPr>
            </w:pPr>
            <w:r w:rsidRPr="00B65308">
              <w:rPr>
                <w:rFonts w:ascii="Arial Narrow" w:hAnsi="Arial Narrow" w:cs="Times New Roman"/>
                <w:bCs/>
              </w:rPr>
              <w:t xml:space="preserve">Pravastatin </w:t>
            </w:r>
          </w:p>
          <w:p w14:paraId="58AF86FD" w14:textId="77777777" w:rsidR="004719AC" w:rsidRPr="00B65308" w:rsidRDefault="004719AC" w:rsidP="004719AC">
            <w:pPr>
              <w:autoSpaceDE w:val="0"/>
              <w:autoSpaceDN w:val="0"/>
              <w:adjustRightInd w:val="0"/>
              <w:rPr>
                <w:rFonts w:ascii="Arial Narrow" w:hAnsi="Arial Narrow" w:cs="Times New Roman"/>
                <w:bCs/>
              </w:rPr>
            </w:pPr>
            <w:r w:rsidRPr="00B65308">
              <w:rPr>
                <w:rFonts w:ascii="Arial Narrow" w:hAnsi="Arial Narrow" w:cs="Times New Roman"/>
                <w:bCs/>
              </w:rPr>
              <w:t xml:space="preserve">(mg/day) </w:t>
            </w:r>
          </w:p>
        </w:tc>
        <w:tc>
          <w:tcPr>
            <w:tcW w:w="1225" w:type="dxa"/>
          </w:tcPr>
          <w:p w14:paraId="60DA6AC7" w14:textId="77777777" w:rsidR="004719AC" w:rsidRPr="00B65308" w:rsidRDefault="004719AC" w:rsidP="00674C02">
            <w:pPr>
              <w:autoSpaceDE w:val="0"/>
              <w:autoSpaceDN w:val="0"/>
              <w:adjustRightInd w:val="0"/>
              <w:ind w:right="-103"/>
              <w:rPr>
                <w:rFonts w:ascii="Arial Narrow" w:hAnsi="Arial Narrow" w:cs="Times New Roman"/>
                <w:bCs/>
              </w:rPr>
            </w:pPr>
            <w:r w:rsidRPr="00B65308">
              <w:rPr>
                <w:rFonts w:ascii="Arial Narrow" w:hAnsi="Arial Narrow" w:cs="Times New Roman"/>
                <w:bCs/>
              </w:rPr>
              <w:t xml:space="preserve">Rosuvastatin </w:t>
            </w:r>
          </w:p>
          <w:p w14:paraId="363F5073" w14:textId="77777777" w:rsidR="004719AC" w:rsidRPr="00B65308" w:rsidRDefault="004719AC" w:rsidP="004719AC">
            <w:pPr>
              <w:autoSpaceDE w:val="0"/>
              <w:autoSpaceDN w:val="0"/>
              <w:adjustRightInd w:val="0"/>
              <w:rPr>
                <w:rFonts w:ascii="Arial Narrow" w:hAnsi="Arial Narrow" w:cs="Times New Roman"/>
                <w:bCs/>
              </w:rPr>
            </w:pPr>
            <w:r w:rsidRPr="00B65308">
              <w:rPr>
                <w:rFonts w:ascii="Arial Narrow" w:hAnsi="Arial Narrow" w:cs="Times New Roman"/>
                <w:bCs/>
              </w:rPr>
              <w:t xml:space="preserve">(mg/day) </w:t>
            </w:r>
          </w:p>
        </w:tc>
        <w:tc>
          <w:tcPr>
            <w:tcW w:w="1364" w:type="dxa"/>
          </w:tcPr>
          <w:p w14:paraId="35FE24CB" w14:textId="77777777" w:rsidR="004719AC" w:rsidRPr="00B65308" w:rsidRDefault="004719AC" w:rsidP="00674C02">
            <w:pPr>
              <w:autoSpaceDE w:val="0"/>
              <w:autoSpaceDN w:val="0"/>
              <w:adjustRightInd w:val="0"/>
              <w:ind w:right="-137"/>
              <w:rPr>
                <w:rFonts w:ascii="Arial Narrow" w:hAnsi="Arial Narrow" w:cs="Times New Roman"/>
                <w:bCs/>
              </w:rPr>
            </w:pPr>
            <w:r w:rsidRPr="00B65308">
              <w:rPr>
                <w:rFonts w:ascii="Arial Narrow" w:hAnsi="Arial Narrow" w:cs="Times New Roman"/>
                <w:bCs/>
              </w:rPr>
              <w:t xml:space="preserve">Simvastatin </w:t>
            </w:r>
          </w:p>
          <w:p w14:paraId="71D6517D" w14:textId="77777777" w:rsidR="004719AC" w:rsidRPr="00B65308" w:rsidRDefault="004719AC" w:rsidP="004719AC">
            <w:pPr>
              <w:autoSpaceDE w:val="0"/>
              <w:autoSpaceDN w:val="0"/>
              <w:adjustRightInd w:val="0"/>
              <w:rPr>
                <w:rFonts w:ascii="Arial Narrow" w:hAnsi="Arial Narrow" w:cs="Times New Roman"/>
                <w:bCs/>
              </w:rPr>
            </w:pPr>
            <w:r w:rsidRPr="00B65308">
              <w:rPr>
                <w:rFonts w:ascii="Arial Narrow" w:hAnsi="Arial Narrow" w:cs="Times New Roman"/>
                <w:bCs/>
              </w:rPr>
              <w:t xml:space="preserve">(mg/day) </w:t>
            </w:r>
          </w:p>
        </w:tc>
      </w:tr>
      <w:tr w:rsidR="004719AC" w:rsidRPr="00B65308" w14:paraId="13731AAE" w14:textId="77777777" w:rsidTr="006609C9">
        <w:tc>
          <w:tcPr>
            <w:tcW w:w="1072" w:type="dxa"/>
          </w:tcPr>
          <w:p w14:paraId="3679F59B"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Low potency </w:t>
            </w:r>
          </w:p>
          <w:p w14:paraId="7FD0155E" w14:textId="77777777" w:rsidR="004719AC" w:rsidRPr="00B65308" w:rsidRDefault="004719AC" w:rsidP="004719AC">
            <w:pPr>
              <w:autoSpaceDE w:val="0"/>
              <w:autoSpaceDN w:val="0"/>
              <w:adjustRightInd w:val="0"/>
              <w:rPr>
                <w:rFonts w:ascii="Arial Narrow" w:hAnsi="Arial Narrow" w:cs="Times New Roman"/>
                <w:color w:val="000000"/>
              </w:rPr>
            </w:pPr>
          </w:p>
        </w:tc>
        <w:tc>
          <w:tcPr>
            <w:tcW w:w="940" w:type="dxa"/>
          </w:tcPr>
          <w:p w14:paraId="6CD0C416"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&lt;30% </w:t>
            </w:r>
          </w:p>
        </w:tc>
        <w:tc>
          <w:tcPr>
            <w:tcW w:w="1205" w:type="dxa"/>
          </w:tcPr>
          <w:p w14:paraId="1FFF7375"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5 </w:t>
            </w:r>
          </w:p>
        </w:tc>
        <w:tc>
          <w:tcPr>
            <w:tcW w:w="1139" w:type="dxa"/>
          </w:tcPr>
          <w:p w14:paraId="25FD25E6"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20 and/or 40 </w:t>
            </w:r>
          </w:p>
        </w:tc>
        <w:tc>
          <w:tcPr>
            <w:tcW w:w="1109" w:type="dxa"/>
          </w:tcPr>
          <w:p w14:paraId="7BA3AC96"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5 and/or 10 and/or 20 </w:t>
            </w:r>
          </w:p>
          <w:p w14:paraId="5120F3FF" w14:textId="77777777" w:rsidR="004719AC" w:rsidRPr="00B65308" w:rsidRDefault="004719AC" w:rsidP="004719AC">
            <w:pPr>
              <w:rPr>
                <w:rFonts w:ascii="Arial Narrow" w:hAnsi="Arial Narrow" w:cs="Times New Roman"/>
                <w:color w:val="000000"/>
              </w:rPr>
            </w:pPr>
          </w:p>
        </w:tc>
        <w:tc>
          <w:tcPr>
            <w:tcW w:w="1155" w:type="dxa"/>
          </w:tcPr>
          <w:p w14:paraId="783D6110"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10 and/or 20 and/or 40 </w:t>
            </w:r>
          </w:p>
        </w:tc>
        <w:tc>
          <w:tcPr>
            <w:tcW w:w="1225" w:type="dxa"/>
          </w:tcPr>
          <w:p w14:paraId="65C1A470"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N/R</w:t>
            </w:r>
          </w:p>
        </w:tc>
        <w:tc>
          <w:tcPr>
            <w:tcW w:w="1364" w:type="dxa"/>
          </w:tcPr>
          <w:p w14:paraId="50CE3FD1"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10 </w:t>
            </w:r>
          </w:p>
        </w:tc>
      </w:tr>
      <w:tr w:rsidR="004719AC" w:rsidRPr="00B65308" w14:paraId="7E4019EE" w14:textId="77777777" w:rsidTr="006609C9">
        <w:tc>
          <w:tcPr>
            <w:tcW w:w="1072" w:type="dxa"/>
          </w:tcPr>
          <w:p w14:paraId="41D35250"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Mid potency </w:t>
            </w:r>
          </w:p>
          <w:p w14:paraId="63099D61" w14:textId="77777777" w:rsidR="004719AC" w:rsidRPr="00B65308" w:rsidRDefault="004719AC" w:rsidP="004719AC">
            <w:pPr>
              <w:autoSpaceDE w:val="0"/>
              <w:autoSpaceDN w:val="0"/>
              <w:adjustRightInd w:val="0"/>
              <w:rPr>
                <w:rFonts w:ascii="Arial Narrow" w:hAnsi="Arial Narrow" w:cs="Times New Roman"/>
                <w:color w:val="000000"/>
              </w:rPr>
            </w:pPr>
          </w:p>
        </w:tc>
        <w:tc>
          <w:tcPr>
            <w:tcW w:w="940" w:type="dxa"/>
          </w:tcPr>
          <w:p w14:paraId="02E775AC"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30-40% </w:t>
            </w:r>
          </w:p>
        </w:tc>
        <w:tc>
          <w:tcPr>
            <w:tcW w:w="1205" w:type="dxa"/>
          </w:tcPr>
          <w:p w14:paraId="0499FC63"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10 </w:t>
            </w:r>
          </w:p>
        </w:tc>
        <w:tc>
          <w:tcPr>
            <w:tcW w:w="1139" w:type="dxa"/>
          </w:tcPr>
          <w:p w14:paraId="22741E96"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80 </w:t>
            </w:r>
          </w:p>
        </w:tc>
        <w:tc>
          <w:tcPr>
            <w:tcW w:w="1109" w:type="dxa"/>
          </w:tcPr>
          <w:p w14:paraId="5BC628F0"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40 and/or 80 </w:t>
            </w:r>
          </w:p>
          <w:p w14:paraId="5C1D6294" w14:textId="77777777" w:rsidR="004719AC" w:rsidRPr="00B65308" w:rsidRDefault="004719AC" w:rsidP="004719AC">
            <w:pPr>
              <w:rPr>
                <w:rFonts w:ascii="Arial Narrow" w:hAnsi="Arial Narrow" w:cs="Times New Roman"/>
                <w:color w:val="000000"/>
              </w:rPr>
            </w:pPr>
          </w:p>
        </w:tc>
        <w:tc>
          <w:tcPr>
            <w:tcW w:w="1155" w:type="dxa"/>
          </w:tcPr>
          <w:p w14:paraId="6E5BB2C3"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80 </w:t>
            </w:r>
          </w:p>
        </w:tc>
        <w:tc>
          <w:tcPr>
            <w:tcW w:w="1225" w:type="dxa"/>
          </w:tcPr>
          <w:p w14:paraId="4EE5CB5D"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2.5</w:t>
            </w:r>
            <w:r w:rsidRPr="00B65308">
              <w:rPr>
                <w:rFonts w:ascii="Arial Narrow" w:hAnsi="Arial Narrow" w:cs="Times New Roman"/>
                <w:color w:val="000000"/>
                <w:vertAlign w:val="superscript"/>
              </w:rPr>
              <w:t xml:space="preserve">a </w:t>
            </w:r>
          </w:p>
        </w:tc>
        <w:tc>
          <w:tcPr>
            <w:tcW w:w="1364" w:type="dxa"/>
          </w:tcPr>
          <w:p w14:paraId="60B7979C"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20 </w:t>
            </w:r>
          </w:p>
        </w:tc>
      </w:tr>
      <w:tr w:rsidR="004719AC" w:rsidRPr="00B65308" w14:paraId="50618CA6" w14:textId="77777777" w:rsidTr="006609C9">
        <w:tc>
          <w:tcPr>
            <w:tcW w:w="1072" w:type="dxa"/>
          </w:tcPr>
          <w:p w14:paraId="7C2FACA1"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High potency </w:t>
            </w:r>
          </w:p>
          <w:p w14:paraId="4BFE8F5A" w14:textId="77777777" w:rsidR="004719AC" w:rsidRPr="00B65308" w:rsidRDefault="004719AC" w:rsidP="004719AC">
            <w:pPr>
              <w:autoSpaceDE w:val="0"/>
              <w:autoSpaceDN w:val="0"/>
              <w:adjustRightInd w:val="0"/>
              <w:rPr>
                <w:rFonts w:ascii="Arial Narrow" w:hAnsi="Arial Narrow" w:cs="Times New Roman"/>
                <w:color w:val="000000"/>
              </w:rPr>
            </w:pPr>
          </w:p>
        </w:tc>
        <w:tc>
          <w:tcPr>
            <w:tcW w:w="940" w:type="dxa"/>
          </w:tcPr>
          <w:p w14:paraId="7FCE5B10"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&gt;40% </w:t>
            </w:r>
          </w:p>
        </w:tc>
        <w:tc>
          <w:tcPr>
            <w:tcW w:w="1205" w:type="dxa"/>
          </w:tcPr>
          <w:p w14:paraId="2A88802E"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20 and/or 40 and/or 80 </w:t>
            </w:r>
          </w:p>
        </w:tc>
        <w:tc>
          <w:tcPr>
            <w:tcW w:w="1139" w:type="dxa"/>
          </w:tcPr>
          <w:p w14:paraId="51AA38DB" w14:textId="77777777" w:rsidR="004719AC" w:rsidRPr="00B65308" w:rsidRDefault="004719AC" w:rsidP="004719AC">
            <w:pPr>
              <w:rPr>
                <w:rFonts w:ascii="Arial Narrow" w:hAnsi="Arial Narrow" w:cs="Times New Roman"/>
                <w:bCs/>
              </w:rPr>
            </w:pPr>
            <w:r w:rsidRPr="00B65308">
              <w:rPr>
                <w:rFonts w:ascii="Arial Narrow" w:hAnsi="Arial Narrow" w:cs="Times New Roman"/>
                <w:bCs/>
              </w:rPr>
              <w:t>N/R</w:t>
            </w:r>
          </w:p>
        </w:tc>
        <w:tc>
          <w:tcPr>
            <w:tcW w:w="1109" w:type="dxa"/>
          </w:tcPr>
          <w:p w14:paraId="0A5402BA"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N/R</w:t>
            </w:r>
          </w:p>
        </w:tc>
        <w:tc>
          <w:tcPr>
            <w:tcW w:w="1155" w:type="dxa"/>
          </w:tcPr>
          <w:p w14:paraId="53F952E4"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N/R</w:t>
            </w:r>
          </w:p>
        </w:tc>
        <w:tc>
          <w:tcPr>
            <w:tcW w:w="1225" w:type="dxa"/>
          </w:tcPr>
          <w:p w14:paraId="1EEDCCF2"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 xml:space="preserve">5 and/or 10 and/or 20 and/or 40 </w:t>
            </w:r>
          </w:p>
        </w:tc>
        <w:tc>
          <w:tcPr>
            <w:tcW w:w="1364" w:type="dxa"/>
          </w:tcPr>
          <w:p w14:paraId="23DC2AC5" w14:textId="77777777" w:rsidR="004719AC" w:rsidRPr="00B65308" w:rsidRDefault="004719AC" w:rsidP="004719AC">
            <w:pPr>
              <w:autoSpaceDE w:val="0"/>
              <w:autoSpaceDN w:val="0"/>
              <w:adjustRightInd w:val="0"/>
              <w:rPr>
                <w:rFonts w:ascii="Arial Narrow" w:hAnsi="Arial Narrow" w:cs="Times New Roman"/>
                <w:color w:val="000000"/>
              </w:rPr>
            </w:pPr>
            <w:r w:rsidRPr="00B65308">
              <w:rPr>
                <w:rFonts w:ascii="Arial Narrow" w:hAnsi="Arial Narrow" w:cs="Times New Roman"/>
                <w:color w:val="000000"/>
              </w:rPr>
              <w:t>40 and/or 80</w:t>
            </w:r>
            <w:r w:rsidRPr="00B65308">
              <w:rPr>
                <w:rFonts w:ascii="Arial Narrow" w:hAnsi="Arial Narrow" w:cs="Times New Roman"/>
                <w:color w:val="000000"/>
                <w:vertAlign w:val="superscript"/>
              </w:rPr>
              <w:t xml:space="preserve">a </w:t>
            </w:r>
            <w:r w:rsidRPr="00B65308">
              <w:rPr>
                <w:rFonts w:ascii="Arial Narrow" w:hAnsi="Arial Narrow" w:cs="Times New Roman"/>
                <w:color w:val="000000"/>
              </w:rPr>
              <w:t xml:space="preserve"> </w:t>
            </w:r>
          </w:p>
        </w:tc>
      </w:tr>
    </w:tbl>
    <w:p w14:paraId="495DA847" w14:textId="77777777" w:rsidR="004719AC" w:rsidRPr="004719AC" w:rsidRDefault="004719AC" w:rsidP="004719AC">
      <w:pPr>
        <w:autoSpaceDE w:val="0"/>
        <w:autoSpaceDN w:val="0"/>
        <w:adjustRightInd w:val="0"/>
        <w:spacing w:after="0" w:line="240" w:lineRule="auto"/>
        <w:rPr>
          <w:rFonts w:eastAsiaTheme="minorHAnsi" w:cs="Arial"/>
          <w:color w:val="000000"/>
          <w:sz w:val="18"/>
          <w:szCs w:val="18"/>
          <w:lang w:eastAsia="en-US"/>
        </w:rPr>
      </w:pPr>
      <w:r w:rsidRPr="004719AC">
        <w:rPr>
          <w:rFonts w:ascii="Arial" w:eastAsiaTheme="minorHAnsi" w:hAnsi="Arial" w:cs="Arial"/>
          <w:color w:val="000000"/>
          <w:sz w:val="24"/>
          <w:szCs w:val="24"/>
          <w:lang w:eastAsia="en-US"/>
        </w:rPr>
        <w:t xml:space="preserve"> </w:t>
      </w:r>
      <w:r w:rsidRPr="004719AC">
        <w:rPr>
          <w:rFonts w:eastAsiaTheme="minorHAnsi" w:cs="Arial"/>
          <w:color w:val="000000"/>
          <w:sz w:val="18"/>
          <w:szCs w:val="18"/>
          <w:lang w:eastAsia="en-US"/>
        </w:rPr>
        <w:t xml:space="preserve"> N/R=not reported</w:t>
      </w:r>
    </w:p>
    <w:p w14:paraId="290D7BD1" w14:textId="77777777" w:rsidR="004719AC" w:rsidRPr="004719AC" w:rsidRDefault="004719AC" w:rsidP="004719AC">
      <w:pPr>
        <w:rPr>
          <w:rFonts w:eastAsiaTheme="minorHAnsi"/>
          <w:sz w:val="18"/>
          <w:szCs w:val="18"/>
          <w:lang w:eastAsia="en-US"/>
        </w:rPr>
      </w:pPr>
      <w:r w:rsidRPr="004719AC">
        <w:rPr>
          <w:rFonts w:eastAsiaTheme="minorHAnsi"/>
          <w:sz w:val="18"/>
          <w:szCs w:val="18"/>
          <w:vertAlign w:val="superscript"/>
          <w:lang w:eastAsia="en-US"/>
        </w:rPr>
        <w:t>a</w:t>
      </w:r>
      <w:r w:rsidRPr="004719AC">
        <w:rPr>
          <w:rFonts w:eastAsiaTheme="minorHAnsi"/>
          <w:sz w:val="18"/>
          <w:szCs w:val="18"/>
          <w:lang w:eastAsia="en-US"/>
        </w:rPr>
        <w:t>Dose not included in this review; information obtained from “FDA Advisory Committee Meeting Briefing Document NDA 21-366 for the use of CRESTOR” (www.fda.gov/ohrms/dockets/ac/03/briefing/3968b1_02_a-fda-clinical%20review.pdf).</w:t>
      </w:r>
    </w:p>
    <w:p w14:paraId="0553DA78" w14:textId="77777777" w:rsidR="004719AC" w:rsidRPr="004719AC" w:rsidRDefault="004719AC" w:rsidP="004719AC">
      <w:pPr>
        <w:rPr>
          <w:rFonts w:eastAsiaTheme="minorHAnsi"/>
          <w:lang w:eastAsia="en-US"/>
        </w:rPr>
      </w:pPr>
      <w:r w:rsidRPr="004719AC">
        <w:rPr>
          <w:rFonts w:eastAsiaTheme="minorHAnsi"/>
          <w:lang w:eastAsia="en-US"/>
        </w:rPr>
        <w:t>All RCTs were categorised into the following groups:</w:t>
      </w:r>
    </w:p>
    <w:p w14:paraId="7CF0E364" w14:textId="78AA1400" w:rsidR="004719AC" w:rsidRPr="004719AC" w:rsidRDefault="004719AC" w:rsidP="004719AC">
      <w:pPr>
        <w:jc w:val="both"/>
        <w:rPr>
          <w:rFonts w:eastAsiaTheme="minorHAnsi"/>
          <w:lang w:eastAsia="en-US"/>
        </w:rPr>
      </w:pPr>
      <w:r w:rsidRPr="004719AC">
        <w:rPr>
          <w:rFonts w:eastAsiaTheme="minorHAnsi"/>
          <w:lang w:eastAsia="en-US"/>
        </w:rPr>
        <w:t xml:space="preserve">RCTs comparing </w:t>
      </w:r>
      <w:r w:rsidRPr="004719AC">
        <w:rPr>
          <w:rFonts w:eastAsiaTheme="minorHAnsi"/>
          <w:u w:val="single"/>
          <w:lang w:eastAsia="en-US"/>
        </w:rPr>
        <w:t>low potency statin</w:t>
      </w:r>
      <w:r w:rsidRPr="004719AC">
        <w:rPr>
          <w:rFonts w:eastAsiaTheme="minorHAnsi"/>
          <w:lang w:eastAsia="en-US"/>
        </w:rPr>
        <w:t xml:space="preserve"> in combination with ezetimibe to </w:t>
      </w:r>
      <w:r w:rsidRPr="004719AC">
        <w:rPr>
          <w:rFonts w:eastAsiaTheme="minorHAnsi"/>
          <w:u w:val="single"/>
          <w:lang w:eastAsia="en-US"/>
        </w:rPr>
        <w:t>high potency statin</w:t>
      </w:r>
      <w:r w:rsidRPr="004719AC">
        <w:rPr>
          <w:rFonts w:eastAsiaTheme="minorHAnsi"/>
          <w:lang w:eastAsia="en-US"/>
        </w:rPr>
        <w:t xml:space="preserve"> monotherapy in general population with hyperlipidaemia (Ballantyne 2005</w:t>
      </w:r>
      <w:r w:rsidR="00402430">
        <w:rPr>
          <w:rFonts w:eastAsiaTheme="minorHAnsi"/>
          <w:lang w:eastAsia="en-US"/>
        </w:rPr>
        <w:fldChar w:fldCharType="begin"/>
      </w:r>
      <w:r w:rsidR="00402430">
        <w:rPr>
          <w:rFonts w:eastAsiaTheme="minorHAnsi"/>
          <w:lang w:eastAsia="en-US"/>
        </w:rPr>
        <w:instrText xml:space="preserve"> NOTEREF _Ref460672374 \f \h </w:instrText>
      </w:r>
      <w:r w:rsidR="00402430">
        <w:rPr>
          <w:rFonts w:eastAsiaTheme="minorHAnsi"/>
          <w:lang w:eastAsia="en-US"/>
        </w:rPr>
      </w:r>
      <w:r w:rsidR="00402430">
        <w:rPr>
          <w:rFonts w:eastAsiaTheme="minorHAnsi"/>
          <w:lang w:eastAsia="en-US"/>
        </w:rPr>
        <w:fldChar w:fldCharType="separate"/>
      </w:r>
      <w:r w:rsidR="00CA6F76" w:rsidRPr="00CA6F76">
        <w:rPr>
          <w:rStyle w:val="EndnoteReference"/>
        </w:rPr>
        <w:t>15</w:t>
      </w:r>
      <w:r w:rsidR="00402430">
        <w:rPr>
          <w:rFonts w:eastAsiaTheme="minorHAnsi"/>
          <w:lang w:eastAsia="en-US"/>
        </w:rPr>
        <w:fldChar w:fldCharType="end"/>
      </w:r>
      <w:r w:rsidRPr="004719AC">
        <w:rPr>
          <w:rFonts w:eastAsiaTheme="minorHAnsi"/>
          <w:lang w:eastAsia="en-US"/>
        </w:rPr>
        <w:t>; Bays 2004</w:t>
      </w:r>
      <w:r w:rsidR="00402430">
        <w:rPr>
          <w:rFonts w:eastAsiaTheme="minorHAnsi"/>
          <w:lang w:eastAsia="en-US"/>
        </w:rPr>
        <w:fldChar w:fldCharType="begin"/>
      </w:r>
      <w:r w:rsidR="00402430">
        <w:rPr>
          <w:rFonts w:eastAsiaTheme="minorHAnsi"/>
          <w:lang w:eastAsia="en-US"/>
        </w:rPr>
        <w:instrText xml:space="preserve"> NOTEREF _Ref460672386 \f \h </w:instrText>
      </w:r>
      <w:r w:rsidR="00402430">
        <w:rPr>
          <w:rFonts w:eastAsiaTheme="minorHAnsi"/>
          <w:lang w:eastAsia="en-US"/>
        </w:rPr>
      </w:r>
      <w:r w:rsidR="00402430">
        <w:rPr>
          <w:rFonts w:eastAsiaTheme="minorHAnsi"/>
          <w:lang w:eastAsia="en-US"/>
        </w:rPr>
        <w:fldChar w:fldCharType="separate"/>
      </w:r>
      <w:r w:rsidR="00CA6F76" w:rsidRPr="00CA6F76">
        <w:rPr>
          <w:rStyle w:val="EndnoteReference"/>
        </w:rPr>
        <w:t>19</w:t>
      </w:r>
      <w:r w:rsidR="00402430">
        <w:rPr>
          <w:rFonts w:eastAsiaTheme="minorHAnsi"/>
          <w:lang w:eastAsia="en-US"/>
        </w:rPr>
        <w:fldChar w:fldCharType="end"/>
      </w:r>
      <w:r w:rsidRPr="004719AC">
        <w:rPr>
          <w:rFonts w:eastAsiaTheme="minorHAnsi"/>
          <w:lang w:eastAsia="en-US"/>
        </w:rPr>
        <w:t>; Davidson 2002</w:t>
      </w:r>
      <w:r w:rsidR="00402430">
        <w:rPr>
          <w:rFonts w:eastAsiaTheme="minorHAnsi"/>
          <w:lang w:eastAsia="en-US"/>
        </w:rPr>
        <w:fldChar w:fldCharType="begin"/>
      </w:r>
      <w:r w:rsidR="00402430">
        <w:rPr>
          <w:rFonts w:eastAsiaTheme="minorHAnsi"/>
          <w:lang w:eastAsia="en-US"/>
        </w:rPr>
        <w:instrText xml:space="preserve"> NOTEREF _Ref460672395 \f \h </w:instrText>
      </w:r>
      <w:r w:rsidR="00402430">
        <w:rPr>
          <w:rFonts w:eastAsiaTheme="minorHAnsi"/>
          <w:lang w:eastAsia="en-US"/>
        </w:rPr>
      </w:r>
      <w:r w:rsidR="00402430">
        <w:rPr>
          <w:rFonts w:eastAsiaTheme="minorHAnsi"/>
          <w:lang w:eastAsia="en-US"/>
        </w:rPr>
        <w:fldChar w:fldCharType="separate"/>
      </w:r>
      <w:r w:rsidR="00CA6F76" w:rsidRPr="00CA6F76">
        <w:rPr>
          <w:rStyle w:val="EndnoteReference"/>
        </w:rPr>
        <w:t>4</w:t>
      </w:r>
      <w:r w:rsidR="00402430">
        <w:rPr>
          <w:rFonts w:eastAsiaTheme="minorHAnsi"/>
          <w:lang w:eastAsia="en-US"/>
        </w:rPr>
        <w:fldChar w:fldCharType="end"/>
      </w:r>
      <w:r w:rsidRPr="004719AC">
        <w:rPr>
          <w:rFonts w:eastAsiaTheme="minorHAnsi"/>
          <w:lang w:eastAsia="en-US"/>
        </w:rPr>
        <w:t>; Goldberg 2004</w:t>
      </w:r>
      <w:bookmarkStart w:id="38" w:name="_Ref460672845"/>
      <w:r w:rsidR="00402430">
        <w:rPr>
          <w:rStyle w:val="EndnoteReference"/>
          <w:rFonts w:eastAsiaTheme="minorHAnsi"/>
          <w:lang w:eastAsia="en-US"/>
        </w:rPr>
        <w:endnoteReference w:id="38"/>
      </w:r>
      <w:bookmarkEnd w:id="38"/>
      <w:r w:rsidRPr="004719AC">
        <w:rPr>
          <w:rFonts w:eastAsiaTheme="minorHAnsi"/>
          <w:lang w:eastAsia="en-US"/>
        </w:rPr>
        <w:t>; Ahmed 2008</w:t>
      </w:r>
      <w:r w:rsidR="009D414A">
        <w:rPr>
          <w:rFonts w:eastAsiaTheme="minorHAnsi"/>
          <w:lang w:eastAsia="en-US"/>
        </w:rPr>
        <w:fldChar w:fldCharType="begin"/>
      </w:r>
      <w:r w:rsidR="009D414A">
        <w:rPr>
          <w:rFonts w:eastAsiaTheme="minorHAnsi"/>
          <w:lang w:eastAsia="en-US"/>
        </w:rPr>
        <w:instrText xml:space="preserve"> NOTEREF _Ref460674382 \f \h </w:instrText>
      </w:r>
      <w:r w:rsidR="009D414A">
        <w:rPr>
          <w:rFonts w:eastAsiaTheme="minorHAnsi"/>
          <w:lang w:eastAsia="en-US"/>
        </w:rPr>
      </w:r>
      <w:r w:rsidR="009D414A">
        <w:rPr>
          <w:rFonts w:eastAsiaTheme="minorHAnsi"/>
          <w:lang w:eastAsia="en-US"/>
        </w:rPr>
        <w:fldChar w:fldCharType="separate"/>
      </w:r>
      <w:r w:rsidR="00CA6F76" w:rsidRPr="00CA6F76">
        <w:rPr>
          <w:rStyle w:val="EndnoteReference"/>
        </w:rPr>
        <w:t>43</w:t>
      </w:r>
      <w:r w:rsidR="009D414A">
        <w:rPr>
          <w:rFonts w:eastAsiaTheme="minorHAnsi"/>
          <w:lang w:eastAsia="en-US"/>
        </w:rPr>
        <w:fldChar w:fldCharType="end"/>
      </w:r>
      <w:r w:rsidRPr="004719AC">
        <w:rPr>
          <w:rFonts w:eastAsiaTheme="minorHAnsi"/>
          <w:lang w:eastAsia="en-US"/>
        </w:rPr>
        <w:t>; Araujo 2010</w:t>
      </w:r>
      <w:bookmarkStart w:id="39" w:name="_Ref460672932"/>
      <w:r w:rsidR="00402430">
        <w:rPr>
          <w:rStyle w:val="EndnoteReference"/>
          <w:rFonts w:eastAsiaTheme="minorHAnsi"/>
          <w:lang w:eastAsia="en-US"/>
        </w:rPr>
        <w:endnoteReference w:id="39"/>
      </w:r>
      <w:bookmarkEnd w:id="39"/>
      <w:r w:rsidRPr="004719AC">
        <w:rPr>
          <w:rFonts w:eastAsiaTheme="minorHAnsi"/>
          <w:lang w:eastAsia="en-US"/>
        </w:rPr>
        <w:t>; Florentin 2011</w:t>
      </w:r>
      <w:bookmarkStart w:id="40" w:name="_Ref460672965"/>
      <w:r w:rsidR="00402430">
        <w:rPr>
          <w:rStyle w:val="EndnoteReference"/>
          <w:rFonts w:eastAsiaTheme="minorHAnsi"/>
          <w:lang w:eastAsia="en-US"/>
        </w:rPr>
        <w:endnoteReference w:id="40"/>
      </w:r>
      <w:bookmarkEnd w:id="40"/>
      <w:r w:rsidRPr="004719AC">
        <w:rPr>
          <w:rFonts w:eastAsiaTheme="minorHAnsi"/>
          <w:lang w:eastAsia="en-US"/>
        </w:rPr>
        <w:t>; Lee 2011</w:t>
      </w:r>
      <w:r w:rsidR="009D414A">
        <w:rPr>
          <w:rFonts w:eastAsiaTheme="minorHAnsi"/>
          <w:lang w:eastAsia="en-US"/>
        </w:rPr>
        <w:fldChar w:fldCharType="begin"/>
      </w:r>
      <w:r w:rsidR="009D414A">
        <w:rPr>
          <w:rFonts w:eastAsiaTheme="minorHAnsi"/>
          <w:lang w:eastAsia="en-US"/>
        </w:rPr>
        <w:instrText xml:space="preserve"> NOTEREF _Ref460674324 \f \h </w:instrText>
      </w:r>
      <w:r w:rsidR="009D414A">
        <w:rPr>
          <w:rFonts w:eastAsiaTheme="minorHAnsi"/>
          <w:lang w:eastAsia="en-US"/>
        </w:rPr>
      </w:r>
      <w:r w:rsidR="009D414A">
        <w:rPr>
          <w:rFonts w:eastAsiaTheme="minorHAnsi"/>
          <w:lang w:eastAsia="en-US"/>
        </w:rPr>
        <w:fldChar w:fldCharType="separate"/>
      </w:r>
      <w:r w:rsidR="00CA6F76" w:rsidRPr="00CA6F76">
        <w:rPr>
          <w:rStyle w:val="EndnoteReference"/>
        </w:rPr>
        <w:t>44</w:t>
      </w:r>
      <w:r w:rsidR="009D414A">
        <w:rPr>
          <w:rFonts w:eastAsiaTheme="minorHAnsi"/>
          <w:lang w:eastAsia="en-US"/>
        </w:rPr>
        <w:fldChar w:fldCharType="end"/>
      </w:r>
      <w:r w:rsidRPr="004719AC">
        <w:rPr>
          <w:rFonts w:eastAsiaTheme="minorHAnsi"/>
          <w:lang w:eastAsia="en-US"/>
        </w:rPr>
        <w:t>; Lee 2012; Liberopoulos 2013; Moutzouri 2011</w:t>
      </w:r>
      <w:bookmarkStart w:id="41" w:name="_Ref460673135"/>
      <w:r w:rsidR="00402430">
        <w:rPr>
          <w:rStyle w:val="EndnoteReference"/>
          <w:rFonts w:eastAsiaTheme="minorHAnsi"/>
          <w:lang w:eastAsia="en-US"/>
        </w:rPr>
        <w:endnoteReference w:id="41"/>
      </w:r>
      <w:bookmarkEnd w:id="41"/>
      <w:r w:rsidRPr="004719AC">
        <w:rPr>
          <w:rFonts w:eastAsiaTheme="minorHAnsi"/>
          <w:lang w:eastAsia="en-US"/>
        </w:rPr>
        <w:t>; Moutzouri 2012; Her 2010</w:t>
      </w:r>
      <w:bookmarkStart w:id="42" w:name="_Ref460673145"/>
      <w:r w:rsidR="00402430">
        <w:rPr>
          <w:rStyle w:val="EndnoteReference"/>
          <w:rFonts w:eastAsiaTheme="minorHAnsi"/>
          <w:lang w:eastAsia="en-US"/>
        </w:rPr>
        <w:endnoteReference w:id="42"/>
      </w:r>
      <w:bookmarkEnd w:id="42"/>
      <w:r w:rsidRPr="004719AC">
        <w:rPr>
          <w:rFonts w:eastAsiaTheme="minorHAnsi"/>
          <w:lang w:eastAsia="en-US"/>
        </w:rPr>
        <w:t xml:space="preserve">) (N=13); and in population with </w:t>
      </w:r>
      <w:r w:rsidR="00DC3ADC">
        <w:rPr>
          <w:rFonts w:eastAsiaTheme="minorHAnsi"/>
          <w:lang w:eastAsia="en-US"/>
        </w:rPr>
        <w:t>diabetes mellitus</w:t>
      </w:r>
      <w:r w:rsidR="00DC3ADC" w:rsidRPr="004719AC">
        <w:rPr>
          <w:rFonts w:eastAsiaTheme="minorHAnsi"/>
          <w:lang w:eastAsia="en-US"/>
        </w:rPr>
        <w:t xml:space="preserve"> </w:t>
      </w:r>
      <w:r w:rsidR="00DC3ADC">
        <w:rPr>
          <w:rFonts w:eastAsiaTheme="minorHAnsi"/>
          <w:lang w:eastAsia="en-US"/>
        </w:rPr>
        <w:t>(</w:t>
      </w:r>
      <w:r w:rsidRPr="004719AC">
        <w:rPr>
          <w:rFonts w:eastAsiaTheme="minorHAnsi"/>
          <w:lang w:eastAsia="en-US"/>
        </w:rPr>
        <w:t>DM</w:t>
      </w:r>
      <w:r w:rsidR="00DC3ADC">
        <w:rPr>
          <w:rFonts w:eastAsiaTheme="minorHAnsi"/>
          <w:lang w:eastAsia="en-US"/>
        </w:rPr>
        <w:t>)</w:t>
      </w:r>
      <w:r w:rsidRPr="004719AC">
        <w:rPr>
          <w:rFonts w:eastAsiaTheme="minorHAnsi"/>
          <w:lang w:eastAsia="en-US"/>
        </w:rPr>
        <w:t xml:space="preserve"> (Rudofsky 2012) (N=1).</w:t>
      </w:r>
    </w:p>
    <w:p w14:paraId="40505D34" w14:textId="25730F7C" w:rsidR="004719AC" w:rsidRPr="004719AC" w:rsidRDefault="004719AC" w:rsidP="004719AC">
      <w:pPr>
        <w:jc w:val="both"/>
        <w:rPr>
          <w:rFonts w:eastAsiaTheme="minorHAnsi"/>
          <w:lang w:eastAsia="en-US"/>
        </w:rPr>
      </w:pPr>
      <w:r w:rsidRPr="004719AC">
        <w:rPr>
          <w:rFonts w:eastAsiaTheme="minorHAnsi"/>
          <w:lang w:eastAsia="en-US"/>
        </w:rPr>
        <w:t xml:space="preserve">RCTs comparing </w:t>
      </w:r>
      <w:r w:rsidRPr="004719AC">
        <w:rPr>
          <w:rFonts w:eastAsiaTheme="minorHAnsi"/>
          <w:u w:val="single"/>
          <w:lang w:eastAsia="en-US"/>
        </w:rPr>
        <w:t>mid potency statin</w:t>
      </w:r>
      <w:r w:rsidRPr="004719AC">
        <w:rPr>
          <w:rFonts w:eastAsiaTheme="minorHAnsi"/>
          <w:lang w:eastAsia="en-US"/>
        </w:rPr>
        <w:t xml:space="preserve"> in combination with ezetimibe to </w:t>
      </w:r>
      <w:r w:rsidRPr="004719AC">
        <w:rPr>
          <w:rFonts w:eastAsiaTheme="minorHAnsi"/>
          <w:u w:val="single"/>
          <w:lang w:eastAsia="en-US"/>
        </w:rPr>
        <w:t>high potency statin</w:t>
      </w:r>
      <w:r w:rsidRPr="004719AC">
        <w:rPr>
          <w:rFonts w:eastAsiaTheme="minorHAnsi"/>
          <w:lang w:eastAsia="en-US"/>
        </w:rPr>
        <w:t xml:space="preserve"> monotherapy among general populations of patients with hyperlipidaemia (Ballantyne 2005</w:t>
      </w:r>
      <w:r w:rsidR="00402430">
        <w:rPr>
          <w:rFonts w:eastAsiaTheme="minorHAnsi"/>
          <w:lang w:eastAsia="en-US"/>
        </w:rPr>
        <w:fldChar w:fldCharType="begin"/>
      </w:r>
      <w:r w:rsidR="00402430">
        <w:rPr>
          <w:rFonts w:eastAsiaTheme="minorHAnsi"/>
          <w:lang w:eastAsia="en-US"/>
        </w:rPr>
        <w:instrText xml:space="preserve"> NOTEREF _Ref460672374 \f \h </w:instrText>
      </w:r>
      <w:r w:rsidR="00402430">
        <w:rPr>
          <w:rFonts w:eastAsiaTheme="minorHAnsi"/>
          <w:lang w:eastAsia="en-US"/>
        </w:rPr>
      </w:r>
      <w:r w:rsidR="00402430">
        <w:rPr>
          <w:rFonts w:eastAsiaTheme="minorHAnsi"/>
          <w:lang w:eastAsia="en-US"/>
        </w:rPr>
        <w:fldChar w:fldCharType="separate"/>
      </w:r>
      <w:r w:rsidR="00CA6F76" w:rsidRPr="00CA6F76">
        <w:rPr>
          <w:rStyle w:val="EndnoteReference"/>
        </w:rPr>
        <w:t>15</w:t>
      </w:r>
      <w:r w:rsidR="00402430">
        <w:rPr>
          <w:rFonts w:eastAsiaTheme="minorHAnsi"/>
          <w:lang w:eastAsia="en-US"/>
        </w:rPr>
        <w:fldChar w:fldCharType="end"/>
      </w:r>
      <w:r w:rsidRPr="004719AC">
        <w:rPr>
          <w:rFonts w:eastAsiaTheme="minorHAnsi"/>
          <w:lang w:eastAsia="en-US"/>
        </w:rPr>
        <w:t>; Bays 2004</w:t>
      </w:r>
      <w:r w:rsidR="00402430">
        <w:rPr>
          <w:rFonts w:eastAsiaTheme="minorHAnsi"/>
          <w:lang w:eastAsia="en-US"/>
        </w:rPr>
        <w:fldChar w:fldCharType="begin"/>
      </w:r>
      <w:r w:rsidR="00402430">
        <w:rPr>
          <w:rFonts w:eastAsiaTheme="minorHAnsi"/>
          <w:lang w:eastAsia="en-US"/>
        </w:rPr>
        <w:instrText xml:space="preserve"> NOTEREF _Ref460672386 \f \h </w:instrText>
      </w:r>
      <w:r w:rsidR="00402430">
        <w:rPr>
          <w:rFonts w:eastAsiaTheme="minorHAnsi"/>
          <w:lang w:eastAsia="en-US"/>
        </w:rPr>
      </w:r>
      <w:r w:rsidR="00402430">
        <w:rPr>
          <w:rFonts w:eastAsiaTheme="minorHAnsi"/>
          <w:lang w:eastAsia="en-US"/>
        </w:rPr>
        <w:fldChar w:fldCharType="separate"/>
      </w:r>
      <w:r w:rsidR="00CA6F76" w:rsidRPr="00CA6F76">
        <w:rPr>
          <w:rStyle w:val="EndnoteReference"/>
        </w:rPr>
        <w:t>19</w:t>
      </w:r>
      <w:r w:rsidR="00402430">
        <w:rPr>
          <w:rFonts w:eastAsiaTheme="minorHAnsi"/>
          <w:lang w:eastAsia="en-US"/>
        </w:rPr>
        <w:fldChar w:fldCharType="end"/>
      </w:r>
      <w:r w:rsidRPr="004719AC">
        <w:rPr>
          <w:rFonts w:eastAsiaTheme="minorHAnsi"/>
          <w:lang w:eastAsia="en-US"/>
        </w:rPr>
        <w:t>; Davidson 2002</w:t>
      </w:r>
      <w:r w:rsidR="00402430">
        <w:rPr>
          <w:rFonts w:eastAsiaTheme="minorHAnsi"/>
          <w:lang w:eastAsia="en-US"/>
        </w:rPr>
        <w:fldChar w:fldCharType="begin"/>
      </w:r>
      <w:r w:rsidR="00402430">
        <w:rPr>
          <w:rFonts w:eastAsiaTheme="minorHAnsi"/>
          <w:lang w:eastAsia="en-US"/>
        </w:rPr>
        <w:instrText xml:space="preserve"> NOTEREF _Ref460672395 \f \h </w:instrText>
      </w:r>
      <w:r w:rsidR="00402430">
        <w:rPr>
          <w:rFonts w:eastAsiaTheme="minorHAnsi"/>
          <w:lang w:eastAsia="en-US"/>
        </w:rPr>
      </w:r>
      <w:r w:rsidR="00402430">
        <w:rPr>
          <w:rFonts w:eastAsiaTheme="minorHAnsi"/>
          <w:lang w:eastAsia="en-US"/>
        </w:rPr>
        <w:fldChar w:fldCharType="separate"/>
      </w:r>
      <w:r w:rsidR="00CA6F76" w:rsidRPr="00CA6F76">
        <w:rPr>
          <w:rStyle w:val="EndnoteReference"/>
        </w:rPr>
        <w:t>4</w:t>
      </w:r>
      <w:r w:rsidR="00402430">
        <w:rPr>
          <w:rFonts w:eastAsiaTheme="minorHAnsi"/>
          <w:lang w:eastAsia="en-US"/>
        </w:rPr>
        <w:fldChar w:fldCharType="end"/>
      </w:r>
      <w:r w:rsidRPr="004719AC">
        <w:rPr>
          <w:rFonts w:eastAsiaTheme="minorHAnsi"/>
          <w:lang w:eastAsia="en-US"/>
        </w:rPr>
        <w:t>; Goldberg 2004</w:t>
      </w:r>
      <w:r w:rsidR="00402430">
        <w:rPr>
          <w:rFonts w:eastAsiaTheme="minorHAnsi"/>
          <w:lang w:eastAsia="en-US"/>
        </w:rPr>
        <w:fldChar w:fldCharType="begin"/>
      </w:r>
      <w:r w:rsidR="00402430">
        <w:rPr>
          <w:rFonts w:eastAsiaTheme="minorHAnsi"/>
          <w:lang w:eastAsia="en-US"/>
        </w:rPr>
        <w:instrText xml:space="preserve"> NOTEREF _Ref460672845 \f \h </w:instrText>
      </w:r>
      <w:r w:rsidR="00402430">
        <w:rPr>
          <w:rFonts w:eastAsiaTheme="minorHAnsi"/>
          <w:lang w:eastAsia="en-US"/>
        </w:rPr>
      </w:r>
      <w:r w:rsidR="00402430">
        <w:rPr>
          <w:rFonts w:eastAsiaTheme="minorHAnsi"/>
          <w:lang w:eastAsia="en-US"/>
        </w:rPr>
        <w:fldChar w:fldCharType="separate"/>
      </w:r>
      <w:r w:rsidR="00CA6F76" w:rsidRPr="00CA6F76">
        <w:rPr>
          <w:rStyle w:val="EndnoteReference"/>
        </w:rPr>
        <w:t>38</w:t>
      </w:r>
      <w:r w:rsidR="00402430">
        <w:rPr>
          <w:rFonts w:eastAsiaTheme="minorHAnsi"/>
          <w:lang w:eastAsia="en-US"/>
        </w:rPr>
        <w:fldChar w:fldCharType="end"/>
      </w:r>
      <w:r w:rsidRPr="004719AC">
        <w:rPr>
          <w:rFonts w:eastAsiaTheme="minorHAnsi"/>
          <w:lang w:eastAsia="en-US"/>
        </w:rPr>
        <w:t>; Ahmed 2008</w:t>
      </w:r>
      <w:bookmarkStart w:id="43" w:name="_Ref460674382"/>
      <w:r w:rsidR="009D414A">
        <w:rPr>
          <w:rStyle w:val="EndnoteReference"/>
          <w:rFonts w:eastAsiaTheme="minorHAnsi"/>
          <w:lang w:eastAsia="en-US"/>
        </w:rPr>
        <w:endnoteReference w:id="43"/>
      </w:r>
      <w:bookmarkEnd w:id="43"/>
      <w:r w:rsidRPr="004719AC">
        <w:rPr>
          <w:rFonts w:eastAsiaTheme="minorHAnsi"/>
          <w:lang w:eastAsia="en-US"/>
        </w:rPr>
        <w:t>; Araujo 2010</w:t>
      </w:r>
      <w:r w:rsidR="00966EF3">
        <w:rPr>
          <w:rFonts w:eastAsiaTheme="minorHAnsi"/>
          <w:lang w:eastAsia="en-US"/>
        </w:rPr>
        <w:fldChar w:fldCharType="begin"/>
      </w:r>
      <w:r w:rsidR="00966EF3">
        <w:rPr>
          <w:rFonts w:eastAsiaTheme="minorHAnsi"/>
          <w:lang w:eastAsia="en-US"/>
        </w:rPr>
        <w:instrText xml:space="preserve"> NOTEREF _Ref460672932 \f \h </w:instrText>
      </w:r>
      <w:r w:rsidR="00966EF3">
        <w:rPr>
          <w:rFonts w:eastAsiaTheme="minorHAnsi"/>
          <w:lang w:eastAsia="en-US"/>
        </w:rPr>
      </w:r>
      <w:r w:rsidR="00966EF3">
        <w:rPr>
          <w:rFonts w:eastAsiaTheme="minorHAnsi"/>
          <w:lang w:eastAsia="en-US"/>
        </w:rPr>
        <w:fldChar w:fldCharType="separate"/>
      </w:r>
      <w:r w:rsidR="00CA6F76" w:rsidRPr="00CA6F76">
        <w:rPr>
          <w:rStyle w:val="EndnoteReference"/>
        </w:rPr>
        <w:t>39</w:t>
      </w:r>
      <w:r w:rsidR="00966EF3">
        <w:rPr>
          <w:rFonts w:eastAsiaTheme="minorHAnsi"/>
          <w:lang w:eastAsia="en-US"/>
        </w:rPr>
        <w:fldChar w:fldCharType="end"/>
      </w:r>
      <w:r w:rsidRPr="004719AC">
        <w:rPr>
          <w:rFonts w:eastAsiaTheme="minorHAnsi"/>
          <w:lang w:eastAsia="en-US"/>
        </w:rPr>
        <w:t>; Florentin 2011</w:t>
      </w:r>
      <w:r w:rsidR="00966EF3">
        <w:rPr>
          <w:rFonts w:eastAsiaTheme="minorHAnsi"/>
          <w:lang w:eastAsia="en-US"/>
        </w:rPr>
        <w:fldChar w:fldCharType="begin"/>
      </w:r>
      <w:r w:rsidR="00966EF3">
        <w:rPr>
          <w:rFonts w:eastAsiaTheme="minorHAnsi"/>
          <w:lang w:eastAsia="en-US"/>
        </w:rPr>
        <w:instrText xml:space="preserve"> NOTEREF _Ref460672965 \f \h </w:instrText>
      </w:r>
      <w:r w:rsidR="00966EF3">
        <w:rPr>
          <w:rFonts w:eastAsiaTheme="minorHAnsi"/>
          <w:lang w:eastAsia="en-US"/>
        </w:rPr>
      </w:r>
      <w:r w:rsidR="00966EF3">
        <w:rPr>
          <w:rFonts w:eastAsiaTheme="minorHAnsi"/>
          <w:lang w:eastAsia="en-US"/>
        </w:rPr>
        <w:fldChar w:fldCharType="separate"/>
      </w:r>
      <w:r w:rsidR="00CA6F76" w:rsidRPr="00CA6F76">
        <w:rPr>
          <w:rStyle w:val="EndnoteReference"/>
        </w:rPr>
        <w:t>40</w:t>
      </w:r>
      <w:r w:rsidR="00966EF3">
        <w:rPr>
          <w:rFonts w:eastAsiaTheme="minorHAnsi"/>
          <w:lang w:eastAsia="en-US"/>
        </w:rPr>
        <w:fldChar w:fldCharType="end"/>
      </w:r>
      <w:r w:rsidRPr="004719AC">
        <w:rPr>
          <w:rFonts w:eastAsiaTheme="minorHAnsi"/>
          <w:lang w:eastAsia="en-US"/>
        </w:rPr>
        <w:t>; Lee 2011</w:t>
      </w:r>
      <w:bookmarkStart w:id="44" w:name="_Ref460674324"/>
      <w:r w:rsidR="00966EF3">
        <w:rPr>
          <w:rStyle w:val="EndnoteReference"/>
          <w:rFonts w:eastAsiaTheme="minorHAnsi"/>
          <w:lang w:eastAsia="en-US"/>
        </w:rPr>
        <w:endnoteReference w:id="44"/>
      </w:r>
      <w:bookmarkEnd w:id="44"/>
      <w:r w:rsidRPr="004719AC">
        <w:rPr>
          <w:rFonts w:eastAsiaTheme="minorHAnsi"/>
          <w:lang w:eastAsia="en-US"/>
        </w:rPr>
        <w:t>; Lee 2012; Liberopoulos 2013; Moutzouri 2011</w:t>
      </w:r>
      <w:r w:rsidR="002D2AE2">
        <w:rPr>
          <w:rFonts w:eastAsiaTheme="minorHAnsi"/>
          <w:lang w:eastAsia="en-US"/>
        </w:rPr>
        <w:fldChar w:fldCharType="begin"/>
      </w:r>
      <w:r w:rsidR="002D2AE2">
        <w:rPr>
          <w:rFonts w:eastAsiaTheme="minorHAnsi"/>
          <w:lang w:eastAsia="en-US"/>
        </w:rPr>
        <w:instrText xml:space="preserve"> NOTEREF _Ref460673135 \f \h </w:instrText>
      </w:r>
      <w:r w:rsidR="002D2AE2">
        <w:rPr>
          <w:rFonts w:eastAsiaTheme="minorHAnsi"/>
          <w:lang w:eastAsia="en-US"/>
        </w:rPr>
      </w:r>
      <w:r w:rsidR="002D2AE2">
        <w:rPr>
          <w:rFonts w:eastAsiaTheme="minorHAnsi"/>
          <w:lang w:eastAsia="en-US"/>
        </w:rPr>
        <w:fldChar w:fldCharType="separate"/>
      </w:r>
      <w:r w:rsidR="00CA6F76" w:rsidRPr="00CA6F76">
        <w:rPr>
          <w:rStyle w:val="EndnoteReference"/>
        </w:rPr>
        <w:t>41</w:t>
      </w:r>
      <w:r w:rsidR="002D2AE2">
        <w:rPr>
          <w:rFonts w:eastAsiaTheme="minorHAnsi"/>
          <w:lang w:eastAsia="en-US"/>
        </w:rPr>
        <w:fldChar w:fldCharType="end"/>
      </w:r>
      <w:r w:rsidRPr="004719AC">
        <w:rPr>
          <w:rFonts w:eastAsiaTheme="minorHAnsi"/>
          <w:lang w:eastAsia="en-US"/>
        </w:rPr>
        <w:t>; Moutzouri 2012; Her 2010</w:t>
      </w:r>
      <w:r w:rsidR="002D2AE2">
        <w:rPr>
          <w:rFonts w:eastAsiaTheme="minorHAnsi"/>
          <w:lang w:eastAsia="en-US"/>
        </w:rPr>
        <w:fldChar w:fldCharType="begin"/>
      </w:r>
      <w:r w:rsidR="002D2AE2">
        <w:rPr>
          <w:rFonts w:eastAsiaTheme="minorHAnsi"/>
          <w:lang w:eastAsia="en-US"/>
        </w:rPr>
        <w:instrText xml:space="preserve"> NOTEREF _Ref460673145 \f \h </w:instrText>
      </w:r>
      <w:r w:rsidR="002D2AE2">
        <w:rPr>
          <w:rFonts w:eastAsiaTheme="minorHAnsi"/>
          <w:lang w:eastAsia="en-US"/>
        </w:rPr>
      </w:r>
      <w:r w:rsidR="002D2AE2">
        <w:rPr>
          <w:rFonts w:eastAsiaTheme="minorHAnsi"/>
          <w:lang w:eastAsia="en-US"/>
        </w:rPr>
        <w:fldChar w:fldCharType="separate"/>
      </w:r>
      <w:r w:rsidR="00CA6F76" w:rsidRPr="00CA6F76">
        <w:rPr>
          <w:rStyle w:val="EndnoteReference"/>
        </w:rPr>
        <w:t>42</w:t>
      </w:r>
      <w:r w:rsidR="002D2AE2">
        <w:rPr>
          <w:rFonts w:eastAsiaTheme="minorHAnsi"/>
          <w:lang w:eastAsia="en-US"/>
        </w:rPr>
        <w:fldChar w:fldCharType="end"/>
      </w:r>
      <w:r w:rsidRPr="004719AC">
        <w:rPr>
          <w:rFonts w:eastAsiaTheme="minorHAnsi"/>
          <w:lang w:eastAsia="en-US"/>
        </w:rPr>
        <w:t>; Ballantyne  2003</w:t>
      </w:r>
      <w:r w:rsidR="002D2AE2">
        <w:rPr>
          <w:rFonts w:eastAsiaTheme="minorHAnsi"/>
          <w:lang w:eastAsia="en-US"/>
        </w:rPr>
        <w:fldChar w:fldCharType="begin"/>
      </w:r>
      <w:r w:rsidR="002D2AE2">
        <w:rPr>
          <w:rFonts w:eastAsiaTheme="minorHAnsi"/>
          <w:lang w:eastAsia="en-US"/>
        </w:rPr>
        <w:instrText xml:space="preserve"> NOTEREF _Ref460673206 \f \h </w:instrText>
      </w:r>
      <w:r w:rsidR="002D2AE2">
        <w:rPr>
          <w:rFonts w:eastAsiaTheme="minorHAnsi"/>
          <w:lang w:eastAsia="en-US"/>
        </w:rPr>
      </w:r>
      <w:r w:rsidR="002D2AE2">
        <w:rPr>
          <w:rFonts w:eastAsiaTheme="minorHAnsi"/>
          <w:lang w:eastAsia="en-US"/>
        </w:rPr>
        <w:fldChar w:fldCharType="separate"/>
      </w:r>
      <w:r w:rsidR="00CA6F76" w:rsidRPr="00CA6F76">
        <w:rPr>
          <w:rStyle w:val="EndnoteReference"/>
        </w:rPr>
        <w:t>5</w:t>
      </w:r>
      <w:r w:rsidR="002D2AE2">
        <w:rPr>
          <w:rFonts w:eastAsiaTheme="minorHAnsi"/>
          <w:lang w:eastAsia="en-US"/>
        </w:rPr>
        <w:fldChar w:fldCharType="end"/>
      </w:r>
      <w:r w:rsidRPr="004719AC">
        <w:rPr>
          <w:rFonts w:eastAsiaTheme="minorHAnsi"/>
          <w:lang w:eastAsia="en-US"/>
        </w:rPr>
        <w:t>; Catapano 2006</w:t>
      </w:r>
      <w:r w:rsidR="002D2AE2">
        <w:rPr>
          <w:rStyle w:val="EndnoteReference"/>
          <w:rFonts w:eastAsiaTheme="minorHAnsi"/>
          <w:lang w:eastAsia="en-US"/>
        </w:rPr>
        <w:endnoteReference w:id="45"/>
      </w:r>
      <w:r w:rsidRPr="004719AC">
        <w:rPr>
          <w:rFonts w:eastAsiaTheme="minorHAnsi"/>
          <w:lang w:eastAsia="en-US"/>
        </w:rPr>
        <w:t>; McKenney 2007</w:t>
      </w:r>
      <w:bookmarkStart w:id="45" w:name="_Ref460678774"/>
      <w:r w:rsidR="002D2AE2">
        <w:rPr>
          <w:rStyle w:val="EndnoteReference"/>
          <w:rFonts w:eastAsiaTheme="minorHAnsi"/>
          <w:lang w:eastAsia="en-US"/>
        </w:rPr>
        <w:endnoteReference w:id="46"/>
      </w:r>
      <w:bookmarkEnd w:id="45"/>
      <w:r w:rsidRPr="004719AC">
        <w:rPr>
          <w:rFonts w:eastAsiaTheme="minorHAnsi"/>
          <w:lang w:eastAsia="en-US"/>
        </w:rPr>
        <w:t>; Stein 2004</w:t>
      </w:r>
      <w:r w:rsidR="002D2AE2">
        <w:rPr>
          <w:rFonts w:eastAsiaTheme="minorHAnsi"/>
          <w:lang w:eastAsia="en-US"/>
        </w:rPr>
        <w:fldChar w:fldCharType="begin"/>
      </w:r>
      <w:r w:rsidR="002D2AE2">
        <w:rPr>
          <w:rFonts w:eastAsiaTheme="minorHAnsi"/>
          <w:lang w:eastAsia="en-US"/>
        </w:rPr>
        <w:instrText xml:space="preserve"> NOTEREF _Ref460663088 \f \h </w:instrText>
      </w:r>
      <w:r w:rsidR="002D2AE2">
        <w:rPr>
          <w:rFonts w:eastAsiaTheme="minorHAnsi"/>
          <w:lang w:eastAsia="en-US"/>
        </w:rPr>
      </w:r>
      <w:r w:rsidR="002D2AE2">
        <w:rPr>
          <w:rFonts w:eastAsiaTheme="minorHAnsi"/>
          <w:lang w:eastAsia="en-US"/>
        </w:rPr>
        <w:fldChar w:fldCharType="separate"/>
      </w:r>
      <w:r w:rsidR="00CA6F76" w:rsidRPr="00CA6F76">
        <w:rPr>
          <w:rStyle w:val="EndnoteReference"/>
        </w:rPr>
        <w:t>8</w:t>
      </w:r>
      <w:r w:rsidR="002D2AE2">
        <w:rPr>
          <w:rFonts w:eastAsiaTheme="minorHAnsi"/>
          <w:lang w:eastAsia="en-US"/>
        </w:rPr>
        <w:fldChar w:fldCharType="end"/>
      </w:r>
      <w:r w:rsidRPr="004719AC">
        <w:rPr>
          <w:rFonts w:eastAsiaTheme="minorHAnsi"/>
          <w:lang w:eastAsia="en-US"/>
        </w:rPr>
        <w:t>; Ben-Yehuda 2011</w:t>
      </w:r>
      <w:r w:rsidR="002D2AE2">
        <w:rPr>
          <w:rStyle w:val="EndnoteReference"/>
          <w:rFonts w:eastAsiaTheme="minorHAnsi"/>
          <w:lang w:eastAsia="en-US"/>
        </w:rPr>
        <w:endnoteReference w:id="47"/>
      </w:r>
      <w:r w:rsidRPr="004719AC">
        <w:rPr>
          <w:rFonts w:eastAsiaTheme="minorHAnsi"/>
          <w:lang w:eastAsia="en-US"/>
        </w:rPr>
        <w:t>; Zieve 2010</w:t>
      </w:r>
      <w:r w:rsidR="002D2AE2">
        <w:rPr>
          <w:rStyle w:val="EndnoteReference"/>
          <w:rFonts w:eastAsiaTheme="minorHAnsi"/>
          <w:lang w:eastAsia="en-US"/>
        </w:rPr>
        <w:endnoteReference w:id="48"/>
      </w:r>
      <w:r w:rsidRPr="004719AC">
        <w:rPr>
          <w:rFonts w:eastAsiaTheme="minorHAnsi"/>
          <w:lang w:eastAsia="en-US"/>
        </w:rPr>
        <w:t>; Foody 2010</w:t>
      </w:r>
      <w:r w:rsidR="002D2AE2">
        <w:rPr>
          <w:rStyle w:val="EndnoteReference"/>
          <w:rFonts w:eastAsiaTheme="minorHAnsi"/>
          <w:lang w:eastAsia="en-US"/>
        </w:rPr>
        <w:endnoteReference w:id="49"/>
      </w:r>
      <w:r w:rsidRPr="004719AC">
        <w:rPr>
          <w:rFonts w:eastAsiaTheme="minorHAnsi"/>
          <w:lang w:eastAsia="en-US"/>
        </w:rPr>
        <w:t>; Robinson 2009</w:t>
      </w:r>
      <w:r w:rsidR="002D2AE2">
        <w:rPr>
          <w:rStyle w:val="EndnoteReference"/>
          <w:rFonts w:eastAsiaTheme="minorHAnsi"/>
          <w:lang w:eastAsia="en-US"/>
        </w:rPr>
        <w:endnoteReference w:id="50"/>
      </w:r>
      <w:r w:rsidRPr="004719AC">
        <w:rPr>
          <w:rFonts w:eastAsiaTheme="minorHAnsi"/>
          <w:lang w:eastAsia="en-US"/>
        </w:rPr>
        <w:t>) (N=11); in population with pre-existing CHD (Barrios 2005</w:t>
      </w:r>
      <w:r w:rsidR="002D2AE2">
        <w:rPr>
          <w:rStyle w:val="EndnoteReference"/>
          <w:rFonts w:eastAsiaTheme="minorHAnsi"/>
          <w:lang w:eastAsia="en-US"/>
        </w:rPr>
        <w:endnoteReference w:id="51"/>
      </w:r>
      <w:r w:rsidRPr="004719AC">
        <w:rPr>
          <w:rFonts w:eastAsiaTheme="minorHAnsi"/>
          <w:lang w:eastAsia="en-US"/>
        </w:rPr>
        <w:t>; Piorkowski  2007</w:t>
      </w:r>
      <w:r w:rsidR="008A65ED">
        <w:rPr>
          <w:rStyle w:val="EndnoteReference"/>
          <w:rFonts w:eastAsiaTheme="minorHAnsi"/>
          <w:lang w:eastAsia="en-US"/>
        </w:rPr>
        <w:endnoteReference w:id="52"/>
      </w:r>
      <w:r w:rsidRPr="004719AC">
        <w:rPr>
          <w:rFonts w:eastAsiaTheme="minorHAnsi"/>
          <w:lang w:eastAsia="en-US"/>
        </w:rPr>
        <w:t>; Roeters van Lennep 2008</w:t>
      </w:r>
      <w:r w:rsidR="008A65ED">
        <w:rPr>
          <w:rStyle w:val="EndnoteReference"/>
          <w:rFonts w:eastAsiaTheme="minorHAnsi"/>
          <w:lang w:eastAsia="en-US"/>
        </w:rPr>
        <w:endnoteReference w:id="53"/>
      </w:r>
      <w:r w:rsidRPr="004719AC">
        <w:rPr>
          <w:rFonts w:eastAsiaTheme="minorHAnsi"/>
          <w:lang w:eastAsia="en-US"/>
        </w:rPr>
        <w:t>; Yamazaki 2013; Bardini 2010</w:t>
      </w:r>
      <w:bookmarkStart w:id="46" w:name="_Ref460679003"/>
      <w:r w:rsidR="008A65ED">
        <w:rPr>
          <w:rStyle w:val="EndnoteReference"/>
          <w:rFonts w:eastAsiaTheme="minorHAnsi"/>
          <w:lang w:eastAsia="en-US"/>
        </w:rPr>
        <w:endnoteReference w:id="54"/>
      </w:r>
      <w:bookmarkEnd w:id="46"/>
      <w:r w:rsidRPr="004719AC">
        <w:rPr>
          <w:rFonts w:eastAsiaTheme="minorHAnsi"/>
          <w:lang w:eastAsia="en-US"/>
        </w:rPr>
        <w:t>; Cho 2011</w:t>
      </w:r>
      <w:r w:rsidR="008A65ED">
        <w:rPr>
          <w:rStyle w:val="EndnoteReference"/>
          <w:rFonts w:eastAsiaTheme="minorHAnsi"/>
          <w:lang w:eastAsia="en-US"/>
        </w:rPr>
        <w:endnoteReference w:id="55"/>
      </w:r>
      <w:r w:rsidRPr="004719AC">
        <w:rPr>
          <w:rFonts w:eastAsiaTheme="minorHAnsi"/>
          <w:lang w:eastAsia="en-US"/>
        </w:rPr>
        <w:t>; Okada 2011</w:t>
      </w:r>
      <w:r w:rsidR="008A65ED">
        <w:rPr>
          <w:rStyle w:val="EndnoteReference"/>
          <w:rFonts w:eastAsiaTheme="minorHAnsi"/>
          <w:lang w:eastAsia="en-US"/>
        </w:rPr>
        <w:endnoteReference w:id="56"/>
      </w:r>
      <w:r w:rsidRPr="004719AC">
        <w:rPr>
          <w:rFonts w:eastAsiaTheme="minorHAnsi"/>
          <w:lang w:eastAsia="en-US"/>
        </w:rPr>
        <w:t>; Ostad 2009</w:t>
      </w:r>
      <w:r w:rsidR="008A65ED">
        <w:rPr>
          <w:rStyle w:val="EndnoteReference"/>
          <w:rFonts w:eastAsiaTheme="minorHAnsi"/>
          <w:lang w:eastAsia="en-US"/>
        </w:rPr>
        <w:endnoteReference w:id="57"/>
      </w:r>
      <w:r w:rsidRPr="004719AC">
        <w:rPr>
          <w:rFonts w:eastAsiaTheme="minorHAnsi"/>
          <w:lang w:eastAsia="en-US"/>
        </w:rPr>
        <w:t>; Pesaro 2012</w:t>
      </w:r>
      <w:r w:rsidR="008A65ED">
        <w:rPr>
          <w:rStyle w:val="EndnoteReference"/>
          <w:rFonts w:eastAsiaTheme="minorHAnsi"/>
          <w:lang w:eastAsia="en-US"/>
        </w:rPr>
        <w:endnoteReference w:id="58"/>
      </w:r>
      <w:r w:rsidRPr="004719AC">
        <w:rPr>
          <w:rFonts w:eastAsiaTheme="minorHAnsi"/>
          <w:lang w:eastAsia="en-US"/>
        </w:rPr>
        <w:t>; Hamdan 2011</w:t>
      </w:r>
      <w:r w:rsidR="008A65ED">
        <w:rPr>
          <w:rStyle w:val="EndnoteReference"/>
          <w:rFonts w:eastAsiaTheme="minorHAnsi"/>
          <w:lang w:eastAsia="en-US"/>
        </w:rPr>
        <w:endnoteReference w:id="59"/>
      </w:r>
      <w:r w:rsidRPr="004719AC">
        <w:rPr>
          <w:rFonts w:eastAsiaTheme="minorHAnsi"/>
          <w:lang w:eastAsia="en-US"/>
        </w:rPr>
        <w:t>; Averna 2010</w:t>
      </w:r>
      <w:r w:rsidR="005779A3">
        <w:rPr>
          <w:rStyle w:val="EndnoteReference"/>
          <w:rFonts w:eastAsiaTheme="minorHAnsi"/>
          <w:lang w:eastAsia="en-US"/>
        </w:rPr>
        <w:endnoteReference w:id="60"/>
      </w:r>
      <w:r w:rsidRPr="004719AC">
        <w:rPr>
          <w:rFonts w:eastAsiaTheme="minorHAnsi"/>
          <w:lang w:eastAsia="en-US"/>
        </w:rPr>
        <w:t>; Matsue 2013)</w:t>
      </w:r>
      <w:r w:rsidRPr="004719AC">
        <w:rPr>
          <w:rFonts w:eastAsiaTheme="minorHAnsi"/>
          <w:sz w:val="20"/>
          <w:szCs w:val="20"/>
          <w:lang w:eastAsia="en-US"/>
        </w:rPr>
        <w:t xml:space="preserve"> </w:t>
      </w:r>
      <w:r w:rsidRPr="004719AC">
        <w:rPr>
          <w:rFonts w:eastAsiaTheme="minorHAnsi"/>
          <w:lang w:eastAsia="en-US"/>
        </w:rPr>
        <w:t>(N=12); and in population with DM (Constance 2007</w:t>
      </w:r>
      <w:r w:rsidR="005779A3">
        <w:rPr>
          <w:rStyle w:val="EndnoteReference"/>
          <w:rFonts w:eastAsiaTheme="minorHAnsi"/>
          <w:lang w:eastAsia="en-US"/>
        </w:rPr>
        <w:endnoteReference w:id="61"/>
      </w:r>
      <w:r w:rsidRPr="004719AC">
        <w:rPr>
          <w:rFonts w:eastAsiaTheme="minorHAnsi"/>
          <w:lang w:eastAsia="en-US"/>
        </w:rPr>
        <w:t>; Gaudiani 2005</w:t>
      </w:r>
      <w:r w:rsidR="005779A3">
        <w:rPr>
          <w:rFonts w:eastAsiaTheme="minorHAnsi"/>
          <w:lang w:eastAsia="en-US"/>
        </w:rPr>
        <w:fldChar w:fldCharType="begin"/>
      </w:r>
      <w:r w:rsidR="005779A3">
        <w:rPr>
          <w:rFonts w:eastAsiaTheme="minorHAnsi"/>
          <w:lang w:eastAsia="en-US"/>
        </w:rPr>
        <w:instrText xml:space="preserve"> NOTEREF _Ref460674610 \f \h </w:instrText>
      </w:r>
      <w:r w:rsidR="005779A3">
        <w:rPr>
          <w:rFonts w:eastAsiaTheme="minorHAnsi"/>
          <w:lang w:eastAsia="en-US"/>
        </w:rPr>
      </w:r>
      <w:r w:rsidR="005779A3">
        <w:rPr>
          <w:rFonts w:eastAsiaTheme="minorHAnsi"/>
          <w:lang w:eastAsia="en-US"/>
        </w:rPr>
        <w:fldChar w:fldCharType="separate"/>
      </w:r>
      <w:r w:rsidR="00CA6F76" w:rsidRPr="00CA6F76">
        <w:rPr>
          <w:rStyle w:val="EndnoteReference"/>
        </w:rPr>
        <w:t>16</w:t>
      </w:r>
      <w:r w:rsidR="005779A3">
        <w:rPr>
          <w:rFonts w:eastAsiaTheme="minorHAnsi"/>
          <w:lang w:eastAsia="en-US"/>
        </w:rPr>
        <w:fldChar w:fldCharType="end"/>
      </w:r>
      <w:r w:rsidRPr="004719AC">
        <w:rPr>
          <w:rFonts w:eastAsiaTheme="minorHAnsi"/>
          <w:lang w:eastAsia="en-US"/>
        </w:rPr>
        <w:t>; Goldberg 2006</w:t>
      </w:r>
      <w:bookmarkStart w:id="47" w:name="_Ref460679099"/>
      <w:r w:rsidR="005779A3">
        <w:rPr>
          <w:rStyle w:val="EndnoteReference"/>
          <w:rFonts w:eastAsiaTheme="minorHAnsi"/>
          <w:lang w:eastAsia="en-US"/>
        </w:rPr>
        <w:endnoteReference w:id="62"/>
      </w:r>
      <w:bookmarkEnd w:id="47"/>
      <w:r w:rsidRPr="004719AC">
        <w:rPr>
          <w:rFonts w:eastAsiaTheme="minorHAnsi"/>
          <w:lang w:eastAsia="en-US"/>
        </w:rPr>
        <w:t>; Tomassini  2009</w:t>
      </w:r>
      <w:bookmarkStart w:id="48" w:name="_Ref460679148"/>
      <w:r w:rsidR="009A3C68">
        <w:rPr>
          <w:rStyle w:val="EndnoteReference"/>
          <w:rFonts w:eastAsiaTheme="minorHAnsi"/>
          <w:lang w:eastAsia="en-US"/>
        </w:rPr>
        <w:endnoteReference w:id="63"/>
      </w:r>
      <w:bookmarkEnd w:id="48"/>
      <w:r w:rsidRPr="004719AC">
        <w:rPr>
          <w:rFonts w:eastAsiaTheme="minorHAnsi"/>
          <w:lang w:eastAsia="en-US"/>
        </w:rPr>
        <w:t>; Lee 2013</w:t>
      </w:r>
      <w:bookmarkStart w:id="49" w:name="_Ref460679165"/>
      <w:r w:rsidR="009A3C68">
        <w:rPr>
          <w:rStyle w:val="EndnoteReference"/>
          <w:rFonts w:eastAsiaTheme="minorHAnsi"/>
          <w:lang w:eastAsia="en-US"/>
        </w:rPr>
        <w:endnoteReference w:id="64"/>
      </w:r>
      <w:bookmarkEnd w:id="49"/>
      <w:r w:rsidR="009A3C68">
        <w:rPr>
          <w:rFonts w:eastAsiaTheme="minorHAnsi"/>
          <w:lang w:eastAsia="en-US"/>
        </w:rPr>
        <w:t xml:space="preserve">; Guyton </w:t>
      </w:r>
      <w:r w:rsidRPr="004719AC">
        <w:rPr>
          <w:rFonts w:eastAsiaTheme="minorHAnsi"/>
          <w:lang w:eastAsia="en-US"/>
        </w:rPr>
        <w:t>2008)</w:t>
      </w:r>
      <w:r w:rsidRPr="004719AC">
        <w:rPr>
          <w:rFonts w:eastAsiaTheme="minorHAnsi"/>
          <w:sz w:val="20"/>
          <w:szCs w:val="20"/>
          <w:lang w:eastAsia="en-US"/>
        </w:rPr>
        <w:t xml:space="preserve"> </w:t>
      </w:r>
      <w:r w:rsidRPr="004719AC">
        <w:rPr>
          <w:rFonts w:eastAsiaTheme="minorHAnsi"/>
          <w:lang w:eastAsia="en-US"/>
        </w:rPr>
        <w:t xml:space="preserve">(N=6). </w:t>
      </w:r>
    </w:p>
    <w:p w14:paraId="661460B1" w14:textId="0562C701" w:rsidR="004719AC" w:rsidRPr="004719AC" w:rsidRDefault="004719AC" w:rsidP="004719AC">
      <w:pPr>
        <w:jc w:val="both"/>
        <w:rPr>
          <w:rFonts w:eastAsiaTheme="minorHAnsi"/>
          <w:lang w:eastAsia="en-US"/>
        </w:rPr>
      </w:pPr>
      <w:r w:rsidRPr="004719AC">
        <w:rPr>
          <w:rFonts w:eastAsiaTheme="minorHAnsi"/>
          <w:lang w:eastAsia="en-US"/>
        </w:rPr>
        <w:t xml:space="preserve">RCTs comparing </w:t>
      </w:r>
      <w:r w:rsidRPr="004719AC">
        <w:rPr>
          <w:rFonts w:eastAsiaTheme="minorHAnsi"/>
          <w:u w:val="single"/>
          <w:lang w:eastAsia="en-US"/>
        </w:rPr>
        <w:t>low potency statin</w:t>
      </w:r>
      <w:r w:rsidRPr="004719AC">
        <w:rPr>
          <w:rFonts w:eastAsiaTheme="minorHAnsi"/>
          <w:lang w:eastAsia="en-US"/>
        </w:rPr>
        <w:t xml:space="preserve"> in combination with ezetimibe to </w:t>
      </w:r>
      <w:r w:rsidRPr="004719AC">
        <w:rPr>
          <w:rFonts w:eastAsiaTheme="minorHAnsi"/>
          <w:u w:val="single"/>
          <w:lang w:eastAsia="en-US"/>
        </w:rPr>
        <w:t>mid potency statin</w:t>
      </w:r>
      <w:r w:rsidRPr="004719AC">
        <w:rPr>
          <w:rFonts w:eastAsiaTheme="minorHAnsi"/>
          <w:lang w:eastAsia="en-US"/>
        </w:rPr>
        <w:t xml:space="preserve"> monotherapy among general populations with hyperlipidaemia (Ballantyne 2005</w:t>
      </w:r>
      <w:r w:rsidR="00206828">
        <w:rPr>
          <w:rFonts w:eastAsiaTheme="minorHAnsi"/>
          <w:lang w:eastAsia="en-US"/>
        </w:rPr>
        <w:fldChar w:fldCharType="begin"/>
      </w:r>
      <w:r w:rsidR="00206828">
        <w:rPr>
          <w:rFonts w:eastAsiaTheme="minorHAnsi"/>
          <w:lang w:eastAsia="en-US"/>
        </w:rPr>
        <w:instrText xml:space="preserve"> NOTEREF _Ref460672374 \f \h </w:instrText>
      </w:r>
      <w:r w:rsidR="00206828">
        <w:rPr>
          <w:rFonts w:eastAsiaTheme="minorHAnsi"/>
          <w:lang w:eastAsia="en-US"/>
        </w:rPr>
      </w:r>
      <w:r w:rsidR="00206828">
        <w:rPr>
          <w:rFonts w:eastAsiaTheme="minorHAnsi"/>
          <w:lang w:eastAsia="en-US"/>
        </w:rPr>
        <w:fldChar w:fldCharType="separate"/>
      </w:r>
      <w:r w:rsidR="00CA6F76" w:rsidRPr="00CA6F76">
        <w:rPr>
          <w:rStyle w:val="EndnoteReference"/>
        </w:rPr>
        <w:t>15</w:t>
      </w:r>
      <w:r w:rsidR="00206828">
        <w:rPr>
          <w:rFonts w:eastAsiaTheme="minorHAnsi"/>
          <w:lang w:eastAsia="en-US"/>
        </w:rPr>
        <w:fldChar w:fldCharType="end"/>
      </w:r>
      <w:r w:rsidRPr="004719AC">
        <w:rPr>
          <w:rFonts w:eastAsiaTheme="minorHAnsi"/>
          <w:lang w:eastAsia="en-US"/>
        </w:rPr>
        <w:t>; Bays 2004</w:t>
      </w:r>
      <w:r w:rsidR="00206828">
        <w:rPr>
          <w:rFonts w:eastAsiaTheme="minorHAnsi"/>
          <w:lang w:eastAsia="en-US"/>
        </w:rPr>
        <w:fldChar w:fldCharType="begin"/>
      </w:r>
      <w:r w:rsidR="00206828">
        <w:rPr>
          <w:rFonts w:eastAsiaTheme="minorHAnsi"/>
          <w:lang w:eastAsia="en-US"/>
        </w:rPr>
        <w:instrText xml:space="preserve"> NOTEREF _Ref460672386 \f \h </w:instrText>
      </w:r>
      <w:r w:rsidR="00206828">
        <w:rPr>
          <w:rFonts w:eastAsiaTheme="minorHAnsi"/>
          <w:lang w:eastAsia="en-US"/>
        </w:rPr>
      </w:r>
      <w:r w:rsidR="00206828">
        <w:rPr>
          <w:rFonts w:eastAsiaTheme="minorHAnsi"/>
          <w:lang w:eastAsia="en-US"/>
        </w:rPr>
        <w:fldChar w:fldCharType="separate"/>
      </w:r>
      <w:r w:rsidR="00CA6F76" w:rsidRPr="00CA6F76">
        <w:rPr>
          <w:rStyle w:val="EndnoteReference"/>
        </w:rPr>
        <w:t>19</w:t>
      </w:r>
      <w:r w:rsidR="00206828">
        <w:rPr>
          <w:rFonts w:eastAsiaTheme="minorHAnsi"/>
          <w:lang w:eastAsia="en-US"/>
        </w:rPr>
        <w:fldChar w:fldCharType="end"/>
      </w:r>
      <w:r w:rsidRPr="004719AC">
        <w:rPr>
          <w:rFonts w:eastAsiaTheme="minorHAnsi"/>
          <w:lang w:eastAsia="en-US"/>
        </w:rPr>
        <w:t>; Davidson 2002</w:t>
      </w:r>
      <w:r w:rsidR="00206828">
        <w:rPr>
          <w:rFonts w:eastAsiaTheme="minorHAnsi"/>
          <w:lang w:eastAsia="en-US"/>
        </w:rPr>
        <w:fldChar w:fldCharType="begin"/>
      </w:r>
      <w:r w:rsidR="00206828">
        <w:rPr>
          <w:rFonts w:eastAsiaTheme="minorHAnsi"/>
          <w:lang w:eastAsia="en-US"/>
        </w:rPr>
        <w:instrText xml:space="preserve"> NOTEREF _Ref460672395 \f \h </w:instrText>
      </w:r>
      <w:r w:rsidR="00206828">
        <w:rPr>
          <w:rFonts w:eastAsiaTheme="minorHAnsi"/>
          <w:lang w:eastAsia="en-US"/>
        </w:rPr>
      </w:r>
      <w:r w:rsidR="00206828">
        <w:rPr>
          <w:rFonts w:eastAsiaTheme="minorHAnsi"/>
          <w:lang w:eastAsia="en-US"/>
        </w:rPr>
        <w:fldChar w:fldCharType="separate"/>
      </w:r>
      <w:r w:rsidR="00CA6F76" w:rsidRPr="00CA6F76">
        <w:rPr>
          <w:rStyle w:val="EndnoteReference"/>
        </w:rPr>
        <w:t>4</w:t>
      </w:r>
      <w:r w:rsidR="00206828">
        <w:rPr>
          <w:rFonts w:eastAsiaTheme="minorHAnsi"/>
          <w:lang w:eastAsia="en-US"/>
        </w:rPr>
        <w:fldChar w:fldCharType="end"/>
      </w:r>
      <w:r w:rsidRPr="004719AC">
        <w:rPr>
          <w:rFonts w:eastAsiaTheme="minorHAnsi"/>
          <w:lang w:eastAsia="en-US"/>
        </w:rPr>
        <w:t>; Goldberg 2004</w:t>
      </w:r>
      <w:r w:rsidR="00206828">
        <w:rPr>
          <w:rFonts w:eastAsiaTheme="minorHAnsi"/>
          <w:lang w:eastAsia="en-US"/>
        </w:rPr>
        <w:fldChar w:fldCharType="begin"/>
      </w:r>
      <w:r w:rsidR="00206828">
        <w:rPr>
          <w:rFonts w:eastAsiaTheme="minorHAnsi"/>
          <w:lang w:eastAsia="en-US"/>
        </w:rPr>
        <w:instrText xml:space="preserve"> NOTEREF _Ref460672845 \f \h </w:instrText>
      </w:r>
      <w:r w:rsidR="00206828">
        <w:rPr>
          <w:rFonts w:eastAsiaTheme="minorHAnsi"/>
          <w:lang w:eastAsia="en-US"/>
        </w:rPr>
      </w:r>
      <w:r w:rsidR="00206828">
        <w:rPr>
          <w:rFonts w:eastAsiaTheme="minorHAnsi"/>
          <w:lang w:eastAsia="en-US"/>
        </w:rPr>
        <w:fldChar w:fldCharType="separate"/>
      </w:r>
      <w:r w:rsidR="00CA6F76" w:rsidRPr="00CA6F76">
        <w:rPr>
          <w:rStyle w:val="EndnoteReference"/>
        </w:rPr>
        <w:t>38</w:t>
      </w:r>
      <w:r w:rsidR="00206828">
        <w:rPr>
          <w:rFonts w:eastAsiaTheme="minorHAnsi"/>
          <w:lang w:eastAsia="en-US"/>
        </w:rPr>
        <w:fldChar w:fldCharType="end"/>
      </w:r>
      <w:r w:rsidRPr="004719AC">
        <w:rPr>
          <w:rFonts w:eastAsiaTheme="minorHAnsi"/>
          <w:lang w:eastAsia="en-US"/>
        </w:rPr>
        <w:t>; Feldman</w:t>
      </w:r>
      <w:r w:rsidR="00206828">
        <w:rPr>
          <w:rFonts w:eastAsiaTheme="minorHAnsi"/>
          <w:lang w:eastAsia="en-US"/>
        </w:rPr>
        <w:fldChar w:fldCharType="begin"/>
      </w:r>
      <w:r w:rsidR="00206828">
        <w:rPr>
          <w:rFonts w:eastAsiaTheme="minorHAnsi"/>
          <w:lang w:eastAsia="en-US"/>
        </w:rPr>
        <w:instrText xml:space="preserve"> NOTEREF _Ref460678076 \f \h </w:instrText>
      </w:r>
      <w:r w:rsidR="00206828">
        <w:rPr>
          <w:rFonts w:eastAsiaTheme="minorHAnsi"/>
          <w:lang w:eastAsia="en-US"/>
        </w:rPr>
      </w:r>
      <w:r w:rsidR="00206828">
        <w:rPr>
          <w:rFonts w:eastAsiaTheme="minorHAnsi"/>
          <w:lang w:eastAsia="en-US"/>
        </w:rPr>
        <w:fldChar w:fldCharType="separate"/>
      </w:r>
      <w:r w:rsidR="00CA6F76" w:rsidRPr="00CA6F76">
        <w:rPr>
          <w:rStyle w:val="EndnoteReference"/>
        </w:rPr>
        <w:t>13</w:t>
      </w:r>
      <w:r w:rsidR="00206828">
        <w:rPr>
          <w:rFonts w:eastAsiaTheme="minorHAnsi"/>
          <w:lang w:eastAsia="en-US"/>
        </w:rPr>
        <w:fldChar w:fldCharType="end"/>
      </w:r>
      <w:r w:rsidRPr="004719AC">
        <w:rPr>
          <w:rFonts w:eastAsiaTheme="minorHAnsi"/>
          <w:lang w:eastAsia="en-US"/>
        </w:rPr>
        <w:t xml:space="preserve"> 2004; Kerzner 2003</w:t>
      </w:r>
      <w:bookmarkStart w:id="50" w:name="_Ref460679746"/>
      <w:r w:rsidR="00206828">
        <w:rPr>
          <w:rStyle w:val="EndnoteReference"/>
          <w:rFonts w:eastAsiaTheme="minorHAnsi"/>
          <w:lang w:eastAsia="en-US"/>
        </w:rPr>
        <w:endnoteReference w:id="65"/>
      </w:r>
      <w:bookmarkEnd w:id="50"/>
      <w:r w:rsidRPr="004719AC">
        <w:rPr>
          <w:rFonts w:eastAsiaTheme="minorHAnsi"/>
          <w:lang w:eastAsia="en-US"/>
        </w:rPr>
        <w:t>) (N=6) and in population with DM (Kawagoe 2011</w:t>
      </w:r>
      <w:r w:rsidR="00206828">
        <w:rPr>
          <w:rStyle w:val="EndnoteReference"/>
          <w:rFonts w:eastAsiaTheme="minorHAnsi"/>
          <w:lang w:eastAsia="en-US"/>
        </w:rPr>
        <w:endnoteReference w:id="66"/>
      </w:r>
      <w:r w:rsidRPr="004719AC">
        <w:rPr>
          <w:rFonts w:eastAsiaTheme="minorHAnsi"/>
          <w:lang w:eastAsia="en-US"/>
        </w:rPr>
        <w:t>) (N=1).</w:t>
      </w:r>
    </w:p>
    <w:p w14:paraId="36CE471C" w14:textId="77777777" w:rsidR="004719AC" w:rsidRPr="004719AC" w:rsidRDefault="004719AC" w:rsidP="004719AC">
      <w:pPr>
        <w:jc w:val="both"/>
        <w:rPr>
          <w:rFonts w:eastAsiaTheme="minorHAnsi"/>
          <w:lang w:eastAsia="en-US"/>
        </w:rPr>
      </w:pPr>
      <w:r w:rsidRPr="004719AC">
        <w:rPr>
          <w:rFonts w:eastAsiaTheme="minorHAnsi"/>
          <w:lang w:eastAsia="en-US"/>
        </w:rPr>
        <w:t xml:space="preserve">The strength of evidence (SOE) was assigned based on the risk of bias, consistency of results, directness, and precision. Evidence for all long-term clinical outcomes (mortality, acute coronary events, cerebrovascular events, and revascularization procedures) for all combination therapy and statin intensity comparisons was insufficient. The body of evidence consisted of the analysis of the surrogate outcomes of LDL-C and HDL-C. For all comparisons, only the qualitative synthesis of data was conducted (i.e. individual mean differences with 95% CIs for individual studies grouped by combination therapy agent, statin intensity, and high-risk population). The pooled estimates of the mean difference (MD) in </w:t>
      </w:r>
      <w:r w:rsidRPr="004719AC">
        <w:rPr>
          <w:rFonts w:eastAsiaTheme="minorHAnsi"/>
          <w:lang w:eastAsia="en-US"/>
        </w:rPr>
        <w:lastRenderedPageBreak/>
        <w:t xml:space="preserve">reduction in the surrogate outcomes from the baseline was not calculated given the small numbers of heterogeneous trials. </w:t>
      </w:r>
    </w:p>
    <w:p w14:paraId="50F4EDE2" w14:textId="03C7D00F" w:rsidR="00605159" w:rsidRDefault="00605159" w:rsidP="00605159">
      <w:pPr>
        <w:jc w:val="both"/>
        <w:rPr>
          <w:rFonts w:eastAsiaTheme="minorHAnsi"/>
          <w:lang w:eastAsia="en-US"/>
        </w:rPr>
      </w:pPr>
      <w:r>
        <w:rPr>
          <w:rFonts w:eastAsiaTheme="minorHAnsi"/>
          <w:lang w:eastAsia="en-US"/>
        </w:rPr>
        <w:t xml:space="preserve">The authors suggested that </w:t>
      </w:r>
      <w:r w:rsidRPr="009729F1">
        <w:rPr>
          <w:rFonts w:eastAsiaTheme="minorHAnsi"/>
          <w:lang w:eastAsia="en-US"/>
        </w:rPr>
        <w:t>r</w:t>
      </w:r>
      <w:r w:rsidR="004719AC" w:rsidRPr="009729F1">
        <w:rPr>
          <w:rFonts w:eastAsiaTheme="minorHAnsi"/>
          <w:lang w:eastAsia="en-US"/>
        </w:rPr>
        <w:t xml:space="preserve">esults from 13 trials </w:t>
      </w:r>
      <w:r w:rsidRPr="009729F1">
        <w:rPr>
          <w:rFonts w:eastAsiaTheme="minorHAnsi"/>
          <w:lang w:eastAsia="en-US"/>
        </w:rPr>
        <w:t>indicate</w:t>
      </w:r>
      <w:r w:rsidR="004719AC" w:rsidRPr="009729F1">
        <w:rPr>
          <w:rFonts w:eastAsiaTheme="minorHAnsi"/>
          <w:lang w:eastAsia="en-US"/>
        </w:rPr>
        <w:t xml:space="preserve"> that low potency statin in combination with ezetimibe more effectively lowers LDL-C  (Figure </w:t>
      </w:r>
      <w:r w:rsidR="006609C9" w:rsidRPr="009729F1">
        <w:rPr>
          <w:rFonts w:eastAsiaTheme="minorHAnsi"/>
          <w:lang w:eastAsia="en-US"/>
        </w:rPr>
        <w:t xml:space="preserve">2.2.3.1 </w:t>
      </w:r>
      <w:r w:rsidR="004719AC" w:rsidRPr="009729F1">
        <w:rPr>
          <w:rFonts w:eastAsiaTheme="minorHAnsi"/>
          <w:lang w:eastAsia="en-US"/>
        </w:rPr>
        <w:t>reproduced from Figure 3 AHRQ 2014) and raises HDL-C (Figure 6, p.41, AHRQ 2014</w:t>
      </w:r>
      <w:r w:rsidRPr="009729F1">
        <w:rPr>
          <w:rFonts w:eastAsiaTheme="minorHAnsi"/>
          <w:lang w:eastAsia="en-US"/>
        </w:rPr>
        <w:t xml:space="preserve"> not </w:t>
      </w:r>
      <w:r w:rsidR="003B32CF" w:rsidRPr="009729F1">
        <w:rPr>
          <w:rFonts w:eastAsiaTheme="minorHAnsi"/>
          <w:lang w:eastAsia="en-US"/>
        </w:rPr>
        <w:t>reproduced</w:t>
      </w:r>
      <w:r w:rsidRPr="009729F1">
        <w:rPr>
          <w:rFonts w:eastAsiaTheme="minorHAnsi"/>
          <w:lang w:eastAsia="en-US"/>
        </w:rPr>
        <w:t xml:space="preserve"> here</w:t>
      </w:r>
      <w:r w:rsidR="004719AC" w:rsidRPr="009729F1">
        <w:rPr>
          <w:rFonts w:eastAsiaTheme="minorHAnsi"/>
          <w:lang w:eastAsia="en-US"/>
        </w:rPr>
        <w:t>) as compared to high potency statin monot</w:t>
      </w:r>
      <w:r w:rsidRPr="009729F1">
        <w:rPr>
          <w:rFonts w:eastAsiaTheme="minorHAnsi"/>
          <w:lang w:eastAsia="en-US"/>
        </w:rPr>
        <w:t xml:space="preserve">herapy among general population </w:t>
      </w:r>
      <w:r w:rsidR="004719AC" w:rsidRPr="004719AC">
        <w:rPr>
          <w:rFonts w:eastAsiaTheme="minorHAnsi"/>
          <w:lang w:eastAsia="en-US"/>
        </w:rPr>
        <w:t>(</w:t>
      </w:r>
      <w:r>
        <w:rPr>
          <w:rFonts w:eastAsiaTheme="minorHAnsi"/>
          <w:lang w:eastAsia="en-US"/>
        </w:rPr>
        <w:t>Strength of evidence (</w:t>
      </w:r>
      <w:r w:rsidR="004719AC" w:rsidRPr="004719AC">
        <w:rPr>
          <w:rFonts w:eastAsiaTheme="minorHAnsi"/>
          <w:lang w:eastAsia="en-US"/>
        </w:rPr>
        <w:t>SOE</w:t>
      </w:r>
      <w:r>
        <w:rPr>
          <w:rFonts w:eastAsiaTheme="minorHAnsi"/>
          <w:lang w:eastAsia="en-US"/>
        </w:rPr>
        <w:t xml:space="preserve">) was </w:t>
      </w:r>
      <w:r w:rsidR="004719AC" w:rsidRPr="004719AC">
        <w:rPr>
          <w:rFonts w:eastAsiaTheme="minorHAnsi"/>
          <w:lang w:eastAsia="en-US"/>
        </w:rPr>
        <w:t xml:space="preserve">low for both). </w:t>
      </w:r>
    </w:p>
    <w:p w14:paraId="2104DA71" w14:textId="77777777" w:rsidR="00605159" w:rsidRDefault="00605159" w:rsidP="00605159">
      <w:pPr>
        <w:jc w:val="both"/>
        <w:rPr>
          <w:rFonts w:eastAsiaTheme="minorHAnsi"/>
          <w:lang w:eastAsia="en-US"/>
        </w:rPr>
      </w:pPr>
    </w:p>
    <w:p w14:paraId="01EE9E31" w14:textId="68D98E26" w:rsidR="00605159" w:rsidRDefault="004719AC" w:rsidP="00605159">
      <w:pPr>
        <w:jc w:val="both"/>
        <w:rPr>
          <w:rFonts w:eastAsiaTheme="minorHAnsi"/>
          <w:lang w:eastAsia="en-US"/>
        </w:rPr>
      </w:pPr>
      <w:r w:rsidRPr="0083333B">
        <w:rPr>
          <w:rFonts w:eastAsiaTheme="minorHAnsi"/>
          <w:b/>
          <w:lang w:eastAsia="en-US"/>
        </w:rPr>
        <w:t xml:space="preserve">Figure </w:t>
      </w:r>
      <w:r w:rsidR="00912F4E" w:rsidRPr="0083333B">
        <w:rPr>
          <w:rFonts w:eastAsiaTheme="minorHAnsi"/>
          <w:b/>
          <w:lang w:eastAsia="en-US"/>
        </w:rPr>
        <w:t>2.2.3.1</w:t>
      </w:r>
      <w:r w:rsidRPr="0083333B">
        <w:rPr>
          <w:rFonts w:eastAsiaTheme="minorHAnsi"/>
          <w:b/>
          <w:lang w:eastAsia="en-US"/>
        </w:rPr>
        <w:t xml:space="preserve"> Mean difference in percent LDL change from baseline to time point comparing low potency combination therapy with ezetimibe to high potency monotherapy.</w:t>
      </w:r>
      <w:r w:rsidR="00605159" w:rsidRPr="00605159">
        <w:rPr>
          <w:rFonts w:eastAsiaTheme="minorHAnsi"/>
          <w:noProof/>
          <w:lang w:eastAsia="en-AU"/>
        </w:rPr>
        <w:t xml:space="preserve"> </w:t>
      </w:r>
      <w:r w:rsidR="00605159" w:rsidRPr="004719AC">
        <w:rPr>
          <w:rFonts w:eastAsiaTheme="minorHAnsi"/>
          <w:noProof/>
          <w:lang w:eastAsia="en-AU"/>
        </w:rPr>
        <w:drawing>
          <wp:inline distT="0" distB="0" distL="0" distR="0" wp14:anchorId="08FBCAA5" wp14:editId="79B2883D">
            <wp:extent cx="6057477" cy="469392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318" t="12762" r="60913" b="9820"/>
                    <a:stretch/>
                  </pic:blipFill>
                  <pic:spPr bwMode="auto">
                    <a:xfrm>
                      <a:off x="0" y="0"/>
                      <a:ext cx="6059495" cy="4695484"/>
                    </a:xfrm>
                    <a:prstGeom prst="rect">
                      <a:avLst/>
                    </a:prstGeom>
                    <a:ln>
                      <a:noFill/>
                    </a:ln>
                    <a:extLst>
                      <a:ext uri="{53640926-AAD7-44D8-BBD7-CCE9431645EC}">
                        <a14:shadowObscured xmlns:a14="http://schemas.microsoft.com/office/drawing/2010/main"/>
                      </a:ext>
                    </a:extLst>
                  </pic:spPr>
                </pic:pic>
              </a:graphicData>
            </a:graphic>
          </wp:inline>
        </w:drawing>
      </w:r>
      <w:r w:rsidR="00605159" w:rsidRPr="00605159">
        <w:rPr>
          <w:rFonts w:eastAsiaTheme="minorHAnsi"/>
          <w:i/>
          <w:lang w:eastAsia="en-US"/>
        </w:rPr>
        <w:t xml:space="preserve">However, the graphical presentation of the results in Figure 2.2.3.1 (reproduced from Figure 3 AHRQ 2014) suggest that this may not be the case. Taking into consideration the poor quality of some of the trials and high degree of heterogeneity preventing </w:t>
      </w:r>
      <w:r w:rsidR="00996F9E">
        <w:rPr>
          <w:rFonts w:eastAsiaTheme="minorHAnsi"/>
          <w:i/>
          <w:lang w:eastAsia="en-US"/>
        </w:rPr>
        <w:t xml:space="preserve">a </w:t>
      </w:r>
      <w:r w:rsidR="00605159" w:rsidRPr="00605159">
        <w:rPr>
          <w:rFonts w:eastAsiaTheme="minorHAnsi"/>
          <w:i/>
          <w:lang w:eastAsia="en-US"/>
        </w:rPr>
        <w:t>meta-analysis</w:t>
      </w:r>
      <w:r w:rsidR="00996F9E">
        <w:rPr>
          <w:rFonts w:eastAsiaTheme="minorHAnsi"/>
          <w:i/>
          <w:lang w:eastAsia="en-US"/>
        </w:rPr>
        <w:t>,</w:t>
      </w:r>
      <w:r w:rsidR="00605159" w:rsidRPr="00605159">
        <w:rPr>
          <w:rFonts w:eastAsiaTheme="minorHAnsi"/>
          <w:i/>
          <w:lang w:eastAsia="en-US"/>
        </w:rPr>
        <w:t xml:space="preserve"> there is uncertainty in the cli</w:t>
      </w:r>
      <w:r w:rsidR="00996F9E">
        <w:rPr>
          <w:rFonts w:eastAsiaTheme="minorHAnsi"/>
          <w:i/>
          <w:lang w:eastAsia="en-US"/>
        </w:rPr>
        <w:t>ni</w:t>
      </w:r>
      <w:r w:rsidR="00605159" w:rsidRPr="00605159">
        <w:rPr>
          <w:rFonts w:eastAsiaTheme="minorHAnsi"/>
          <w:i/>
          <w:lang w:eastAsia="en-US"/>
        </w:rPr>
        <w:t xml:space="preserve">cal efficacy gain </w:t>
      </w:r>
      <w:r w:rsidR="009729F1">
        <w:rPr>
          <w:rFonts w:eastAsiaTheme="minorHAnsi"/>
          <w:i/>
          <w:lang w:eastAsia="en-US"/>
        </w:rPr>
        <w:t>(i.e</w:t>
      </w:r>
      <w:r w:rsidR="009729F1" w:rsidRPr="009729F1">
        <w:rPr>
          <w:rFonts w:eastAsiaTheme="minorHAnsi"/>
          <w:lang w:eastAsia="en-US"/>
        </w:rPr>
        <w:t xml:space="preserve">. </w:t>
      </w:r>
      <w:r w:rsidR="009729F1" w:rsidRPr="009729F1">
        <w:rPr>
          <w:rFonts w:eastAsiaTheme="minorHAnsi"/>
          <w:i/>
          <w:lang w:eastAsia="en-US"/>
        </w:rPr>
        <w:t>additional reduction in LDL-C)</w:t>
      </w:r>
      <w:r w:rsidR="009729F1">
        <w:rPr>
          <w:rFonts w:eastAsiaTheme="minorHAnsi"/>
          <w:lang w:eastAsia="en-US"/>
        </w:rPr>
        <w:t xml:space="preserve"> </w:t>
      </w:r>
      <w:r w:rsidR="00605159" w:rsidRPr="00605159">
        <w:rPr>
          <w:rFonts w:eastAsiaTheme="minorHAnsi"/>
          <w:i/>
          <w:lang w:eastAsia="en-US"/>
        </w:rPr>
        <w:t>associated with</w:t>
      </w:r>
      <w:r w:rsidR="00605159">
        <w:rPr>
          <w:rFonts w:eastAsiaTheme="minorHAnsi"/>
          <w:lang w:eastAsia="en-US"/>
        </w:rPr>
        <w:t xml:space="preserve"> </w:t>
      </w:r>
      <w:r w:rsidR="009729F1" w:rsidRPr="009729F1">
        <w:rPr>
          <w:rFonts w:eastAsiaTheme="minorHAnsi"/>
          <w:i/>
          <w:lang w:eastAsia="en-US"/>
        </w:rPr>
        <w:t xml:space="preserve">low potency statin in combination with ezetimibe vs </w:t>
      </w:r>
      <w:r w:rsidR="00996F9E">
        <w:rPr>
          <w:rFonts w:eastAsiaTheme="minorHAnsi"/>
          <w:i/>
          <w:lang w:eastAsia="en-US"/>
        </w:rPr>
        <w:t xml:space="preserve">high potency </w:t>
      </w:r>
      <w:r w:rsidR="009729F1" w:rsidRPr="009729F1">
        <w:rPr>
          <w:rFonts w:eastAsiaTheme="minorHAnsi"/>
          <w:i/>
          <w:lang w:eastAsia="en-US"/>
        </w:rPr>
        <w:t>statin monotherapy</w:t>
      </w:r>
      <w:r w:rsidR="009729F1">
        <w:rPr>
          <w:rFonts w:eastAsiaTheme="minorHAnsi"/>
          <w:lang w:eastAsia="en-US"/>
        </w:rPr>
        <w:t>.</w:t>
      </w:r>
    </w:p>
    <w:p w14:paraId="39736568" w14:textId="538DCC97" w:rsidR="004719AC" w:rsidRDefault="00605159" w:rsidP="00605159">
      <w:pPr>
        <w:jc w:val="both"/>
        <w:rPr>
          <w:rFonts w:eastAsiaTheme="minorHAnsi"/>
          <w:lang w:eastAsia="en-US"/>
        </w:rPr>
      </w:pPr>
      <w:r>
        <w:rPr>
          <w:rFonts w:eastAsiaTheme="minorHAnsi"/>
          <w:lang w:eastAsia="en-US"/>
        </w:rPr>
        <w:t>The authors suggested that r</w:t>
      </w:r>
      <w:r w:rsidR="004719AC" w:rsidRPr="004719AC">
        <w:rPr>
          <w:rFonts w:eastAsiaTheme="minorHAnsi"/>
          <w:lang w:eastAsia="en-US"/>
        </w:rPr>
        <w:t xml:space="preserve">esults from 11 trials </w:t>
      </w:r>
      <w:r>
        <w:rPr>
          <w:rFonts w:eastAsiaTheme="minorHAnsi"/>
          <w:lang w:eastAsia="en-US"/>
        </w:rPr>
        <w:t>indicated</w:t>
      </w:r>
      <w:r w:rsidR="004719AC" w:rsidRPr="004719AC">
        <w:rPr>
          <w:rFonts w:eastAsiaTheme="minorHAnsi"/>
          <w:lang w:eastAsia="en-US"/>
        </w:rPr>
        <w:t xml:space="preserve"> that </w:t>
      </w:r>
      <w:r w:rsidR="004719AC" w:rsidRPr="009729F1">
        <w:rPr>
          <w:rFonts w:eastAsiaTheme="minorHAnsi"/>
          <w:lang w:eastAsia="en-US"/>
        </w:rPr>
        <w:t xml:space="preserve">mid potency statin combined with ezetimibe more effectively lowers LDL-C  (Figure </w:t>
      </w:r>
      <w:r w:rsidR="00912F4E" w:rsidRPr="009729F1">
        <w:rPr>
          <w:rFonts w:eastAsiaTheme="minorHAnsi"/>
          <w:lang w:eastAsia="en-US"/>
        </w:rPr>
        <w:t xml:space="preserve">2.2.3.2 </w:t>
      </w:r>
      <w:r w:rsidR="004719AC" w:rsidRPr="009729F1">
        <w:rPr>
          <w:rFonts w:eastAsiaTheme="minorHAnsi"/>
          <w:lang w:eastAsia="en-US"/>
        </w:rPr>
        <w:t>reproduced from Figure 4 AHRQ 2014) and raises HDL-C (Figure 7, p.43, AHRQ 2014</w:t>
      </w:r>
      <w:r w:rsidRPr="009729F1">
        <w:rPr>
          <w:rFonts w:eastAsiaTheme="minorHAnsi"/>
          <w:lang w:eastAsia="en-US"/>
        </w:rPr>
        <w:t xml:space="preserve"> not reproduced here</w:t>
      </w:r>
      <w:r w:rsidR="004719AC" w:rsidRPr="009729F1">
        <w:rPr>
          <w:rFonts w:eastAsiaTheme="minorHAnsi"/>
          <w:lang w:eastAsia="en-US"/>
        </w:rPr>
        <w:t>) as compared to high potency statin monotherapy among general populations</w:t>
      </w:r>
      <w:r w:rsidR="004719AC" w:rsidRPr="004719AC">
        <w:rPr>
          <w:rFonts w:eastAsiaTheme="minorHAnsi"/>
          <w:lang w:eastAsia="en-US"/>
        </w:rPr>
        <w:t xml:space="preserve"> (SOE: moderate and low, respectively). </w:t>
      </w:r>
    </w:p>
    <w:p w14:paraId="1B0614A2" w14:textId="315E5C03" w:rsidR="004719AC" w:rsidRPr="004719AC" w:rsidRDefault="004719AC" w:rsidP="004719AC">
      <w:pPr>
        <w:keepNext/>
        <w:keepLines/>
        <w:rPr>
          <w:rFonts w:eastAsiaTheme="minorHAnsi"/>
          <w:b/>
          <w:lang w:eastAsia="en-US"/>
        </w:rPr>
      </w:pPr>
      <w:r w:rsidRPr="004719AC">
        <w:rPr>
          <w:rFonts w:eastAsiaTheme="minorHAnsi"/>
          <w:b/>
          <w:lang w:eastAsia="en-US"/>
        </w:rPr>
        <w:lastRenderedPageBreak/>
        <w:t xml:space="preserve">Figure </w:t>
      </w:r>
      <w:r w:rsidR="00912F4E">
        <w:rPr>
          <w:rFonts w:eastAsiaTheme="minorHAnsi"/>
          <w:b/>
          <w:lang w:eastAsia="en-US"/>
        </w:rPr>
        <w:t xml:space="preserve">2.2.3.2 </w:t>
      </w:r>
      <w:r w:rsidRPr="004719AC">
        <w:rPr>
          <w:rFonts w:eastAsiaTheme="minorHAnsi"/>
          <w:b/>
          <w:lang w:eastAsia="en-US"/>
        </w:rPr>
        <w:t>Mean difference in percent LDL change from baseline to time point comparing mid potency combination therapy with ezetimibe to high potency monotherapy.</w:t>
      </w:r>
    </w:p>
    <w:p w14:paraId="53525A20" w14:textId="77777777" w:rsidR="004719AC" w:rsidRPr="004719AC" w:rsidRDefault="004719AC" w:rsidP="004719AC">
      <w:pPr>
        <w:keepNext/>
        <w:keepLines/>
        <w:rPr>
          <w:rFonts w:eastAsiaTheme="minorHAnsi"/>
          <w:lang w:eastAsia="en-US"/>
        </w:rPr>
      </w:pPr>
      <w:r w:rsidRPr="004719AC">
        <w:rPr>
          <w:rFonts w:eastAsiaTheme="minorHAnsi"/>
          <w:noProof/>
          <w:lang w:eastAsia="en-AU"/>
        </w:rPr>
        <w:drawing>
          <wp:inline distT="0" distB="0" distL="0" distR="0" wp14:anchorId="5A3FEAE2" wp14:editId="6122D00B">
            <wp:extent cx="5783580" cy="35814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584" t="13613" r="59450" b="23431"/>
                    <a:stretch/>
                  </pic:blipFill>
                  <pic:spPr bwMode="auto">
                    <a:xfrm>
                      <a:off x="0" y="0"/>
                      <a:ext cx="5783580" cy="3581400"/>
                    </a:xfrm>
                    <a:prstGeom prst="rect">
                      <a:avLst/>
                    </a:prstGeom>
                    <a:ln>
                      <a:noFill/>
                    </a:ln>
                    <a:extLst>
                      <a:ext uri="{53640926-AAD7-44D8-BBD7-CCE9431645EC}">
                        <a14:shadowObscured xmlns:a14="http://schemas.microsoft.com/office/drawing/2010/main"/>
                      </a:ext>
                    </a:extLst>
                  </pic:spPr>
                </pic:pic>
              </a:graphicData>
            </a:graphic>
          </wp:inline>
        </w:drawing>
      </w:r>
    </w:p>
    <w:p w14:paraId="09AB038E" w14:textId="77777777" w:rsidR="009729F1" w:rsidRDefault="009729F1" w:rsidP="004719AC">
      <w:pPr>
        <w:rPr>
          <w:rFonts w:eastAsiaTheme="minorHAnsi"/>
          <w:i/>
          <w:lang w:eastAsia="en-US"/>
        </w:rPr>
      </w:pPr>
    </w:p>
    <w:p w14:paraId="17707E20" w14:textId="63C79C81" w:rsidR="009729F1" w:rsidRDefault="009729F1" w:rsidP="009729F1">
      <w:pPr>
        <w:jc w:val="both"/>
        <w:rPr>
          <w:rFonts w:eastAsiaTheme="minorHAnsi"/>
          <w:lang w:eastAsia="en-US"/>
        </w:rPr>
      </w:pPr>
      <w:r w:rsidRPr="00605159">
        <w:rPr>
          <w:rFonts w:eastAsiaTheme="minorHAnsi"/>
          <w:i/>
          <w:lang w:eastAsia="en-US"/>
        </w:rPr>
        <w:t xml:space="preserve">However, </w:t>
      </w:r>
      <w:r>
        <w:rPr>
          <w:rFonts w:eastAsiaTheme="minorHAnsi"/>
          <w:i/>
          <w:lang w:eastAsia="en-US"/>
        </w:rPr>
        <w:t xml:space="preserve">as in the case of the </w:t>
      </w:r>
      <w:r w:rsidRPr="009729F1">
        <w:rPr>
          <w:rFonts w:eastAsiaTheme="minorHAnsi"/>
          <w:i/>
          <w:lang w:eastAsia="en-US"/>
        </w:rPr>
        <w:t>low potency combination therapy with ezetimibe</w:t>
      </w:r>
      <w:r>
        <w:rPr>
          <w:rFonts w:eastAsiaTheme="minorHAnsi"/>
          <w:i/>
          <w:lang w:eastAsia="en-US"/>
        </w:rPr>
        <w:t xml:space="preserve"> vs high potency statin </w:t>
      </w:r>
      <w:r w:rsidRPr="00605159">
        <w:rPr>
          <w:rFonts w:eastAsiaTheme="minorHAnsi"/>
          <w:i/>
          <w:lang w:eastAsia="en-US"/>
        </w:rPr>
        <w:t xml:space="preserve">the graphical presentation of the results in Figure </w:t>
      </w:r>
      <w:r>
        <w:rPr>
          <w:rFonts w:eastAsiaTheme="minorHAnsi"/>
          <w:i/>
          <w:lang w:eastAsia="en-US"/>
        </w:rPr>
        <w:t>2.2.3.2</w:t>
      </w:r>
      <w:r w:rsidRPr="00605159">
        <w:rPr>
          <w:rFonts w:eastAsiaTheme="minorHAnsi"/>
          <w:i/>
          <w:lang w:eastAsia="en-US"/>
        </w:rPr>
        <w:t xml:space="preserve"> (</w:t>
      </w:r>
      <w:r>
        <w:rPr>
          <w:rFonts w:eastAsiaTheme="minorHAnsi"/>
          <w:i/>
          <w:lang w:eastAsia="en-US"/>
        </w:rPr>
        <w:t>reproduced from Figure 4</w:t>
      </w:r>
      <w:r w:rsidRPr="00605159">
        <w:rPr>
          <w:rFonts w:eastAsiaTheme="minorHAnsi"/>
          <w:i/>
          <w:lang w:eastAsia="en-US"/>
        </w:rPr>
        <w:t xml:space="preserve"> AHRQ 2014) </w:t>
      </w:r>
      <w:r>
        <w:rPr>
          <w:rFonts w:eastAsiaTheme="minorHAnsi"/>
          <w:i/>
          <w:lang w:eastAsia="en-US"/>
        </w:rPr>
        <w:t>is inconclusive.</w:t>
      </w:r>
      <w:r w:rsidRPr="00605159">
        <w:rPr>
          <w:rFonts w:eastAsiaTheme="minorHAnsi"/>
          <w:i/>
          <w:lang w:eastAsia="en-US"/>
        </w:rPr>
        <w:t xml:space="preserve"> Taking into consideration the poor quality of some of the trials and high degree of heterogeneity preventing </w:t>
      </w:r>
      <w:r w:rsidR="00996F9E">
        <w:rPr>
          <w:rFonts w:eastAsiaTheme="minorHAnsi"/>
          <w:i/>
          <w:lang w:eastAsia="en-US"/>
        </w:rPr>
        <w:t xml:space="preserve">a </w:t>
      </w:r>
      <w:r w:rsidRPr="00605159">
        <w:rPr>
          <w:rFonts w:eastAsiaTheme="minorHAnsi"/>
          <w:i/>
          <w:lang w:eastAsia="en-US"/>
        </w:rPr>
        <w:t>meta-analysis</w:t>
      </w:r>
      <w:r w:rsidR="00996F9E">
        <w:rPr>
          <w:rFonts w:eastAsiaTheme="minorHAnsi"/>
          <w:i/>
          <w:lang w:eastAsia="en-US"/>
        </w:rPr>
        <w:t xml:space="preserve">, </w:t>
      </w:r>
      <w:r w:rsidRPr="00605159">
        <w:rPr>
          <w:rFonts w:eastAsiaTheme="minorHAnsi"/>
          <w:i/>
          <w:lang w:eastAsia="en-US"/>
        </w:rPr>
        <w:t>there is uncertainty in the cli</w:t>
      </w:r>
      <w:r w:rsidR="00996F9E">
        <w:rPr>
          <w:rFonts w:eastAsiaTheme="minorHAnsi"/>
          <w:i/>
          <w:lang w:eastAsia="en-US"/>
        </w:rPr>
        <w:t>ni</w:t>
      </w:r>
      <w:r w:rsidRPr="00605159">
        <w:rPr>
          <w:rFonts w:eastAsiaTheme="minorHAnsi"/>
          <w:i/>
          <w:lang w:eastAsia="en-US"/>
        </w:rPr>
        <w:t xml:space="preserve">cal efficacy gain </w:t>
      </w:r>
      <w:r>
        <w:rPr>
          <w:rFonts w:eastAsiaTheme="minorHAnsi"/>
          <w:i/>
          <w:lang w:eastAsia="en-US"/>
        </w:rPr>
        <w:t>(i.e</w:t>
      </w:r>
      <w:r w:rsidRPr="009729F1">
        <w:rPr>
          <w:rFonts w:eastAsiaTheme="minorHAnsi"/>
          <w:lang w:eastAsia="en-US"/>
        </w:rPr>
        <w:t xml:space="preserve">. </w:t>
      </w:r>
      <w:r w:rsidRPr="009729F1">
        <w:rPr>
          <w:rFonts w:eastAsiaTheme="minorHAnsi"/>
          <w:i/>
          <w:lang w:eastAsia="en-US"/>
        </w:rPr>
        <w:t xml:space="preserve">additional reduction in LDL-C) </w:t>
      </w:r>
      <w:r w:rsidRPr="00605159">
        <w:rPr>
          <w:rFonts w:eastAsiaTheme="minorHAnsi"/>
          <w:i/>
          <w:lang w:eastAsia="en-US"/>
        </w:rPr>
        <w:t>associated with</w:t>
      </w:r>
      <w:r>
        <w:rPr>
          <w:rFonts w:eastAsiaTheme="minorHAnsi"/>
          <w:lang w:eastAsia="en-US"/>
        </w:rPr>
        <w:t xml:space="preserve"> </w:t>
      </w:r>
      <w:r>
        <w:rPr>
          <w:rFonts w:eastAsiaTheme="minorHAnsi"/>
          <w:i/>
          <w:lang w:eastAsia="en-US"/>
        </w:rPr>
        <w:t>medium</w:t>
      </w:r>
      <w:r w:rsidRPr="009729F1">
        <w:rPr>
          <w:rFonts w:eastAsiaTheme="minorHAnsi"/>
          <w:i/>
          <w:lang w:eastAsia="en-US"/>
        </w:rPr>
        <w:t xml:space="preserve"> potency statin in combination with ezetimibe vs </w:t>
      </w:r>
      <w:r w:rsidR="00996F9E">
        <w:rPr>
          <w:rFonts w:eastAsiaTheme="minorHAnsi"/>
          <w:i/>
          <w:lang w:eastAsia="en-US"/>
        </w:rPr>
        <w:t xml:space="preserve">high potency </w:t>
      </w:r>
      <w:r w:rsidRPr="009729F1">
        <w:rPr>
          <w:rFonts w:eastAsiaTheme="minorHAnsi"/>
          <w:i/>
          <w:lang w:eastAsia="en-US"/>
        </w:rPr>
        <w:t>statin monotherapy</w:t>
      </w:r>
      <w:r>
        <w:rPr>
          <w:rFonts w:eastAsiaTheme="minorHAnsi"/>
          <w:lang w:eastAsia="en-US"/>
        </w:rPr>
        <w:t>.</w:t>
      </w:r>
    </w:p>
    <w:p w14:paraId="00B41404" w14:textId="77777777" w:rsidR="009729F1" w:rsidRDefault="009729F1" w:rsidP="004719AC">
      <w:pPr>
        <w:rPr>
          <w:rFonts w:eastAsiaTheme="minorHAnsi"/>
          <w:i/>
          <w:lang w:eastAsia="en-US"/>
        </w:rPr>
      </w:pPr>
    </w:p>
    <w:p w14:paraId="19585E36" w14:textId="2FDE2AD9" w:rsidR="004719AC" w:rsidRPr="004719AC" w:rsidRDefault="004719AC" w:rsidP="004719AC">
      <w:pPr>
        <w:rPr>
          <w:rFonts w:eastAsiaTheme="minorHAnsi"/>
          <w:lang w:eastAsia="en-US"/>
        </w:rPr>
      </w:pPr>
      <w:r w:rsidRPr="009729F1">
        <w:rPr>
          <w:rFonts w:eastAsiaTheme="minorHAnsi"/>
          <w:lang w:eastAsia="en-US"/>
        </w:rPr>
        <w:t xml:space="preserve">Results from six trials suggest that low potency statin in combination with ezetimibe more effectively lowers LDL-C (Figure </w:t>
      </w:r>
      <w:r w:rsidR="00912F4E" w:rsidRPr="009729F1">
        <w:rPr>
          <w:rFonts w:eastAsiaTheme="minorHAnsi"/>
          <w:lang w:eastAsia="en-US"/>
        </w:rPr>
        <w:t>2.2.3.3</w:t>
      </w:r>
      <w:r w:rsidRPr="009729F1">
        <w:rPr>
          <w:rFonts w:eastAsiaTheme="minorHAnsi"/>
          <w:lang w:eastAsia="en-US"/>
        </w:rPr>
        <w:t xml:space="preserve"> reproduced from Figure 5 AHRQ 2014) and raises HDL-C (Figure 8, p.45, AHRQ 2014</w:t>
      </w:r>
      <w:r w:rsidR="009729F1" w:rsidRPr="009729F1">
        <w:rPr>
          <w:rFonts w:eastAsiaTheme="minorHAnsi"/>
          <w:lang w:eastAsia="en-US"/>
        </w:rPr>
        <w:t xml:space="preserve"> not reproduced here</w:t>
      </w:r>
      <w:r w:rsidRPr="009729F1">
        <w:rPr>
          <w:rFonts w:eastAsiaTheme="minorHAnsi"/>
          <w:lang w:eastAsia="en-US"/>
        </w:rPr>
        <w:t>) as compared to mid potency statin monotherapy</w:t>
      </w:r>
      <w:r w:rsidRPr="004719AC">
        <w:rPr>
          <w:rFonts w:eastAsiaTheme="minorHAnsi"/>
          <w:lang w:eastAsia="en-US"/>
        </w:rPr>
        <w:t xml:space="preserve"> (SOE: moderate and low, respectively).</w:t>
      </w:r>
    </w:p>
    <w:p w14:paraId="6E22F643" w14:textId="66C52CFE" w:rsidR="004719AC" w:rsidRPr="004719AC" w:rsidRDefault="004719AC" w:rsidP="004719AC">
      <w:pPr>
        <w:keepNext/>
        <w:keepLines/>
        <w:rPr>
          <w:rFonts w:eastAsiaTheme="minorHAnsi"/>
          <w:b/>
          <w:lang w:eastAsia="en-US"/>
        </w:rPr>
      </w:pPr>
      <w:r w:rsidRPr="004719AC">
        <w:rPr>
          <w:rFonts w:eastAsiaTheme="minorHAnsi"/>
          <w:b/>
          <w:lang w:eastAsia="en-US"/>
        </w:rPr>
        <w:lastRenderedPageBreak/>
        <w:t xml:space="preserve">Figure </w:t>
      </w:r>
      <w:r w:rsidR="00912F4E">
        <w:rPr>
          <w:rFonts w:eastAsiaTheme="minorHAnsi"/>
          <w:b/>
          <w:lang w:eastAsia="en-US"/>
        </w:rPr>
        <w:t xml:space="preserve">2.2.3.3 </w:t>
      </w:r>
      <w:r w:rsidRPr="004719AC">
        <w:rPr>
          <w:rFonts w:eastAsiaTheme="minorHAnsi"/>
          <w:b/>
          <w:lang w:eastAsia="en-US"/>
        </w:rPr>
        <w:t>Mean difference in percent LDL change from baseline to time point comparing low potency combination therapy with ezetimibe to mid potency monotherapy.</w:t>
      </w:r>
    </w:p>
    <w:p w14:paraId="4E4E4E77" w14:textId="77777777" w:rsidR="004719AC" w:rsidRPr="004719AC" w:rsidRDefault="004719AC" w:rsidP="004719AC">
      <w:pPr>
        <w:rPr>
          <w:rFonts w:eastAsiaTheme="minorHAnsi"/>
          <w:lang w:eastAsia="en-US"/>
        </w:rPr>
      </w:pPr>
      <w:r w:rsidRPr="004719AC">
        <w:rPr>
          <w:rFonts w:eastAsiaTheme="minorHAnsi"/>
          <w:noProof/>
          <w:lang w:eastAsia="en-AU"/>
        </w:rPr>
        <w:drawing>
          <wp:inline distT="0" distB="0" distL="0" distR="0" wp14:anchorId="0F941E13" wp14:editId="40527DD8">
            <wp:extent cx="5844540" cy="360426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849" t="12763" r="62509" b="25132"/>
                    <a:stretch/>
                  </pic:blipFill>
                  <pic:spPr bwMode="auto">
                    <a:xfrm>
                      <a:off x="0" y="0"/>
                      <a:ext cx="5844540" cy="3604260"/>
                    </a:xfrm>
                    <a:prstGeom prst="rect">
                      <a:avLst/>
                    </a:prstGeom>
                    <a:ln>
                      <a:noFill/>
                    </a:ln>
                    <a:extLst>
                      <a:ext uri="{53640926-AAD7-44D8-BBD7-CCE9431645EC}">
                        <a14:shadowObscured xmlns:a14="http://schemas.microsoft.com/office/drawing/2010/main"/>
                      </a:ext>
                    </a:extLst>
                  </pic:spPr>
                </pic:pic>
              </a:graphicData>
            </a:graphic>
          </wp:inline>
        </w:drawing>
      </w:r>
    </w:p>
    <w:p w14:paraId="760F6DAB" w14:textId="27CA5AA2" w:rsidR="009729F1" w:rsidRDefault="009729F1" w:rsidP="009729F1">
      <w:pPr>
        <w:jc w:val="both"/>
        <w:rPr>
          <w:rFonts w:eastAsiaTheme="minorHAnsi"/>
          <w:lang w:eastAsia="en-US"/>
        </w:rPr>
      </w:pPr>
      <w:r>
        <w:rPr>
          <w:rFonts w:eastAsiaTheme="minorHAnsi"/>
          <w:i/>
          <w:lang w:eastAsia="en-US"/>
        </w:rPr>
        <w:t>G</w:t>
      </w:r>
      <w:r w:rsidRPr="00605159">
        <w:rPr>
          <w:rFonts w:eastAsiaTheme="minorHAnsi"/>
          <w:i/>
          <w:lang w:eastAsia="en-US"/>
        </w:rPr>
        <w:t xml:space="preserve">raphical presentation of the results in Figure </w:t>
      </w:r>
      <w:r>
        <w:rPr>
          <w:rFonts w:eastAsiaTheme="minorHAnsi"/>
          <w:i/>
          <w:lang w:eastAsia="en-US"/>
        </w:rPr>
        <w:t>2.2.3.3</w:t>
      </w:r>
      <w:r w:rsidRPr="00605159">
        <w:rPr>
          <w:rFonts w:eastAsiaTheme="minorHAnsi"/>
          <w:i/>
          <w:lang w:eastAsia="en-US"/>
        </w:rPr>
        <w:t xml:space="preserve"> (</w:t>
      </w:r>
      <w:r>
        <w:rPr>
          <w:rFonts w:eastAsiaTheme="minorHAnsi"/>
          <w:i/>
          <w:lang w:eastAsia="en-US"/>
        </w:rPr>
        <w:t>reproduced from Figure 5</w:t>
      </w:r>
      <w:r w:rsidRPr="00605159">
        <w:rPr>
          <w:rFonts w:eastAsiaTheme="minorHAnsi"/>
          <w:i/>
          <w:lang w:eastAsia="en-US"/>
        </w:rPr>
        <w:t xml:space="preserve"> AHRQ 2014) </w:t>
      </w:r>
      <w:r>
        <w:rPr>
          <w:rFonts w:eastAsiaTheme="minorHAnsi"/>
          <w:i/>
          <w:lang w:eastAsia="en-US"/>
        </w:rPr>
        <w:t>is m</w:t>
      </w:r>
      <w:r w:rsidR="00901F3E">
        <w:rPr>
          <w:rFonts w:eastAsiaTheme="minorHAnsi"/>
          <w:i/>
          <w:lang w:eastAsia="en-US"/>
        </w:rPr>
        <w:t xml:space="preserve">ore </w:t>
      </w:r>
      <w:r w:rsidR="00996F9E">
        <w:rPr>
          <w:rFonts w:eastAsiaTheme="minorHAnsi"/>
          <w:i/>
          <w:lang w:eastAsia="en-US"/>
        </w:rPr>
        <w:t>convincing suggesting that the combination of ezetimibe with a low potency statin is associated with additional 11% point reduction in LDL-C in comparison to mid-potency statin monotherapy</w:t>
      </w:r>
      <w:r>
        <w:rPr>
          <w:rFonts w:eastAsiaTheme="minorHAnsi"/>
          <w:i/>
          <w:lang w:eastAsia="en-US"/>
        </w:rPr>
        <w:t>.</w:t>
      </w:r>
      <w:r w:rsidRPr="00605159">
        <w:rPr>
          <w:rFonts w:eastAsiaTheme="minorHAnsi"/>
          <w:i/>
          <w:lang w:eastAsia="en-US"/>
        </w:rPr>
        <w:t xml:space="preserve"> </w:t>
      </w:r>
      <w:r>
        <w:rPr>
          <w:rFonts w:eastAsiaTheme="minorHAnsi"/>
          <w:i/>
          <w:lang w:eastAsia="en-US"/>
        </w:rPr>
        <w:t>However</w:t>
      </w:r>
      <w:r w:rsidR="00996F9E">
        <w:rPr>
          <w:rFonts w:eastAsiaTheme="minorHAnsi"/>
          <w:i/>
          <w:lang w:eastAsia="en-US"/>
        </w:rPr>
        <w:t>,</w:t>
      </w:r>
      <w:r w:rsidRPr="00605159">
        <w:rPr>
          <w:rFonts w:eastAsiaTheme="minorHAnsi"/>
          <w:i/>
          <w:lang w:eastAsia="en-US"/>
        </w:rPr>
        <w:t xml:space="preserve"> poor quality of some of the trials and high degree of heterogeneity preventing </w:t>
      </w:r>
      <w:r w:rsidR="00996F9E">
        <w:rPr>
          <w:rFonts w:eastAsiaTheme="minorHAnsi"/>
          <w:i/>
          <w:lang w:eastAsia="en-US"/>
        </w:rPr>
        <w:t xml:space="preserve">a </w:t>
      </w:r>
      <w:r w:rsidRPr="00605159">
        <w:rPr>
          <w:rFonts w:eastAsiaTheme="minorHAnsi"/>
          <w:i/>
          <w:lang w:eastAsia="en-US"/>
        </w:rPr>
        <w:t xml:space="preserve">meta-analysis </w:t>
      </w:r>
      <w:r w:rsidR="00996F9E">
        <w:rPr>
          <w:rFonts w:eastAsiaTheme="minorHAnsi"/>
          <w:i/>
          <w:lang w:eastAsia="en-US"/>
        </w:rPr>
        <w:t>are still a serious concern.</w:t>
      </w:r>
      <w:r w:rsidRPr="00605159">
        <w:rPr>
          <w:rFonts w:eastAsiaTheme="minorHAnsi"/>
          <w:i/>
          <w:lang w:eastAsia="en-US"/>
        </w:rPr>
        <w:t xml:space="preserve"> </w:t>
      </w:r>
    </w:p>
    <w:p w14:paraId="702F8238" w14:textId="00499FDA" w:rsidR="00996F9E" w:rsidRDefault="004719AC" w:rsidP="004719AC">
      <w:pPr>
        <w:jc w:val="both"/>
        <w:rPr>
          <w:rFonts w:eastAsiaTheme="minorHAnsi"/>
          <w:lang w:eastAsia="en-US"/>
        </w:rPr>
      </w:pPr>
      <w:r w:rsidRPr="004719AC">
        <w:rPr>
          <w:rFonts w:eastAsiaTheme="minorHAnsi"/>
          <w:lang w:eastAsia="en-US"/>
        </w:rPr>
        <w:t xml:space="preserve">The AHRQ report also identified data on surrogate markers in special populations. Twelve trials among patients with pre-existing coronary heart disease favoured mid potency statin in combination with ezetimibe for lowering LDL-c as compared to high potency statin monotherapy (SOE: moderate). Four trials among patients with diabetes mellitus also favoured mid potency statin plus ezetimibe to a high potency statin monotherapy for lowering LDL-c and raising HDL-c (SOE: moderate for both). </w:t>
      </w:r>
      <w:r w:rsidR="00996F9E">
        <w:rPr>
          <w:rFonts w:eastAsiaTheme="minorHAnsi"/>
          <w:lang w:eastAsia="en-US"/>
        </w:rPr>
        <w:t>T</w:t>
      </w:r>
      <w:r w:rsidRPr="004719AC">
        <w:rPr>
          <w:rFonts w:eastAsiaTheme="minorHAnsi"/>
          <w:lang w:eastAsia="en-US"/>
        </w:rPr>
        <w:t xml:space="preserve">here was insufficient evidence to evaluate harms among the coronary heart disease and diabetes subgroups. </w:t>
      </w:r>
    </w:p>
    <w:p w14:paraId="2D251B40" w14:textId="46FB5224" w:rsidR="004719AC" w:rsidRDefault="00996F9E" w:rsidP="004719AC">
      <w:pPr>
        <w:jc w:val="both"/>
        <w:rPr>
          <w:rFonts w:eastAsiaTheme="minorHAnsi"/>
          <w:lang w:eastAsia="en-US"/>
        </w:rPr>
      </w:pPr>
      <w:r>
        <w:rPr>
          <w:rFonts w:eastAsiaTheme="minorHAnsi"/>
          <w:i/>
          <w:lang w:eastAsia="en-US"/>
        </w:rPr>
        <w:t>T</w:t>
      </w:r>
      <w:r w:rsidRPr="00996F9E">
        <w:rPr>
          <w:rFonts w:eastAsiaTheme="minorHAnsi"/>
          <w:i/>
          <w:lang w:eastAsia="en-US"/>
        </w:rPr>
        <w:t xml:space="preserve">he </w:t>
      </w:r>
      <w:r>
        <w:rPr>
          <w:rFonts w:eastAsiaTheme="minorHAnsi"/>
          <w:i/>
          <w:lang w:eastAsia="en-US"/>
        </w:rPr>
        <w:t xml:space="preserve">outcomes of reviewing the </w:t>
      </w:r>
      <w:r w:rsidRPr="00996F9E">
        <w:rPr>
          <w:rFonts w:eastAsiaTheme="minorHAnsi"/>
          <w:i/>
          <w:lang w:eastAsia="en-US"/>
        </w:rPr>
        <w:t>2009 the AHRQ</w:t>
      </w:r>
      <w:r w:rsidRPr="00996F9E">
        <w:rPr>
          <w:rFonts w:eastAsiaTheme="minorHAnsi"/>
          <w:lang w:eastAsia="en-US"/>
        </w:rPr>
        <w:t xml:space="preserve"> </w:t>
      </w:r>
      <w:r w:rsidRPr="00996F9E">
        <w:rPr>
          <w:rFonts w:eastAsiaTheme="minorHAnsi"/>
          <w:i/>
          <w:lang w:eastAsia="en-US"/>
        </w:rPr>
        <w:t xml:space="preserve">report </w:t>
      </w:r>
      <w:r>
        <w:rPr>
          <w:rFonts w:eastAsiaTheme="minorHAnsi"/>
          <w:i/>
          <w:lang w:eastAsia="en-US"/>
        </w:rPr>
        <w:t>suggest</w:t>
      </w:r>
      <w:r w:rsidRPr="00996F9E">
        <w:rPr>
          <w:rFonts w:eastAsiaTheme="minorHAnsi"/>
          <w:i/>
          <w:lang w:eastAsia="en-US"/>
        </w:rPr>
        <w:t xml:space="preserve"> that</w:t>
      </w:r>
      <w:r w:rsidRPr="00996F9E">
        <w:rPr>
          <w:rFonts w:eastAsiaTheme="minorHAnsi"/>
          <w:lang w:eastAsia="en-US"/>
        </w:rPr>
        <w:t xml:space="preserve"> </w:t>
      </w:r>
      <w:r w:rsidRPr="00996F9E">
        <w:rPr>
          <w:rFonts w:eastAsiaTheme="minorHAnsi"/>
          <w:i/>
          <w:lang w:eastAsia="en-US"/>
        </w:rPr>
        <w:t>there is uncertainty in the clinical efficacy gain (i.e</w:t>
      </w:r>
      <w:r w:rsidRPr="00996F9E">
        <w:rPr>
          <w:rFonts w:eastAsiaTheme="minorHAnsi"/>
          <w:lang w:eastAsia="en-US"/>
        </w:rPr>
        <w:t xml:space="preserve">. </w:t>
      </w:r>
      <w:r w:rsidRPr="00996F9E">
        <w:rPr>
          <w:rFonts w:eastAsiaTheme="minorHAnsi"/>
          <w:i/>
          <w:lang w:eastAsia="en-US"/>
        </w:rPr>
        <w:t>additional reduction in LDL-C) associated with</w:t>
      </w:r>
      <w:r w:rsidRPr="00996F9E">
        <w:rPr>
          <w:rFonts w:eastAsiaTheme="minorHAnsi"/>
          <w:lang w:eastAsia="en-US"/>
        </w:rPr>
        <w:t xml:space="preserve"> </w:t>
      </w:r>
      <w:r w:rsidRPr="00996F9E">
        <w:rPr>
          <w:rFonts w:eastAsiaTheme="minorHAnsi"/>
          <w:i/>
          <w:lang w:eastAsia="en-US"/>
        </w:rPr>
        <w:t>statin in combination with ezetimibe vs statin monotherapy</w:t>
      </w:r>
      <w:r w:rsidRPr="00996F9E">
        <w:rPr>
          <w:rFonts w:eastAsiaTheme="minorHAnsi"/>
          <w:lang w:eastAsia="en-US"/>
        </w:rPr>
        <w:t>.</w:t>
      </w:r>
    </w:p>
    <w:p w14:paraId="160EEC16" w14:textId="77C93ACD" w:rsidR="00206828" w:rsidRPr="004719AC" w:rsidRDefault="004719AC" w:rsidP="004719AC">
      <w:pPr>
        <w:jc w:val="both"/>
        <w:rPr>
          <w:rFonts w:eastAsiaTheme="minorHAnsi"/>
          <w:lang w:eastAsia="en-US"/>
        </w:rPr>
      </w:pPr>
      <w:r w:rsidRPr="004719AC">
        <w:rPr>
          <w:rFonts w:eastAsiaTheme="minorHAnsi"/>
          <w:b/>
          <w:lang w:eastAsia="en-US"/>
        </w:rPr>
        <w:t>Gudzune et al. 2014</w:t>
      </w:r>
      <w:r w:rsidR="00206828">
        <w:rPr>
          <w:rFonts w:eastAsiaTheme="minorHAnsi"/>
          <w:b/>
          <w:lang w:eastAsia="en-US"/>
        </w:rPr>
        <w:fldChar w:fldCharType="begin"/>
      </w:r>
      <w:r w:rsidR="00206828">
        <w:rPr>
          <w:rFonts w:eastAsiaTheme="minorHAnsi"/>
          <w:b/>
          <w:lang w:eastAsia="en-US"/>
        </w:rPr>
        <w:instrText xml:space="preserve"> NOTEREF _Ref460672137 \f \h </w:instrText>
      </w:r>
      <w:r w:rsidR="00206828">
        <w:rPr>
          <w:rFonts w:eastAsiaTheme="minorHAnsi"/>
          <w:b/>
          <w:lang w:eastAsia="en-US"/>
        </w:rPr>
      </w:r>
      <w:r w:rsidR="00206828">
        <w:rPr>
          <w:rFonts w:eastAsiaTheme="minorHAnsi"/>
          <w:b/>
          <w:lang w:eastAsia="en-US"/>
        </w:rPr>
        <w:fldChar w:fldCharType="separate"/>
      </w:r>
      <w:r w:rsidR="00CA6F76" w:rsidRPr="00CA6F76">
        <w:rPr>
          <w:rStyle w:val="EndnoteReference"/>
        </w:rPr>
        <w:t>26</w:t>
      </w:r>
      <w:r w:rsidR="00206828">
        <w:rPr>
          <w:rFonts w:eastAsiaTheme="minorHAnsi"/>
          <w:b/>
          <w:lang w:eastAsia="en-US"/>
        </w:rPr>
        <w:fldChar w:fldCharType="end"/>
      </w:r>
      <w:r w:rsidRPr="004719AC">
        <w:rPr>
          <w:rFonts w:eastAsiaTheme="minorHAnsi"/>
          <w:lang w:eastAsia="en-US"/>
        </w:rPr>
        <w:t xml:space="preserve">  replicated results reported in AHRQ (2014)</w:t>
      </w:r>
      <w:r w:rsidR="00131B7C">
        <w:rPr>
          <w:rFonts w:eastAsiaTheme="minorHAnsi"/>
          <w:lang w:eastAsia="en-US"/>
        </w:rPr>
        <w:fldChar w:fldCharType="begin"/>
      </w:r>
      <w:r w:rsidR="00131B7C">
        <w:rPr>
          <w:rFonts w:eastAsiaTheme="minorHAnsi"/>
          <w:lang w:eastAsia="en-US"/>
        </w:rPr>
        <w:instrText xml:space="preserve"> NOTEREF _Ref460678680 \f \h </w:instrText>
      </w:r>
      <w:r w:rsidR="00131B7C">
        <w:rPr>
          <w:rFonts w:eastAsiaTheme="minorHAnsi"/>
          <w:lang w:eastAsia="en-US"/>
        </w:rPr>
      </w:r>
      <w:r w:rsidR="00131B7C">
        <w:rPr>
          <w:rFonts w:eastAsiaTheme="minorHAnsi"/>
          <w:lang w:eastAsia="en-US"/>
        </w:rPr>
        <w:fldChar w:fldCharType="separate"/>
      </w:r>
      <w:r w:rsidR="00CA6F76" w:rsidRPr="00CA6F76">
        <w:rPr>
          <w:rStyle w:val="EndnoteReference"/>
        </w:rPr>
        <w:t>25</w:t>
      </w:r>
      <w:r w:rsidR="00131B7C">
        <w:rPr>
          <w:rFonts w:eastAsiaTheme="minorHAnsi"/>
          <w:lang w:eastAsia="en-US"/>
        </w:rPr>
        <w:fldChar w:fldCharType="end"/>
      </w:r>
      <w:r w:rsidRPr="004719AC">
        <w:rPr>
          <w:rFonts w:eastAsiaTheme="minorHAnsi"/>
          <w:lang w:eastAsia="en-US"/>
        </w:rPr>
        <w:t xml:space="preserve"> using the data from selected trials that enrolled adult population with heterozygous familial and non-familial hypercholesterolemia at high-risk for ASCVD including those with pre-existing ASCVD (acute coronary syndromes, or a history of myocardial infarction, stable or unstable angina, coronary or other arterial revascularization, stroke, transient ischemic attack, or peripheral arterial disease presumed to be of atherosclerotic origin), baseline LDL-c ≥190 mg/dL (4.91 mmol/L) or trial inclusion criteria LDL-c ≥190 mg/dL (4.91 mmol/L), pre-existing diabetes mellitus, effectively matching the inclusion criteria to the criteria outlined in the ACC/AHA 2014 guidelines for cholesterol treatment</w:t>
      </w:r>
      <w:r w:rsidR="00206828">
        <w:rPr>
          <w:rFonts w:eastAsiaTheme="minorHAnsi"/>
          <w:lang w:eastAsia="en-US"/>
        </w:rPr>
        <w:t xml:space="preserve"> (</w:t>
      </w:r>
      <w:r w:rsidRPr="004719AC">
        <w:rPr>
          <w:rFonts w:eastAsiaTheme="minorHAnsi"/>
          <w:lang w:eastAsia="en-US"/>
        </w:rPr>
        <w:t xml:space="preserve">Stone </w:t>
      </w:r>
      <w:r w:rsidR="00206828" w:rsidRPr="004719AC">
        <w:rPr>
          <w:rFonts w:eastAsiaTheme="minorHAnsi"/>
          <w:lang w:eastAsia="en-US"/>
        </w:rPr>
        <w:t>2013</w:t>
      </w:r>
      <w:r w:rsidR="00206828">
        <w:rPr>
          <w:rStyle w:val="EndnoteReference"/>
          <w:rFonts w:eastAsiaTheme="minorHAnsi"/>
          <w:lang w:eastAsia="en-US"/>
        </w:rPr>
        <w:endnoteReference w:id="67"/>
      </w:r>
      <w:r w:rsidR="00206828">
        <w:rPr>
          <w:rFonts w:eastAsiaTheme="minorHAnsi"/>
          <w:lang w:eastAsia="en-US"/>
        </w:rPr>
        <w:t>)</w:t>
      </w:r>
    </w:p>
    <w:p w14:paraId="407C41A5" w14:textId="57632076" w:rsidR="004719AC" w:rsidRPr="004719AC" w:rsidRDefault="004719AC" w:rsidP="001704FF">
      <w:pPr>
        <w:jc w:val="both"/>
        <w:rPr>
          <w:rFonts w:eastAsiaTheme="minorHAnsi"/>
          <w:lang w:eastAsia="en-US"/>
        </w:rPr>
      </w:pPr>
      <w:r w:rsidRPr="004719AC">
        <w:rPr>
          <w:rFonts w:eastAsiaTheme="minorHAnsi"/>
          <w:lang w:eastAsia="en-US"/>
        </w:rPr>
        <w:lastRenderedPageBreak/>
        <w:t xml:space="preserve">Two RCTs that met the selection criteria compared statin monotherapy and combination therapy with ezetimibe (168 participants) among </w:t>
      </w:r>
      <w:r w:rsidR="0001793E">
        <w:rPr>
          <w:rFonts w:eastAsiaTheme="minorHAnsi"/>
          <w:lang w:eastAsia="en-US"/>
        </w:rPr>
        <w:t xml:space="preserve">primary and secondary prevention </w:t>
      </w:r>
      <w:r w:rsidRPr="004719AC">
        <w:rPr>
          <w:rFonts w:eastAsiaTheme="minorHAnsi"/>
          <w:lang w:eastAsia="en-US"/>
        </w:rPr>
        <w:t>population of hyperlipidaemia patients (Araujo 2010</w:t>
      </w:r>
      <w:r w:rsidR="00131B7C">
        <w:rPr>
          <w:rFonts w:eastAsiaTheme="minorHAnsi"/>
          <w:lang w:eastAsia="en-US"/>
        </w:rPr>
        <w:fldChar w:fldCharType="begin"/>
      </w:r>
      <w:r w:rsidR="00131B7C">
        <w:rPr>
          <w:rFonts w:eastAsiaTheme="minorHAnsi"/>
          <w:lang w:eastAsia="en-US"/>
        </w:rPr>
        <w:instrText xml:space="preserve"> NOTEREF _Ref460672932 \f \h </w:instrText>
      </w:r>
      <w:r w:rsidR="00131B7C">
        <w:rPr>
          <w:rFonts w:eastAsiaTheme="minorHAnsi"/>
          <w:lang w:eastAsia="en-US"/>
        </w:rPr>
      </w:r>
      <w:r w:rsidR="00131B7C">
        <w:rPr>
          <w:rFonts w:eastAsiaTheme="minorHAnsi"/>
          <w:lang w:eastAsia="en-US"/>
        </w:rPr>
        <w:fldChar w:fldCharType="separate"/>
      </w:r>
      <w:r w:rsidR="00CA6F76" w:rsidRPr="00CA6F76">
        <w:rPr>
          <w:rStyle w:val="EndnoteReference"/>
        </w:rPr>
        <w:t>39</w:t>
      </w:r>
      <w:r w:rsidR="00131B7C">
        <w:rPr>
          <w:rFonts w:eastAsiaTheme="minorHAnsi"/>
          <w:lang w:eastAsia="en-US"/>
        </w:rPr>
        <w:fldChar w:fldCharType="end"/>
      </w:r>
      <w:r w:rsidRPr="004719AC">
        <w:rPr>
          <w:rFonts w:eastAsiaTheme="minorHAnsi"/>
          <w:lang w:eastAsia="en-US"/>
        </w:rPr>
        <w:t>; McKenney 2007</w:t>
      </w:r>
      <w:r w:rsidR="00131B7C">
        <w:rPr>
          <w:rFonts w:eastAsiaTheme="minorHAnsi"/>
          <w:lang w:eastAsia="en-US"/>
        </w:rPr>
        <w:fldChar w:fldCharType="begin"/>
      </w:r>
      <w:r w:rsidR="00131B7C">
        <w:rPr>
          <w:rFonts w:eastAsiaTheme="minorHAnsi"/>
          <w:lang w:eastAsia="en-US"/>
        </w:rPr>
        <w:instrText xml:space="preserve"> NOTEREF _Ref460678774 \f \h </w:instrText>
      </w:r>
      <w:r w:rsidR="00131B7C">
        <w:rPr>
          <w:rFonts w:eastAsiaTheme="minorHAnsi"/>
          <w:lang w:eastAsia="en-US"/>
        </w:rPr>
      </w:r>
      <w:r w:rsidR="00131B7C">
        <w:rPr>
          <w:rFonts w:eastAsiaTheme="minorHAnsi"/>
          <w:lang w:eastAsia="en-US"/>
        </w:rPr>
        <w:fldChar w:fldCharType="separate"/>
      </w:r>
      <w:r w:rsidR="00CA6F76" w:rsidRPr="00CA6F76">
        <w:rPr>
          <w:rStyle w:val="EndnoteReference"/>
        </w:rPr>
        <w:t>46</w:t>
      </w:r>
      <w:r w:rsidR="00131B7C">
        <w:rPr>
          <w:rFonts w:eastAsiaTheme="minorHAnsi"/>
          <w:lang w:eastAsia="en-US"/>
        </w:rPr>
        <w:fldChar w:fldCharType="end"/>
      </w:r>
      <w:r w:rsidRPr="004719AC">
        <w:rPr>
          <w:rFonts w:eastAsiaTheme="minorHAnsi"/>
          <w:lang w:eastAsia="en-US"/>
        </w:rPr>
        <w:t xml:space="preserve">). The authors identified 12 RCTs and 1 RCT subgroup analysis among patients with pre-existing ASCVD (2,702 participants). The authors identified 9 RCTs and 4 RCT subgroups analyses among patients with DM (&gt;3493 participants). Figure </w:t>
      </w:r>
      <w:r w:rsidR="00912F4E">
        <w:rPr>
          <w:rFonts w:eastAsiaTheme="minorHAnsi"/>
          <w:lang w:eastAsia="en-US"/>
        </w:rPr>
        <w:t>2.2.3.4</w:t>
      </w:r>
      <w:r w:rsidRPr="004719AC">
        <w:rPr>
          <w:rFonts w:eastAsiaTheme="minorHAnsi"/>
          <w:lang w:eastAsia="en-US"/>
        </w:rPr>
        <w:t xml:space="preserve"> (</w:t>
      </w:r>
      <w:r w:rsidRPr="004719AC">
        <w:rPr>
          <w:rFonts w:eastAsiaTheme="minorHAnsi"/>
          <w:i/>
          <w:lang w:eastAsia="en-US"/>
        </w:rPr>
        <w:t>reproduced from Figure 2, Gudzune et al. 2014</w:t>
      </w:r>
      <w:r w:rsidRPr="004719AC">
        <w:rPr>
          <w:rFonts w:eastAsiaTheme="minorHAnsi"/>
          <w:lang w:eastAsia="en-US"/>
        </w:rPr>
        <w:t>) shows results of all trials. The authors performed no meta-analyses due to the small number of heterogeneous trials. There was insufficient evidence to evaluate LDL cholesterol, adherence, and harms for other intensity comparisons among patient groups other than those reported below.</w:t>
      </w:r>
    </w:p>
    <w:p w14:paraId="79EF20F8" w14:textId="10E13CCA" w:rsidR="004719AC" w:rsidRPr="004719AC" w:rsidRDefault="004719AC" w:rsidP="001704FF">
      <w:pPr>
        <w:jc w:val="both"/>
        <w:rPr>
          <w:rFonts w:eastAsiaTheme="minorHAnsi"/>
          <w:lang w:eastAsia="en-US"/>
        </w:rPr>
      </w:pPr>
      <w:r w:rsidRPr="004719AC">
        <w:rPr>
          <w:rFonts w:eastAsiaTheme="minorHAnsi"/>
          <w:lang w:eastAsia="en-US"/>
        </w:rPr>
        <w:t>Eleven RCTs and 1 RCT subgroup analysis compared mid-intensity statin combined with ezetimibe to high intensity statin monotherapy (2,590 participants) among patients with pre-existing ASCVD (Roeters van Lennep 2008; Ostad 2009; Averna 2010; Bardini 2010</w:t>
      </w:r>
      <w:r w:rsidR="00131B7C">
        <w:rPr>
          <w:rFonts w:eastAsiaTheme="minorHAnsi"/>
          <w:lang w:eastAsia="en-US"/>
        </w:rPr>
        <w:fldChar w:fldCharType="begin"/>
      </w:r>
      <w:r w:rsidR="00131B7C">
        <w:rPr>
          <w:rFonts w:eastAsiaTheme="minorHAnsi"/>
          <w:lang w:eastAsia="en-US"/>
        </w:rPr>
        <w:instrText xml:space="preserve"> NOTEREF _Ref460679003 \f \h </w:instrText>
      </w:r>
      <w:r w:rsidR="00131B7C">
        <w:rPr>
          <w:rFonts w:eastAsiaTheme="minorHAnsi"/>
          <w:lang w:eastAsia="en-US"/>
        </w:rPr>
      </w:r>
      <w:r w:rsidR="00131B7C">
        <w:rPr>
          <w:rFonts w:eastAsiaTheme="minorHAnsi"/>
          <w:lang w:eastAsia="en-US"/>
        </w:rPr>
        <w:fldChar w:fldCharType="separate"/>
      </w:r>
      <w:r w:rsidR="00CA6F76" w:rsidRPr="00CA6F76">
        <w:rPr>
          <w:rStyle w:val="EndnoteReference"/>
        </w:rPr>
        <w:t>54</w:t>
      </w:r>
      <w:r w:rsidR="00131B7C">
        <w:rPr>
          <w:rFonts w:eastAsiaTheme="minorHAnsi"/>
          <w:lang w:eastAsia="en-US"/>
        </w:rPr>
        <w:fldChar w:fldCharType="end"/>
      </w:r>
      <w:r w:rsidRPr="004719AC">
        <w:rPr>
          <w:rFonts w:eastAsiaTheme="minorHAnsi"/>
          <w:lang w:eastAsia="en-US"/>
        </w:rPr>
        <w:t xml:space="preserve">; Barrios 2005; Cho 2011; Pesaro 2012; Hamdan 2011; Matsue 2013; Okada 2011; Yamazaki 2013; ; Zieve 2010; Ben-Yehuda 2011). </w:t>
      </w:r>
      <w:r w:rsidRPr="000A4940">
        <w:rPr>
          <w:rFonts w:eastAsiaTheme="minorHAnsi"/>
          <w:lang w:eastAsia="en-US"/>
        </w:rPr>
        <w:t>Mid-intensity statin combined with ezetimibe decreased LDL cholesterol level 5% to 15% more than high-intensity statin monotherapy (moderate SOE).</w:t>
      </w:r>
    </w:p>
    <w:p w14:paraId="65D0B59D" w14:textId="42C79B7F" w:rsidR="004719AC" w:rsidRPr="004719AC" w:rsidRDefault="004719AC" w:rsidP="001704FF">
      <w:pPr>
        <w:jc w:val="both"/>
        <w:rPr>
          <w:rFonts w:eastAsiaTheme="minorHAnsi"/>
          <w:lang w:eastAsia="en-US"/>
        </w:rPr>
      </w:pPr>
      <w:r w:rsidRPr="004719AC">
        <w:rPr>
          <w:rFonts w:eastAsiaTheme="minorHAnsi"/>
          <w:lang w:eastAsia="en-US"/>
        </w:rPr>
        <w:t>Seven RCTs and 4 RCT subgroup analyses compared mid-intensity statin combined with ezetimibe to high-intensity statin monotherapy (&gt;3448 participants) among patients with DM (Constance 2007; Rosen 2013a</w:t>
      </w:r>
      <w:r w:rsidR="00131B7C">
        <w:rPr>
          <w:rStyle w:val="EndnoteReference"/>
          <w:rFonts w:eastAsiaTheme="minorHAnsi"/>
          <w:lang w:eastAsia="en-US"/>
        </w:rPr>
        <w:endnoteReference w:id="68"/>
      </w:r>
      <w:r w:rsidRPr="004719AC">
        <w:rPr>
          <w:rFonts w:eastAsiaTheme="minorHAnsi"/>
          <w:lang w:eastAsia="en-US"/>
        </w:rPr>
        <w:t>; Rosen 2013b; Jimenez 2013</w:t>
      </w:r>
      <w:r w:rsidR="00131B7C">
        <w:rPr>
          <w:rStyle w:val="EndnoteReference"/>
          <w:rFonts w:eastAsiaTheme="minorHAnsi"/>
          <w:lang w:eastAsia="en-US"/>
        </w:rPr>
        <w:endnoteReference w:id="69"/>
      </w:r>
      <w:r w:rsidRPr="004719AC">
        <w:rPr>
          <w:rFonts w:eastAsiaTheme="minorHAnsi"/>
          <w:lang w:eastAsia="en-US"/>
        </w:rPr>
        <w:t>; Bardini 2010</w:t>
      </w:r>
      <w:r w:rsidR="00131B7C">
        <w:rPr>
          <w:rFonts w:eastAsiaTheme="minorHAnsi"/>
          <w:lang w:eastAsia="en-US"/>
        </w:rPr>
        <w:fldChar w:fldCharType="begin"/>
      </w:r>
      <w:r w:rsidR="00131B7C">
        <w:rPr>
          <w:rFonts w:eastAsiaTheme="minorHAnsi"/>
          <w:lang w:eastAsia="en-US"/>
        </w:rPr>
        <w:instrText xml:space="preserve"> NOTEREF _Ref460679003 \f \h </w:instrText>
      </w:r>
      <w:r w:rsidR="00131B7C">
        <w:rPr>
          <w:rFonts w:eastAsiaTheme="minorHAnsi"/>
          <w:lang w:eastAsia="en-US"/>
        </w:rPr>
      </w:r>
      <w:r w:rsidR="00131B7C">
        <w:rPr>
          <w:rFonts w:eastAsiaTheme="minorHAnsi"/>
          <w:lang w:eastAsia="en-US"/>
        </w:rPr>
        <w:fldChar w:fldCharType="separate"/>
      </w:r>
      <w:r w:rsidR="00CA6F76" w:rsidRPr="00CA6F76">
        <w:rPr>
          <w:rStyle w:val="EndnoteReference"/>
        </w:rPr>
        <w:t>54</w:t>
      </w:r>
      <w:r w:rsidR="00131B7C">
        <w:rPr>
          <w:rFonts w:eastAsiaTheme="minorHAnsi"/>
          <w:lang w:eastAsia="en-US"/>
        </w:rPr>
        <w:fldChar w:fldCharType="end"/>
      </w:r>
      <w:r w:rsidRPr="004719AC">
        <w:rPr>
          <w:rFonts w:eastAsiaTheme="minorHAnsi"/>
          <w:lang w:eastAsia="en-US"/>
        </w:rPr>
        <w:t>; Gaudiani 2005</w:t>
      </w:r>
      <w:r w:rsidR="00131B7C">
        <w:rPr>
          <w:rFonts w:eastAsiaTheme="minorHAnsi"/>
          <w:lang w:eastAsia="en-US"/>
        </w:rPr>
        <w:fldChar w:fldCharType="begin"/>
      </w:r>
      <w:r w:rsidR="00131B7C">
        <w:rPr>
          <w:rFonts w:eastAsiaTheme="minorHAnsi"/>
          <w:lang w:eastAsia="en-US"/>
        </w:rPr>
        <w:instrText xml:space="preserve"> NOTEREF _Ref460674610 \f \h </w:instrText>
      </w:r>
      <w:r w:rsidR="00131B7C">
        <w:rPr>
          <w:rFonts w:eastAsiaTheme="minorHAnsi"/>
          <w:lang w:eastAsia="en-US"/>
        </w:rPr>
      </w:r>
      <w:r w:rsidR="00131B7C">
        <w:rPr>
          <w:rFonts w:eastAsiaTheme="minorHAnsi"/>
          <w:lang w:eastAsia="en-US"/>
        </w:rPr>
        <w:fldChar w:fldCharType="separate"/>
      </w:r>
      <w:r w:rsidR="00CA6F76" w:rsidRPr="00CA6F76">
        <w:rPr>
          <w:rStyle w:val="EndnoteReference"/>
        </w:rPr>
        <w:t>16</w:t>
      </w:r>
      <w:r w:rsidR="00131B7C">
        <w:rPr>
          <w:rFonts w:eastAsiaTheme="minorHAnsi"/>
          <w:lang w:eastAsia="en-US"/>
        </w:rPr>
        <w:fldChar w:fldCharType="end"/>
      </w:r>
      <w:r w:rsidRPr="004719AC">
        <w:rPr>
          <w:rFonts w:eastAsiaTheme="minorHAnsi"/>
          <w:lang w:eastAsia="en-US"/>
        </w:rPr>
        <w:t>; Goldberg 2006</w:t>
      </w:r>
      <w:r w:rsidR="00131B7C">
        <w:rPr>
          <w:rFonts w:eastAsiaTheme="minorHAnsi"/>
          <w:lang w:eastAsia="en-US"/>
        </w:rPr>
        <w:fldChar w:fldCharType="begin"/>
      </w:r>
      <w:r w:rsidR="00131B7C">
        <w:rPr>
          <w:rFonts w:eastAsiaTheme="minorHAnsi"/>
          <w:lang w:eastAsia="en-US"/>
        </w:rPr>
        <w:instrText xml:space="preserve"> NOTEREF _Ref460679099 \f \h </w:instrText>
      </w:r>
      <w:r w:rsidR="00131B7C">
        <w:rPr>
          <w:rFonts w:eastAsiaTheme="minorHAnsi"/>
          <w:lang w:eastAsia="en-US"/>
        </w:rPr>
      </w:r>
      <w:r w:rsidR="00131B7C">
        <w:rPr>
          <w:rFonts w:eastAsiaTheme="minorHAnsi"/>
          <w:lang w:eastAsia="en-US"/>
        </w:rPr>
        <w:fldChar w:fldCharType="separate"/>
      </w:r>
      <w:r w:rsidR="00CA6F76" w:rsidRPr="00CA6F76">
        <w:rPr>
          <w:rStyle w:val="EndnoteReference"/>
        </w:rPr>
        <w:t>62</w:t>
      </w:r>
      <w:r w:rsidR="00131B7C">
        <w:rPr>
          <w:rFonts w:eastAsiaTheme="minorHAnsi"/>
          <w:lang w:eastAsia="en-US"/>
        </w:rPr>
        <w:fldChar w:fldCharType="end"/>
      </w:r>
      <w:r w:rsidRPr="004719AC">
        <w:rPr>
          <w:rFonts w:eastAsiaTheme="minorHAnsi"/>
          <w:lang w:eastAsia="en-US"/>
        </w:rPr>
        <w:t xml:space="preserve">; </w:t>
      </w:r>
      <w:r w:rsidR="00912F4E">
        <w:rPr>
          <w:rFonts w:eastAsiaTheme="minorHAnsi"/>
          <w:lang w:eastAsia="en-US"/>
        </w:rPr>
        <w:t>Tomassini 2009</w:t>
      </w:r>
      <w:r w:rsidR="00131B7C">
        <w:rPr>
          <w:rFonts w:eastAsiaTheme="minorHAnsi"/>
          <w:lang w:eastAsia="en-US"/>
        </w:rPr>
        <w:fldChar w:fldCharType="begin"/>
      </w:r>
      <w:r w:rsidR="00131B7C">
        <w:rPr>
          <w:rFonts w:eastAsiaTheme="minorHAnsi"/>
          <w:lang w:eastAsia="en-US"/>
        </w:rPr>
        <w:instrText xml:space="preserve"> NOTEREF _Ref460679148 \f \h </w:instrText>
      </w:r>
      <w:r w:rsidR="00131B7C">
        <w:rPr>
          <w:rFonts w:eastAsiaTheme="minorHAnsi"/>
          <w:lang w:eastAsia="en-US"/>
        </w:rPr>
      </w:r>
      <w:r w:rsidR="00131B7C">
        <w:rPr>
          <w:rFonts w:eastAsiaTheme="minorHAnsi"/>
          <w:lang w:eastAsia="en-US"/>
        </w:rPr>
        <w:fldChar w:fldCharType="separate"/>
      </w:r>
      <w:r w:rsidR="00CA6F76" w:rsidRPr="00CA6F76">
        <w:rPr>
          <w:rStyle w:val="EndnoteReference"/>
        </w:rPr>
        <w:t>63</w:t>
      </w:r>
      <w:r w:rsidR="00131B7C">
        <w:rPr>
          <w:rFonts w:eastAsiaTheme="minorHAnsi"/>
          <w:lang w:eastAsia="en-US"/>
        </w:rPr>
        <w:fldChar w:fldCharType="end"/>
      </w:r>
      <w:r w:rsidR="00912F4E">
        <w:rPr>
          <w:rFonts w:eastAsiaTheme="minorHAnsi"/>
          <w:lang w:eastAsia="en-US"/>
        </w:rPr>
        <w:t>; Lee 2013</w:t>
      </w:r>
      <w:r w:rsidR="00131B7C">
        <w:rPr>
          <w:rFonts w:eastAsiaTheme="minorHAnsi"/>
          <w:lang w:eastAsia="en-US"/>
        </w:rPr>
        <w:fldChar w:fldCharType="begin"/>
      </w:r>
      <w:r w:rsidR="00131B7C">
        <w:rPr>
          <w:rFonts w:eastAsiaTheme="minorHAnsi"/>
          <w:lang w:eastAsia="en-US"/>
        </w:rPr>
        <w:instrText xml:space="preserve"> NOTEREF _Ref460679165 \f \h </w:instrText>
      </w:r>
      <w:r w:rsidR="00131B7C">
        <w:rPr>
          <w:rFonts w:eastAsiaTheme="minorHAnsi"/>
          <w:lang w:eastAsia="en-US"/>
        </w:rPr>
      </w:r>
      <w:r w:rsidR="00131B7C">
        <w:rPr>
          <w:rFonts w:eastAsiaTheme="minorHAnsi"/>
          <w:lang w:eastAsia="en-US"/>
        </w:rPr>
        <w:fldChar w:fldCharType="separate"/>
      </w:r>
      <w:r w:rsidR="00CA6F76" w:rsidRPr="00CA6F76">
        <w:rPr>
          <w:rStyle w:val="EndnoteReference"/>
        </w:rPr>
        <w:t>64</w:t>
      </w:r>
      <w:r w:rsidR="00131B7C">
        <w:rPr>
          <w:rFonts w:eastAsiaTheme="minorHAnsi"/>
          <w:lang w:eastAsia="en-US"/>
        </w:rPr>
        <w:fldChar w:fldCharType="end"/>
      </w:r>
      <w:r w:rsidR="00912F4E">
        <w:rPr>
          <w:rFonts w:eastAsiaTheme="minorHAnsi"/>
          <w:lang w:eastAsia="en-US"/>
        </w:rPr>
        <w:t xml:space="preserve">; Guyton </w:t>
      </w:r>
      <w:r w:rsidRPr="004719AC">
        <w:rPr>
          <w:rFonts w:eastAsiaTheme="minorHAnsi"/>
          <w:lang w:eastAsia="en-US"/>
        </w:rPr>
        <w:t xml:space="preserve">2008) </w:t>
      </w:r>
      <w:r w:rsidRPr="007D4B4D">
        <w:rPr>
          <w:rFonts w:eastAsiaTheme="minorHAnsi"/>
          <w:lang w:eastAsia="en-US"/>
        </w:rPr>
        <w:t>Mid-intensity statin combined with ezetimibe decreased LDL cholesterol level 3% to 21% more than high-intensity statin monotherapy (moderate SOE).</w:t>
      </w:r>
    </w:p>
    <w:p w14:paraId="12D43B0E" w14:textId="10D97208" w:rsidR="004719AC" w:rsidRPr="004719AC" w:rsidRDefault="004719AC" w:rsidP="004719AC">
      <w:pPr>
        <w:keepNext/>
        <w:keepLines/>
        <w:rPr>
          <w:rFonts w:eastAsiaTheme="minorHAnsi"/>
          <w:b/>
          <w:lang w:eastAsia="en-US"/>
        </w:rPr>
      </w:pPr>
      <w:r w:rsidRPr="004719AC">
        <w:rPr>
          <w:rFonts w:eastAsiaTheme="minorHAnsi"/>
          <w:b/>
          <w:lang w:eastAsia="en-US"/>
        </w:rPr>
        <w:t xml:space="preserve">Figure </w:t>
      </w:r>
      <w:r w:rsidR="00912F4E">
        <w:rPr>
          <w:rFonts w:eastAsiaTheme="minorHAnsi"/>
          <w:b/>
          <w:lang w:eastAsia="en-US"/>
        </w:rPr>
        <w:t xml:space="preserve">2.2.3.4 </w:t>
      </w:r>
      <w:r w:rsidRPr="004719AC">
        <w:rPr>
          <w:rFonts w:eastAsiaTheme="minorHAnsi"/>
          <w:b/>
          <w:lang w:eastAsia="en-US"/>
        </w:rPr>
        <w:t>Mean difference in percent LDL change from baseline to time point comparing combination therapy with ezetimibe to the higher potency monotherapy.</w:t>
      </w:r>
    </w:p>
    <w:tbl>
      <w:tblPr>
        <w:tblStyle w:val="TableGrid2"/>
        <w:tblW w:w="8823" w:type="dxa"/>
        <w:tblLook w:val="04A0" w:firstRow="1" w:lastRow="0" w:firstColumn="1" w:lastColumn="0" w:noHBand="0" w:noVBand="1"/>
      </w:tblPr>
      <w:tblGrid>
        <w:gridCol w:w="1838"/>
        <w:gridCol w:w="1273"/>
        <w:gridCol w:w="1363"/>
        <w:gridCol w:w="1816"/>
        <w:gridCol w:w="677"/>
        <w:gridCol w:w="1012"/>
        <w:gridCol w:w="844"/>
      </w:tblGrid>
      <w:tr w:rsidR="004719AC" w:rsidRPr="004719AC" w14:paraId="6B42B104" w14:textId="77777777" w:rsidTr="006609C9">
        <w:trPr>
          <w:trHeight w:val="351"/>
        </w:trPr>
        <w:tc>
          <w:tcPr>
            <w:tcW w:w="1838" w:type="dxa"/>
          </w:tcPr>
          <w:p w14:paraId="72EA3497" w14:textId="77777777" w:rsidR="004719AC" w:rsidRPr="004719AC" w:rsidRDefault="004719AC" w:rsidP="004719AC">
            <w:pPr>
              <w:keepNext/>
              <w:keepLines/>
              <w:rPr>
                <w:sz w:val="18"/>
                <w:szCs w:val="18"/>
              </w:rPr>
            </w:pPr>
            <w:r w:rsidRPr="004719AC">
              <w:rPr>
                <w:sz w:val="18"/>
                <w:szCs w:val="18"/>
              </w:rPr>
              <w:t>Study, year</w:t>
            </w:r>
          </w:p>
        </w:tc>
        <w:tc>
          <w:tcPr>
            <w:tcW w:w="1273" w:type="dxa"/>
          </w:tcPr>
          <w:p w14:paraId="1DF08104" w14:textId="77777777" w:rsidR="004719AC" w:rsidRPr="004719AC" w:rsidRDefault="004719AC" w:rsidP="004719AC">
            <w:pPr>
              <w:keepNext/>
              <w:keepLines/>
              <w:ind w:left="-108"/>
              <w:rPr>
                <w:sz w:val="18"/>
                <w:szCs w:val="18"/>
              </w:rPr>
            </w:pPr>
            <w:r w:rsidRPr="004719AC">
              <w:rPr>
                <w:sz w:val="18"/>
                <w:szCs w:val="18"/>
              </w:rPr>
              <w:t>Mean baseline LDL-C Mono-therapy(mg/dL)</w:t>
            </w:r>
          </w:p>
        </w:tc>
        <w:tc>
          <w:tcPr>
            <w:tcW w:w="1363" w:type="dxa"/>
          </w:tcPr>
          <w:p w14:paraId="2E92292E" w14:textId="77777777" w:rsidR="004719AC" w:rsidRPr="004719AC" w:rsidRDefault="004719AC" w:rsidP="004719AC">
            <w:pPr>
              <w:keepNext/>
              <w:keepLines/>
              <w:ind w:right="-108"/>
              <w:rPr>
                <w:sz w:val="18"/>
                <w:szCs w:val="18"/>
              </w:rPr>
            </w:pPr>
            <w:r w:rsidRPr="004719AC">
              <w:rPr>
                <w:sz w:val="18"/>
                <w:szCs w:val="18"/>
              </w:rPr>
              <w:t>Mean baseline LDL-C Comb therapy(mg/dL)</w:t>
            </w:r>
          </w:p>
        </w:tc>
        <w:tc>
          <w:tcPr>
            <w:tcW w:w="1816" w:type="dxa"/>
          </w:tcPr>
          <w:p w14:paraId="3842A26D" w14:textId="77777777" w:rsidR="004719AC" w:rsidRPr="004719AC" w:rsidRDefault="004719AC" w:rsidP="004719AC">
            <w:pPr>
              <w:keepNext/>
              <w:keepLines/>
              <w:rPr>
                <w:sz w:val="18"/>
                <w:szCs w:val="18"/>
              </w:rPr>
            </w:pPr>
            <w:r w:rsidRPr="004719AC">
              <w:rPr>
                <w:sz w:val="18"/>
                <w:szCs w:val="18"/>
              </w:rPr>
              <w:t>Mean between-group difference in LDL-C (%) (95% CI)</w:t>
            </w:r>
          </w:p>
        </w:tc>
        <w:tc>
          <w:tcPr>
            <w:tcW w:w="677" w:type="dxa"/>
          </w:tcPr>
          <w:p w14:paraId="6F5E0BD5" w14:textId="77777777" w:rsidR="004719AC" w:rsidRPr="004719AC" w:rsidRDefault="004719AC" w:rsidP="004719AC">
            <w:pPr>
              <w:keepNext/>
              <w:keepLines/>
              <w:rPr>
                <w:sz w:val="18"/>
                <w:szCs w:val="18"/>
              </w:rPr>
            </w:pPr>
            <w:r w:rsidRPr="004719AC">
              <w:rPr>
                <w:sz w:val="18"/>
                <w:szCs w:val="18"/>
              </w:rPr>
              <w:t>Time point weeks</w:t>
            </w:r>
          </w:p>
        </w:tc>
        <w:tc>
          <w:tcPr>
            <w:tcW w:w="1012" w:type="dxa"/>
          </w:tcPr>
          <w:p w14:paraId="05F8DB3A" w14:textId="77777777" w:rsidR="004719AC" w:rsidRPr="004719AC" w:rsidRDefault="004719AC" w:rsidP="004719AC">
            <w:pPr>
              <w:keepNext/>
              <w:keepLines/>
              <w:rPr>
                <w:sz w:val="18"/>
                <w:szCs w:val="18"/>
              </w:rPr>
            </w:pPr>
            <w:r w:rsidRPr="004719AC">
              <w:rPr>
                <w:sz w:val="18"/>
                <w:szCs w:val="18"/>
              </w:rPr>
              <w:t>Population</w:t>
            </w:r>
          </w:p>
        </w:tc>
        <w:tc>
          <w:tcPr>
            <w:tcW w:w="844" w:type="dxa"/>
          </w:tcPr>
          <w:p w14:paraId="36FEE277" w14:textId="77777777" w:rsidR="004719AC" w:rsidRPr="004719AC" w:rsidRDefault="004719AC" w:rsidP="004719AC">
            <w:pPr>
              <w:keepNext/>
              <w:keepLines/>
              <w:rPr>
                <w:sz w:val="18"/>
                <w:szCs w:val="18"/>
              </w:rPr>
            </w:pPr>
            <w:r w:rsidRPr="004719AC">
              <w:rPr>
                <w:sz w:val="18"/>
                <w:szCs w:val="18"/>
              </w:rPr>
              <w:t>Patients N</w:t>
            </w:r>
          </w:p>
        </w:tc>
      </w:tr>
    </w:tbl>
    <w:p w14:paraId="1853BD5C" w14:textId="4D7EB552" w:rsidR="005C1C0A" w:rsidRPr="005C1C0A" w:rsidRDefault="004719AC" w:rsidP="005C1C0A">
      <w:pPr>
        <w:keepNext/>
        <w:keepLines/>
        <w:rPr>
          <w:rFonts w:eastAsiaTheme="minorHAnsi"/>
          <w:lang w:eastAsia="en-US"/>
        </w:rPr>
      </w:pPr>
      <w:r w:rsidRPr="004719AC">
        <w:rPr>
          <w:rFonts w:eastAsiaTheme="minorHAnsi"/>
          <w:noProof/>
          <w:lang w:eastAsia="en-AU"/>
        </w:rPr>
        <w:drawing>
          <wp:inline distT="0" distB="0" distL="0" distR="0" wp14:anchorId="37B29120" wp14:editId="5876414E">
            <wp:extent cx="5562600" cy="3703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6514" t="24246" r="54531" b="9394"/>
                    <a:stretch/>
                  </pic:blipFill>
                  <pic:spPr bwMode="auto">
                    <a:xfrm>
                      <a:off x="0" y="0"/>
                      <a:ext cx="5562600" cy="370332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32"/>
      </w:tblGrid>
      <w:tr w:rsidR="005C1C0A" w:rsidRPr="004462CC" w14:paraId="684774AB" w14:textId="77777777" w:rsidTr="004462CC">
        <w:trPr>
          <w:trHeight w:val="193"/>
        </w:trPr>
        <w:tc>
          <w:tcPr>
            <w:tcW w:w="4390" w:type="dxa"/>
          </w:tcPr>
          <w:p w14:paraId="2CD3E20F" w14:textId="2CA1DAF5" w:rsidR="005C1C0A" w:rsidRPr="004462CC" w:rsidRDefault="005C1C0A" w:rsidP="005C1C0A">
            <w:pPr>
              <w:jc w:val="center"/>
              <w:rPr>
                <w:sz w:val="18"/>
                <w:szCs w:val="18"/>
              </w:rPr>
            </w:pPr>
            <w:r w:rsidRPr="004462CC">
              <w:rPr>
                <w:sz w:val="18"/>
                <w:szCs w:val="18"/>
              </w:rPr>
              <w:t>favors combination therapy</w:t>
            </w:r>
          </w:p>
        </w:tc>
        <w:tc>
          <w:tcPr>
            <w:tcW w:w="4932" w:type="dxa"/>
          </w:tcPr>
          <w:p w14:paraId="57941DC8" w14:textId="0929EBDA" w:rsidR="005C1C0A" w:rsidRPr="004462CC" w:rsidRDefault="005C1C0A" w:rsidP="004719AC">
            <w:pPr>
              <w:jc w:val="both"/>
              <w:rPr>
                <w:sz w:val="18"/>
                <w:szCs w:val="18"/>
              </w:rPr>
            </w:pPr>
            <w:r w:rsidRPr="004462CC">
              <w:rPr>
                <w:sz w:val="18"/>
                <w:szCs w:val="18"/>
              </w:rPr>
              <w:t xml:space="preserve">           favors statin monotherapy</w:t>
            </w:r>
          </w:p>
        </w:tc>
      </w:tr>
    </w:tbl>
    <w:p w14:paraId="6981D06D" w14:textId="77777777" w:rsidR="005C1C0A" w:rsidRPr="004462CC" w:rsidRDefault="005C1C0A" w:rsidP="004719AC">
      <w:pPr>
        <w:jc w:val="both"/>
        <w:rPr>
          <w:rFonts w:eastAsiaTheme="minorHAnsi"/>
          <w:lang w:eastAsia="en-US"/>
        </w:rPr>
      </w:pPr>
    </w:p>
    <w:p w14:paraId="73D9EF2D" w14:textId="117D477A" w:rsidR="004719AC" w:rsidRPr="0051351D" w:rsidRDefault="0051351D" w:rsidP="004719AC">
      <w:pPr>
        <w:jc w:val="both"/>
        <w:rPr>
          <w:rFonts w:eastAsiaTheme="minorHAnsi"/>
          <w:i/>
          <w:lang w:eastAsia="en-US"/>
        </w:rPr>
      </w:pPr>
      <w:r>
        <w:rPr>
          <w:rFonts w:eastAsiaTheme="minorHAnsi"/>
          <w:i/>
          <w:lang w:eastAsia="en-US"/>
        </w:rPr>
        <w:t>G</w:t>
      </w:r>
      <w:r w:rsidRPr="00605159">
        <w:rPr>
          <w:rFonts w:eastAsiaTheme="minorHAnsi"/>
          <w:i/>
          <w:lang w:eastAsia="en-US"/>
        </w:rPr>
        <w:t xml:space="preserve">raphical presentation of the results in </w:t>
      </w:r>
      <w:r>
        <w:rPr>
          <w:rFonts w:eastAsiaTheme="minorHAnsi"/>
          <w:i/>
          <w:lang w:eastAsia="en-US"/>
        </w:rPr>
        <w:t xml:space="preserve">the largest subgroup of RCTs of mid-potency statins in combination with ezetimibe vs high intensity statin monotherapy </w:t>
      </w:r>
      <w:r w:rsidRPr="00605159">
        <w:rPr>
          <w:rFonts w:eastAsiaTheme="minorHAnsi"/>
          <w:i/>
          <w:lang w:eastAsia="en-US"/>
        </w:rPr>
        <w:t xml:space="preserve">Figure </w:t>
      </w:r>
      <w:r>
        <w:rPr>
          <w:rFonts w:eastAsiaTheme="minorHAnsi"/>
          <w:i/>
          <w:lang w:eastAsia="en-US"/>
        </w:rPr>
        <w:t>2.2.3.4</w:t>
      </w:r>
      <w:r w:rsidRPr="00605159">
        <w:rPr>
          <w:rFonts w:eastAsiaTheme="minorHAnsi"/>
          <w:i/>
          <w:lang w:eastAsia="en-US"/>
        </w:rPr>
        <w:t xml:space="preserve"> </w:t>
      </w:r>
      <w:r>
        <w:rPr>
          <w:rFonts w:eastAsiaTheme="minorHAnsi"/>
          <w:i/>
          <w:lang w:eastAsia="en-US"/>
        </w:rPr>
        <w:t>is inconclusive.</w:t>
      </w:r>
      <w:r w:rsidRPr="00605159">
        <w:rPr>
          <w:rFonts w:eastAsiaTheme="minorHAnsi"/>
          <w:i/>
          <w:lang w:eastAsia="en-US"/>
        </w:rPr>
        <w:t xml:space="preserve"> Taking into consideration the poor quality of some of the trials and high degree of heterogeneity preventing </w:t>
      </w:r>
      <w:r>
        <w:rPr>
          <w:rFonts w:eastAsiaTheme="minorHAnsi"/>
          <w:i/>
          <w:lang w:eastAsia="en-US"/>
        </w:rPr>
        <w:t xml:space="preserve">a </w:t>
      </w:r>
      <w:r w:rsidRPr="00605159">
        <w:rPr>
          <w:rFonts w:eastAsiaTheme="minorHAnsi"/>
          <w:i/>
          <w:lang w:eastAsia="en-US"/>
        </w:rPr>
        <w:t>meta-analysis</w:t>
      </w:r>
      <w:r>
        <w:rPr>
          <w:rFonts w:eastAsiaTheme="minorHAnsi"/>
          <w:i/>
          <w:lang w:eastAsia="en-US"/>
        </w:rPr>
        <w:t xml:space="preserve">, </w:t>
      </w:r>
      <w:r w:rsidRPr="00605159">
        <w:rPr>
          <w:rFonts w:eastAsiaTheme="minorHAnsi"/>
          <w:i/>
          <w:lang w:eastAsia="en-US"/>
        </w:rPr>
        <w:t>there is uncertainty in the cli</w:t>
      </w:r>
      <w:r>
        <w:rPr>
          <w:rFonts w:eastAsiaTheme="minorHAnsi"/>
          <w:i/>
          <w:lang w:eastAsia="en-US"/>
        </w:rPr>
        <w:t>ni</w:t>
      </w:r>
      <w:r w:rsidRPr="00605159">
        <w:rPr>
          <w:rFonts w:eastAsiaTheme="minorHAnsi"/>
          <w:i/>
          <w:lang w:eastAsia="en-US"/>
        </w:rPr>
        <w:t xml:space="preserve">cal efficacy gain </w:t>
      </w:r>
      <w:r>
        <w:rPr>
          <w:rFonts w:eastAsiaTheme="minorHAnsi"/>
          <w:i/>
          <w:lang w:eastAsia="en-US"/>
        </w:rPr>
        <w:t>(i.e</w:t>
      </w:r>
      <w:r w:rsidRPr="009729F1">
        <w:rPr>
          <w:rFonts w:eastAsiaTheme="minorHAnsi"/>
          <w:lang w:eastAsia="en-US"/>
        </w:rPr>
        <w:t xml:space="preserve">. </w:t>
      </w:r>
      <w:r w:rsidRPr="009729F1">
        <w:rPr>
          <w:rFonts w:eastAsiaTheme="minorHAnsi"/>
          <w:i/>
          <w:lang w:eastAsia="en-US"/>
        </w:rPr>
        <w:t xml:space="preserve">additional reduction in LDL-C) </w:t>
      </w:r>
      <w:r w:rsidRPr="00605159">
        <w:rPr>
          <w:rFonts w:eastAsiaTheme="minorHAnsi"/>
          <w:i/>
          <w:lang w:eastAsia="en-US"/>
        </w:rPr>
        <w:t>associated with</w:t>
      </w:r>
      <w:r>
        <w:rPr>
          <w:rFonts w:eastAsiaTheme="minorHAnsi"/>
          <w:lang w:eastAsia="en-US"/>
        </w:rPr>
        <w:t xml:space="preserve"> </w:t>
      </w:r>
      <w:r>
        <w:rPr>
          <w:rFonts w:eastAsiaTheme="minorHAnsi"/>
          <w:i/>
          <w:lang w:eastAsia="en-US"/>
        </w:rPr>
        <w:t>medium</w:t>
      </w:r>
      <w:r w:rsidRPr="009729F1">
        <w:rPr>
          <w:rFonts w:eastAsiaTheme="minorHAnsi"/>
          <w:i/>
          <w:lang w:eastAsia="en-US"/>
        </w:rPr>
        <w:t xml:space="preserve"> potency statin in combination with ezetimibe vs </w:t>
      </w:r>
      <w:r>
        <w:rPr>
          <w:rFonts w:eastAsiaTheme="minorHAnsi"/>
          <w:i/>
          <w:lang w:eastAsia="en-US"/>
        </w:rPr>
        <w:t xml:space="preserve">high potency </w:t>
      </w:r>
      <w:r w:rsidRPr="009729F1">
        <w:rPr>
          <w:rFonts w:eastAsiaTheme="minorHAnsi"/>
          <w:i/>
          <w:lang w:eastAsia="en-US"/>
        </w:rPr>
        <w:t>statin monotherapy</w:t>
      </w:r>
      <w:r>
        <w:rPr>
          <w:rFonts w:eastAsiaTheme="minorHAnsi"/>
          <w:lang w:eastAsia="en-US"/>
        </w:rPr>
        <w:t xml:space="preserve">. </w:t>
      </w:r>
      <w:r>
        <w:rPr>
          <w:rFonts w:eastAsiaTheme="minorHAnsi"/>
          <w:i/>
          <w:lang w:eastAsia="en-US"/>
        </w:rPr>
        <w:t xml:space="preserve"> The conclusions of </w:t>
      </w:r>
      <w:r w:rsidRPr="00996F9E">
        <w:rPr>
          <w:rFonts w:eastAsiaTheme="minorHAnsi"/>
          <w:i/>
          <w:lang w:eastAsia="en-US"/>
        </w:rPr>
        <w:t>2009 the AHRQ</w:t>
      </w:r>
      <w:r w:rsidRPr="0051351D">
        <w:rPr>
          <w:rFonts w:eastAsiaTheme="minorHAnsi"/>
          <w:i/>
          <w:lang w:eastAsia="en-US"/>
        </w:rPr>
        <w:t xml:space="preserve"> </w:t>
      </w:r>
      <w:r w:rsidRPr="00996F9E">
        <w:rPr>
          <w:rFonts w:eastAsiaTheme="minorHAnsi"/>
          <w:i/>
          <w:lang w:eastAsia="en-US"/>
        </w:rPr>
        <w:t>report</w:t>
      </w:r>
      <w:r>
        <w:rPr>
          <w:rFonts w:eastAsiaTheme="minorHAnsi"/>
          <w:i/>
          <w:lang w:eastAsia="en-US"/>
        </w:rPr>
        <w:t xml:space="preserve"> do not seem to be confirmed in the subgroup of the population  </w:t>
      </w:r>
      <w:r w:rsidRPr="00605159">
        <w:rPr>
          <w:rFonts w:eastAsiaTheme="minorHAnsi"/>
          <w:i/>
          <w:lang w:eastAsia="en-US"/>
        </w:rPr>
        <w:t xml:space="preserve"> </w:t>
      </w:r>
      <w:r w:rsidRPr="0051351D">
        <w:rPr>
          <w:rFonts w:eastAsiaTheme="minorHAnsi"/>
          <w:i/>
          <w:lang w:eastAsia="en-US"/>
        </w:rPr>
        <w:t>at high ASCVD risk.</w:t>
      </w:r>
      <w:r>
        <w:rPr>
          <w:rFonts w:eastAsiaTheme="minorHAnsi"/>
          <w:i/>
          <w:lang w:eastAsia="en-US"/>
        </w:rPr>
        <w:t xml:space="preserve"> </w:t>
      </w:r>
      <w:r w:rsidR="004719AC" w:rsidRPr="000A4940">
        <w:rPr>
          <w:rFonts w:eastAsiaTheme="minorHAnsi"/>
          <w:lang w:eastAsia="en-US"/>
        </w:rPr>
        <w:t>The authors</w:t>
      </w:r>
      <w:r>
        <w:rPr>
          <w:rFonts w:eastAsiaTheme="minorHAnsi"/>
          <w:lang w:eastAsia="en-US"/>
        </w:rPr>
        <w:t xml:space="preserve"> noted</w:t>
      </w:r>
      <w:r w:rsidR="004719AC" w:rsidRPr="000A4940">
        <w:rPr>
          <w:rFonts w:eastAsiaTheme="minorHAnsi"/>
          <w:lang w:eastAsia="en-US"/>
        </w:rPr>
        <w:t xml:space="preserve"> </w:t>
      </w:r>
      <w:r w:rsidR="004719AC" w:rsidRPr="004719AC">
        <w:rPr>
          <w:rFonts w:eastAsiaTheme="minorHAnsi"/>
          <w:lang w:eastAsia="en-US"/>
        </w:rPr>
        <w:t xml:space="preserve">the strength of evidence was moderate at best as most studies that reported CVE had some risk of bias, lasted less than 20 weeks and event rates were very low or no events occurred. </w:t>
      </w:r>
    </w:p>
    <w:p w14:paraId="0AB987D0" w14:textId="77777777" w:rsidR="004719AC" w:rsidRPr="0051351D" w:rsidRDefault="004719AC" w:rsidP="00127FB8">
      <w:pPr>
        <w:spacing w:after="0" w:line="240" w:lineRule="auto"/>
        <w:jc w:val="both"/>
        <w:rPr>
          <w:rFonts w:eastAsiaTheme="minorHAnsi"/>
          <w:lang w:eastAsia="en-US"/>
        </w:rPr>
      </w:pPr>
      <w:r w:rsidRPr="0051351D">
        <w:rPr>
          <w:rFonts w:eastAsiaTheme="minorHAnsi"/>
          <w:i/>
          <w:lang w:eastAsia="en-US"/>
        </w:rPr>
        <w:t>Given insufficient evidence to compare long-term clinical outcomes (mortality, acute coronary events, cerebrovascular events, and revascularization procedures) for all combination therapy and statin intensity comparisons the authors recommended that clinicians should consider the combination therapy especially for patients who are intolerant or unresponsive to statins, but also should counsel patients that this regimen may not result in reduced ASCVD risk</w:t>
      </w:r>
      <w:r w:rsidRPr="0051351D">
        <w:rPr>
          <w:rFonts w:eastAsiaTheme="minorHAnsi"/>
          <w:lang w:eastAsia="en-US"/>
        </w:rPr>
        <w:t>.</w:t>
      </w:r>
    </w:p>
    <w:p w14:paraId="4D688BE5" w14:textId="77777777" w:rsidR="001704FF" w:rsidRPr="004719AC" w:rsidRDefault="001704FF" w:rsidP="00127FB8">
      <w:pPr>
        <w:spacing w:after="0" w:line="240" w:lineRule="auto"/>
        <w:jc w:val="both"/>
        <w:rPr>
          <w:rFonts w:eastAsiaTheme="minorHAnsi"/>
          <w:i/>
          <w:lang w:eastAsia="en-US"/>
        </w:rPr>
      </w:pPr>
    </w:p>
    <w:p w14:paraId="1B67AF07" w14:textId="77777777" w:rsidR="00912F4E" w:rsidRPr="00912F4E" w:rsidRDefault="00912F4E" w:rsidP="00127FB8">
      <w:pPr>
        <w:pStyle w:val="Heading4"/>
        <w:spacing w:before="0" w:line="240" w:lineRule="auto"/>
        <w:rPr>
          <w:lang w:eastAsia="en-US"/>
        </w:rPr>
      </w:pPr>
      <w:r w:rsidRPr="00912F4E">
        <w:rPr>
          <w:lang w:eastAsia="en-US"/>
        </w:rPr>
        <w:t>Health Technology Assessment (HTA) reports conducted for the National Institute of health and Clinical Excellence (NICE) in UK</w:t>
      </w:r>
    </w:p>
    <w:p w14:paraId="21D0CDDC" w14:textId="77777777" w:rsidR="006609C9" w:rsidRDefault="006609C9" w:rsidP="00127FB8">
      <w:pPr>
        <w:spacing w:after="0" w:line="240" w:lineRule="auto"/>
        <w:jc w:val="both"/>
        <w:rPr>
          <w:rFonts w:eastAsiaTheme="minorHAnsi"/>
          <w:lang w:eastAsia="en-US"/>
        </w:rPr>
      </w:pPr>
    </w:p>
    <w:p w14:paraId="73B252F1" w14:textId="192BA814" w:rsidR="00912F4E" w:rsidRPr="00912F4E" w:rsidRDefault="003B32CF" w:rsidP="00127FB8">
      <w:pPr>
        <w:spacing w:after="0" w:line="240" w:lineRule="auto"/>
        <w:jc w:val="both"/>
        <w:rPr>
          <w:rFonts w:eastAsiaTheme="minorHAnsi"/>
          <w:lang w:eastAsia="en-US"/>
        </w:rPr>
      </w:pPr>
      <w:r>
        <w:rPr>
          <w:rFonts w:eastAsiaTheme="minorHAnsi"/>
          <w:lang w:eastAsia="en-US"/>
        </w:rPr>
        <w:t>I</w:t>
      </w:r>
      <w:r w:rsidRPr="00912F4E">
        <w:rPr>
          <w:rFonts w:eastAsiaTheme="minorHAnsi"/>
          <w:lang w:eastAsia="en-US"/>
        </w:rPr>
        <w:t>n</w:t>
      </w:r>
      <w:r>
        <w:rPr>
          <w:rFonts w:eastAsiaTheme="minorHAnsi"/>
          <w:lang w:eastAsia="en-US"/>
        </w:rPr>
        <w:t xml:space="preserve"> 2008</w:t>
      </w:r>
      <w:r w:rsidRPr="00912F4E">
        <w:rPr>
          <w:rFonts w:eastAsiaTheme="minorHAnsi"/>
          <w:lang w:eastAsia="en-US"/>
        </w:rPr>
        <w:t xml:space="preserve"> </w:t>
      </w:r>
      <w:r w:rsidR="00521618">
        <w:rPr>
          <w:rFonts w:eastAsiaTheme="minorHAnsi"/>
          <w:lang w:eastAsia="en-US"/>
        </w:rPr>
        <w:t xml:space="preserve">NICE </w:t>
      </w:r>
      <w:r w:rsidR="00912F4E" w:rsidRPr="00912F4E">
        <w:rPr>
          <w:rFonts w:eastAsiaTheme="minorHAnsi"/>
          <w:lang w:eastAsia="en-US"/>
        </w:rPr>
        <w:t xml:space="preserve">commissioned an independent </w:t>
      </w:r>
      <w:r>
        <w:rPr>
          <w:rFonts w:eastAsiaTheme="minorHAnsi"/>
          <w:lang w:eastAsia="en-US"/>
        </w:rPr>
        <w:t>health technology assessment (</w:t>
      </w:r>
      <w:r w:rsidRPr="00912F4E">
        <w:rPr>
          <w:rFonts w:eastAsiaTheme="minorHAnsi"/>
          <w:lang w:eastAsia="en-US"/>
        </w:rPr>
        <w:t>HTA</w:t>
      </w:r>
      <w:r>
        <w:rPr>
          <w:rFonts w:eastAsiaTheme="minorHAnsi"/>
          <w:lang w:eastAsia="en-US"/>
        </w:rPr>
        <w:t xml:space="preserve">) of </w:t>
      </w:r>
      <w:r w:rsidR="00912F4E" w:rsidRPr="00912F4E">
        <w:rPr>
          <w:rFonts w:eastAsiaTheme="minorHAnsi"/>
          <w:lang w:eastAsia="en-US"/>
        </w:rPr>
        <w:t>ezetimibe (Ara et al, HTA 2008</w:t>
      </w:r>
      <w:r w:rsidR="00D21DD3">
        <w:rPr>
          <w:rFonts w:eastAsiaTheme="minorHAnsi"/>
          <w:lang w:eastAsia="en-US"/>
        </w:rPr>
        <w:fldChar w:fldCharType="begin"/>
      </w:r>
      <w:r w:rsidR="00D21DD3">
        <w:rPr>
          <w:rFonts w:eastAsiaTheme="minorHAnsi"/>
          <w:lang w:eastAsia="en-US"/>
        </w:rPr>
        <w:instrText xml:space="preserve"> NOTEREF _Ref460679393 \f \h </w:instrText>
      </w:r>
      <w:r w:rsidR="00D21DD3">
        <w:rPr>
          <w:rFonts w:eastAsiaTheme="minorHAnsi"/>
          <w:lang w:eastAsia="en-US"/>
        </w:rPr>
      </w:r>
      <w:r w:rsidR="00D21DD3">
        <w:rPr>
          <w:rFonts w:eastAsiaTheme="minorHAnsi"/>
          <w:lang w:eastAsia="en-US"/>
        </w:rPr>
        <w:fldChar w:fldCharType="separate"/>
      </w:r>
      <w:r w:rsidR="00CA6F76" w:rsidRPr="00CA6F76">
        <w:rPr>
          <w:rStyle w:val="EndnoteReference"/>
        </w:rPr>
        <w:t>34</w:t>
      </w:r>
      <w:r w:rsidR="00D21DD3">
        <w:rPr>
          <w:rFonts w:eastAsiaTheme="minorHAnsi"/>
          <w:lang w:eastAsia="en-US"/>
        </w:rPr>
        <w:fldChar w:fldCharType="end"/>
      </w:r>
      <w:r w:rsidR="00912F4E" w:rsidRPr="00912F4E">
        <w:rPr>
          <w:rFonts w:eastAsiaTheme="minorHAnsi"/>
          <w:lang w:eastAsia="en-US"/>
        </w:rPr>
        <w:t>). Following the publication of the</w:t>
      </w:r>
      <w:r w:rsidR="008D76D2" w:rsidRPr="008D76D2">
        <w:t xml:space="preserve"> </w:t>
      </w:r>
      <w:r w:rsidR="008D76D2">
        <w:t>Improved Reduction of Outcomes: Vytorin Efficacy International Trial</w:t>
      </w:r>
      <w:r w:rsidR="00912F4E" w:rsidRPr="00912F4E">
        <w:rPr>
          <w:rFonts w:eastAsiaTheme="minorHAnsi"/>
          <w:lang w:eastAsia="en-US"/>
        </w:rPr>
        <w:t xml:space="preserve"> </w:t>
      </w:r>
      <w:r w:rsidR="008D76D2">
        <w:rPr>
          <w:rFonts w:eastAsiaTheme="minorHAnsi"/>
          <w:lang w:eastAsia="en-US"/>
        </w:rPr>
        <w:t>(</w:t>
      </w:r>
      <w:r w:rsidR="00912F4E" w:rsidRPr="00912F4E">
        <w:rPr>
          <w:rFonts w:eastAsiaTheme="minorHAnsi"/>
          <w:lang w:eastAsia="en-US"/>
        </w:rPr>
        <w:t>IMPROVE-IT</w:t>
      </w:r>
      <w:r w:rsidR="008D76D2">
        <w:rPr>
          <w:rFonts w:eastAsiaTheme="minorHAnsi"/>
          <w:lang w:eastAsia="en-US"/>
        </w:rPr>
        <w:t>)</w:t>
      </w:r>
      <w:r w:rsidR="00912F4E" w:rsidRPr="00912F4E">
        <w:rPr>
          <w:rFonts w:eastAsiaTheme="minorHAnsi"/>
          <w:lang w:eastAsia="en-US"/>
        </w:rPr>
        <w:t xml:space="preserve"> results, Merck and Co submitted an updated evidence of clinical and cost-effectiveness of ezetimibe. Independent assessors evaluated the company submission in December 2015 (unpublished</w:t>
      </w:r>
      <w:r w:rsidR="005711C7">
        <w:rPr>
          <w:rFonts w:eastAsiaTheme="minorHAnsi"/>
          <w:lang w:eastAsia="en-US"/>
        </w:rPr>
        <w:t xml:space="preserve"> at the time of </w:t>
      </w:r>
      <w:r>
        <w:rPr>
          <w:rFonts w:eastAsiaTheme="minorHAnsi"/>
          <w:lang w:eastAsia="en-US"/>
        </w:rPr>
        <w:t>the writing of the Review</w:t>
      </w:r>
      <w:r w:rsidR="00912F4E" w:rsidRPr="00912F4E">
        <w:rPr>
          <w:rFonts w:eastAsiaTheme="minorHAnsi"/>
          <w:lang w:eastAsia="en-US"/>
        </w:rPr>
        <w:t xml:space="preserve">) </w:t>
      </w:r>
      <w:r w:rsidR="00521618">
        <w:rPr>
          <w:rFonts w:eastAsiaTheme="minorHAnsi"/>
          <w:lang w:eastAsia="en-US"/>
        </w:rPr>
        <w:t>and their conclusions</w:t>
      </w:r>
      <w:r w:rsidR="00912F4E" w:rsidRPr="00912F4E">
        <w:rPr>
          <w:rFonts w:eastAsiaTheme="minorHAnsi"/>
          <w:lang w:eastAsia="en-US"/>
        </w:rPr>
        <w:t xml:space="preserve"> contributed to therapeutical gui</w:t>
      </w:r>
      <w:r w:rsidR="006609C9">
        <w:rPr>
          <w:rFonts w:eastAsiaTheme="minorHAnsi"/>
          <w:lang w:eastAsia="en-US"/>
        </w:rPr>
        <w:t>dance TA385 that replaced TA132</w:t>
      </w:r>
      <w:r w:rsidR="00205085">
        <w:rPr>
          <w:rFonts w:eastAsiaTheme="minorHAnsi"/>
          <w:lang w:eastAsia="en-US"/>
        </w:rPr>
        <w:t xml:space="preserve"> (see </w:t>
      </w:r>
      <w:r>
        <w:rPr>
          <w:rFonts w:eastAsiaTheme="minorHAnsi"/>
          <w:lang w:eastAsia="en-US"/>
        </w:rPr>
        <w:t xml:space="preserve">the review of </w:t>
      </w:r>
      <w:r w:rsidR="00205085">
        <w:rPr>
          <w:rFonts w:eastAsiaTheme="minorHAnsi"/>
          <w:lang w:eastAsia="en-US"/>
        </w:rPr>
        <w:t>Guidelines section for details)</w:t>
      </w:r>
      <w:r w:rsidR="006609C9">
        <w:rPr>
          <w:rFonts w:eastAsiaTheme="minorHAnsi"/>
          <w:lang w:eastAsia="en-US"/>
        </w:rPr>
        <w:t>.</w:t>
      </w:r>
    </w:p>
    <w:p w14:paraId="1B24D89F" w14:textId="77777777" w:rsidR="00912F4E" w:rsidRPr="00912F4E" w:rsidRDefault="00912F4E" w:rsidP="00127FB8">
      <w:pPr>
        <w:spacing w:after="0" w:line="240" w:lineRule="auto"/>
        <w:jc w:val="both"/>
        <w:rPr>
          <w:rFonts w:eastAsiaTheme="minorHAnsi"/>
          <w:u w:val="single"/>
          <w:lang w:eastAsia="en-US"/>
        </w:rPr>
      </w:pPr>
      <w:r w:rsidRPr="00912F4E">
        <w:rPr>
          <w:rFonts w:eastAsiaTheme="minorHAnsi"/>
          <w:u w:val="single"/>
          <w:lang w:eastAsia="en-US"/>
        </w:rPr>
        <w:t>HTA 2008</w:t>
      </w:r>
    </w:p>
    <w:p w14:paraId="3C08C119" w14:textId="77777777" w:rsidR="00127FB8" w:rsidRDefault="00127FB8" w:rsidP="00912F4E">
      <w:pPr>
        <w:jc w:val="both"/>
        <w:rPr>
          <w:rFonts w:eastAsiaTheme="minorHAnsi"/>
          <w:lang w:eastAsia="en-US"/>
        </w:rPr>
      </w:pPr>
    </w:p>
    <w:p w14:paraId="6F9702FB" w14:textId="180ABF2B" w:rsidR="00912F4E" w:rsidRPr="00912F4E" w:rsidRDefault="00912F4E" w:rsidP="00912F4E">
      <w:pPr>
        <w:jc w:val="both"/>
        <w:rPr>
          <w:rFonts w:eastAsiaTheme="minorHAnsi"/>
          <w:lang w:eastAsia="en-US"/>
        </w:rPr>
      </w:pPr>
      <w:r w:rsidRPr="00912F4E">
        <w:rPr>
          <w:rFonts w:eastAsiaTheme="minorHAnsi"/>
          <w:lang w:eastAsia="en-US"/>
        </w:rPr>
        <w:t xml:space="preserve">The independent assessors evaluated clinical and cost-effectiveness of ezetimibe monotherapy and in combination with a statin in adults (over 18 years) with primary (heterozygous </w:t>
      </w:r>
      <w:r w:rsidR="00521618">
        <w:rPr>
          <w:rFonts w:eastAsiaTheme="minorHAnsi"/>
          <w:lang w:eastAsia="en-US"/>
        </w:rPr>
        <w:t>familial or non-familial) hyper</w:t>
      </w:r>
      <w:r w:rsidRPr="00912F4E">
        <w:rPr>
          <w:rFonts w:eastAsiaTheme="minorHAnsi"/>
          <w:lang w:eastAsia="en-US"/>
        </w:rPr>
        <w:t xml:space="preserve">cholesterolaemia </w:t>
      </w:r>
    </w:p>
    <w:p w14:paraId="0F5A525E" w14:textId="77777777" w:rsidR="00912F4E" w:rsidRPr="00912F4E" w:rsidRDefault="00912F4E" w:rsidP="00140129">
      <w:pPr>
        <w:numPr>
          <w:ilvl w:val="0"/>
          <w:numId w:val="7"/>
        </w:numPr>
        <w:contextualSpacing/>
        <w:jc w:val="both"/>
        <w:rPr>
          <w:rFonts w:eastAsiaTheme="minorHAnsi"/>
          <w:lang w:eastAsia="en-US"/>
        </w:rPr>
      </w:pPr>
      <w:r w:rsidRPr="00912F4E">
        <w:rPr>
          <w:rFonts w:eastAsiaTheme="minorHAnsi"/>
          <w:lang w:eastAsia="en-US"/>
        </w:rPr>
        <w:t>Whose condition is not appropriately controlled with a statin alone or</w:t>
      </w:r>
    </w:p>
    <w:p w14:paraId="1716AB4E" w14:textId="77777777" w:rsidR="00912F4E" w:rsidRPr="00912F4E" w:rsidRDefault="00912F4E" w:rsidP="00140129">
      <w:pPr>
        <w:numPr>
          <w:ilvl w:val="0"/>
          <w:numId w:val="7"/>
        </w:numPr>
        <w:contextualSpacing/>
        <w:jc w:val="both"/>
        <w:rPr>
          <w:rFonts w:eastAsiaTheme="minorHAnsi"/>
          <w:lang w:eastAsia="en-US"/>
        </w:rPr>
      </w:pPr>
      <w:r w:rsidRPr="00912F4E">
        <w:rPr>
          <w:rFonts w:eastAsiaTheme="minorHAnsi"/>
          <w:lang w:eastAsia="en-US"/>
        </w:rPr>
        <w:t xml:space="preserve">In whom a statin is considered inappropriate or is not tolerated. </w:t>
      </w:r>
    </w:p>
    <w:p w14:paraId="1CE8E391" w14:textId="77777777" w:rsidR="006609C9" w:rsidRDefault="006609C9" w:rsidP="00912F4E">
      <w:pPr>
        <w:jc w:val="both"/>
        <w:rPr>
          <w:rFonts w:eastAsiaTheme="minorHAnsi"/>
          <w:lang w:eastAsia="en-US"/>
        </w:rPr>
      </w:pPr>
    </w:p>
    <w:p w14:paraId="5BB689EE" w14:textId="11170A3C" w:rsidR="00912F4E" w:rsidRPr="00912F4E" w:rsidRDefault="00912F4E" w:rsidP="00912F4E">
      <w:pPr>
        <w:jc w:val="both"/>
        <w:rPr>
          <w:rFonts w:eastAsiaTheme="minorHAnsi"/>
          <w:lang w:eastAsia="en-US"/>
        </w:rPr>
      </w:pPr>
      <w:r w:rsidRPr="00912F4E">
        <w:rPr>
          <w:rFonts w:eastAsiaTheme="minorHAnsi"/>
          <w:lang w:eastAsia="en-US"/>
        </w:rPr>
        <w:t>Trials in population with homozygous familial hype</w:t>
      </w:r>
      <w:r w:rsidR="00521618">
        <w:rPr>
          <w:rFonts w:eastAsiaTheme="minorHAnsi"/>
          <w:lang w:eastAsia="en-US"/>
        </w:rPr>
        <w:t>r</w:t>
      </w:r>
      <w:r w:rsidRPr="00912F4E">
        <w:rPr>
          <w:rFonts w:eastAsiaTheme="minorHAnsi"/>
          <w:lang w:eastAsia="en-US"/>
        </w:rPr>
        <w:t xml:space="preserve">cholesterolaemia or homozygous sitosterolaemia were excluded. See Appendix </w:t>
      </w:r>
      <w:r w:rsidR="00127FB8">
        <w:rPr>
          <w:rFonts w:eastAsiaTheme="minorHAnsi"/>
          <w:lang w:eastAsia="en-US"/>
        </w:rPr>
        <w:t xml:space="preserve">3 </w:t>
      </w:r>
      <w:r w:rsidRPr="00912F4E">
        <w:rPr>
          <w:rFonts w:eastAsiaTheme="minorHAnsi"/>
          <w:lang w:eastAsia="en-US"/>
        </w:rPr>
        <w:t xml:space="preserve">for the overview of the objectives, population, selection criteria, methods, results and quality assessment of the HTA 2008 report. For </w:t>
      </w:r>
      <w:r w:rsidR="005711C7">
        <w:rPr>
          <w:rFonts w:eastAsiaTheme="minorHAnsi"/>
          <w:lang w:eastAsia="en-US"/>
        </w:rPr>
        <w:t xml:space="preserve">the </w:t>
      </w:r>
      <w:r w:rsidRPr="00912F4E">
        <w:rPr>
          <w:rFonts w:eastAsiaTheme="minorHAnsi"/>
          <w:lang w:eastAsia="en-US"/>
        </w:rPr>
        <w:t xml:space="preserve">cost-effectiveness methods and results see Section on </w:t>
      </w:r>
      <w:r w:rsidR="005711C7">
        <w:rPr>
          <w:rFonts w:eastAsiaTheme="minorHAnsi"/>
          <w:lang w:eastAsia="en-US"/>
        </w:rPr>
        <w:t xml:space="preserve">published </w:t>
      </w:r>
      <w:r w:rsidRPr="00912F4E">
        <w:rPr>
          <w:rFonts w:eastAsiaTheme="minorHAnsi"/>
          <w:lang w:eastAsia="en-US"/>
        </w:rPr>
        <w:t>economic evaluation</w:t>
      </w:r>
      <w:r w:rsidR="005711C7">
        <w:rPr>
          <w:rFonts w:eastAsiaTheme="minorHAnsi"/>
          <w:lang w:eastAsia="en-US"/>
        </w:rPr>
        <w:t>s</w:t>
      </w:r>
      <w:r w:rsidRPr="00912F4E">
        <w:rPr>
          <w:rFonts w:eastAsiaTheme="minorHAnsi"/>
          <w:lang w:eastAsia="en-US"/>
        </w:rPr>
        <w:t xml:space="preserve">.  The selection criteria limited RCTs to ≥12 weeks duration to be consistent with the requirement of licensing authorities such as the European Medicines Agency of a minimum follow-up of 3 months for trials of surrogate endpoints in lipid lowering drug therapies </w:t>
      </w:r>
      <w:r w:rsidR="00D21DD3">
        <w:rPr>
          <w:rFonts w:eastAsiaTheme="minorHAnsi"/>
          <w:lang w:eastAsia="en-US"/>
        </w:rPr>
        <w:t>(EMEA 2004</w:t>
      </w:r>
      <w:r w:rsidR="00D21DD3">
        <w:rPr>
          <w:rStyle w:val="EndnoteReference"/>
          <w:rFonts w:eastAsiaTheme="minorHAnsi"/>
          <w:lang w:eastAsia="en-US"/>
        </w:rPr>
        <w:endnoteReference w:id="70"/>
      </w:r>
      <w:r w:rsidR="00D21DD3">
        <w:rPr>
          <w:rFonts w:eastAsiaTheme="minorHAnsi"/>
          <w:lang w:eastAsia="en-US"/>
        </w:rPr>
        <w:t>)</w:t>
      </w:r>
      <w:r w:rsidR="00127FB8">
        <w:rPr>
          <w:rFonts w:eastAsiaTheme="minorHAnsi"/>
          <w:lang w:eastAsia="en-US"/>
        </w:rPr>
        <w:t xml:space="preserve"> </w:t>
      </w:r>
      <w:r w:rsidRPr="00912F4E">
        <w:rPr>
          <w:rFonts w:eastAsiaTheme="minorHAnsi"/>
          <w:lang w:eastAsia="en-US"/>
        </w:rPr>
        <w:t>and to minimize tachyphylaxis effects.</w:t>
      </w:r>
    </w:p>
    <w:p w14:paraId="04D64AF4" w14:textId="77777777" w:rsidR="00912F4E" w:rsidRPr="00912F4E" w:rsidRDefault="00912F4E" w:rsidP="00912F4E">
      <w:pPr>
        <w:jc w:val="both"/>
        <w:rPr>
          <w:rFonts w:eastAsiaTheme="minorHAnsi"/>
          <w:lang w:eastAsia="en-US"/>
        </w:rPr>
      </w:pPr>
      <w:r w:rsidRPr="00912F4E">
        <w:rPr>
          <w:rFonts w:eastAsiaTheme="minorHAnsi"/>
          <w:lang w:eastAsia="en-US"/>
        </w:rPr>
        <w:t>A systematic literature search did not identify a published clinical outcome trial that examined the cardiovascular benefit of ezetimibe (final outcomes). Thirteen (of which five were multi-arm) phase III multi-centre RCTs (of varying methodological quality) of short-term duration (12–48 weeks) with surrogate end-point data were included.</w:t>
      </w:r>
    </w:p>
    <w:p w14:paraId="2C061DCD" w14:textId="3ADBBC77" w:rsidR="00912F4E" w:rsidRPr="00912F4E" w:rsidRDefault="00912F4E" w:rsidP="001901D5">
      <w:pPr>
        <w:jc w:val="both"/>
        <w:rPr>
          <w:rFonts w:eastAsiaTheme="minorHAnsi"/>
          <w:lang w:eastAsia="en-US"/>
        </w:rPr>
      </w:pPr>
      <w:r w:rsidRPr="001704FF">
        <w:rPr>
          <w:rFonts w:eastAsiaTheme="minorHAnsi"/>
          <w:i/>
          <w:lang w:eastAsia="en-US"/>
        </w:rPr>
        <w:lastRenderedPageBreak/>
        <w:t>Fixed-dose combination therapy</w:t>
      </w:r>
      <w:r w:rsidRPr="00912F4E">
        <w:rPr>
          <w:rFonts w:eastAsiaTheme="minorHAnsi"/>
          <w:lang w:eastAsia="en-US"/>
        </w:rPr>
        <w:t xml:space="preserve"> of ezetimibe 10 mg plus </w:t>
      </w:r>
      <w:r w:rsidR="005711C7">
        <w:rPr>
          <w:rFonts w:eastAsiaTheme="minorHAnsi"/>
          <w:lang w:eastAsia="en-US"/>
        </w:rPr>
        <w:t xml:space="preserve">a </w:t>
      </w:r>
      <w:r w:rsidRPr="00912F4E">
        <w:rPr>
          <w:rFonts w:eastAsiaTheme="minorHAnsi"/>
          <w:lang w:eastAsia="en-US"/>
        </w:rPr>
        <w:t xml:space="preserve">statin versus matching statin dose (for those inadequately controlled by statin) was assessed in random-effects meta-analysis using 6 RCTs </w:t>
      </w:r>
      <w:r w:rsidR="001901D5">
        <w:rPr>
          <w:rFonts w:eastAsiaTheme="minorHAnsi"/>
          <w:lang w:eastAsia="en-US"/>
        </w:rPr>
        <w:t>(Bays 2004, Davidson 2002, Goldberg 2004, Rodney 2006</w:t>
      </w:r>
      <w:r w:rsidR="001901D5">
        <w:rPr>
          <w:rStyle w:val="EndnoteReference"/>
          <w:rFonts w:eastAsiaTheme="minorHAnsi"/>
          <w:lang w:eastAsia="en-US"/>
        </w:rPr>
        <w:endnoteReference w:id="71"/>
      </w:r>
      <w:r w:rsidR="001901D5">
        <w:rPr>
          <w:rFonts w:eastAsiaTheme="minorHAnsi"/>
          <w:lang w:eastAsia="en-US"/>
        </w:rPr>
        <w:t>, Melani 2003</w:t>
      </w:r>
      <w:r w:rsidR="001901D5">
        <w:rPr>
          <w:rFonts w:eastAsiaTheme="minorHAnsi"/>
          <w:lang w:eastAsia="en-US"/>
        </w:rPr>
        <w:fldChar w:fldCharType="begin"/>
      </w:r>
      <w:r w:rsidR="001901D5">
        <w:rPr>
          <w:rFonts w:eastAsiaTheme="minorHAnsi"/>
          <w:lang w:eastAsia="en-US"/>
        </w:rPr>
        <w:instrText xml:space="preserve"> NOTEREF _Ref460680055 \f \h  \* MERGEFORMAT </w:instrText>
      </w:r>
      <w:r w:rsidR="001901D5">
        <w:rPr>
          <w:rFonts w:eastAsiaTheme="minorHAnsi"/>
          <w:lang w:eastAsia="en-US"/>
        </w:rPr>
      </w:r>
      <w:r w:rsidR="001901D5">
        <w:rPr>
          <w:rFonts w:eastAsiaTheme="minorHAnsi"/>
          <w:lang w:eastAsia="en-US"/>
        </w:rPr>
        <w:fldChar w:fldCharType="separate"/>
      </w:r>
      <w:r w:rsidR="00CA6F76" w:rsidRPr="00CA6F76">
        <w:rPr>
          <w:rStyle w:val="EndnoteReference"/>
        </w:rPr>
        <w:t>73</w:t>
      </w:r>
      <w:r w:rsidR="001901D5">
        <w:rPr>
          <w:rFonts w:eastAsiaTheme="minorHAnsi"/>
          <w:lang w:eastAsia="en-US"/>
        </w:rPr>
        <w:fldChar w:fldCharType="end"/>
      </w:r>
      <w:r w:rsidR="001901D5">
        <w:rPr>
          <w:rFonts w:eastAsiaTheme="minorHAnsi"/>
          <w:lang w:eastAsia="en-US"/>
        </w:rPr>
        <w:t xml:space="preserve">). </w:t>
      </w:r>
      <w:r w:rsidRPr="000A4940">
        <w:rPr>
          <w:rFonts w:eastAsiaTheme="minorHAnsi"/>
          <w:lang w:eastAsia="en-US"/>
        </w:rPr>
        <w:t>The combination of ezetimibe and statin was associated with a statistically significant reduction in LDL-C (-13.94%, 95% CI -14.90 to -12.98, p&lt;0.00001, I</w:t>
      </w:r>
      <w:r w:rsidRPr="00127FB8">
        <w:rPr>
          <w:rFonts w:eastAsiaTheme="minorHAnsi"/>
          <w:vertAlign w:val="superscript"/>
          <w:lang w:eastAsia="en-US"/>
        </w:rPr>
        <w:t>2</w:t>
      </w:r>
      <w:r w:rsidRPr="000A4940">
        <w:rPr>
          <w:rFonts w:eastAsiaTheme="minorHAnsi"/>
          <w:lang w:eastAsia="en-US"/>
        </w:rPr>
        <w:t>=5.8%) and total cholesterol (-10.36%, 95% CI -11.09 to -9.63, p&lt;0.00001, I</w:t>
      </w:r>
      <w:r w:rsidRPr="00127FB8">
        <w:rPr>
          <w:rFonts w:eastAsiaTheme="minorHAnsi"/>
          <w:vertAlign w:val="superscript"/>
          <w:lang w:eastAsia="en-US"/>
        </w:rPr>
        <w:t>2</w:t>
      </w:r>
      <w:r w:rsidRPr="000A4940">
        <w:rPr>
          <w:rFonts w:eastAsiaTheme="minorHAnsi"/>
          <w:lang w:eastAsia="en-US"/>
        </w:rPr>
        <w:t>=5.65%) compared with statin alone based on six trials (3,610 patients). No RCTs</w:t>
      </w:r>
      <w:r w:rsidRPr="00912F4E">
        <w:rPr>
          <w:rFonts w:eastAsiaTheme="minorHAnsi"/>
          <w:lang w:eastAsia="en-US"/>
        </w:rPr>
        <w:t xml:space="preserve"> of ezetimibe plus statin compared to other lipid-lowering drugs were identified.</w:t>
      </w:r>
    </w:p>
    <w:p w14:paraId="01B20CEE" w14:textId="374DF58A" w:rsidR="00912F4E" w:rsidRPr="00912F4E" w:rsidRDefault="00912F4E" w:rsidP="00912F4E">
      <w:pPr>
        <w:jc w:val="both"/>
        <w:rPr>
          <w:rFonts w:eastAsiaTheme="minorHAnsi"/>
          <w:lang w:eastAsia="en-US"/>
        </w:rPr>
      </w:pPr>
      <w:r w:rsidRPr="001704FF">
        <w:rPr>
          <w:rFonts w:eastAsiaTheme="minorHAnsi"/>
          <w:i/>
          <w:lang w:eastAsia="en-US"/>
        </w:rPr>
        <w:t>Titrated Combination therapy</w:t>
      </w:r>
      <w:r w:rsidRPr="001704FF">
        <w:rPr>
          <w:rFonts w:eastAsiaTheme="minorHAnsi"/>
          <w:lang w:eastAsia="en-US"/>
        </w:rPr>
        <w:t xml:space="preserve"> </w:t>
      </w:r>
      <w:r w:rsidRPr="00912F4E">
        <w:rPr>
          <w:rFonts w:eastAsiaTheme="minorHAnsi"/>
          <w:lang w:eastAsia="en-US"/>
        </w:rPr>
        <w:t xml:space="preserve">(for those inadequately controlled by statin):  The trials compared ezetimibe plus current statin therapy versus current statin therapy titrated to the next dose (either forced or stepwise titrated). All four trials (1,800 patients) </w:t>
      </w:r>
      <w:r w:rsidR="000167F1">
        <w:rPr>
          <w:rFonts w:eastAsiaTheme="minorHAnsi"/>
          <w:lang w:eastAsia="en-US"/>
        </w:rPr>
        <w:t>Stein 2004, Ballantyne 2004</w:t>
      </w:r>
      <w:r w:rsidR="001901D5">
        <w:rPr>
          <w:rFonts w:eastAsiaTheme="minorHAnsi"/>
          <w:lang w:eastAsia="en-US"/>
        </w:rPr>
        <w:t>a</w:t>
      </w:r>
      <w:r w:rsidR="000167F1">
        <w:rPr>
          <w:rFonts w:eastAsiaTheme="minorHAnsi"/>
          <w:lang w:eastAsia="en-US"/>
        </w:rPr>
        <w:fldChar w:fldCharType="begin"/>
      </w:r>
      <w:r w:rsidR="000167F1">
        <w:rPr>
          <w:rFonts w:eastAsiaTheme="minorHAnsi"/>
          <w:lang w:eastAsia="en-US"/>
        </w:rPr>
        <w:instrText xml:space="preserve"> NOTEREF _Ref460670294 \f \h </w:instrText>
      </w:r>
      <w:r w:rsidR="000167F1">
        <w:rPr>
          <w:rFonts w:eastAsiaTheme="minorHAnsi"/>
          <w:lang w:eastAsia="en-US"/>
        </w:rPr>
      </w:r>
      <w:r w:rsidR="000167F1">
        <w:rPr>
          <w:rFonts w:eastAsiaTheme="minorHAnsi"/>
          <w:lang w:eastAsia="en-US"/>
        </w:rPr>
        <w:fldChar w:fldCharType="separate"/>
      </w:r>
      <w:r w:rsidR="00CA6F76" w:rsidRPr="00CA6F76">
        <w:rPr>
          <w:rStyle w:val="EndnoteReference"/>
        </w:rPr>
        <w:t>14</w:t>
      </w:r>
      <w:r w:rsidR="000167F1">
        <w:rPr>
          <w:rFonts w:eastAsiaTheme="minorHAnsi"/>
          <w:lang w:eastAsia="en-US"/>
        </w:rPr>
        <w:fldChar w:fldCharType="end"/>
      </w:r>
      <w:r w:rsidR="001901D5">
        <w:rPr>
          <w:rFonts w:eastAsiaTheme="minorHAnsi"/>
          <w:lang w:eastAsia="en-US"/>
        </w:rPr>
        <w:t>, Ballantyne 2004b</w:t>
      </w:r>
      <w:r w:rsidR="000167F1">
        <w:rPr>
          <w:rStyle w:val="EndnoteReference"/>
          <w:rFonts w:eastAsiaTheme="minorHAnsi"/>
          <w:lang w:eastAsia="en-US"/>
        </w:rPr>
        <w:endnoteReference w:id="72"/>
      </w:r>
      <w:r w:rsidR="001901D5">
        <w:rPr>
          <w:rFonts w:eastAsiaTheme="minorHAnsi"/>
          <w:lang w:eastAsia="en-US"/>
        </w:rPr>
        <w:t>, Masana 2005</w:t>
      </w:r>
      <w:r w:rsidR="000167F1">
        <w:rPr>
          <w:rFonts w:eastAsiaTheme="minorHAnsi"/>
          <w:lang w:eastAsia="en-US"/>
        </w:rPr>
        <w:fldChar w:fldCharType="begin"/>
      </w:r>
      <w:r w:rsidR="000167F1">
        <w:rPr>
          <w:rFonts w:eastAsiaTheme="minorHAnsi"/>
          <w:lang w:eastAsia="en-US"/>
        </w:rPr>
        <w:instrText xml:space="preserve"> NOTEREF _Ref460762278 \f \h </w:instrText>
      </w:r>
      <w:r w:rsidR="000167F1">
        <w:rPr>
          <w:rFonts w:eastAsiaTheme="minorHAnsi"/>
          <w:lang w:eastAsia="en-US"/>
        </w:rPr>
      </w:r>
      <w:r w:rsidR="000167F1">
        <w:rPr>
          <w:rFonts w:eastAsiaTheme="minorHAnsi"/>
          <w:lang w:eastAsia="en-US"/>
        </w:rPr>
        <w:fldChar w:fldCharType="separate"/>
      </w:r>
      <w:r w:rsidR="00CA6F76" w:rsidRPr="00CA6F76">
        <w:rPr>
          <w:rStyle w:val="EndnoteReference"/>
        </w:rPr>
        <w:t>20</w:t>
      </w:r>
      <w:r w:rsidR="000167F1">
        <w:rPr>
          <w:rFonts w:eastAsiaTheme="minorHAnsi"/>
          <w:lang w:eastAsia="en-US"/>
        </w:rPr>
        <w:fldChar w:fldCharType="end"/>
      </w:r>
      <w:r w:rsidR="001901D5">
        <w:rPr>
          <w:rFonts w:eastAsiaTheme="minorHAnsi"/>
          <w:lang w:eastAsia="en-US"/>
        </w:rPr>
        <w:t xml:space="preserve">) </w:t>
      </w:r>
      <w:r w:rsidRPr="00912F4E">
        <w:rPr>
          <w:rFonts w:eastAsiaTheme="minorHAnsi"/>
          <w:lang w:eastAsia="en-US"/>
        </w:rPr>
        <w:t>found that co-administration of ezetimibe and statin was significantly more effective in reducing LDL-C (p&lt;0.05) compared with statin alone. The studies were not eligible for meta-analysis. One study compared ezetimibe plus statin versus other lipid-lowering drugs</w:t>
      </w:r>
      <w:r w:rsidR="00907EBF" w:rsidRPr="00907EBF">
        <w:rPr>
          <w:rFonts w:eastAsiaTheme="minorHAnsi"/>
          <w:lang w:eastAsia="en-US"/>
        </w:rPr>
        <w:t xml:space="preserve"> </w:t>
      </w:r>
      <w:r w:rsidR="00907EBF">
        <w:rPr>
          <w:rFonts w:eastAsiaTheme="minorHAnsi"/>
          <w:lang w:eastAsia="en-US"/>
        </w:rPr>
        <w:t>McKenney (2007)</w:t>
      </w:r>
      <w:r w:rsidRPr="00912F4E">
        <w:rPr>
          <w:rFonts w:eastAsiaTheme="minorHAnsi"/>
          <w:lang w:eastAsia="en-US"/>
        </w:rPr>
        <w:t>. This study found that low-moderate doses of atorvastatin/rosuvastatin plus niacin achieved similar LDL-C reductions compared with the highest doses of rosuvastatin monotherapy or ezetimibe/simvastatin</w:t>
      </w:r>
      <w:r w:rsidR="00907EBF">
        <w:rPr>
          <w:rFonts w:eastAsiaTheme="minorHAnsi"/>
          <w:lang w:eastAsia="en-US"/>
        </w:rPr>
        <w:t>.</w:t>
      </w:r>
      <w:r w:rsidRPr="00912F4E">
        <w:rPr>
          <w:rFonts w:eastAsiaTheme="minorHAnsi"/>
          <w:lang w:eastAsia="en-US"/>
        </w:rPr>
        <w:t xml:space="preserve"> </w:t>
      </w:r>
    </w:p>
    <w:p w14:paraId="26A6B691" w14:textId="76322B57" w:rsidR="00912F4E" w:rsidRPr="00912F4E" w:rsidRDefault="00912F4E" w:rsidP="00912F4E">
      <w:pPr>
        <w:jc w:val="both"/>
        <w:rPr>
          <w:rFonts w:eastAsiaTheme="minorHAnsi"/>
          <w:sz w:val="18"/>
          <w:szCs w:val="18"/>
          <w:lang w:eastAsia="en-US"/>
        </w:rPr>
      </w:pPr>
      <w:r w:rsidRPr="008F55A0">
        <w:rPr>
          <w:rFonts w:eastAsiaTheme="minorHAnsi"/>
          <w:i/>
          <w:lang w:eastAsia="en-US"/>
        </w:rPr>
        <w:t xml:space="preserve">Monotherapy </w:t>
      </w:r>
      <w:r w:rsidRPr="008F55A0">
        <w:rPr>
          <w:rFonts w:eastAsiaTheme="minorHAnsi"/>
          <w:lang w:eastAsia="en-US"/>
        </w:rPr>
        <w:t>(for those where a statin was inappropriate or not tolerated): All included studies compared monotherapy with placebo. A random-effects meta-analysis of all seven trials (2,577 patients) [Ballantyne 2003</w:t>
      </w:r>
      <w:r w:rsidR="00D21DD3" w:rsidRPr="008F55A0">
        <w:rPr>
          <w:rFonts w:eastAsiaTheme="minorHAnsi"/>
          <w:lang w:eastAsia="en-US"/>
        </w:rPr>
        <w:fldChar w:fldCharType="begin"/>
      </w:r>
      <w:r w:rsidR="00D21DD3" w:rsidRPr="008F55A0">
        <w:rPr>
          <w:rFonts w:eastAsiaTheme="minorHAnsi"/>
          <w:lang w:eastAsia="en-US"/>
        </w:rPr>
        <w:instrText xml:space="preserve"> NOTEREF _Ref460673206 \f \h </w:instrText>
      </w:r>
      <w:r w:rsidR="00907EBF" w:rsidRPr="008F55A0">
        <w:rPr>
          <w:rFonts w:eastAsiaTheme="minorHAnsi"/>
          <w:lang w:eastAsia="en-US"/>
        </w:rPr>
        <w:instrText xml:space="preserve"> \* MERGEFORMAT </w:instrText>
      </w:r>
      <w:r w:rsidR="00D21DD3" w:rsidRPr="008F55A0">
        <w:rPr>
          <w:rFonts w:eastAsiaTheme="minorHAnsi"/>
          <w:lang w:eastAsia="en-US"/>
        </w:rPr>
      </w:r>
      <w:r w:rsidR="00D21DD3" w:rsidRPr="008F55A0">
        <w:rPr>
          <w:rFonts w:eastAsiaTheme="minorHAnsi"/>
          <w:lang w:eastAsia="en-US"/>
        </w:rPr>
        <w:fldChar w:fldCharType="separate"/>
      </w:r>
      <w:r w:rsidR="00CA6F76" w:rsidRPr="00CA6F76">
        <w:rPr>
          <w:rStyle w:val="EndnoteReference"/>
        </w:rPr>
        <w:t>5</w:t>
      </w:r>
      <w:r w:rsidR="00D21DD3" w:rsidRPr="008F55A0">
        <w:rPr>
          <w:rFonts w:eastAsiaTheme="minorHAnsi"/>
          <w:lang w:eastAsia="en-US"/>
        </w:rPr>
        <w:fldChar w:fldCharType="end"/>
      </w:r>
      <w:r w:rsidRPr="008F55A0">
        <w:rPr>
          <w:rFonts w:eastAsiaTheme="minorHAnsi"/>
          <w:lang w:eastAsia="en-US"/>
        </w:rPr>
        <w:t>; Bays 2004</w:t>
      </w:r>
      <w:r w:rsidR="00D21DD3" w:rsidRPr="008F55A0">
        <w:rPr>
          <w:rFonts w:eastAsiaTheme="minorHAnsi"/>
          <w:lang w:eastAsia="en-US"/>
        </w:rPr>
        <w:fldChar w:fldCharType="begin"/>
      </w:r>
      <w:r w:rsidR="00D21DD3" w:rsidRPr="008F55A0">
        <w:rPr>
          <w:rFonts w:eastAsiaTheme="minorHAnsi"/>
          <w:lang w:eastAsia="en-US"/>
        </w:rPr>
        <w:instrText xml:space="preserve"> NOTEREF _Ref460672386 \f \h </w:instrText>
      </w:r>
      <w:r w:rsidR="00907EBF" w:rsidRPr="008F55A0">
        <w:rPr>
          <w:rFonts w:eastAsiaTheme="minorHAnsi"/>
          <w:lang w:eastAsia="en-US"/>
        </w:rPr>
        <w:instrText xml:space="preserve"> \* MERGEFORMAT </w:instrText>
      </w:r>
      <w:r w:rsidR="00D21DD3" w:rsidRPr="008F55A0">
        <w:rPr>
          <w:rFonts w:eastAsiaTheme="minorHAnsi"/>
          <w:lang w:eastAsia="en-US"/>
        </w:rPr>
      </w:r>
      <w:r w:rsidR="00D21DD3" w:rsidRPr="008F55A0">
        <w:rPr>
          <w:rFonts w:eastAsiaTheme="minorHAnsi"/>
          <w:lang w:eastAsia="en-US"/>
        </w:rPr>
        <w:fldChar w:fldCharType="separate"/>
      </w:r>
      <w:r w:rsidR="00CA6F76" w:rsidRPr="00CA6F76">
        <w:rPr>
          <w:rStyle w:val="EndnoteReference"/>
        </w:rPr>
        <w:t>19</w:t>
      </w:r>
      <w:r w:rsidR="00D21DD3" w:rsidRPr="008F55A0">
        <w:rPr>
          <w:rFonts w:eastAsiaTheme="minorHAnsi"/>
          <w:lang w:eastAsia="en-US"/>
        </w:rPr>
        <w:fldChar w:fldCharType="end"/>
      </w:r>
      <w:r w:rsidRPr="008F55A0">
        <w:rPr>
          <w:rFonts w:eastAsiaTheme="minorHAnsi"/>
          <w:lang w:eastAsia="en-US"/>
        </w:rPr>
        <w:t>;  Davidson 2002</w:t>
      </w:r>
      <w:r w:rsidR="00D21DD3" w:rsidRPr="008F55A0">
        <w:rPr>
          <w:rFonts w:eastAsiaTheme="minorHAnsi"/>
          <w:lang w:eastAsia="en-US"/>
        </w:rPr>
        <w:fldChar w:fldCharType="begin"/>
      </w:r>
      <w:r w:rsidR="00D21DD3" w:rsidRPr="008F55A0">
        <w:rPr>
          <w:rFonts w:eastAsiaTheme="minorHAnsi"/>
          <w:lang w:eastAsia="en-US"/>
        </w:rPr>
        <w:instrText xml:space="preserve"> NOTEREF _Ref460672395 \f \h </w:instrText>
      </w:r>
      <w:r w:rsidR="00907EBF" w:rsidRPr="008F55A0">
        <w:rPr>
          <w:rFonts w:eastAsiaTheme="minorHAnsi"/>
          <w:lang w:eastAsia="en-US"/>
        </w:rPr>
        <w:instrText xml:space="preserve"> \* MERGEFORMAT </w:instrText>
      </w:r>
      <w:r w:rsidR="00D21DD3" w:rsidRPr="008F55A0">
        <w:rPr>
          <w:rFonts w:eastAsiaTheme="minorHAnsi"/>
          <w:lang w:eastAsia="en-US"/>
        </w:rPr>
      </w:r>
      <w:r w:rsidR="00D21DD3" w:rsidRPr="008F55A0">
        <w:rPr>
          <w:rFonts w:eastAsiaTheme="minorHAnsi"/>
          <w:lang w:eastAsia="en-US"/>
        </w:rPr>
        <w:fldChar w:fldCharType="separate"/>
      </w:r>
      <w:r w:rsidR="00CA6F76" w:rsidRPr="00CA6F76">
        <w:rPr>
          <w:rStyle w:val="EndnoteReference"/>
        </w:rPr>
        <w:t>4</w:t>
      </w:r>
      <w:r w:rsidR="00D21DD3" w:rsidRPr="008F55A0">
        <w:rPr>
          <w:rFonts w:eastAsiaTheme="minorHAnsi"/>
          <w:lang w:eastAsia="en-US"/>
        </w:rPr>
        <w:fldChar w:fldCharType="end"/>
      </w:r>
      <w:r w:rsidRPr="008F55A0">
        <w:rPr>
          <w:rFonts w:eastAsiaTheme="minorHAnsi"/>
          <w:lang w:eastAsia="en-US"/>
        </w:rPr>
        <w:t>; Dujovne 2002</w:t>
      </w:r>
      <w:r w:rsidR="00D21DD3" w:rsidRPr="008F55A0">
        <w:rPr>
          <w:rFonts w:eastAsiaTheme="minorHAnsi"/>
          <w:lang w:eastAsia="en-US"/>
        </w:rPr>
        <w:fldChar w:fldCharType="begin"/>
      </w:r>
      <w:r w:rsidR="00D21DD3" w:rsidRPr="008F55A0">
        <w:rPr>
          <w:rFonts w:eastAsiaTheme="minorHAnsi"/>
          <w:lang w:eastAsia="en-US"/>
        </w:rPr>
        <w:instrText xml:space="preserve"> NOTEREF _Ref460662442 \f \h </w:instrText>
      </w:r>
      <w:r w:rsidR="00907EBF" w:rsidRPr="008F55A0">
        <w:rPr>
          <w:rFonts w:eastAsiaTheme="minorHAnsi"/>
          <w:lang w:eastAsia="en-US"/>
        </w:rPr>
        <w:instrText xml:space="preserve"> \* MERGEFORMAT </w:instrText>
      </w:r>
      <w:r w:rsidR="00D21DD3" w:rsidRPr="008F55A0">
        <w:rPr>
          <w:rFonts w:eastAsiaTheme="minorHAnsi"/>
          <w:lang w:eastAsia="en-US"/>
        </w:rPr>
      </w:r>
      <w:r w:rsidR="00D21DD3" w:rsidRPr="008F55A0">
        <w:rPr>
          <w:rFonts w:eastAsiaTheme="minorHAnsi"/>
          <w:lang w:eastAsia="en-US"/>
        </w:rPr>
        <w:fldChar w:fldCharType="separate"/>
      </w:r>
      <w:r w:rsidR="00CA6F76" w:rsidRPr="00CA6F76">
        <w:rPr>
          <w:rStyle w:val="EndnoteReference"/>
        </w:rPr>
        <w:t>2</w:t>
      </w:r>
      <w:r w:rsidR="00D21DD3" w:rsidRPr="008F55A0">
        <w:rPr>
          <w:rFonts w:eastAsiaTheme="minorHAnsi"/>
          <w:lang w:eastAsia="en-US"/>
        </w:rPr>
        <w:fldChar w:fldCharType="end"/>
      </w:r>
      <w:r w:rsidRPr="008F55A0">
        <w:rPr>
          <w:rFonts w:eastAsiaTheme="minorHAnsi"/>
          <w:lang w:eastAsia="en-US"/>
        </w:rPr>
        <w:t>; Goldberg 2004</w:t>
      </w:r>
      <w:r w:rsidR="008A3784" w:rsidRPr="008F55A0">
        <w:rPr>
          <w:rFonts w:eastAsiaTheme="minorHAnsi"/>
          <w:lang w:eastAsia="en-US"/>
        </w:rPr>
        <w:fldChar w:fldCharType="begin"/>
      </w:r>
      <w:r w:rsidR="008A3784" w:rsidRPr="008F55A0">
        <w:rPr>
          <w:rFonts w:eastAsiaTheme="minorHAnsi"/>
          <w:lang w:eastAsia="en-US"/>
        </w:rPr>
        <w:instrText xml:space="preserve"> NOTEREF _Ref460672845 \f \h </w:instrText>
      </w:r>
      <w:r w:rsidR="00907EBF" w:rsidRPr="008F55A0">
        <w:rPr>
          <w:rFonts w:eastAsiaTheme="minorHAnsi"/>
          <w:lang w:eastAsia="en-US"/>
        </w:rPr>
        <w:instrText xml:space="preserve"> \* MERGEFORMAT </w:instrText>
      </w:r>
      <w:r w:rsidR="008A3784" w:rsidRPr="008F55A0">
        <w:rPr>
          <w:rFonts w:eastAsiaTheme="minorHAnsi"/>
          <w:lang w:eastAsia="en-US"/>
        </w:rPr>
      </w:r>
      <w:r w:rsidR="008A3784" w:rsidRPr="008F55A0">
        <w:rPr>
          <w:rFonts w:eastAsiaTheme="minorHAnsi"/>
          <w:lang w:eastAsia="en-US"/>
        </w:rPr>
        <w:fldChar w:fldCharType="separate"/>
      </w:r>
      <w:r w:rsidR="00CA6F76" w:rsidRPr="00CA6F76">
        <w:rPr>
          <w:rStyle w:val="EndnoteReference"/>
        </w:rPr>
        <w:t>38</w:t>
      </w:r>
      <w:r w:rsidR="008A3784" w:rsidRPr="008F55A0">
        <w:rPr>
          <w:rFonts w:eastAsiaTheme="minorHAnsi"/>
          <w:lang w:eastAsia="en-US"/>
        </w:rPr>
        <w:fldChar w:fldCharType="end"/>
      </w:r>
      <w:r w:rsidRPr="008F55A0">
        <w:rPr>
          <w:rFonts w:eastAsiaTheme="minorHAnsi"/>
          <w:lang w:eastAsia="en-US"/>
        </w:rPr>
        <w:t>; Melani 2003</w:t>
      </w:r>
      <w:bookmarkStart w:id="51" w:name="_Ref460680055"/>
      <w:r w:rsidR="008A3784" w:rsidRPr="008F55A0">
        <w:rPr>
          <w:rStyle w:val="EndnoteReference"/>
          <w:rFonts w:eastAsiaTheme="minorHAnsi"/>
          <w:lang w:eastAsia="en-US"/>
        </w:rPr>
        <w:endnoteReference w:id="73"/>
      </w:r>
      <w:bookmarkEnd w:id="51"/>
      <w:r w:rsidRPr="008F55A0">
        <w:rPr>
          <w:rFonts w:eastAsiaTheme="minorHAnsi"/>
          <w:lang w:eastAsia="en-US"/>
        </w:rPr>
        <w:t>; Knopp 2003</w:t>
      </w:r>
      <w:r w:rsidR="008A3784" w:rsidRPr="008F55A0">
        <w:rPr>
          <w:rFonts w:eastAsiaTheme="minorHAnsi"/>
          <w:lang w:eastAsia="en-US"/>
        </w:rPr>
        <w:fldChar w:fldCharType="begin"/>
      </w:r>
      <w:r w:rsidR="008A3784" w:rsidRPr="008F55A0">
        <w:rPr>
          <w:rFonts w:eastAsiaTheme="minorHAnsi"/>
          <w:lang w:eastAsia="en-US"/>
        </w:rPr>
        <w:instrText xml:space="preserve"> NOTEREF _Ref460662452 \f \h </w:instrText>
      </w:r>
      <w:r w:rsidR="00907EBF" w:rsidRPr="008F55A0">
        <w:rPr>
          <w:rFonts w:eastAsiaTheme="minorHAnsi"/>
          <w:lang w:eastAsia="en-US"/>
        </w:rPr>
        <w:instrText xml:space="preserve"> \* MERGEFORMAT </w:instrText>
      </w:r>
      <w:r w:rsidR="008A3784" w:rsidRPr="008F55A0">
        <w:rPr>
          <w:rFonts w:eastAsiaTheme="minorHAnsi"/>
          <w:lang w:eastAsia="en-US"/>
        </w:rPr>
      </w:r>
      <w:r w:rsidR="008A3784" w:rsidRPr="008F55A0">
        <w:rPr>
          <w:rFonts w:eastAsiaTheme="minorHAnsi"/>
          <w:lang w:eastAsia="en-US"/>
        </w:rPr>
        <w:fldChar w:fldCharType="separate"/>
      </w:r>
      <w:r w:rsidR="00CA6F76" w:rsidRPr="00CA6F76">
        <w:rPr>
          <w:rStyle w:val="EndnoteReference"/>
        </w:rPr>
        <w:t>3</w:t>
      </w:r>
      <w:r w:rsidR="008A3784" w:rsidRPr="008F55A0">
        <w:rPr>
          <w:rFonts w:eastAsiaTheme="minorHAnsi"/>
          <w:lang w:eastAsia="en-US"/>
        </w:rPr>
        <w:fldChar w:fldCharType="end"/>
      </w:r>
      <w:r w:rsidRPr="008F55A0">
        <w:rPr>
          <w:rFonts w:eastAsiaTheme="minorHAnsi"/>
          <w:lang w:eastAsia="en-US"/>
        </w:rPr>
        <w:t>] demonstrated that ezetimibe significantly reduced LDL-C levels compared with placebo (WMD -18.56, 95% CI -19.68 to -17.44, I</w:t>
      </w:r>
      <w:r w:rsidRPr="008F55A0">
        <w:rPr>
          <w:rFonts w:eastAsiaTheme="minorHAnsi"/>
          <w:vertAlign w:val="superscript"/>
          <w:lang w:eastAsia="en-US"/>
        </w:rPr>
        <w:t>2</w:t>
      </w:r>
      <w:r w:rsidRPr="008F55A0">
        <w:rPr>
          <w:rFonts w:eastAsiaTheme="minorHAnsi"/>
          <w:lang w:eastAsia="en-US"/>
        </w:rPr>
        <w:t>=55.4%).</w:t>
      </w:r>
      <w:r w:rsidRPr="00912F4E">
        <w:rPr>
          <w:rFonts w:eastAsiaTheme="minorHAnsi"/>
          <w:lang w:eastAsia="en-US"/>
        </w:rPr>
        <w:t xml:space="preserve"> </w:t>
      </w:r>
    </w:p>
    <w:p w14:paraId="64B6A3AE" w14:textId="13B9BBFD" w:rsidR="00912F4E" w:rsidRPr="00912F4E" w:rsidRDefault="00912F4E" w:rsidP="00912F4E">
      <w:pPr>
        <w:jc w:val="both"/>
        <w:rPr>
          <w:rFonts w:eastAsiaTheme="minorHAnsi"/>
          <w:lang w:eastAsia="en-US"/>
        </w:rPr>
      </w:pPr>
      <w:r w:rsidRPr="00912F4E">
        <w:rPr>
          <w:rFonts w:eastAsiaTheme="minorHAnsi"/>
          <w:u w:val="single"/>
          <w:lang w:eastAsia="en-US"/>
        </w:rPr>
        <w:t>Pandor et al 2009.</w:t>
      </w:r>
      <w:r w:rsidRPr="00912F4E">
        <w:rPr>
          <w:rFonts w:eastAsiaTheme="minorHAnsi"/>
          <w:lang w:eastAsia="en-US"/>
        </w:rPr>
        <w:t xml:space="preserve"> In this publication the authors of HTA 2008 updated results of the meta-analysis of the efficacy and safety of </w:t>
      </w:r>
      <w:r w:rsidRPr="00912F4E">
        <w:rPr>
          <w:rFonts w:eastAsiaTheme="minorHAnsi"/>
          <w:u w:val="single"/>
          <w:lang w:eastAsia="en-US"/>
        </w:rPr>
        <w:t>ezetimibe monotherapy (10mg/day)</w:t>
      </w:r>
      <w:r w:rsidRPr="00912F4E">
        <w:rPr>
          <w:rFonts w:eastAsiaTheme="minorHAnsi"/>
          <w:lang w:eastAsia="en-US"/>
        </w:rPr>
        <w:t xml:space="preserve"> vs placebo reported in eight RCTs [Ballantyne 2003</w:t>
      </w:r>
      <w:r w:rsidR="008A3784">
        <w:rPr>
          <w:rFonts w:eastAsiaTheme="minorHAnsi"/>
          <w:lang w:eastAsia="en-US"/>
        </w:rPr>
        <w:fldChar w:fldCharType="begin"/>
      </w:r>
      <w:r w:rsidR="008A3784">
        <w:rPr>
          <w:rFonts w:eastAsiaTheme="minorHAnsi"/>
          <w:lang w:eastAsia="en-US"/>
        </w:rPr>
        <w:instrText xml:space="preserve"> NOTEREF _Ref460673206 \f \h </w:instrText>
      </w:r>
      <w:r w:rsidR="008A3784">
        <w:rPr>
          <w:rFonts w:eastAsiaTheme="minorHAnsi"/>
          <w:lang w:eastAsia="en-US"/>
        </w:rPr>
      </w:r>
      <w:r w:rsidR="008A3784">
        <w:rPr>
          <w:rFonts w:eastAsiaTheme="minorHAnsi"/>
          <w:lang w:eastAsia="en-US"/>
        </w:rPr>
        <w:fldChar w:fldCharType="separate"/>
      </w:r>
      <w:r w:rsidR="00CA6F76" w:rsidRPr="00CA6F76">
        <w:rPr>
          <w:rStyle w:val="EndnoteReference"/>
        </w:rPr>
        <w:t>5</w:t>
      </w:r>
      <w:r w:rsidR="008A3784">
        <w:rPr>
          <w:rFonts w:eastAsiaTheme="minorHAnsi"/>
          <w:lang w:eastAsia="en-US"/>
        </w:rPr>
        <w:fldChar w:fldCharType="end"/>
      </w:r>
      <w:r w:rsidRPr="001704FF">
        <w:rPr>
          <w:rFonts w:eastAsiaTheme="minorHAnsi"/>
          <w:lang w:eastAsia="en-US"/>
        </w:rPr>
        <w:t>; Bays</w:t>
      </w:r>
      <w:r w:rsidRPr="00912F4E">
        <w:rPr>
          <w:rFonts w:eastAsiaTheme="minorHAnsi"/>
          <w:lang w:eastAsia="en-US"/>
        </w:rPr>
        <w:t xml:space="preserve"> 2004</w:t>
      </w:r>
      <w:r w:rsidR="008A3784">
        <w:rPr>
          <w:rFonts w:eastAsiaTheme="minorHAnsi"/>
          <w:lang w:eastAsia="en-US"/>
        </w:rPr>
        <w:fldChar w:fldCharType="begin"/>
      </w:r>
      <w:r w:rsidR="008A3784">
        <w:rPr>
          <w:rFonts w:eastAsiaTheme="minorHAnsi"/>
          <w:lang w:eastAsia="en-US"/>
        </w:rPr>
        <w:instrText xml:space="preserve"> NOTEREF _Ref460672386 \f \h </w:instrText>
      </w:r>
      <w:r w:rsidR="008A3784">
        <w:rPr>
          <w:rFonts w:eastAsiaTheme="minorHAnsi"/>
          <w:lang w:eastAsia="en-US"/>
        </w:rPr>
      </w:r>
      <w:r w:rsidR="008A3784">
        <w:rPr>
          <w:rFonts w:eastAsiaTheme="minorHAnsi"/>
          <w:lang w:eastAsia="en-US"/>
        </w:rPr>
        <w:fldChar w:fldCharType="separate"/>
      </w:r>
      <w:r w:rsidR="00CA6F76" w:rsidRPr="00CA6F76">
        <w:rPr>
          <w:rStyle w:val="EndnoteReference"/>
        </w:rPr>
        <w:t>19</w:t>
      </w:r>
      <w:r w:rsidR="008A3784">
        <w:rPr>
          <w:rFonts w:eastAsiaTheme="minorHAnsi"/>
          <w:lang w:eastAsia="en-US"/>
        </w:rPr>
        <w:fldChar w:fldCharType="end"/>
      </w:r>
      <w:r w:rsidRPr="00912F4E">
        <w:rPr>
          <w:rFonts w:eastAsiaTheme="minorHAnsi"/>
          <w:lang w:eastAsia="en-US"/>
        </w:rPr>
        <w:t>; Davidson 2002</w:t>
      </w:r>
      <w:r w:rsidR="008A3784">
        <w:rPr>
          <w:rFonts w:eastAsiaTheme="minorHAnsi"/>
          <w:lang w:eastAsia="en-US"/>
        </w:rPr>
        <w:fldChar w:fldCharType="begin"/>
      </w:r>
      <w:r w:rsidR="008A3784">
        <w:rPr>
          <w:rFonts w:eastAsiaTheme="minorHAnsi"/>
          <w:lang w:eastAsia="en-US"/>
        </w:rPr>
        <w:instrText xml:space="preserve"> NOTEREF _Ref460672395 \f \h </w:instrText>
      </w:r>
      <w:r w:rsidR="008A3784">
        <w:rPr>
          <w:rFonts w:eastAsiaTheme="minorHAnsi"/>
          <w:lang w:eastAsia="en-US"/>
        </w:rPr>
      </w:r>
      <w:r w:rsidR="008A3784">
        <w:rPr>
          <w:rFonts w:eastAsiaTheme="minorHAnsi"/>
          <w:lang w:eastAsia="en-US"/>
        </w:rPr>
        <w:fldChar w:fldCharType="separate"/>
      </w:r>
      <w:r w:rsidR="00CA6F76" w:rsidRPr="00CA6F76">
        <w:rPr>
          <w:rStyle w:val="EndnoteReference"/>
        </w:rPr>
        <w:t>4</w:t>
      </w:r>
      <w:r w:rsidR="008A3784">
        <w:rPr>
          <w:rFonts w:eastAsiaTheme="minorHAnsi"/>
          <w:lang w:eastAsia="en-US"/>
        </w:rPr>
        <w:fldChar w:fldCharType="end"/>
      </w:r>
      <w:r w:rsidRPr="00912F4E">
        <w:rPr>
          <w:rFonts w:eastAsiaTheme="minorHAnsi"/>
          <w:lang w:eastAsia="en-US"/>
        </w:rPr>
        <w:t>; Dujovne 2002</w:t>
      </w:r>
      <w:r w:rsidR="008A3784">
        <w:rPr>
          <w:rFonts w:eastAsiaTheme="minorHAnsi"/>
          <w:lang w:eastAsia="en-US"/>
        </w:rPr>
        <w:fldChar w:fldCharType="begin"/>
      </w:r>
      <w:r w:rsidR="008A3784">
        <w:rPr>
          <w:rFonts w:eastAsiaTheme="minorHAnsi"/>
          <w:lang w:eastAsia="en-US"/>
        </w:rPr>
        <w:instrText xml:space="preserve"> NOTEREF _Ref460662442 \f \h </w:instrText>
      </w:r>
      <w:r w:rsidR="008A3784">
        <w:rPr>
          <w:rFonts w:eastAsiaTheme="minorHAnsi"/>
          <w:lang w:eastAsia="en-US"/>
        </w:rPr>
      </w:r>
      <w:r w:rsidR="008A3784">
        <w:rPr>
          <w:rFonts w:eastAsiaTheme="minorHAnsi"/>
          <w:lang w:eastAsia="en-US"/>
        </w:rPr>
        <w:fldChar w:fldCharType="separate"/>
      </w:r>
      <w:r w:rsidR="00CA6F76" w:rsidRPr="00CA6F76">
        <w:rPr>
          <w:rStyle w:val="EndnoteReference"/>
        </w:rPr>
        <w:t>2</w:t>
      </w:r>
      <w:r w:rsidR="008A3784">
        <w:rPr>
          <w:rFonts w:eastAsiaTheme="minorHAnsi"/>
          <w:lang w:eastAsia="en-US"/>
        </w:rPr>
        <w:fldChar w:fldCharType="end"/>
      </w:r>
      <w:r w:rsidRPr="00912F4E">
        <w:rPr>
          <w:rFonts w:eastAsiaTheme="minorHAnsi"/>
          <w:lang w:eastAsia="en-US"/>
        </w:rPr>
        <w:t>; Goldberg 2004; Melani 2003</w:t>
      </w:r>
      <w:r w:rsidR="008A3784">
        <w:rPr>
          <w:rFonts w:eastAsiaTheme="minorHAnsi"/>
          <w:lang w:eastAsia="en-US"/>
        </w:rPr>
        <w:fldChar w:fldCharType="begin"/>
      </w:r>
      <w:r w:rsidR="008A3784">
        <w:rPr>
          <w:rFonts w:eastAsiaTheme="minorHAnsi"/>
          <w:lang w:eastAsia="en-US"/>
        </w:rPr>
        <w:instrText xml:space="preserve"> NOTEREF _Ref460680055 \f \h </w:instrText>
      </w:r>
      <w:r w:rsidR="008A3784">
        <w:rPr>
          <w:rFonts w:eastAsiaTheme="minorHAnsi"/>
          <w:lang w:eastAsia="en-US"/>
        </w:rPr>
      </w:r>
      <w:r w:rsidR="008A3784">
        <w:rPr>
          <w:rFonts w:eastAsiaTheme="minorHAnsi"/>
          <w:lang w:eastAsia="en-US"/>
        </w:rPr>
        <w:fldChar w:fldCharType="separate"/>
      </w:r>
      <w:r w:rsidR="00CA6F76" w:rsidRPr="00CA6F76">
        <w:rPr>
          <w:rStyle w:val="EndnoteReference"/>
        </w:rPr>
        <w:t>73</w:t>
      </w:r>
      <w:r w:rsidR="008A3784">
        <w:rPr>
          <w:rFonts w:eastAsiaTheme="minorHAnsi"/>
          <w:lang w:eastAsia="en-US"/>
        </w:rPr>
        <w:fldChar w:fldCharType="end"/>
      </w:r>
      <w:r w:rsidRPr="00912F4E">
        <w:rPr>
          <w:rFonts w:eastAsiaTheme="minorHAnsi"/>
          <w:lang w:eastAsia="en-US"/>
        </w:rPr>
        <w:t>; Kerzner 2003</w:t>
      </w:r>
      <w:r w:rsidR="00D21DD3">
        <w:rPr>
          <w:rFonts w:eastAsiaTheme="minorHAnsi"/>
          <w:lang w:eastAsia="en-US"/>
        </w:rPr>
        <w:fldChar w:fldCharType="begin"/>
      </w:r>
      <w:r w:rsidR="00D21DD3">
        <w:rPr>
          <w:rFonts w:eastAsiaTheme="minorHAnsi"/>
          <w:lang w:eastAsia="en-US"/>
        </w:rPr>
        <w:instrText xml:space="preserve"> NOTEREF _Ref460679746 \f \h </w:instrText>
      </w:r>
      <w:r w:rsidR="00D21DD3">
        <w:rPr>
          <w:rFonts w:eastAsiaTheme="minorHAnsi"/>
          <w:lang w:eastAsia="en-US"/>
        </w:rPr>
      </w:r>
      <w:r w:rsidR="00D21DD3">
        <w:rPr>
          <w:rFonts w:eastAsiaTheme="minorHAnsi"/>
          <w:lang w:eastAsia="en-US"/>
        </w:rPr>
        <w:fldChar w:fldCharType="separate"/>
      </w:r>
      <w:r w:rsidR="00CA6F76" w:rsidRPr="00CA6F76">
        <w:rPr>
          <w:rStyle w:val="EndnoteReference"/>
        </w:rPr>
        <w:t>65</w:t>
      </w:r>
      <w:r w:rsidR="00D21DD3">
        <w:rPr>
          <w:rFonts w:eastAsiaTheme="minorHAnsi"/>
          <w:lang w:eastAsia="en-US"/>
        </w:rPr>
        <w:fldChar w:fldCharType="end"/>
      </w:r>
      <w:r w:rsidRPr="00912F4E">
        <w:rPr>
          <w:rFonts w:eastAsiaTheme="minorHAnsi"/>
          <w:lang w:eastAsia="en-US"/>
        </w:rPr>
        <w:t>;  Knopp 2003</w:t>
      </w:r>
      <w:r w:rsidR="008A3784">
        <w:rPr>
          <w:rFonts w:eastAsiaTheme="minorHAnsi"/>
          <w:lang w:eastAsia="en-US"/>
        </w:rPr>
        <w:fldChar w:fldCharType="begin"/>
      </w:r>
      <w:r w:rsidR="008A3784">
        <w:rPr>
          <w:rFonts w:eastAsiaTheme="minorHAnsi"/>
          <w:lang w:eastAsia="en-US"/>
        </w:rPr>
        <w:instrText xml:space="preserve"> NOTEREF _Ref460662452 \f \h </w:instrText>
      </w:r>
      <w:r w:rsidR="008A3784">
        <w:rPr>
          <w:rFonts w:eastAsiaTheme="minorHAnsi"/>
          <w:lang w:eastAsia="en-US"/>
        </w:rPr>
      </w:r>
      <w:r w:rsidR="008A3784">
        <w:rPr>
          <w:rFonts w:eastAsiaTheme="minorHAnsi"/>
          <w:lang w:eastAsia="en-US"/>
        </w:rPr>
        <w:fldChar w:fldCharType="separate"/>
      </w:r>
      <w:r w:rsidR="00CA6F76" w:rsidRPr="00CA6F76">
        <w:rPr>
          <w:rStyle w:val="EndnoteReference"/>
        </w:rPr>
        <w:t>3</w:t>
      </w:r>
      <w:r w:rsidR="008A3784">
        <w:rPr>
          <w:rFonts w:eastAsiaTheme="minorHAnsi"/>
          <w:lang w:eastAsia="en-US"/>
        </w:rPr>
        <w:fldChar w:fldCharType="end"/>
      </w:r>
      <w:r w:rsidRPr="00912F4E">
        <w:rPr>
          <w:rFonts w:eastAsiaTheme="minorHAnsi"/>
          <w:lang w:eastAsia="en-US"/>
        </w:rPr>
        <w:t xml:space="preserve">] in the same population (n=2,722). It was confirmed that ezetimibe monotherapy was associated with a statistically significant mean reduction in LDL cholesterol (from baseline to endpoint) of -18.58%, (95% CI: - 19.67 to -17.48, P &lt; 0.00001) compared with placebo (Table </w:t>
      </w:r>
      <w:r w:rsidR="006609C9">
        <w:rPr>
          <w:rFonts w:eastAsiaTheme="minorHAnsi"/>
          <w:lang w:eastAsia="en-US"/>
        </w:rPr>
        <w:t>2.2.3.3</w:t>
      </w:r>
      <w:r w:rsidRPr="00912F4E">
        <w:rPr>
          <w:rFonts w:eastAsiaTheme="minorHAnsi"/>
          <w:lang w:eastAsia="en-US"/>
        </w:rPr>
        <w:t>). Significant (P &lt; 0.00001) changes were also found in total cholesterol (-13.46%, 95% CI: -14.22 to -12.70), HDL cholesterol (3.00%, 95% CI: 2.06–3.94) and triglyceride levels (-8.06%, 95% CI:-10.92 to -5.20). The authors also found that ezetimibe monotherapy appeared to be well tolerated with a safety profile similar to placebo.</w:t>
      </w:r>
    </w:p>
    <w:p w14:paraId="4DB2343C" w14:textId="47817412" w:rsidR="00912F4E" w:rsidRPr="00912F4E" w:rsidRDefault="00912F4E" w:rsidP="006609C9">
      <w:pPr>
        <w:pStyle w:val="Caption"/>
        <w:ind w:left="0"/>
        <w:rPr>
          <w:sz w:val="22"/>
          <w:szCs w:val="22"/>
        </w:rPr>
      </w:pPr>
      <w:r w:rsidRPr="00912F4E">
        <w:rPr>
          <w:sz w:val="22"/>
          <w:szCs w:val="22"/>
        </w:rPr>
        <w:t xml:space="preserve">Table </w:t>
      </w:r>
      <w:r w:rsidR="00127FB8">
        <w:rPr>
          <w:sz w:val="22"/>
          <w:szCs w:val="22"/>
        </w:rPr>
        <w:t>2.2.3.5</w:t>
      </w:r>
      <w:r w:rsidRPr="00912F4E">
        <w:rPr>
          <w:sz w:val="22"/>
          <w:szCs w:val="22"/>
        </w:rPr>
        <w:t xml:space="preserve">. Meta-analysis of the percentage reduction in LDL-C from the baseline reported in RCTs comparing ezetimibe monotherapy to placebo in patients with primary hypercholesterolemia </w:t>
      </w:r>
    </w:p>
    <w:tbl>
      <w:tblPr>
        <w:tblStyle w:val="TableGrid3"/>
        <w:tblW w:w="9209" w:type="dxa"/>
        <w:tblLook w:val="04A0" w:firstRow="1" w:lastRow="0" w:firstColumn="1" w:lastColumn="0" w:noHBand="0" w:noVBand="1"/>
      </w:tblPr>
      <w:tblGrid>
        <w:gridCol w:w="1555"/>
        <w:gridCol w:w="1200"/>
        <w:gridCol w:w="1110"/>
        <w:gridCol w:w="1686"/>
        <w:gridCol w:w="1701"/>
        <w:gridCol w:w="1957"/>
      </w:tblGrid>
      <w:tr w:rsidR="00912F4E" w:rsidRPr="000E4DA5" w14:paraId="43656402" w14:textId="77777777" w:rsidTr="006609C9">
        <w:tc>
          <w:tcPr>
            <w:tcW w:w="1555" w:type="dxa"/>
          </w:tcPr>
          <w:p w14:paraId="488ABC76" w14:textId="77777777" w:rsidR="00912F4E" w:rsidRPr="000E4DA5" w:rsidRDefault="00912F4E" w:rsidP="00912F4E">
            <w:pPr>
              <w:jc w:val="both"/>
              <w:rPr>
                <w:rFonts w:ascii="Arial Narrow" w:hAnsi="Arial Narrow"/>
              </w:rPr>
            </w:pPr>
            <w:r w:rsidRPr="000E4DA5">
              <w:rPr>
                <w:rFonts w:ascii="Arial Narrow" w:hAnsi="Arial Narrow"/>
              </w:rPr>
              <w:t>Study</w:t>
            </w:r>
          </w:p>
        </w:tc>
        <w:tc>
          <w:tcPr>
            <w:tcW w:w="1200" w:type="dxa"/>
          </w:tcPr>
          <w:p w14:paraId="0D6CCC78" w14:textId="77777777" w:rsidR="00912F4E" w:rsidRPr="000E4DA5" w:rsidRDefault="00912F4E" w:rsidP="00912F4E">
            <w:pPr>
              <w:jc w:val="both"/>
              <w:rPr>
                <w:rFonts w:ascii="Arial Narrow" w:hAnsi="Arial Narrow"/>
              </w:rPr>
            </w:pPr>
            <w:r w:rsidRPr="000E4DA5">
              <w:rPr>
                <w:rFonts w:ascii="Arial Narrow" w:hAnsi="Arial Narrow"/>
              </w:rPr>
              <w:t>Treatment duration (weeks)</w:t>
            </w:r>
          </w:p>
        </w:tc>
        <w:tc>
          <w:tcPr>
            <w:tcW w:w="1110" w:type="dxa"/>
          </w:tcPr>
          <w:p w14:paraId="21ECC3A7" w14:textId="7147A0B9" w:rsidR="00912F4E" w:rsidRPr="000E4DA5" w:rsidRDefault="008A3784" w:rsidP="00912F4E">
            <w:pPr>
              <w:rPr>
                <w:rFonts w:ascii="Arial Narrow" w:hAnsi="Arial Narrow"/>
              </w:rPr>
            </w:pPr>
            <w:r w:rsidRPr="000E4DA5">
              <w:rPr>
                <w:rFonts w:ascii="Arial Narrow" w:hAnsi="Arial Narrow"/>
              </w:rPr>
              <w:t>Baseline LDL-C (mmol/</w:t>
            </w:r>
            <w:r w:rsidR="00912F4E" w:rsidRPr="000E4DA5">
              <w:rPr>
                <w:rFonts w:ascii="Arial Narrow" w:hAnsi="Arial Narrow"/>
              </w:rPr>
              <w:t>L)</w:t>
            </w:r>
          </w:p>
        </w:tc>
        <w:tc>
          <w:tcPr>
            <w:tcW w:w="1686" w:type="dxa"/>
          </w:tcPr>
          <w:p w14:paraId="131AB004" w14:textId="77777777" w:rsidR="00912F4E" w:rsidRPr="000E4DA5" w:rsidRDefault="00912F4E" w:rsidP="00912F4E">
            <w:pPr>
              <w:rPr>
                <w:rFonts w:ascii="Arial Narrow" w:hAnsi="Arial Narrow"/>
              </w:rPr>
            </w:pPr>
            <w:r w:rsidRPr="000E4DA5">
              <w:rPr>
                <w:rFonts w:ascii="Arial Narrow" w:hAnsi="Arial Narrow"/>
              </w:rPr>
              <w:t>N randomised ezetimibe monotherapy</w:t>
            </w:r>
          </w:p>
        </w:tc>
        <w:tc>
          <w:tcPr>
            <w:tcW w:w="1701" w:type="dxa"/>
          </w:tcPr>
          <w:p w14:paraId="01DF54D6" w14:textId="77777777" w:rsidR="00912F4E" w:rsidRPr="000E4DA5" w:rsidRDefault="00912F4E" w:rsidP="00912F4E">
            <w:pPr>
              <w:jc w:val="both"/>
              <w:rPr>
                <w:rFonts w:ascii="Arial Narrow" w:hAnsi="Arial Narrow"/>
              </w:rPr>
            </w:pPr>
            <w:r w:rsidRPr="000E4DA5">
              <w:rPr>
                <w:rFonts w:ascii="Arial Narrow" w:hAnsi="Arial Narrow"/>
              </w:rPr>
              <w:t>N randomised placebo</w:t>
            </w:r>
          </w:p>
        </w:tc>
        <w:tc>
          <w:tcPr>
            <w:tcW w:w="1957" w:type="dxa"/>
          </w:tcPr>
          <w:p w14:paraId="6FC63EE0" w14:textId="77777777" w:rsidR="00912F4E" w:rsidRPr="000E4DA5" w:rsidRDefault="00912F4E" w:rsidP="00912F4E">
            <w:pPr>
              <w:rPr>
                <w:rFonts w:ascii="Arial Narrow" w:hAnsi="Arial Narrow"/>
              </w:rPr>
            </w:pPr>
            <w:r w:rsidRPr="000E4DA5">
              <w:rPr>
                <w:rFonts w:ascii="Arial Narrow" w:hAnsi="Arial Narrow"/>
              </w:rPr>
              <w:t xml:space="preserve">Weighted mean difference (fixed effects) </w:t>
            </w:r>
          </w:p>
          <w:p w14:paraId="23670CDE" w14:textId="77777777" w:rsidR="00912F4E" w:rsidRPr="000E4DA5" w:rsidRDefault="00912F4E" w:rsidP="00912F4E">
            <w:pPr>
              <w:rPr>
                <w:rFonts w:ascii="Arial Narrow" w:hAnsi="Arial Narrow"/>
              </w:rPr>
            </w:pPr>
            <w:r w:rsidRPr="000E4DA5">
              <w:rPr>
                <w:rFonts w:ascii="Arial Narrow" w:hAnsi="Arial Narrow"/>
              </w:rPr>
              <w:t>95%CI</w:t>
            </w:r>
          </w:p>
        </w:tc>
      </w:tr>
      <w:tr w:rsidR="00912F4E" w:rsidRPr="000E4DA5" w14:paraId="7F36E78B" w14:textId="77777777" w:rsidTr="006609C9">
        <w:tc>
          <w:tcPr>
            <w:tcW w:w="1555" w:type="dxa"/>
          </w:tcPr>
          <w:p w14:paraId="23BA85E2"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 xml:space="preserve">Ballantyne 2003* </w:t>
            </w:r>
          </w:p>
        </w:tc>
        <w:tc>
          <w:tcPr>
            <w:tcW w:w="1200" w:type="dxa"/>
          </w:tcPr>
          <w:p w14:paraId="45AEEAD2"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0" w:type="dxa"/>
          </w:tcPr>
          <w:p w14:paraId="62734B36" w14:textId="47D1AE5C" w:rsidR="00912F4E" w:rsidRPr="000E4DA5" w:rsidRDefault="00B01ED7" w:rsidP="00912F4E">
            <w:pPr>
              <w:jc w:val="both"/>
              <w:rPr>
                <w:rFonts w:ascii="Arial Narrow" w:hAnsi="Arial Narrow"/>
                <w:sz w:val="20"/>
                <w:szCs w:val="20"/>
              </w:rPr>
            </w:pPr>
            <w:r w:rsidRPr="000E4DA5">
              <w:rPr>
                <w:rFonts w:ascii="Arial Narrow" w:hAnsi="Arial Narrow"/>
                <w:sz w:val="20"/>
                <w:szCs w:val="20"/>
              </w:rPr>
              <w:t>3.77-6.5</w:t>
            </w:r>
          </w:p>
        </w:tc>
        <w:tc>
          <w:tcPr>
            <w:tcW w:w="1686" w:type="dxa"/>
          </w:tcPr>
          <w:p w14:paraId="7C19370C"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65</w:t>
            </w:r>
          </w:p>
        </w:tc>
        <w:tc>
          <w:tcPr>
            <w:tcW w:w="1701" w:type="dxa"/>
          </w:tcPr>
          <w:p w14:paraId="6E61BECB"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60</w:t>
            </w:r>
          </w:p>
        </w:tc>
        <w:tc>
          <w:tcPr>
            <w:tcW w:w="1957" w:type="dxa"/>
          </w:tcPr>
          <w:p w14:paraId="36E1604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-24.30 (-29.5, -19.1)</w:t>
            </w:r>
          </w:p>
        </w:tc>
      </w:tr>
      <w:tr w:rsidR="00912F4E" w:rsidRPr="000E4DA5" w14:paraId="214CA811" w14:textId="77777777" w:rsidTr="006609C9">
        <w:tc>
          <w:tcPr>
            <w:tcW w:w="1555" w:type="dxa"/>
          </w:tcPr>
          <w:p w14:paraId="785DAD5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 xml:space="preserve">Bays 2004* </w:t>
            </w:r>
          </w:p>
        </w:tc>
        <w:tc>
          <w:tcPr>
            <w:tcW w:w="1200" w:type="dxa"/>
          </w:tcPr>
          <w:p w14:paraId="3CCFC789"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0" w:type="dxa"/>
          </w:tcPr>
          <w:p w14:paraId="0A26A006" w14:textId="13AF5161" w:rsidR="00912F4E" w:rsidRPr="000E4DA5" w:rsidRDefault="00B01ED7" w:rsidP="00912F4E">
            <w:pPr>
              <w:jc w:val="both"/>
              <w:rPr>
                <w:rFonts w:ascii="Arial Narrow" w:hAnsi="Arial Narrow"/>
                <w:sz w:val="20"/>
                <w:szCs w:val="20"/>
              </w:rPr>
            </w:pPr>
            <w:r w:rsidRPr="000E4DA5">
              <w:rPr>
                <w:rFonts w:ascii="Arial Narrow" w:hAnsi="Arial Narrow"/>
                <w:sz w:val="20"/>
                <w:szCs w:val="20"/>
              </w:rPr>
              <w:t>3.77-6.5</w:t>
            </w:r>
          </w:p>
        </w:tc>
        <w:tc>
          <w:tcPr>
            <w:tcW w:w="1686" w:type="dxa"/>
          </w:tcPr>
          <w:p w14:paraId="06D5C413"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148</w:t>
            </w:r>
          </w:p>
        </w:tc>
        <w:tc>
          <w:tcPr>
            <w:tcW w:w="1701" w:type="dxa"/>
          </w:tcPr>
          <w:p w14:paraId="51CFC1BA"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146</w:t>
            </w:r>
          </w:p>
        </w:tc>
        <w:tc>
          <w:tcPr>
            <w:tcW w:w="1957" w:type="dxa"/>
          </w:tcPr>
          <w:p w14:paraId="2A47D895"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-16.70 (-20.0, -13.4)</w:t>
            </w:r>
          </w:p>
        </w:tc>
      </w:tr>
      <w:tr w:rsidR="00912F4E" w:rsidRPr="000E4DA5" w14:paraId="26283C99" w14:textId="77777777" w:rsidTr="006609C9">
        <w:tc>
          <w:tcPr>
            <w:tcW w:w="1555" w:type="dxa"/>
          </w:tcPr>
          <w:p w14:paraId="14D8692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 xml:space="preserve">Davidson 2002* </w:t>
            </w:r>
          </w:p>
        </w:tc>
        <w:tc>
          <w:tcPr>
            <w:tcW w:w="1200" w:type="dxa"/>
          </w:tcPr>
          <w:p w14:paraId="4D46898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0" w:type="dxa"/>
          </w:tcPr>
          <w:p w14:paraId="2616FF20" w14:textId="03A924A7" w:rsidR="00912F4E" w:rsidRPr="000E4DA5" w:rsidRDefault="00B01ED7" w:rsidP="00912F4E">
            <w:pPr>
              <w:jc w:val="both"/>
              <w:rPr>
                <w:rFonts w:ascii="Arial Narrow" w:hAnsi="Arial Narrow"/>
                <w:sz w:val="20"/>
                <w:szCs w:val="20"/>
              </w:rPr>
            </w:pPr>
            <w:r w:rsidRPr="000E4DA5">
              <w:rPr>
                <w:rFonts w:ascii="Arial Narrow" w:hAnsi="Arial Narrow"/>
                <w:sz w:val="20"/>
                <w:szCs w:val="20"/>
              </w:rPr>
              <w:t>3.77-6.5</w:t>
            </w:r>
          </w:p>
        </w:tc>
        <w:tc>
          <w:tcPr>
            <w:tcW w:w="1686" w:type="dxa"/>
          </w:tcPr>
          <w:p w14:paraId="5B46247F"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61</w:t>
            </w:r>
          </w:p>
        </w:tc>
        <w:tc>
          <w:tcPr>
            <w:tcW w:w="1701" w:type="dxa"/>
          </w:tcPr>
          <w:p w14:paraId="2CF30CFB"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70</w:t>
            </w:r>
          </w:p>
        </w:tc>
        <w:tc>
          <w:tcPr>
            <w:tcW w:w="1957" w:type="dxa"/>
          </w:tcPr>
          <w:p w14:paraId="0345C1CB"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-16.80 (-21.8, -11.8)</w:t>
            </w:r>
          </w:p>
        </w:tc>
      </w:tr>
      <w:tr w:rsidR="00912F4E" w:rsidRPr="000E4DA5" w14:paraId="73E4297E" w14:textId="77777777" w:rsidTr="006609C9">
        <w:tc>
          <w:tcPr>
            <w:tcW w:w="1555" w:type="dxa"/>
          </w:tcPr>
          <w:p w14:paraId="70A987BB"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Dujovne 2002*</w:t>
            </w:r>
          </w:p>
        </w:tc>
        <w:tc>
          <w:tcPr>
            <w:tcW w:w="1200" w:type="dxa"/>
          </w:tcPr>
          <w:p w14:paraId="32C9131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0" w:type="dxa"/>
          </w:tcPr>
          <w:p w14:paraId="66EDFA19" w14:textId="1F0CDAAE" w:rsidR="00912F4E" w:rsidRPr="000E4DA5" w:rsidRDefault="008A3784" w:rsidP="00912F4E">
            <w:pPr>
              <w:jc w:val="both"/>
              <w:rPr>
                <w:rFonts w:ascii="Arial Narrow" w:hAnsi="Arial Narrow"/>
                <w:sz w:val="20"/>
                <w:szCs w:val="20"/>
              </w:rPr>
            </w:pPr>
            <w:r w:rsidRPr="000E4DA5">
              <w:rPr>
                <w:rFonts w:ascii="Arial Narrow" w:hAnsi="Arial Narrow"/>
                <w:sz w:val="20"/>
                <w:szCs w:val="20"/>
              </w:rPr>
              <w:t>3.38-6.5</w:t>
            </w:r>
          </w:p>
        </w:tc>
        <w:tc>
          <w:tcPr>
            <w:tcW w:w="1686" w:type="dxa"/>
          </w:tcPr>
          <w:p w14:paraId="52A07962"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666</w:t>
            </w:r>
          </w:p>
        </w:tc>
        <w:tc>
          <w:tcPr>
            <w:tcW w:w="1701" w:type="dxa"/>
          </w:tcPr>
          <w:p w14:paraId="715D7872"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266</w:t>
            </w:r>
          </w:p>
        </w:tc>
        <w:tc>
          <w:tcPr>
            <w:tcW w:w="1957" w:type="dxa"/>
          </w:tcPr>
          <w:p w14:paraId="29E29112"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-17.22 (-19.2, -15.3)</w:t>
            </w:r>
          </w:p>
        </w:tc>
      </w:tr>
      <w:tr w:rsidR="00912F4E" w:rsidRPr="000E4DA5" w14:paraId="6E219BEC" w14:textId="77777777" w:rsidTr="006609C9">
        <w:tc>
          <w:tcPr>
            <w:tcW w:w="1555" w:type="dxa"/>
          </w:tcPr>
          <w:p w14:paraId="1318AB55"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 xml:space="preserve">Goldberg 2004* </w:t>
            </w:r>
          </w:p>
        </w:tc>
        <w:tc>
          <w:tcPr>
            <w:tcW w:w="1200" w:type="dxa"/>
          </w:tcPr>
          <w:p w14:paraId="3471865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0" w:type="dxa"/>
          </w:tcPr>
          <w:p w14:paraId="023C7741" w14:textId="1462BA18" w:rsidR="00912F4E" w:rsidRPr="000E4DA5" w:rsidRDefault="008A3784" w:rsidP="00912F4E">
            <w:pPr>
              <w:jc w:val="both"/>
              <w:rPr>
                <w:rFonts w:ascii="Arial Narrow" w:hAnsi="Arial Narrow"/>
                <w:sz w:val="20"/>
                <w:szCs w:val="20"/>
              </w:rPr>
            </w:pPr>
            <w:r w:rsidRPr="000E4DA5">
              <w:rPr>
                <w:rFonts w:ascii="Arial Narrow" w:hAnsi="Arial Narrow"/>
                <w:sz w:val="20"/>
                <w:szCs w:val="20"/>
              </w:rPr>
              <w:t>3.77-6.5</w:t>
            </w:r>
          </w:p>
        </w:tc>
        <w:tc>
          <w:tcPr>
            <w:tcW w:w="1686" w:type="dxa"/>
          </w:tcPr>
          <w:p w14:paraId="64B7A771"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89</w:t>
            </w:r>
          </w:p>
        </w:tc>
        <w:tc>
          <w:tcPr>
            <w:tcW w:w="1701" w:type="dxa"/>
          </w:tcPr>
          <w:p w14:paraId="749F880C"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92</w:t>
            </w:r>
          </w:p>
        </w:tc>
        <w:tc>
          <w:tcPr>
            <w:tcW w:w="1957" w:type="dxa"/>
          </w:tcPr>
          <w:p w14:paraId="273317B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-22.50 (-26.0, -19.0)</w:t>
            </w:r>
          </w:p>
        </w:tc>
      </w:tr>
      <w:tr w:rsidR="00912F4E" w:rsidRPr="000E4DA5" w14:paraId="02DE9A7C" w14:textId="77777777" w:rsidTr="006609C9">
        <w:tc>
          <w:tcPr>
            <w:tcW w:w="1555" w:type="dxa"/>
          </w:tcPr>
          <w:p w14:paraId="1A67A1C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Kerzner 2003</w:t>
            </w:r>
          </w:p>
        </w:tc>
        <w:tc>
          <w:tcPr>
            <w:tcW w:w="1200" w:type="dxa"/>
          </w:tcPr>
          <w:p w14:paraId="14B5F84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0" w:type="dxa"/>
          </w:tcPr>
          <w:p w14:paraId="2402A359" w14:textId="45CCF646" w:rsidR="00912F4E" w:rsidRPr="000E4DA5" w:rsidRDefault="008A3784" w:rsidP="00912F4E">
            <w:pPr>
              <w:jc w:val="both"/>
              <w:rPr>
                <w:rFonts w:ascii="Arial Narrow" w:hAnsi="Arial Narrow"/>
                <w:sz w:val="20"/>
                <w:szCs w:val="20"/>
              </w:rPr>
            </w:pPr>
            <w:r w:rsidRPr="000E4DA5">
              <w:rPr>
                <w:rFonts w:ascii="Arial Narrow" w:hAnsi="Arial Narrow"/>
                <w:sz w:val="20"/>
                <w:szCs w:val="20"/>
              </w:rPr>
              <w:t>3.75-6.47</w:t>
            </w:r>
          </w:p>
        </w:tc>
        <w:tc>
          <w:tcPr>
            <w:tcW w:w="1686" w:type="dxa"/>
          </w:tcPr>
          <w:p w14:paraId="144141DC"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72</w:t>
            </w:r>
          </w:p>
        </w:tc>
        <w:tc>
          <w:tcPr>
            <w:tcW w:w="1701" w:type="dxa"/>
          </w:tcPr>
          <w:p w14:paraId="26885510"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64</w:t>
            </w:r>
          </w:p>
        </w:tc>
        <w:tc>
          <w:tcPr>
            <w:tcW w:w="1957" w:type="dxa"/>
          </w:tcPr>
          <w:p w14:paraId="57340CD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-19.00 (-24.6, -13.5)</w:t>
            </w:r>
          </w:p>
        </w:tc>
      </w:tr>
      <w:tr w:rsidR="00912F4E" w:rsidRPr="000E4DA5" w14:paraId="2784811C" w14:textId="77777777" w:rsidTr="006609C9">
        <w:tc>
          <w:tcPr>
            <w:tcW w:w="1555" w:type="dxa"/>
          </w:tcPr>
          <w:p w14:paraId="30D947D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Knopp 2003</w:t>
            </w:r>
          </w:p>
        </w:tc>
        <w:tc>
          <w:tcPr>
            <w:tcW w:w="1200" w:type="dxa"/>
          </w:tcPr>
          <w:p w14:paraId="1AA6A15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0" w:type="dxa"/>
          </w:tcPr>
          <w:p w14:paraId="058825A1" w14:textId="2FC9CE8C" w:rsidR="00912F4E" w:rsidRPr="000E4DA5" w:rsidRDefault="008A3784" w:rsidP="00912F4E">
            <w:pPr>
              <w:jc w:val="both"/>
              <w:rPr>
                <w:rFonts w:ascii="Arial Narrow" w:hAnsi="Arial Narrow"/>
                <w:sz w:val="20"/>
                <w:szCs w:val="20"/>
              </w:rPr>
            </w:pPr>
            <w:r w:rsidRPr="000E4DA5">
              <w:rPr>
                <w:rFonts w:ascii="Arial Narrow" w:hAnsi="Arial Narrow"/>
                <w:sz w:val="20"/>
                <w:szCs w:val="20"/>
              </w:rPr>
              <w:t>3.36-6.47</w:t>
            </w:r>
          </w:p>
        </w:tc>
        <w:tc>
          <w:tcPr>
            <w:tcW w:w="1686" w:type="dxa"/>
          </w:tcPr>
          <w:p w14:paraId="53184C9B"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621</w:t>
            </w:r>
          </w:p>
        </w:tc>
        <w:tc>
          <w:tcPr>
            <w:tcW w:w="1701" w:type="dxa"/>
          </w:tcPr>
          <w:p w14:paraId="663FBC36"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204</w:t>
            </w:r>
          </w:p>
        </w:tc>
        <w:tc>
          <w:tcPr>
            <w:tcW w:w="1957" w:type="dxa"/>
          </w:tcPr>
          <w:p w14:paraId="36243EA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-18.48 (-20.5, -16.4)</w:t>
            </w:r>
          </w:p>
        </w:tc>
      </w:tr>
      <w:tr w:rsidR="00912F4E" w:rsidRPr="000E4DA5" w14:paraId="1D2B7FC6" w14:textId="77777777" w:rsidTr="006609C9">
        <w:tc>
          <w:tcPr>
            <w:tcW w:w="1555" w:type="dxa"/>
          </w:tcPr>
          <w:p w14:paraId="2159CCF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 xml:space="preserve">Melani 2003* </w:t>
            </w:r>
          </w:p>
        </w:tc>
        <w:tc>
          <w:tcPr>
            <w:tcW w:w="1200" w:type="dxa"/>
          </w:tcPr>
          <w:p w14:paraId="0D19DA22"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0" w:type="dxa"/>
          </w:tcPr>
          <w:p w14:paraId="33D2041F" w14:textId="54A47FF0" w:rsidR="00912F4E" w:rsidRPr="000E4DA5" w:rsidRDefault="008A3784" w:rsidP="00912F4E">
            <w:pPr>
              <w:jc w:val="both"/>
              <w:rPr>
                <w:rFonts w:ascii="Arial Narrow" w:hAnsi="Arial Narrow"/>
                <w:sz w:val="20"/>
                <w:szCs w:val="20"/>
              </w:rPr>
            </w:pPr>
            <w:r w:rsidRPr="000E4DA5">
              <w:rPr>
                <w:rFonts w:ascii="Arial Narrow" w:hAnsi="Arial Narrow"/>
                <w:sz w:val="20"/>
                <w:szCs w:val="20"/>
              </w:rPr>
              <w:t>3.8-6.5</w:t>
            </w:r>
          </w:p>
        </w:tc>
        <w:tc>
          <w:tcPr>
            <w:tcW w:w="1686" w:type="dxa"/>
          </w:tcPr>
          <w:p w14:paraId="1AF4F4D4"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64</w:t>
            </w:r>
          </w:p>
        </w:tc>
        <w:tc>
          <w:tcPr>
            <w:tcW w:w="1701" w:type="dxa"/>
          </w:tcPr>
          <w:p w14:paraId="42611B25"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65</w:t>
            </w:r>
          </w:p>
        </w:tc>
        <w:tc>
          <w:tcPr>
            <w:tcW w:w="1957" w:type="dxa"/>
          </w:tcPr>
          <w:p w14:paraId="225B21C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-20.00 (-24.4, -15.6)</w:t>
            </w:r>
          </w:p>
        </w:tc>
      </w:tr>
      <w:tr w:rsidR="00912F4E" w:rsidRPr="000E4DA5" w14:paraId="69983D20" w14:textId="77777777" w:rsidTr="006609C9">
        <w:tc>
          <w:tcPr>
            <w:tcW w:w="3865" w:type="dxa"/>
            <w:gridSpan w:val="3"/>
          </w:tcPr>
          <w:p w14:paraId="28D1966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Total</w:t>
            </w:r>
          </w:p>
        </w:tc>
        <w:tc>
          <w:tcPr>
            <w:tcW w:w="1686" w:type="dxa"/>
          </w:tcPr>
          <w:p w14:paraId="0B841EED"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1786</w:t>
            </w:r>
          </w:p>
        </w:tc>
        <w:tc>
          <w:tcPr>
            <w:tcW w:w="1701" w:type="dxa"/>
          </w:tcPr>
          <w:p w14:paraId="66A32956" w14:textId="77777777" w:rsidR="00912F4E" w:rsidRPr="000E4DA5" w:rsidRDefault="00912F4E" w:rsidP="00912F4E">
            <w:pPr>
              <w:jc w:val="center"/>
              <w:rPr>
                <w:rFonts w:ascii="Arial Narrow" w:hAnsi="Arial Narrow"/>
                <w:sz w:val="20"/>
                <w:szCs w:val="20"/>
              </w:rPr>
            </w:pPr>
            <w:r w:rsidRPr="000E4DA5">
              <w:rPr>
                <w:rFonts w:ascii="Arial Narrow" w:hAnsi="Arial Narrow"/>
                <w:sz w:val="20"/>
                <w:szCs w:val="20"/>
              </w:rPr>
              <w:t>927</w:t>
            </w:r>
          </w:p>
        </w:tc>
        <w:tc>
          <w:tcPr>
            <w:tcW w:w="1957" w:type="dxa"/>
          </w:tcPr>
          <w:p w14:paraId="1C75ADC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-18.6 (-19.7, -17.5)</w:t>
            </w:r>
          </w:p>
        </w:tc>
      </w:tr>
      <w:tr w:rsidR="00912F4E" w:rsidRPr="000E4DA5" w14:paraId="60E9ADA4" w14:textId="77777777" w:rsidTr="006609C9">
        <w:tc>
          <w:tcPr>
            <w:tcW w:w="9209" w:type="dxa"/>
            <w:gridSpan w:val="6"/>
          </w:tcPr>
          <w:p w14:paraId="106DD74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Test for heterogeneity: Chi</w:t>
            </w:r>
            <w:r w:rsidRPr="000E4DA5">
              <w:rPr>
                <w:rFonts w:ascii="Arial Narrow" w:hAnsi="Arial Narrow"/>
                <w:sz w:val="20"/>
                <w:szCs w:val="20"/>
                <w:vertAlign w:val="superscript"/>
              </w:rPr>
              <w:t>2</w:t>
            </w:r>
            <w:r w:rsidRPr="000E4DA5">
              <w:rPr>
                <w:rFonts w:ascii="Arial Narrow" w:hAnsi="Arial Narrow"/>
                <w:sz w:val="20"/>
                <w:szCs w:val="20"/>
              </w:rPr>
              <w:t>=13.47, df=7 (P=0.06); I</w:t>
            </w:r>
            <w:r w:rsidRPr="000E4DA5">
              <w:rPr>
                <w:rFonts w:ascii="Arial Narrow" w:hAnsi="Arial Narrow"/>
                <w:sz w:val="20"/>
                <w:szCs w:val="20"/>
                <w:vertAlign w:val="superscript"/>
              </w:rPr>
              <w:t>2</w:t>
            </w:r>
            <w:r w:rsidRPr="000E4DA5">
              <w:rPr>
                <w:rFonts w:ascii="Arial Narrow" w:hAnsi="Arial Narrow"/>
                <w:sz w:val="20"/>
                <w:szCs w:val="20"/>
              </w:rPr>
              <w:t>=48%</w:t>
            </w:r>
          </w:p>
        </w:tc>
      </w:tr>
      <w:tr w:rsidR="00912F4E" w:rsidRPr="000E4DA5" w14:paraId="36E133DA" w14:textId="77777777" w:rsidTr="006609C9">
        <w:tc>
          <w:tcPr>
            <w:tcW w:w="9209" w:type="dxa"/>
            <w:gridSpan w:val="6"/>
          </w:tcPr>
          <w:p w14:paraId="7FB7526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Test for the overall effect: Z=33.19 (P&lt;0.00001)</w:t>
            </w:r>
          </w:p>
        </w:tc>
      </w:tr>
    </w:tbl>
    <w:p w14:paraId="788F048A" w14:textId="77777777" w:rsidR="00912F4E" w:rsidRPr="00912F4E" w:rsidRDefault="00912F4E" w:rsidP="00912F4E">
      <w:pPr>
        <w:spacing w:after="0"/>
        <w:jc w:val="both"/>
        <w:rPr>
          <w:rFonts w:eastAsiaTheme="minorHAnsi"/>
          <w:sz w:val="18"/>
          <w:szCs w:val="18"/>
          <w:lang w:eastAsia="en-US"/>
        </w:rPr>
      </w:pPr>
      <w:r w:rsidRPr="00912F4E">
        <w:rPr>
          <w:rFonts w:eastAsiaTheme="minorHAnsi"/>
          <w:sz w:val="18"/>
          <w:szCs w:val="18"/>
          <w:lang w:eastAsia="en-US"/>
        </w:rPr>
        <w:t xml:space="preserve">*patient-level data from these RCTs were pooled in Pearson (2009) analysis (see below) </w:t>
      </w:r>
    </w:p>
    <w:p w14:paraId="21AE13E0" w14:textId="77777777" w:rsidR="00912F4E" w:rsidRPr="00912F4E" w:rsidRDefault="00912F4E" w:rsidP="00912F4E">
      <w:pPr>
        <w:spacing w:after="0"/>
        <w:jc w:val="both"/>
        <w:rPr>
          <w:rFonts w:eastAsiaTheme="minorHAnsi"/>
          <w:sz w:val="18"/>
          <w:szCs w:val="18"/>
          <w:lang w:eastAsia="en-US"/>
        </w:rPr>
      </w:pPr>
      <w:r w:rsidRPr="00912F4E">
        <w:rPr>
          <w:rFonts w:eastAsiaTheme="minorHAnsi"/>
          <w:sz w:val="18"/>
          <w:szCs w:val="18"/>
          <w:lang w:eastAsia="en-US"/>
        </w:rPr>
        <w:lastRenderedPageBreak/>
        <w:t>A =atorvastatin; E =ezetimibe 10 mg/day; P =pravastatin; S =simvastatin.</w:t>
      </w:r>
    </w:p>
    <w:p w14:paraId="2E3D4806" w14:textId="77777777" w:rsidR="00912F4E" w:rsidRPr="00912F4E" w:rsidRDefault="00912F4E" w:rsidP="00912F4E">
      <w:pPr>
        <w:jc w:val="both"/>
        <w:rPr>
          <w:rFonts w:eastAsiaTheme="minorHAnsi"/>
          <w:lang w:eastAsia="en-US"/>
        </w:rPr>
      </w:pPr>
    </w:p>
    <w:p w14:paraId="0000EB3F" w14:textId="77777777" w:rsidR="00912F4E" w:rsidRPr="00912F4E" w:rsidRDefault="00912F4E" w:rsidP="00912F4E">
      <w:pPr>
        <w:jc w:val="both"/>
        <w:rPr>
          <w:rFonts w:eastAsiaTheme="minorHAnsi"/>
          <w:lang w:eastAsia="en-US"/>
        </w:rPr>
      </w:pPr>
      <w:r w:rsidRPr="00912F4E">
        <w:rPr>
          <w:rFonts w:eastAsiaTheme="minorHAnsi"/>
          <w:u w:val="single"/>
          <w:lang w:eastAsia="en-US"/>
        </w:rPr>
        <w:t>Pearson et al 2009.</w:t>
      </w:r>
      <w:r w:rsidRPr="00912F4E">
        <w:rPr>
          <w:rFonts w:eastAsiaTheme="minorHAnsi"/>
          <w:lang w:eastAsia="en-US"/>
        </w:rPr>
        <w:t xml:space="preserve"> Patient-level data from ezetimibe (n=874)  and placebo (n=498) arms of six RCTs meta-analysed in HTA 2008 and Pandor (2009) were pooled in the analysis of effects of ezetimibe monotherapy on LDL-C (primary end point) and the inflammatory marker C-reactive protein (CRP) in patients with CRP ≤10 mg/L. Calculation of the least squared mean percentage change from baseline in LDL-C used an analysis-of-variance (ANOVA) with terms for treatment and protocol. Reduction in CRP by ezetimibe monotherapy was numerically greater than with placebo, but did not reach the level of statistical significance (treatment difference 6%, p =0.09). The pooled analysis of the patient-level data showed that LDL-C reduction with ezetimibe (-18.3%) was statistically significantly greater than with placebo (0.5%) (treatment differences -18.8%, p &lt;0.001), thus confirming results of the meta-analyses reported in HTA 2008 and Pandor (2009).</w:t>
      </w:r>
    </w:p>
    <w:p w14:paraId="3E4D73ED" w14:textId="77777777" w:rsidR="00912F4E" w:rsidRPr="00912F4E" w:rsidRDefault="00912F4E" w:rsidP="00912F4E">
      <w:pPr>
        <w:rPr>
          <w:rFonts w:eastAsiaTheme="minorHAnsi"/>
          <w:u w:val="single"/>
          <w:lang w:eastAsia="en-US"/>
        </w:rPr>
      </w:pPr>
      <w:r w:rsidRPr="00912F4E">
        <w:rPr>
          <w:rFonts w:eastAsiaTheme="minorHAnsi"/>
          <w:u w:val="single"/>
          <w:lang w:eastAsia="en-US"/>
        </w:rPr>
        <w:t>HTA 2015</w:t>
      </w:r>
    </w:p>
    <w:p w14:paraId="3C65331A" w14:textId="77777777" w:rsidR="00912F4E" w:rsidRPr="00912F4E" w:rsidRDefault="00912F4E" w:rsidP="006B45CB">
      <w:pPr>
        <w:jc w:val="both"/>
        <w:rPr>
          <w:rFonts w:eastAsiaTheme="minorHAnsi"/>
          <w:lang w:eastAsia="en-US"/>
        </w:rPr>
      </w:pPr>
      <w:r w:rsidRPr="00912F4E">
        <w:rPr>
          <w:rFonts w:eastAsiaTheme="minorHAnsi"/>
          <w:lang w:eastAsia="en-US"/>
        </w:rPr>
        <w:t xml:space="preserve">The HTA 2015 independent assessment of the company submission listed the same terms of reference as the HTA 2008 report,  i.e. assessing clinical and cost-effectiveness of ezetimibe monotherapy and in combination with a statin in adults with primary (heterozygous familial or non-familial) hypercholesterolaemia </w:t>
      </w:r>
    </w:p>
    <w:p w14:paraId="11663235" w14:textId="77777777" w:rsidR="00912F4E" w:rsidRPr="00912F4E" w:rsidRDefault="00912F4E" w:rsidP="006B45CB">
      <w:pPr>
        <w:spacing w:after="0"/>
        <w:jc w:val="both"/>
        <w:rPr>
          <w:rFonts w:eastAsiaTheme="minorHAnsi"/>
          <w:lang w:eastAsia="en-US"/>
        </w:rPr>
      </w:pPr>
      <w:r w:rsidRPr="00912F4E">
        <w:rPr>
          <w:rFonts w:eastAsiaTheme="minorHAnsi"/>
          <w:lang w:eastAsia="en-US"/>
        </w:rPr>
        <w:t>•</w:t>
      </w:r>
      <w:r w:rsidRPr="00912F4E">
        <w:rPr>
          <w:rFonts w:eastAsiaTheme="minorHAnsi"/>
          <w:lang w:eastAsia="en-US"/>
        </w:rPr>
        <w:tab/>
        <w:t>whose condition is not appropriately controlled with a statin alone or</w:t>
      </w:r>
    </w:p>
    <w:p w14:paraId="18A0D2DA" w14:textId="77777777" w:rsidR="00912F4E" w:rsidRPr="00912F4E" w:rsidRDefault="00912F4E" w:rsidP="006B45CB">
      <w:pPr>
        <w:spacing w:after="0"/>
        <w:jc w:val="both"/>
        <w:rPr>
          <w:rFonts w:eastAsiaTheme="minorHAnsi"/>
          <w:lang w:eastAsia="en-US"/>
        </w:rPr>
      </w:pPr>
      <w:r w:rsidRPr="00912F4E">
        <w:rPr>
          <w:rFonts w:eastAsiaTheme="minorHAnsi"/>
          <w:lang w:eastAsia="en-US"/>
        </w:rPr>
        <w:t>•</w:t>
      </w:r>
      <w:r w:rsidRPr="00912F4E">
        <w:rPr>
          <w:rFonts w:eastAsiaTheme="minorHAnsi"/>
          <w:lang w:eastAsia="en-US"/>
        </w:rPr>
        <w:tab/>
        <w:t xml:space="preserve">in whom a statin is considered inappropriate or is not tolerated. </w:t>
      </w:r>
    </w:p>
    <w:p w14:paraId="6CC5C67D" w14:textId="77777777" w:rsidR="00912F4E" w:rsidRPr="00912F4E" w:rsidRDefault="00912F4E" w:rsidP="006B45CB">
      <w:pPr>
        <w:spacing w:after="0"/>
        <w:jc w:val="both"/>
        <w:rPr>
          <w:rFonts w:eastAsiaTheme="minorHAnsi"/>
          <w:lang w:eastAsia="en-US"/>
        </w:rPr>
      </w:pPr>
    </w:p>
    <w:p w14:paraId="7A5CACAE" w14:textId="77777777" w:rsidR="00912F4E" w:rsidRPr="00912F4E" w:rsidRDefault="00912F4E" w:rsidP="006B45CB">
      <w:pPr>
        <w:spacing w:after="0"/>
        <w:jc w:val="both"/>
        <w:rPr>
          <w:rFonts w:eastAsiaTheme="minorHAnsi"/>
          <w:lang w:eastAsia="en-US"/>
        </w:rPr>
      </w:pPr>
      <w:r w:rsidRPr="00912F4E">
        <w:rPr>
          <w:rFonts w:eastAsiaTheme="minorHAnsi"/>
          <w:lang w:eastAsia="en-US"/>
        </w:rPr>
        <w:t>In addition, two sub-populations were considered to reflect NICE most recent recommendations in clinical guidelines CG181 (July 2014)</w:t>
      </w:r>
    </w:p>
    <w:p w14:paraId="50599867" w14:textId="77777777" w:rsidR="00912F4E" w:rsidRPr="00912F4E" w:rsidRDefault="00912F4E" w:rsidP="00140129">
      <w:pPr>
        <w:numPr>
          <w:ilvl w:val="0"/>
          <w:numId w:val="8"/>
        </w:numPr>
        <w:spacing w:after="0"/>
        <w:contextualSpacing/>
        <w:jc w:val="both"/>
        <w:rPr>
          <w:rFonts w:eastAsiaTheme="minorHAnsi"/>
          <w:lang w:eastAsia="en-US"/>
        </w:rPr>
      </w:pPr>
      <w:r w:rsidRPr="00912F4E">
        <w:rPr>
          <w:rFonts w:eastAsiaTheme="minorHAnsi"/>
          <w:lang w:eastAsia="en-US"/>
        </w:rPr>
        <w:t>primary prevention of CVD (10%-30% 10 year risk of developing CVD using QRISK2 risk assessment tool);</w:t>
      </w:r>
    </w:p>
    <w:p w14:paraId="183897BD" w14:textId="77777777" w:rsidR="00912F4E" w:rsidRPr="00912F4E" w:rsidRDefault="00912F4E" w:rsidP="00140129">
      <w:pPr>
        <w:numPr>
          <w:ilvl w:val="0"/>
          <w:numId w:val="8"/>
        </w:numPr>
        <w:spacing w:after="0"/>
        <w:contextualSpacing/>
        <w:jc w:val="both"/>
        <w:rPr>
          <w:rFonts w:eastAsiaTheme="minorHAnsi"/>
          <w:lang w:eastAsia="en-US"/>
        </w:rPr>
      </w:pPr>
      <w:r w:rsidRPr="00912F4E">
        <w:rPr>
          <w:rFonts w:eastAsiaTheme="minorHAnsi"/>
          <w:lang w:eastAsia="en-US"/>
        </w:rPr>
        <w:t xml:space="preserve">secondary prevention (established CVD). </w:t>
      </w:r>
    </w:p>
    <w:p w14:paraId="4E21EBDA" w14:textId="77777777" w:rsidR="00912F4E" w:rsidRPr="00912F4E" w:rsidRDefault="00912F4E" w:rsidP="00912F4E">
      <w:pPr>
        <w:spacing w:after="0"/>
        <w:rPr>
          <w:rFonts w:eastAsiaTheme="minorHAnsi"/>
          <w:lang w:eastAsia="en-US"/>
        </w:rPr>
      </w:pPr>
    </w:p>
    <w:p w14:paraId="0661DAE6" w14:textId="3BF0639C" w:rsidR="00912F4E" w:rsidRPr="00912F4E" w:rsidRDefault="00912F4E" w:rsidP="00912F4E">
      <w:pPr>
        <w:spacing w:after="0"/>
        <w:jc w:val="both"/>
        <w:rPr>
          <w:rFonts w:eastAsiaTheme="minorHAnsi"/>
          <w:i/>
          <w:lang w:eastAsia="en-US"/>
        </w:rPr>
      </w:pPr>
      <w:r w:rsidRPr="00912F4E">
        <w:rPr>
          <w:rFonts w:eastAsiaTheme="minorHAnsi"/>
          <w:lang w:eastAsia="en-US"/>
        </w:rPr>
        <w:t>Unlike in HTA 2008 report, RCTs of ezetimibe plus current statin therapy versus current statin therapy titrated to the next dose were not considered. According to clinical practice and CG181, up</w:t>
      </w:r>
      <w:r w:rsidR="00127FB8">
        <w:rPr>
          <w:rFonts w:eastAsiaTheme="minorHAnsi"/>
          <w:lang w:eastAsia="en-US"/>
        </w:rPr>
        <w:t>-</w:t>
      </w:r>
      <w:r w:rsidRPr="00912F4E">
        <w:rPr>
          <w:rFonts w:eastAsiaTheme="minorHAnsi"/>
          <w:lang w:eastAsia="en-US"/>
        </w:rPr>
        <w:t xml:space="preserve">titration of a statin should be investigated before adding ezetimibe. Therefore </w:t>
      </w:r>
      <w:r w:rsidRPr="00912F4E">
        <w:rPr>
          <w:rFonts w:eastAsiaTheme="minorHAnsi"/>
          <w:i/>
          <w:lang w:eastAsia="en-US"/>
        </w:rPr>
        <w:t>the target population in HTA 2015 for the intervention of ezetimibe co-administrated with a statin, included only patients who cannot increase their statin dose due to intolerance or contraindication. The stated definition of the population is equivalent to the target population in the present review.</w:t>
      </w:r>
    </w:p>
    <w:p w14:paraId="73174EB7" w14:textId="77777777" w:rsidR="00912F4E" w:rsidRPr="00912F4E" w:rsidRDefault="00912F4E" w:rsidP="00912F4E">
      <w:pPr>
        <w:spacing w:after="0"/>
        <w:jc w:val="both"/>
        <w:rPr>
          <w:rFonts w:eastAsiaTheme="minorHAnsi"/>
          <w:lang w:eastAsia="en-US"/>
        </w:rPr>
      </w:pPr>
    </w:p>
    <w:p w14:paraId="6033C647" w14:textId="3A30C900" w:rsidR="00912F4E" w:rsidRPr="00912F4E" w:rsidRDefault="00912F4E" w:rsidP="00912F4E">
      <w:pPr>
        <w:spacing w:after="0"/>
        <w:jc w:val="both"/>
        <w:rPr>
          <w:rFonts w:eastAsiaTheme="minorHAnsi"/>
          <w:lang w:eastAsia="en-US"/>
        </w:rPr>
      </w:pPr>
      <w:r w:rsidRPr="00912F4E">
        <w:rPr>
          <w:rFonts w:eastAsiaTheme="minorHAnsi"/>
          <w:lang w:eastAsia="en-US"/>
        </w:rPr>
        <w:t>Subgroup analyses for three distinct patient subgroups identified only four studies in the subgroup for primary prevention in people with diabetes</w:t>
      </w:r>
      <w:r w:rsidR="00810CDA">
        <w:rPr>
          <w:rFonts w:eastAsiaTheme="minorHAnsi"/>
          <w:lang w:eastAsia="en-US"/>
        </w:rPr>
        <w:t xml:space="preserve"> (Gaudiani 2005, Constance 2007, Goldberg 2006, Lee 2013) </w:t>
      </w:r>
      <w:r w:rsidRPr="00912F4E">
        <w:rPr>
          <w:rFonts w:eastAsiaTheme="minorHAnsi"/>
          <w:lang w:eastAsia="en-US"/>
        </w:rPr>
        <w:t>and only one each in the other two subgroups - people with CKD (Zinellu, 2012) a</w:t>
      </w:r>
      <w:r w:rsidR="00810CDA">
        <w:rPr>
          <w:rFonts w:eastAsiaTheme="minorHAnsi"/>
          <w:lang w:eastAsia="en-US"/>
        </w:rPr>
        <w:t xml:space="preserve">nd people with HeFH (Kastelein </w:t>
      </w:r>
      <w:r w:rsidRPr="00912F4E">
        <w:rPr>
          <w:rFonts w:eastAsiaTheme="minorHAnsi"/>
          <w:lang w:eastAsia="en-US"/>
        </w:rPr>
        <w:t>2008</w:t>
      </w:r>
      <w:r w:rsidR="00810CDA">
        <w:rPr>
          <w:rStyle w:val="EndnoteReference"/>
          <w:rFonts w:eastAsiaTheme="minorHAnsi"/>
          <w:lang w:eastAsia="en-US"/>
        </w:rPr>
        <w:endnoteReference w:id="74"/>
      </w:r>
      <w:r w:rsidR="00127FB8">
        <w:rPr>
          <w:rFonts w:eastAsiaTheme="minorHAnsi"/>
          <w:lang w:eastAsia="en-US"/>
        </w:rPr>
        <w:t>). R</w:t>
      </w:r>
      <w:r w:rsidRPr="00912F4E">
        <w:rPr>
          <w:rFonts w:eastAsiaTheme="minorHAnsi"/>
          <w:lang w:eastAsia="en-US"/>
        </w:rPr>
        <w:t xml:space="preserve">esults of the subgroup analyses were broadly consistent with the main results (see below). </w:t>
      </w:r>
    </w:p>
    <w:p w14:paraId="3D4A7F1D" w14:textId="77777777" w:rsidR="00912F4E" w:rsidRPr="00912F4E" w:rsidRDefault="00912F4E" w:rsidP="00912F4E">
      <w:pPr>
        <w:spacing w:after="0"/>
        <w:jc w:val="both"/>
        <w:rPr>
          <w:rFonts w:eastAsiaTheme="minorHAnsi"/>
          <w:lang w:eastAsia="en-US"/>
        </w:rPr>
      </w:pPr>
    </w:p>
    <w:p w14:paraId="6DFB55E5" w14:textId="6A252F21" w:rsidR="00912F4E" w:rsidRPr="00912F4E" w:rsidRDefault="00912F4E" w:rsidP="00912F4E">
      <w:pPr>
        <w:jc w:val="both"/>
        <w:rPr>
          <w:rFonts w:eastAsiaTheme="minorHAnsi"/>
          <w:lang w:eastAsia="en-US"/>
        </w:rPr>
      </w:pPr>
      <w:r w:rsidRPr="000A4940">
        <w:rPr>
          <w:rFonts w:eastAsiaTheme="minorHAnsi"/>
          <w:i/>
          <w:lang w:eastAsia="en-US"/>
        </w:rPr>
        <w:t>Fixed-dose combination therapy</w:t>
      </w:r>
      <w:r w:rsidRPr="000A4940">
        <w:rPr>
          <w:rFonts w:eastAsiaTheme="minorHAnsi"/>
          <w:lang w:eastAsia="en-US"/>
        </w:rPr>
        <w:t xml:space="preserve"> of ezetimibe 10 mg plus statin versus matching statin dose (for those inadequately controlled by statin). Thirteen studies in the company’s systematic review of clinical evidence compared ezetimibe co-administered with simvastatin to matched simvastatin doses. (Bays 2004; Davidson 2002; Goldberg 2004;  IMPROVE-IT 2015; Kastelein, 2008;  Krysiak 2011; Krysiak 2012a;  Krysiak 2012b; Krysiak 2014; Masana 2005; Rodney 2006;  Shankar 2007;  Zinellu 2012). A further seven studies compared co-administration of other statins and ezetimibe to matching statin doses; the </w:t>
      </w:r>
      <w:r w:rsidRPr="000A4940">
        <w:rPr>
          <w:rFonts w:eastAsiaTheme="minorHAnsi"/>
          <w:lang w:eastAsia="en-US"/>
        </w:rPr>
        <w:lastRenderedPageBreak/>
        <w:t>alternative statins were atorvastatin, (Ballantyne 2003); fluvastatin (Alvarez-Sala 2008</w:t>
      </w:r>
      <w:r w:rsidR="00424ECC" w:rsidRPr="000A4940">
        <w:rPr>
          <w:rStyle w:val="EndnoteReference"/>
          <w:rFonts w:eastAsiaTheme="minorHAnsi"/>
          <w:lang w:eastAsia="en-US"/>
        </w:rPr>
        <w:endnoteReference w:id="75"/>
      </w:r>
      <w:r w:rsidRPr="000A4940">
        <w:rPr>
          <w:rFonts w:eastAsiaTheme="minorHAnsi"/>
          <w:lang w:eastAsia="en-US"/>
        </w:rPr>
        <w:t>; Habara</w:t>
      </w:r>
      <w:r w:rsidRPr="00912F4E">
        <w:rPr>
          <w:rFonts w:eastAsiaTheme="minorHAnsi"/>
          <w:lang w:eastAsia="en-US"/>
        </w:rPr>
        <w:t xml:space="preserve"> 2014; Kinouchi 2013; Stein 2008; Stojakovic 2010</w:t>
      </w:r>
      <w:r w:rsidR="00424ECC">
        <w:rPr>
          <w:rStyle w:val="EndnoteReference"/>
          <w:rFonts w:eastAsiaTheme="minorHAnsi"/>
          <w:lang w:eastAsia="en-US"/>
        </w:rPr>
        <w:endnoteReference w:id="76"/>
      </w:r>
      <w:r w:rsidRPr="00912F4E">
        <w:rPr>
          <w:rFonts w:eastAsiaTheme="minorHAnsi"/>
          <w:lang w:eastAsia="en-US"/>
        </w:rPr>
        <w:t>) and pravastatin (Melani 2003).</w:t>
      </w:r>
    </w:p>
    <w:p w14:paraId="5E1B34A4" w14:textId="0857F402" w:rsidR="00912F4E" w:rsidRPr="001704FF" w:rsidRDefault="00912F4E" w:rsidP="00912F4E">
      <w:pPr>
        <w:spacing w:after="0"/>
        <w:jc w:val="both"/>
        <w:rPr>
          <w:rFonts w:eastAsiaTheme="minorHAnsi"/>
          <w:i/>
          <w:lang w:eastAsia="en-US"/>
        </w:rPr>
      </w:pPr>
      <w:r w:rsidRPr="001704FF">
        <w:rPr>
          <w:rFonts w:eastAsiaTheme="minorHAnsi"/>
          <w:i/>
          <w:lang w:eastAsia="en-US"/>
        </w:rPr>
        <w:t>Inclusion of trials of ezetimibe 10 mg plus statin versus matching statin dose into the body of evidence implicitly assumes that the maximum tolerated dose for the pertinent statin therapy is achieved in both arms at the baseline. However, it was not a selection criteria in any of the identified trials and it remained uncertain whether the population of the included trials is representative of the target population, as defined in the terms of reference</w:t>
      </w:r>
      <w:r w:rsidR="002C7EB9">
        <w:rPr>
          <w:rFonts w:eastAsiaTheme="minorHAnsi"/>
          <w:i/>
          <w:lang w:eastAsia="en-US"/>
        </w:rPr>
        <w:t xml:space="preserve"> for this review</w:t>
      </w:r>
      <w:r w:rsidRPr="001704FF">
        <w:rPr>
          <w:rFonts w:eastAsiaTheme="minorHAnsi"/>
          <w:i/>
          <w:lang w:eastAsia="en-US"/>
        </w:rPr>
        <w:t>.</w:t>
      </w:r>
    </w:p>
    <w:p w14:paraId="54BF5A8F" w14:textId="77777777" w:rsidR="00912F4E" w:rsidRPr="00912F4E" w:rsidRDefault="00912F4E" w:rsidP="00912F4E">
      <w:pPr>
        <w:spacing w:after="0"/>
        <w:jc w:val="both"/>
        <w:rPr>
          <w:rFonts w:eastAsiaTheme="minorHAnsi"/>
          <w:lang w:eastAsia="en-US"/>
        </w:rPr>
      </w:pPr>
    </w:p>
    <w:p w14:paraId="4C01F7C4" w14:textId="2882E550" w:rsidR="00912F4E" w:rsidRPr="00912F4E" w:rsidRDefault="00912F4E" w:rsidP="00912F4E">
      <w:pPr>
        <w:spacing w:after="0"/>
        <w:jc w:val="both"/>
        <w:rPr>
          <w:rFonts w:eastAsiaTheme="minorHAnsi"/>
          <w:lang w:eastAsia="en-US"/>
        </w:rPr>
      </w:pPr>
      <w:r w:rsidRPr="00127FB8">
        <w:rPr>
          <w:rFonts w:eastAsiaTheme="minorHAnsi"/>
          <w:i/>
          <w:lang w:eastAsia="en-US"/>
        </w:rPr>
        <w:t>A number of studies included in the systematic review of clinical effectiveness</w:t>
      </w:r>
      <w:r w:rsidRPr="00912F4E">
        <w:rPr>
          <w:rFonts w:eastAsiaTheme="minorHAnsi"/>
          <w:lang w:eastAsia="en-US"/>
        </w:rPr>
        <w:t xml:space="preserve"> (IMPROVE-IT 2015, Stojakovic 2010, Zinellu 2012, </w:t>
      </w:r>
      <w:r w:rsidRPr="000A4940">
        <w:rPr>
          <w:rFonts w:eastAsiaTheme="minorHAnsi"/>
          <w:lang w:eastAsia="en-US"/>
        </w:rPr>
        <w:t>Clement 2014, Farnier</w:t>
      </w:r>
      <w:r w:rsidRPr="00912F4E">
        <w:rPr>
          <w:rFonts w:eastAsiaTheme="minorHAnsi"/>
          <w:lang w:eastAsia="en-US"/>
        </w:rPr>
        <w:t xml:space="preserve"> 2005, Habara 2014, Kinouchi 2013, Stein 2008) </w:t>
      </w:r>
      <w:r w:rsidRPr="00127FB8">
        <w:rPr>
          <w:rFonts w:eastAsiaTheme="minorHAnsi"/>
          <w:i/>
          <w:lang w:eastAsia="en-US"/>
        </w:rPr>
        <w:t>involve patients who do not necessarily have a diagnosis of primary hypercholesterolemia and therefore do not fulfil the stated inclusion criteria.</w:t>
      </w:r>
      <w:r w:rsidRPr="00912F4E">
        <w:rPr>
          <w:rFonts w:eastAsiaTheme="minorHAnsi"/>
          <w:lang w:eastAsia="en-US"/>
        </w:rPr>
        <w:t xml:space="preserve"> However it was argued by the company that these patient populations are at high risk of CVD and, prescription of ezetimibe or ezetimibe in combination with a statin reflect clinical practice. This was accepted as being reasonable. Some </w:t>
      </w:r>
      <w:r w:rsidR="00127FB8">
        <w:rPr>
          <w:rFonts w:eastAsiaTheme="minorHAnsi"/>
          <w:lang w:eastAsia="en-US"/>
        </w:rPr>
        <w:t xml:space="preserve">of </w:t>
      </w:r>
      <w:r w:rsidR="002C7EB9">
        <w:rPr>
          <w:rFonts w:eastAsiaTheme="minorHAnsi"/>
          <w:lang w:eastAsia="en-US"/>
        </w:rPr>
        <w:t>the</w:t>
      </w:r>
      <w:r w:rsidRPr="00912F4E">
        <w:rPr>
          <w:rFonts w:eastAsiaTheme="minorHAnsi"/>
          <w:lang w:eastAsia="en-US"/>
        </w:rPr>
        <w:t xml:space="preserve"> treatment regimen</w:t>
      </w:r>
      <w:r w:rsidR="00127FB8">
        <w:rPr>
          <w:rFonts w:eastAsiaTheme="minorHAnsi"/>
          <w:lang w:eastAsia="en-US"/>
        </w:rPr>
        <w:t>s</w:t>
      </w:r>
      <w:r w:rsidRPr="00912F4E">
        <w:rPr>
          <w:rFonts w:eastAsiaTheme="minorHAnsi"/>
          <w:lang w:eastAsia="en-US"/>
        </w:rPr>
        <w:t xml:space="preserve"> of these trials are shown in Table </w:t>
      </w:r>
      <w:r w:rsidR="00127FB8">
        <w:rPr>
          <w:rFonts w:eastAsiaTheme="minorHAnsi"/>
          <w:lang w:eastAsia="en-US"/>
        </w:rPr>
        <w:t>2.2.3.6</w:t>
      </w:r>
      <w:r w:rsidRPr="00912F4E">
        <w:rPr>
          <w:rFonts w:eastAsiaTheme="minorHAnsi"/>
          <w:lang w:eastAsia="en-US"/>
        </w:rPr>
        <w:t>.</w:t>
      </w:r>
    </w:p>
    <w:p w14:paraId="028AEF8D" w14:textId="77777777" w:rsidR="00912F4E" w:rsidRPr="00912F4E" w:rsidRDefault="00912F4E" w:rsidP="00912F4E">
      <w:pPr>
        <w:spacing w:after="0"/>
        <w:jc w:val="both"/>
        <w:rPr>
          <w:rFonts w:eastAsiaTheme="minorHAnsi"/>
          <w:b/>
          <w:color w:val="FF0000"/>
          <w:highlight w:val="yellow"/>
          <w:lang w:eastAsia="en-US"/>
        </w:rPr>
      </w:pPr>
    </w:p>
    <w:p w14:paraId="2714A36E" w14:textId="7F2529B0" w:rsidR="00912F4E" w:rsidRPr="001704FF" w:rsidRDefault="00912F4E" w:rsidP="001704FF">
      <w:pPr>
        <w:pStyle w:val="Caption"/>
        <w:ind w:left="0"/>
        <w:rPr>
          <w:sz w:val="22"/>
          <w:szCs w:val="22"/>
        </w:rPr>
      </w:pPr>
      <w:r w:rsidRPr="001704FF">
        <w:rPr>
          <w:sz w:val="22"/>
          <w:szCs w:val="22"/>
        </w:rPr>
        <w:t xml:space="preserve">Table </w:t>
      </w:r>
      <w:r w:rsidR="00127FB8">
        <w:rPr>
          <w:sz w:val="22"/>
          <w:szCs w:val="22"/>
        </w:rPr>
        <w:t>2.2.3.6</w:t>
      </w:r>
      <w:r w:rsidRPr="001704FF">
        <w:rPr>
          <w:sz w:val="22"/>
          <w:szCs w:val="22"/>
        </w:rPr>
        <w:t>. Multicenter, double-blind, randomized, trials of ezetimibe+statin vs matching statin in patients with primary hypercholesterolemia included in HTA 2015 assessment of company submission</w:t>
      </w:r>
    </w:p>
    <w:tbl>
      <w:tblPr>
        <w:tblStyle w:val="TableGrid3"/>
        <w:tblW w:w="9634" w:type="dxa"/>
        <w:tblLayout w:type="fixed"/>
        <w:tblLook w:val="04A0" w:firstRow="1" w:lastRow="0" w:firstColumn="1" w:lastColumn="0" w:noHBand="0" w:noVBand="1"/>
      </w:tblPr>
      <w:tblGrid>
        <w:gridCol w:w="1343"/>
        <w:gridCol w:w="1118"/>
        <w:gridCol w:w="903"/>
        <w:gridCol w:w="1239"/>
        <w:gridCol w:w="1461"/>
        <w:gridCol w:w="3570"/>
      </w:tblGrid>
      <w:tr w:rsidR="00912F4E" w:rsidRPr="000E4DA5" w14:paraId="16F868D0" w14:textId="77777777" w:rsidTr="006609C9">
        <w:tc>
          <w:tcPr>
            <w:tcW w:w="1343" w:type="dxa"/>
          </w:tcPr>
          <w:p w14:paraId="5DCE7712" w14:textId="77777777" w:rsidR="00912F4E" w:rsidRPr="000E4DA5" w:rsidRDefault="00912F4E" w:rsidP="00912F4E">
            <w:pPr>
              <w:jc w:val="both"/>
              <w:rPr>
                <w:rFonts w:ascii="Arial Narrow" w:hAnsi="Arial Narrow"/>
              </w:rPr>
            </w:pPr>
            <w:r w:rsidRPr="000E4DA5">
              <w:rPr>
                <w:rFonts w:ascii="Arial Narrow" w:hAnsi="Arial Narrow"/>
              </w:rPr>
              <w:t>Study</w:t>
            </w:r>
          </w:p>
        </w:tc>
        <w:tc>
          <w:tcPr>
            <w:tcW w:w="1118" w:type="dxa"/>
          </w:tcPr>
          <w:p w14:paraId="54BAE2A7" w14:textId="77777777" w:rsidR="00912F4E" w:rsidRPr="000E4DA5" w:rsidRDefault="00912F4E" w:rsidP="00912F4E">
            <w:pPr>
              <w:jc w:val="both"/>
              <w:rPr>
                <w:rFonts w:ascii="Arial Narrow" w:hAnsi="Arial Narrow"/>
              </w:rPr>
            </w:pPr>
            <w:r w:rsidRPr="000E4DA5">
              <w:rPr>
                <w:rFonts w:ascii="Arial Narrow" w:hAnsi="Arial Narrow"/>
              </w:rPr>
              <w:t>N ezetimibe</w:t>
            </w:r>
          </w:p>
          <w:p w14:paraId="2095F6D6" w14:textId="77777777" w:rsidR="00912F4E" w:rsidRPr="000E4DA5" w:rsidRDefault="00912F4E" w:rsidP="00912F4E">
            <w:pPr>
              <w:jc w:val="both"/>
              <w:rPr>
                <w:rFonts w:ascii="Arial Narrow" w:hAnsi="Arial Narrow"/>
              </w:rPr>
            </w:pPr>
            <w:r w:rsidRPr="000E4DA5">
              <w:rPr>
                <w:rFonts w:ascii="Arial Narrow" w:hAnsi="Arial Narrow"/>
              </w:rPr>
              <w:t>+statin</w:t>
            </w:r>
          </w:p>
        </w:tc>
        <w:tc>
          <w:tcPr>
            <w:tcW w:w="903" w:type="dxa"/>
          </w:tcPr>
          <w:p w14:paraId="342B453D" w14:textId="77777777" w:rsidR="00912F4E" w:rsidRPr="000E4DA5" w:rsidRDefault="00912F4E" w:rsidP="00912F4E">
            <w:pPr>
              <w:rPr>
                <w:rFonts w:ascii="Arial Narrow" w:hAnsi="Arial Narrow"/>
              </w:rPr>
            </w:pPr>
            <w:r w:rsidRPr="000E4DA5">
              <w:rPr>
                <w:rFonts w:ascii="Arial Narrow" w:hAnsi="Arial Narrow"/>
              </w:rPr>
              <w:t>N all statin arms</w:t>
            </w:r>
          </w:p>
        </w:tc>
        <w:tc>
          <w:tcPr>
            <w:tcW w:w="1239" w:type="dxa"/>
          </w:tcPr>
          <w:p w14:paraId="7B0BF24C" w14:textId="77777777" w:rsidR="00912F4E" w:rsidRPr="000E4DA5" w:rsidRDefault="00912F4E" w:rsidP="00912F4E">
            <w:pPr>
              <w:jc w:val="both"/>
              <w:rPr>
                <w:rFonts w:ascii="Arial Narrow" w:hAnsi="Arial Narrow"/>
              </w:rPr>
            </w:pPr>
            <w:r w:rsidRPr="000E4DA5">
              <w:rPr>
                <w:rFonts w:ascii="Arial Narrow" w:hAnsi="Arial Narrow"/>
              </w:rPr>
              <w:t>Treat-ment duration (weeks)</w:t>
            </w:r>
          </w:p>
        </w:tc>
        <w:tc>
          <w:tcPr>
            <w:tcW w:w="1461" w:type="dxa"/>
          </w:tcPr>
          <w:p w14:paraId="145B5635" w14:textId="77777777" w:rsidR="00912F4E" w:rsidRPr="000E4DA5" w:rsidRDefault="00912F4E" w:rsidP="00912F4E">
            <w:pPr>
              <w:jc w:val="both"/>
              <w:rPr>
                <w:rFonts w:ascii="Arial Narrow" w:hAnsi="Arial Narrow"/>
              </w:rPr>
            </w:pPr>
            <w:r w:rsidRPr="000E4DA5">
              <w:rPr>
                <w:rFonts w:ascii="Arial Narrow" w:hAnsi="Arial Narrow"/>
              </w:rPr>
              <w:t>Baseline mean LDL-C (mg/dL)</w:t>
            </w:r>
          </w:p>
        </w:tc>
        <w:tc>
          <w:tcPr>
            <w:tcW w:w="3570" w:type="dxa"/>
          </w:tcPr>
          <w:p w14:paraId="0F06E7D4" w14:textId="77777777" w:rsidR="00912F4E" w:rsidRPr="000E4DA5" w:rsidRDefault="00912F4E" w:rsidP="00912F4E">
            <w:pPr>
              <w:jc w:val="both"/>
              <w:rPr>
                <w:rFonts w:ascii="Arial Narrow" w:hAnsi="Arial Narrow"/>
              </w:rPr>
            </w:pPr>
            <w:r w:rsidRPr="000E4DA5">
              <w:rPr>
                <w:rFonts w:ascii="Arial Narrow" w:hAnsi="Arial Narrow"/>
              </w:rPr>
              <w:t>Treatment regimen (active treatment arms; Ezetimibe is administered at a dose of 10mg)</w:t>
            </w:r>
          </w:p>
        </w:tc>
      </w:tr>
      <w:tr w:rsidR="00912F4E" w:rsidRPr="000E4DA5" w14:paraId="215D2E49" w14:textId="77777777" w:rsidTr="006609C9">
        <w:tc>
          <w:tcPr>
            <w:tcW w:w="1343" w:type="dxa"/>
          </w:tcPr>
          <w:p w14:paraId="52D9C14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Ballantyne 2003</w:t>
            </w:r>
          </w:p>
        </w:tc>
        <w:tc>
          <w:tcPr>
            <w:tcW w:w="1118" w:type="dxa"/>
          </w:tcPr>
          <w:p w14:paraId="06D80F0B"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255</w:t>
            </w:r>
          </w:p>
        </w:tc>
        <w:tc>
          <w:tcPr>
            <w:tcW w:w="903" w:type="dxa"/>
          </w:tcPr>
          <w:p w14:paraId="29C5DB7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248</w:t>
            </w:r>
          </w:p>
        </w:tc>
        <w:tc>
          <w:tcPr>
            <w:tcW w:w="1239" w:type="dxa"/>
          </w:tcPr>
          <w:p w14:paraId="2680F5C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461" w:type="dxa"/>
          </w:tcPr>
          <w:p w14:paraId="3C61270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175-179</w:t>
            </w:r>
          </w:p>
        </w:tc>
        <w:tc>
          <w:tcPr>
            <w:tcW w:w="3570" w:type="dxa"/>
          </w:tcPr>
          <w:p w14:paraId="76226A8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A 10,20,40, 80 mg; E+ A 10,20,40 ,80 mg</w:t>
            </w:r>
          </w:p>
        </w:tc>
      </w:tr>
      <w:tr w:rsidR="00912F4E" w:rsidRPr="000E4DA5" w14:paraId="467EDFA9" w14:textId="77777777" w:rsidTr="006609C9">
        <w:tc>
          <w:tcPr>
            <w:tcW w:w="1343" w:type="dxa"/>
          </w:tcPr>
          <w:p w14:paraId="0EC5626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Melani 2003</w:t>
            </w:r>
          </w:p>
        </w:tc>
        <w:tc>
          <w:tcPr>
            <w:tcW w:w="1118" w:type="dxa"/>
          </w:tcPr>
          <w:p w14:paraId="455C4ED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204</w:t>
            </w:r>
          </w:p>
        </w:tc>
        <w:tc>
          <w:tcPr>
            <w:tcW w:w="903" w:type="dxa"/>
          </w:tcPr>
          <w:p w14:paraId="0148CCD9"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205</w:t>
            </w:r>
          </w:p>
        </w:tc>
        <w:tc>
          <w:tcPr>
            <w:tcW w:w="1239" w:type="dxa"/>
          </w:tcPr>
          <w:p w14:paraId="60E74C4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461" w:type="dxa"/>
          </w:tcPr>
          <w:p w14:paraId="24669A3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177.6</w:t>
            </w:r>
          </w:p>
        </w:tc>
        <w:tc>
          <w:tcPr>
            <w:tcW w:w="3570" w:type="dxa"/>
          </w:tcPr>
          <w:p w14:paraId="0F36DB1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P 10, 20 or 40 mg; E+ P 10, 20 or 40 mg;</w:t>
            </w:r>
          </w:p>
        </w:tc>
      </w:tr>
      <w:tr w:rsidR="00912F4E" w:rsidRPr="000E4DA5" w14:paraId="6582FFA6" w14:textId="77777777" w:rsidTr="006609C9">
        <w:tc>
          <w:tcPr>
            <w:tcW w:w="1343" w:type="dxa"/>
          </w:tcPr>
          <w:p w14:paraId="0C5730FC" w14:textId="40FBA8B3" w:rsidR="00912F4E" w:rsidRPr="000E4DA5" w:rsidRDefault="00912F4E" w:rsidP="001704FF">
            <w:pPr>
              <w:jc w:val="both"/>
              <w:rPr>
                <w:rFonts w:ascii="Arial Narrow" w:hAnsi="Arial Narrow"/>
                <w:sz w:val="20"/>
                <w:szCs w:val="20"/>
              </w:rPr>
            </w:pPr>
            <w:r w:rsidRPr="000E4DA5">
              <w:rPr>
                <w:rFonts w:ascii="Arial Narrow" w:hAnsi="Arial Narrow"/>
                <w:sz w:val="20"/>
                <w:szCs w:val="20"/>
              </w:rPr>
              <w:t xml:space="preserve">Alvarez-Sala 2008 </w:t>
            </w:r>
          </w:p>
        </w:tc>
        <w:tc>
          <w:tcPr>
            <w:tcW w:w="1118" w:type="dxa"/>
          </w:tcPr>
          <w:p w14:paraId="07FEFE2E"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38</w:t>
            </w:r>
          </w:p>
        </w:tc>
        <w:tc>
          <w:tcPr>
            <w:tcW w:w="903" w:type="dxa"/>
          </w:tcPr>
          <w:p w14:paraId="5C69DAE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44</w:t>
            </w:r>
          </w:p>
        </w:tc>
        <w:tc>
          <w:tcPr>
            <w:tcW w:w="1239" w:type="dxa"/>
          </w:tcPr>
          <w:p w14:paraId="63FF2EC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461" w:type="dxa"/>
          </w:tcPr>
          <w:p w14:paraId="4FB33D5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197-216</w:t>
            </w:r>
          </w:p>
        </w:tc>
        <w:tc>
          <w:tcPr>
            <w:tcW w:w="3570" w:type="dxa"/>
            <w:shd w:val="clear" w:color="auto" w:fill="auto"/>
          </w:tcPr>
          <w:p w14:paraId="2A46499E"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F XL 80; E+F XL 80</w:t>
            </w:r>
          </w:p>
        </w:tc>
      </w:tr>
      <w:tr w:rsidR="00912F4E" w:rsidRPr="000E4DA5" w14:paraId="464E5DB3" w14:textId="77777777" w:rsidTr="006609C9">
        <w:tc>
          <w:tcPr>
            <w:tcW w:w="1343" w:type="dxa"/>
          </w:tcPr>
          <w:p w14:paraId="6D96678E" w14:textId="1183C03D" w:rsidR="00912F4E" w:rsidRPr="000E4DA5" w:rsidRDefault="00912F4E" w:rsidP="001704FF">
            <w:pPr>
              <w:jc w:val="both"/>
              <w:rPr>
                <w:rFonts w:ascii="Arial Narrow" w:hAnsi="Arial Narrow"/>
                <w:sz w:val="20"/>
                <w:szCs w:val="20"/>
              </w:rPr>
            </w:pPr>
            <w:r w:rsidRPr="000E4DA5">
              <w:rPr>
                <w:rFonts w:ascii="Arial Narrow" w:hAnsi="Arial Narrow"/>
                <w:sz w:val="20"/>
                <w:szCs w:val="20"/>
              </w:rPr>
              <w:t xml:space="preserve">Habara 2014 </w:t>
            </w:r>
          </w:p>
        </w:tc>
        <w:tc>
          <w:tcPr>
            <w:tcW w:w="1118" w:type="dxa"/>
          </w:tcPr>
          <w:p w14:paraId="3E0FB42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32</w:t>
            </w:r>
          </w:p>
        </w:tc>
        <w:tc>
          <w:tcPr>
            <w:tcW w:w="903" w:type="dxa"/>
          </w:tcPr>
          <w:p w14:paraId="7B7E7EC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31</w:t>
            </w:r>
          </w:p>
        </w:tc>
        <w:tc>
          <w:tcPr>
            <w:tcW w:w="1239" w:type="dxa"/>
          </w:tcPr>
          <w:p w14:paraId="3ED3616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9 months</w:t>
            </w:r>
          </w:p>
        </w:tc>
        <w:tc>
          <w:tcPr>
            <w:tcW w:w="1461" w:type="dxa"/>
          </w:tcPr>
          <w:p w14:paraId="4E4B971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109-123</w:t>
            </w:r>
          </w:p>
        </w:tc>
        <w:tc>
          <w:tcPr>
            <w:tcW w:w="3570" w:type="dxa"/>
          </w:tcPr>
          <w:p w14:paraId="44F00075"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F 30 ; E+F 30,</w:t>
            </w:r>
          </w:p>
        </w:tc>
      </w:tr>
      <w:tr w:rsidR="00912F4E" w:rsidRPr="000E4DA5" w14:paraId="64EB8564" w14:textId="77777777" w:rsidTr="006609C9">
        <w:tc>
          <w:tcPr>
            <w:tcW w:w="1343" w:type="dxa"/>
          </w:tcPr>
          <w:p w14:paraId="476D63A9" w14:textId="0672AEB8" w:rsidR="00912F4E" w:rsidRPr="000E4DA5" w:rsidRDefault="00912F4E" w:rsidP="001704FF">
            <w:pPr>
              <w:rPr>
                <w:rFonts w:ascii="Arial Narrow" w:hAnsi="Arial Narrow"/>
                <w:sz w:val="20"/>
                <w:szCs w:val="20"/>
              </w:rPr>
            </w:pPr>
            <w:r w:rsidRPr="000E4DA5">
              <w:rPr>
                <w:rFonts w:ascii="Arial Narrow" w:hAnsi="Arial Narrow"/>
                <w:sz w:val="20"/>
                <w:szCs w:val="20"/>
              </w:rPr>
              <w:t xml:space="preserve">Kinouchi 2013 </w:t>
            </w:r>
          </w:p>
        </w:tc>
        <w:tc>
          <w:tcPr>
            <w:tcW w:w="1118" w:type="dxa"/>
          </w:tcPr>
          <w:p w14:paraId="4A9516B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28</w:t>
            </w:r>
          </w:p>
        </w:tc>
        <w:tc>
          <w:tcPr>
            <w:tcW w:w="903" w:type="dxa"/>
          </w:tcPr>
          <w:p w14:paraId="54967AB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26</w:t>
            </w:r>
          </w:p>
        </w:tc>
        <w:tc>
          <w:tcPr>
            <w:tcW w:w="1239" w:type="dxa"/>
          </w:tcPr>
          <w:p w14:paraId="2BEFD7A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 months</w:t>
            </w:r>
          </w:p>
        </w:tc>
        <w:tc>
          <w:tcPr>
            <w:tcW w:w="1461" w:type="dxa"/>
          </w:tcPr>
          <w:p w14:paraId="2B316C4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156-159</w:t>
            </w:r>
          </w:p>
        </w:tc>
        <w:tc>
          <w:tcPr>
            <w:tcW w:w="3570" w:type="dxa"/>
          </w:tcPr>
          <w:p w14:paraId="2213994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F 20 ; E+F  20,</w:t>
            </w:r>
          </w:p>
        </w:tc>
      </w:tr>
      <w:tr w:rsidR="00912F4E" w:rsidRPr="000E4DA5" w14:paraId="0EEDBADA" w14:textId="77777777" w:rsidTr="006609C9">
        <w:tc>
          <w:tcPr>
            <w:tcW w:w="1343" w:type="dxa"/>
          </w:tcPr>
          <w:p w14:paraId="3A69364E" w14:textId="78A5720D" w:rsidR="00912F4E" w:rsidRPr="000E4DA5" w:rsidRDefault="00912F4E" w:rsidP="001704FF">
            <w:pPr>
              <w:rPr>
                <w:rFonts w:ascii="Arial Narrow" w:hAnsi="Arial Narrow"/>
                <w:sz w:val="20"/>
                <w:szCs w:val="20"/>
              </w:rPr>
            </w:pPr>
            <w:r w:rsidRPr="000E4DA5">
              <w:rPr>
                <w:rFonts w:ascii="Arial Narrow" w:hAnsi="Arial Narrow"/>
                <w:sz w:val="20"/>
                <w:szCs w:val="20"/>
              </w:rPr>
              <w:t xml:space="preserve">Stein 2008 </w:t>
            </w:r>
          </w:p>
        </w:tc>
        <w:tc>
          <w:tcPr>
            <w:tcW w:w="1118" w:type="dxa"/>
          </w:tcPr>
          <w:p w14:paraId="7155142B"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64</w:t>
            </w:r>
          </w:p>
        </w:tc>
        <w:tc>
          <w:tcPr>
            <w:tcW w:w="903" w:type="dxa"/>
          </w:tcPr>
          <w:p w14:paraId="67F39A8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69</w:t>
            </w:r>
          </w:p>
        </w:tc>
        <w:tc>
          <w:tcPr>
            <w:tcW w:w="1239" w:type="dxa"/>
          </w:tcPr>
          <w:p w14:paraId="077CE07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14</w:t>
            </w:r>
          </w:p>
        </w:tc>
        <w:tc>
          <w:tcPr>
            <w:tcW w:w="1461" w:type="dxa"/>
          </w:tcPr>
          <w:p w14:paraId="5CBC663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173-176</w:t>
            </w:r>
          </w:p>
        </w:tc>
        <w:tc>
          <w:tcPr>
            <w:tcW w:w="3570" w:type="dxa"/>
          </w:tcPr>
          <w:p w14:paraId="42AA00CE"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F XL 80; E+F XL 80</w:t>
            </w:r>
          </w:p>
        </w:tc>
      </w:tr>
      <w:tr w:rsidR="00912F4E" w:rsidRPr="000E4DA5" w14:paraId="7BB44D5D" w14:textId="77777777" w:rsidTr="006609C9">
        <w:tc>
          <w:tcPr>
            <w:tcW w:w="1343" w:type="dxa"/>
          </w:tcPr>
          <w:p w14:paraId="5125F2C5" w14:textId="7E15592D" w:rsidR="00912F4E" w:rsidRPr="000E4DA5" w:rsidRDefault="00912F4E" w:rsidP="001704FF">
            <w:pPr>
              <w:rPr>
                <w:rFonts w:ascii="Arial Narrow" w:hAnsi="Arial Narrow"/>
                <w:sz w:val="20"/>
                <w:szCs w:val="20"/>
              </w:rPr>
            </w:pPr>
            <w:r w:rsidRPr="000E4DA5">
              <w:rPr>
                <w:rFonts w:ascii="Arial Narrow" w:hAnsi="Arial Narrow"/>
                <w:sz w:val="20"/>
                <w:szCs w:val="20"/>
              </w:rPr>
              <w:t xml:space="preserve">Stojakovic 2010 </w:t>
            </w:r>
          </w:p>
        </w:tc>
        <w:tc>
          <w:tcPr>
            <w:tcW w:w="1118" w:type="dxa"/>
          </w:tcPr>
          <w:p w14:paraId="37DF4489"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56</w:t>
            </w:r>
          </w:p>
        </w:tc>
        <w:tc>
          <w:tcPr>
            <w:tcW w:w="903" w:type="dxa"/>
          </w:tcPr>
          <w:p w14:paraId="0B5514D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28</w:t>
            </w:r>
          </w:p>
        </w:tc>
        <w:tc>
          <w:tcPr>
            <w:tcW w:w="1239" w:type="dxa"/>
          </w:tcPr>
          <w:p w14:paraId="5A0E14A3" w14:textId="77777777" w:rsidR="00912F4E" w:rsidRPr="000E4DA5" w:rsidRDefault="00912F4E" w:rsidP="00912F4E">
            <w:pPr>
              <w:jc w:val="both"/>
              <w:rPr>
                <w:rFonts w:ascii="Arial Narrow" w:hAnsi="Arial Narrow"/>
                <w:sz w:val="20"/>
                <w:szCs w:val="20"/>
              </w:rPr>
            </w:pPr>
          </w:p>
        </w:tc>
        <w:tc>
          <w:tcPr>
            <w:tcW w:w="1461" w:type="dxa"/>
          </w:tcPr>
          <w:p w14:paraId="693A8D7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102-112</w:t>
            </w:r>
          </w:p>
        </w:tc>
        <w:tc>
          <w:tcPr>
            <w:tcW w:w="3570" w:type="dxa"/>
          </w:tcPr>
          <w:p w14:paraId="065165A0"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F 80 ; E+F 80,</w:t>
            </w:r>
          </w:p>
        </w:tc>
      </w:tr>
      <w:tr w:rsidR="00912F4E" w:rsidRPr="000E4DA5" w14:paraId="2FD819BA" w14:textId="77777777" w:rsidTr="006609C9">
        <w:tc>
          <w:tcPr>
            <w:tcW w:w="1343" w:type="dxa"/>
          </w:tcPr>
          <w:p w14:paraId="4F08E95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Bays 2004</w:t>
            </w:r>
          </w:p>
        </w:tc>
        <w:tc>
          <w:tcPr>
            <w:tcW w:w="1118" w:type="dxa"/>
          </w:tcPr>
          <w:p w14:paraId="23ED62F0"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609</w:t>
            </w:r>
          </w:p>
        </w:tc>
        <w:tc>
          <w:tcPr>
            <w:tcW w:w="903" w:type="dxa"/>
          </w:tcPr>
          <w:p w14:paraId="64F955F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62</w:t>
            </w:r>
          </w:p>
        </w:tc>
        <w:tc>
          <w:tcPr>
            <w:tcW w:w="1239" w:type="dxa"/>
          </w:tcPr>
          <w:p w14:paraId="4C64018E"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461" w:type="dxa"/>
          </w:tcPr>
          <w:p w14:paraId="339C851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176-180</w:t>
            </w:r>
          </w:p>
        </w:tc>
        <w:tc>
          <w:tcPr>
            <w:tcW w:w="3570" w:type="dxa"/>
          </w:tcPr>
          <w:p w14:paraId="16AAC1C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10,20,40, 80 mg; E+ S 10,20,40, 80 mg</w:t>
            </w:r>
          </w:p>
        </w:tc>
      </w:tr>
      <w:tr w:rsidR="00912F4E" w:rsidRPr="000E4DA5" w14:paraId="4971DE36" w14:textId="77777777" w:rsidTr="006609C9">
        <w:tc>
          <w:tcPr>
            <w:tcW w:w="1343" w:type="dxa"/>
          </w:tcPr>
          <w:p w14:paraId="105FBDC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Davidson 2002</w:t>
            </w:r>
          </w:p>
        </w:tc>
        <w:tc>
          <w:tcPr>
            <w:tcW w:w="1118" w:type="dxa"/>
          </w:tcPr>
          <w:p w14:paraId="4400408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263</w:t>
            </w:r>
          </w:p>
        </w:tc>
        <w:tc>
          <w:tcPr>
            <w:tcW w:w="903" w:type="dxa"/>
          </w:tcPr>
          <w:p w14:paraId="58B84E9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263</w:t>
            </w:r>
          </w:p>
        </w:tc>
        <w:tc>
          <w:tcPr>
            <w:tcW w:w="1239" w:type="dxa"/>
          </w:tcPr>
          <w:p w14:paraId="31ABBEA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461" w:type="dxa"/>
          </w:tcPr>
          <w:p w14:paraId="24BD4D8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176-181</w:t>
            </w:r>
          </w:p>
        </w:tc>
        <w:tc>
          <w:tcPr>
            <w:tcW w:w="3570" w:type="dxa"/>
          </w:tcPr>
          <w:p w14:paraId="0D5322F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10,20,40, 80 mg; E+ S 10,20,40, 80 mg</w:t>
            </w:r>
          </w:p>
        </w:tc>
      </w:tr>
      <w:tr w:rsidR="00912F4E" w:rsidRPr="000E4DA5" w14:paraId="138E0F5E" w14:textId="77777777" w:rsidTr="006609C9">
        <w:tc>
          <w:tcPr>
            <w:tcW w:w="1343" w:type="dxa"/>
          </w:tcPr>
          <w:p w14:paraId="30668E1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 xml:space="preserve">Goldberg 2004 </w:t>
            </w:r>
          </w:p>
        </w:tc>
        <w:tc>
          <w:tcPr>
            <w:tcW w:w="1118" w:type="dxa"/>
          </w:tcPr>
          <w:p w14:paraId="6965E55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353</w:t>
            </w:r>
          </w:p>
        </w:tc>
        <w:tc>
          <w:tcPr>
            <w:tcW w:w="903" w:type="dxa"/>
          </w:tcPr>
          <w:p w14:paraId="051C246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349</w:t>
            </w:r>
          </w:p>
        </w:tc>
        <w:tc>
          <w:tcPr>
            <w:tcW w:w="1239" w:type="dxa"/>
          </w:tcPr>
          <w:p w14:paraId="23AD6F8B"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461" w:type="dxa"/>
          </w:tcPr>
          <w:p w14:paraId="4F9CDF1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NR</w:t>
            </w:r>
          </w:p>
        </w:tc>
        <w:tc>
          <w:tcPr>
            <w:tcW w:w="3570" w:type="dxa"/>
          </w:tcPr>
          <w:p w14:paraId="50276D0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10,20,40, 80 mg; E+ S 10,20,40, 80 mg</w:t>
            </w:r>
          </w:p>
        </w:tc>
      </w:tr>
      <w:tr w:rsidR="00912F4E" w:rsidRPr="000E4DA5" w14:paraId="78650667" w14:textId="77777777" w:rsidTr="006609C9">
        <w:tc>
          <w:tcPr>
            <w:tcW w:w="1343" w:type="dxa"/>
          </w:tcPr>
          <w:p w14:paraId="4BF0459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IMPROVE-IT 2015</w:t>
            </w:r>
          </w:p>
        </w:tc>
        <w:tc>
          <w:tcPr>
            <w:tcW w:w="1118" w:type="dxa"/>
          </w:tcPr>
          <w:p w14:paraId="5BAB884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9,067</w:t>
            </w:r>
          </w:p>
        </w:tc>
        <w:tc>
          <w:tcPr>
            <w:tcW w:w="903" w:type="dxa"/>
          </w:tcPr>
          <w:p w14:paraId="5E97E960"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9,077</w:t>
            </w:r>
          </w:p>
        </w:tc>
        <w:tc>
          <w:tcPr>
            <w:tcW w:w="1239" w:type="dxa"/>
          </w:tcPr>
          <w:p w14:paraId="04E10310" w14:textId="77777777" w:rsidR="00912F4E" w:rsidRPr="000E4DA5" w:rsidRDefault="00912F4E" w:rsidP="00912F4E">
            <w:pPr>
              <w:rPr>
                <w:rFonts w:ascii="Arial Narrow" w:hAnsi="Arial Narrow"/>
                <w:sz w:val="20"/>
                <w:szCs w:val="20"/>
              </w:rPr>
            </w:pPr>
            <w:r w:rsidRPr="000E4DA5">
              <w:rPr>
                <w:rFonts w:ascii="Arial Narrow" w:hAnsi="Arial Narrow"/>
                <w:sz w:val="20"/>
                <w:szCs w:val="20"/>
              </w:rPr>
              <w:t>2.5 years min follow-up</w:t>
            </w:r>
          </w:p>
        </w:tc>
        <w:tc>
          <w:tcPr>
            <w:tcW w:w="1461" w:type="dxa"/>
          </w:tcPr>
          <w:p w14:paraId="473F219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93.8</w:t>
            </w:r>
          </w:p>
        </w:tc>
        <w:tc>
          <w:tcPr>
            <w:tcW w:w="3570" w:type="dxa"/>
          </w:tcPr>
          <w:p w14:paraId="5BF8F1E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40 mg; E+ S 40 mg</w:t>
            </w:r>
          </w:p>
        </w:tc>
      </w:tr>
      <w:tr w:rsidR="00912F4E" w:rsidRPr="000E4DA5" w14:paraId="4D0A4BA1" w14:textId="77777777" w:rsidTr="006609C9">
        <w:tc>
          <w:tcPr>
            <w:tcW w:w="1343" w:type="dxa"/>
          </w:tcPr>
          <w:p w14:paraId="56B3954D" w14:textId="77777777" w:rsidR="00912F4E" w:rsidRPr="000E4DA5" w:rsidRDefault="00912F4E" w:rsidP="00912F4E">
            <w:pPr>
              <w:rPr>
                <w:rFonts w:ascii="Arial Narrow" w:hAnsi="Arial Narrow"/>
                <w:sz w:val="20"/>
                <w:szCs w:val="20"/>
              </w:rPr>
            </w:pPr>
            <w:r w:rsidRPr="000E4DA5">
              <w:rPr>
                <w:rFonts w:ascii="Arial Narrow" w:hAnsi="Arial Narrow"/>
                <w:sz w:val="20"/>
                <w:szCs w:val="20"/>
              </w:rPr>
              <w:t xml:space="preserve">Kastelein, 2008 </w:t>
            </w:r>
          </w:p>
        </w:tc>
        <w:tc>
          <w:tcPr>
            <w:tcW w:w="1118" w:type="dxa"/>
          </w:tcPr>
          <w:p w14:paraId="42739CC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357</w:t>
            </w:r>
          </w:p>
        </w:tc>
        <w:tc>
          <w:tcPr>
            <w:tcW w:w="903" w:type="dxa"/>
          </w:tcPr>
          <w:p w14:paraId="6852C7D9"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363</w:t>
            </w:r>
          </w:p>
        </w:tc>
        <w:tc>
          <w:tcPr>
            <w:tcW w:w="1239" w:type="dxa"/>
          </w:tcPr>
          <w:p w14:paraId="4AC9C13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24 months</w:t>
            </w:r>
          </w:p>
        </w:tc>
        <w:tc>
          <w:tcPr>
            <w:tcW w:w="1461" w:type="dxa"/>
          </w:tcPr>
          <w:p w14:paraId="3905948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317-319</w:t>
            </w:r>
          </w:p>
        </w:tc>
        <w:tc>
          <w:tcPr>
            <w:tcW w:w="3570" w:type="dxa"/>
          </w:tcPr>
          <w:p w14:paraId="2620A29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80 mg; E+ S 80 mg</w:t>
            </w:r>
          </w:p>
        </w:tc>
      </w:tr>
      <w:tr w:rsidR="00912F4E" w:rsidRPr="000E4DA5" w14:paraId="4188DEB3" w14:textId="77777777" w:rsidTr="006609C9">
        <w:tc>
          <w:tcPr>
            <w:tcW w:w="1343" w:type="dxa"/>
          </w:tcPr>
          <w:p w14:paraId="1F0431FD" w14:textId="140B0850" w:rsidR="00912F4E" w:rsidRPr="000E4DA5" w:rsidRDefault="00912F4E" w:rsidP="001704FF">
            <w:pPr>
              <w:jc w:val="both"/>
              <w:rPr>
                <w:rFonts w:ascii="Arial Narrow" w:hAnsi="Arial Narrow"/>
                <w:sz w:val="20"/>
                <w:szCs w:val="20"/>
              </w:rPr>
            </w:pPr>
            <w:r w:rsidRPr="000E4DA5">
              <w:rPr>
                <w:rFonts w:ascii="Arial Narrow" w:hAnsi="Arial Narrow"/>
                <w:sz w:val="20"/>
                <w:szCs w:val="20"/>
              </w:rPr>
              <w:t xml:space="preserve">Krysiak 2011  </w:t>
            </w:r>
          </w:p>
        </w:tc>
        <w:tc>
          <w:tcPr>
            <w:tcW w:w="1118" w:type="dxa"/>
          </w:tcPr>
          <w:p w14:paraId="7EFE69D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32</w:t>
            </w:r>
          </w:p>
        </w:tc>
        <w:tc>
          <w:tcPr>
            <w:tcW w:w="903" w:type="dxa"/>
          </w:tcPr>
          <w:p w14:paraId="01300A8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32</w:t>
            </w:r>
          </w:p>
        </w:tc>
        <w:tc>
          <w:tcPr>
            <w:tcW w:w="1239" w:type="dxa"/>
          </w:tcPr>
          <w:p w14:paraId="2B114672" w14:textId="77777777" w:rsidR="00912F4E" w:rsidRPr="000E4DA5" w:rsidRDefault="00912F4E" w:rsidP="00912F4E">
            <w:pPr>
              <w:jc w:val="both"/>
              <w:rPr>
                <w:rFonts w:ascii="Arial Narrow" w:hAnsi="Arial Narrow"/>
                <w:sz w:val="20"/>
                <w:szCs w:val="20"/>
              </w:rPr>
            </w:pPr>
          </w:p>
        </w:tc>
        <w:tc>
          <w:tcPr>
            <w:tcW w:w="1461" w:type="dxa"/>
          </w:tcPr>
          <w:p w14:paraId="50C855F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145-250</w:t>
            </w:r>
          </w:p>
        </w:tc>
        <w:tc>
          <w:tcPr>
            <w:tcW w:w="3570" w:type="dxa"/>
          </w:tcPr>
          <w:p w14:paraId="30979055"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40 mg; E+ S 40 mg</w:t>
            </w:r>
          </w:p>
        </w:tc>
      </w:tr>
      <w:tr w:rsidR="00912F4E" w:rsidRPr="000E4DA5" w14:paraId="442C4EE4" w14:textId="77777777" w:rsidTr="006609C9">
        <w:tc>
          <w:tcPr>
            <w:tcW w:w="1343" w:type="dxa"/>
          </w:tcPr>
          <w:p w14:paraId="3AD4605B" w14:textId="064AAD5F" w:rsidR="00912F4E" w:rsidRPr="000E4DA5" w:rsidRDefault="00912F4E" w:rsidP="001704FF">
            <w:pPr>
              <w:jc w:val="both"/>
              <w:rPr>
                <w:rFonts w:ascii="Arial Narrow" w:hAnsi="Arial Narrow"/>
                <w:sz w:val="20"/>
                <w:szCs w:val="20"/>
              </w:rPr>
            </w:pPr>
            <w:r w:rsidRPr="000E4DA5">
              <w:rPr>
                <w:rFonts w:ascii="Arial Narrow" w:hAnsi="Arial Narrow"/>
                <w:sz w:val="20"/>
                <w:szCs w:val="20"/>
              </w:rPr>
              <w:t xml:space="preserve">Krysiak 2012a </w:t>
            </w:r>
          </w:p>
        </w:tc>
        <w:tc>
          <w:tcPr>
            <w:tcW w:w="1118" w:type="dxa"/>
          </w:tcPr>
          <w:p w14:paraId="0081490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25</w:t>
            </w:r>
          </w:p>
        </w:tc>
        <w:tc>
          <w:tcPr>
            <w:tcW w:w="903" w:type="dxa"/>
          </w:tcPr>
          <w:p w14:paraId="7ADBF77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25</w:t>
            </w:r>
          </w:p>
        </w:tc>
        <w:tc>
          <w:tcPr>
            <w:tcW w:w="1239" w:type="dxa"/>
          </w:tcPr>
          <w:p w14:paraId="63B2AE6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90 days</w:t>
            </w:r>
          </w:p>
        </w:tc>
        <w:tc>
          <w:tcPr>
            <w:tcW w:w="1461" w:type="dxa"/>
          </w:tcPr>
          <w:p w14:paraId="58DAC1E6" w14:textId="77777777" w:rsidR="00912F4E" w:rsidRPr="000E4DA5" w:rsidRDefault="00912F4E" w:rsidP="00912F4E">
            <w:pPr>
              <w:jc w:val="both"/>
              <w:rPr>
                <w:rFonts w:ascii="Arial Narrow" w:hAnsi="Arial Narrow"/>
                <w:sz w:val="20"/>
                <w:szCs w:val="20"/>
                <w:highlight w:val="yellow"/>
              </w:rPr>
            </w:pPr>
            <w:r w:rsidRPr="000E4DA5">
              <w:rPr>
                <w:rFonts w:ascii="Arial Narrow" w:hAnsi="Arial Narrow"/>
                <w:sz w:val="20"/>
                <w:szCs w:val="20"/>
              </w:rPr>
              <w:t>145-250</w:t>
            </w:r>
          </w:p>
        </w:tc>
        <w:tc>
          <w:tcPr>
            <w:tcW w:w="3570" w:type="dxa"/>
          </w:tcPr>
          <w:p w14:paraId="5B4D6BC5"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40 mg; E+ S 40 mg</w:t>
            </w:r>
          </w:p>
        </w:tc>
      </w:tr>
      <w:tr w:rsidR="00912F4E" w:rsidRPr="000E4DA5" w14:paraId="7CECD689" w14:textId="77777777" w:rsidTr="006609C9">
        <w:tc>
          <w:tcPr>
            <w:tcW w:w="1343" w:type="dxa"/>
          </w:tcPr>
          <w:p w14:paraId="72DB5100" w14:textId="79E9D3D9" w:rsidR="00912F4E" w:rsidRPr="000E4DA5" w:rsidRDefault="00912F4E" w:rsidP="001704FF">
            <w:pPr>
              <w:jc w:val="both"/>
              <w:rPr>
                <w:rFonts w:ascii="Arial Narrow" w:hAnsi="Arial Narrow"/>
                <w:sz w:val="20"/>
                <w:szCs w:val="20"/>
              </w:rPr>
            </w:pPr>
            <w:r w:rsidRPr="000E4DA5">
              <w:rPr>
                <w:rFonts w:ascii="Arial Narrow" w:hAnsi="Arial Narrow"/>
                <w:sz w:val="20"/>
                <w:szCs w:val="20"/>
              </w:rPr>
              <w:t xml:space="preserve">Krysiak 2012b </w:t>
            </w:r>
          </w:p>
        </w:tc>
        <w:tc>
          <w:tcPr>
            <w:tcW w:w="1118" w:type="dxa"/>
          </w:tcPr>
          <w:p w14:paraId="62BF5479"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42</w:t>
            </w:r>
          </w:p>
        </w:tc>
        <w:tc>
          <w:tcPr>
            <w:tcW w:w="903" w:type="dxa"/>
          </w:tcPr>
          <w:p w14:paraId="6118A050"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44</w:t>
            </w:r>
          </w:p>
        </w:tc>
        <w:tc>
          <w:tcPr>
            <w:tcW w:w="1239" w:type="dxa"/>
          </w:tcPr>
          <w:p w14:paraId="08CB0EA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461" w:type="dxa"/>
          </w:tcPr>
          <w:p w14:paraId="70FE0497" w14:textId="77777777" w:rsidR="00912F4E" w:rsidRPr="000E4DA5" w:rsidRDefault="00912F4E" w:rsidP="00912F4E">
            <w:pPr>
              <w:jc w:val="both"/>
              <w:rPr>
                <w:rFonts w:ascii="Arial Narrow" w:hAnsi="Arial Narrow"/>
                <w:sz w:val="20"/>
                <w:szCs w:val="20"/>
                <w:highlight w:val="yellow"/>
              </w:rPr>
            </w:pPr>
            <w:r w:rsidRPr="000E4DA5">
              <w:rPr>
                <w:rFonts w:ascii="Arial Narrow" w:hAnsi="Arial Narrow"/>
                <w:sz w:val="20"/>
                <w:szCs w:val="20"/>
              </w:rPr>
              <w:t>145-250</w:t>
            </w:r>
          </w:p>
        </w:tc>
        <w:tc>
          <w:tcPr>
            <w:tcW w:w="3570" w:type="dxa"/>
          </w:tcPr>
          <w:p w14:paraId="5C031295"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40 mg; E+ S 40 mg</w:t>
            </w:r>
          </w:p>
        </w:tc>
      </w:tr>
      <w:tr w:rsidR="00912F4E" w:rsidRPr="000E4DA5" w14:paraId="0BE8EB31" w14:textId="77777777" w:rsidTr="006609C9">
        <w:tc>
          <w:tcPr>
            <w:tcW w:w="1343" w:type="dxa"/>
          </w:tcPr>
          <w:p w14:paraId="24EF4201" w14:textId="1A7130D5" w:rsidR="00912F4E" w:rsidRPr="000E4DA5" w:rsidRDefault="00912F4E" w:rsidP="001704FF">
            <w:pPr>
              <w:jc w:val="both"/>
              <w:rPr>
                <w:rFonts w:ascii="Arial Narrow" w:hAnsi="Arial Narrow"/>
                <w:sz w:val="20"/>
                <w:szCs w:val="20"/>
              </w:rPr>
            </w:pPr>
            <w:r w:rsidRPr="000E4DA5">
              <w:rPr>
                <w:rFonts w:ascii="Arial Narrow" w:hAnsi="Arial Narrow"/>
                <w:sz w:val="20"/>
                <w:szCs w:val="20"/>
              </w:rPr>
              <w:t xml:space="preserve">Krysiak 2014 </w:t>
            </w:r>
          </w:p>
        </w:tc>
        <w:tc>
          <w:tcPr>
            <w:tcW w:w="1118" w:type="dxa"/>
          </w:tcPr>
          <w:p w14:paraId="09C3DA2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21</w:t>
            </w:r>
          </w:p>
        </w:tc>
        <w:tc>
          <w:tcPr>
            <w:tcW w:w="903" w:type="dxa"/>
          </w:tcPr>
          <w:p w14:paraId="399425E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23</w:t>
            </w:r>
          </w:p>
        </w:tc>
        <w:tc>
          <w:tcPr>
            <w:tcW w:w="1239" w:type="dxa"/>
          </w:tcPr>
          <w:p w14:paraId="037F5A81" w14:textId="77777777" w:rsidR="00912F4E" w:rsidRPr="000E4DA5" w:rsidRDefault="00912F4E" w:rsidP="00912F4E">
            <w:pPr>
              <w:jc w:val="both"/>
              <w:rPr>
                <w:rFonts w:ascii="Arial Narrow" w:hAnsi="Arial Narrow"/>
                <w:sz w:val="20"/>
                <w:szCs w:val="20"/>
              </w:rPr>
            </w:pPr>
          </w:p>
        </w:tc>
        <w:tc>
          <w:tcPr>
            <w:tcW w:w="1461" w:type="dxa"/>
          </w:tcPr>
          <w:p w14:paraId="47BFA7D5" w14:textId="77777777" w:rsidR="00912F4E" w:rsidRPr="000E4DA5" w:rsidRDefault="00912F4E" w:rsidP="00912F4E">
            <w:pPr>
              <w:rPr>
                <w:rFonts w:ascii="Arial Narrow" w:hAnsi="Arial Narrow"/>
                <w:sz w:val="20"/>
                <w:szCs w:val="20"/>
              </w:rPr>
            </w:pPr>
            <w:r w:rsidRPr="000E4DA5">
              <w:rPr>
                <w:rFonts w:ascii="Arial Narrow" w:hAnsi="Arial Narrow"/>
                <w:sz w:val="20"/>
                <w:szCs w:val="20"/>
              </w:rPr>
              <w:t>178-186</w:t>
            </w:r>
          </w:p>
        </w:tc>
        <w:tc>
          <w:tcPr>
            <w:tcW w:w="3570" w:type="dxa"/>
          </w:tcPr>
          <w:p w14:paraId="1E966D39"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40 mg; E+ S 40 mg</w:t>
            </w:r>
          </w:p>
        </w:tc>
      </w:tr>
      <w:tr w:rsidR="00912F4E" w:rsidRPr="000E4DA5" w14:paraId="07AFFBCE" w14:textId="77777777" w:rsidTr="006609C9">
        <w:tc>
          <w:tcPr>
            <w:tcW w:w="1343" w:type="dxa"/>
          </w:tcPr>
          <w:p w14:paraId="01937538" w14:textId="036B1EBE" w:rsidR="00912F4E" w:rsidRPr="000E4DA5" w:rsidRDefault="00912F4E" w:rsidP="001704FF">
            <w:pPr>
              <w:rPr>
                <w:rFonts w:ascii="Arial Narrow" w:hAnsi="Arial Narrow"/>
                <w:sz w:val="20"/>
                <w:szCs w:val="20"/>
              </w:rPr>
            </w:pPr>
            <w:r w:rsidRPr="000E4DA5">
              <w:rPr>
                <w:rFonts w:ascii="Arial Narrow" w:hAnsi="Arial Narrow"/>
                <w:sz w:val="20"/>
                <w:szCs w:val="20"/>
              </w:rPr>
              <w:t xml:space="preserve">Masana 2005 </w:t>
            </w:r>
          </w:p>
        </w:tc>
        <w:tc>
          <w:tcPr>
            <w:tcW w:w="1118" w:type="dxa"/>
          </w:tcPr>
          <w:p w14:paraId="1104A49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355</w:t>
            </w:r>
          </w:p>
        </w:tc>
        <w:tc>
          <w:tcPr>
            <w:tcW w:w="903" w:type="dxa"/>
          </w:tcPr>
          <w:p w14:paraId="7A2ACDA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78</w:t>
            </w:r>
          </w:p>
        </w:tc>
        <w:tc>
          <w:tcPr>
            <w:tcW w:w="1239" w:type="dxa"/>
          </w:tcPr>
          <w:p w14:paraId="5720901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 xml:space="preserve">48 </w:t>
            </w:r>
          </w:p>
        </w:tc>
        <w:tc>
          <w:tcPr>
            <w:tcW w:w="1461" w:type="dxa"/>
          </w:tcPr>
          <w:p w14:paraId="1744B3BA" w14:textId="77777777" w:rsidR="00912F4E" w:rsidRPr="000E4DA5" w:rsidRDefault="00912F4E" w:rsidP="00912F4E">
            <w:pPr>
              <w:rPr>
                <w:rFonts w:ascii="Arial Narrow" w:hAnsi="Arial Narrow"/>
                <w:sz w:val="20"/>
                <w:szCs w:val="20"/>
              </w:rPr>
            </w:pPr>
            <w:r w:rsidRPr="000E4DA5">
              <w:rPr>
                <w:rFonts w:ascii="Arial Narrow" w:hAnsi="Arial Narrow"/>
                <w:sz w:val="20"/>
                <w:szCs w:val="20"/>
              </w:rPr>
              <w:t>131-137</w:t>
            </w:r>
          </w:p>
        </w:tc>
        <w:tc>
          <w:tcPr>
            <w:tcW w:w="3570" w:type="dxa"/>
          </w:tcPr>
          <w:p w14:paraId="41AF933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10,20,40, 80 mg; E+ S 10,20,40, 80 mg</w:t>
            </w:r>
          </w:p>
        </w:tc>
      </w:tr>
      <w:tr w:rsidR="00912F4E" w:rsidRPr="000E4DA5" w14:paraId="2EE18043" w14:textId="77777777" w:rsidTr="006609C9">
        <w:tc>
          <w:tcPr>
            <w:tcW w:w="1343" w:type="dxa"/>
          </w:tcPr>
          <w:p w14:paraId="055BB840" w14:textId="3F871DD0" w:rsidR="00912F4E" w:rsidRPr="000E4DA5" w:rsidRDefault="00912F4E" w:rsidP="001704FF">
            <w:pPr>
              <w:jc w:val="both"/>
              <w:rPr>
                <w:rFonts w:ascii="Arial Narrow" w:hAnsi="Arial Narrow"/>
                <w:sz w:val="20"/>
                <w:szCs w:val="20"/>
              </w:rPr>
            </w:pPr>
            <w:r w:rsidRPr="000E4DA5">
              <w:rPr>
                <w:rFonts w:ascii="Arial Narrow" w:hAnsi="Arial Narrow"/>
                <w:sz w:val="20"/>
                <w:szCs w:val="20"/>
              </w:rPr>
              <w:t xml:space="preserve">Rodney 2006 </w:t>
            </w:r>
          </w:p>
        </w:tc>
        <w:tc>
          <w:tcPr>
            <w:tcW w:w="1118" w:type="dxa"/>
          </w:tcPr>
          <w:p w14:paraId="2AB81B62"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214</w:t>
            </w:r>
          </w:p>
        </w:tc>
        <w:tc>
          <w:tcPr>
            <w:tcW w:w="903" w:type="dxa"/>
          </w:tcPr>
          <w:p w14:paraId="73FF57E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123</w:t>
            </w:r>
          </w:p>
        </w:tc>
        <w:tc>
          <w:tcPr>
            <w:tcW w:w="1239" w:type="dxa"/>
          </w:tcPr>
          <w:p w14:paraId="25DC99A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461" w:type="dxa"/>
          </w:tcPr>
          <w:p w14:paraId="1AFE8570"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175-177</w:t>
            </w:r>
          </w:p>
        </w:tc>
        <w:tc>
          <w:tcPr>
            <w:tcW w:w="3570" w:type="dxa"/>
          </w:tcPr>
          <w:p w14:paraId="3151EC42"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20 mg; E+ S 20 mg</w:t>
            </w:r>
          </w:p>
        </w:tc>
      </w:tr>
      <w:tr w:rsidR="00912F4E" w:rsidRPr="000E4DA5" w14:paraId="5FCAC1F0" w14:textId="77777777" w:rsidTr="006609C9">
        <w:tc>
          <w:tcPr>
            <w:tcW w:w="1343" w:type="dxa"/>
          </w:tcPr>
          <w:p w14:paraId="1C024D7A" w14:textId="3D8F96A5" w:rsidR="00912F4E" w:rsidRPr="000E4DA5" w:rsidRDefault="00912F4E" w:rsidP="001704FF">
            <w:pPr>
              <w:jc w:val="both"/>
              <w:rPr>
                <w:rFonts w:ascii="Arial Narrow" w:hAnsi="Arial Narrow"/>
                <w:sz w:val="20"/>
                <w:szCs w:val="20"/>
              </w:rPr>
            </w:pPr>
            <w:r w:rsidRPr="000E4DA5">
              <w:rPr>
                <w:rFonts w:ascii="Arial Narrow" w:hAnsi="Arial Narrow"/>
                <w:sz w:val="20"/>
                <w:szCs w:val="20"/>
              </w:rPr>
              <w:t xml:space="preserve">Shankar 2007 </w:t>
            </w:r>
          </w:p>
        </w:tc>
        <w:tc>
          <w:tcPr>
            <w:tcW w:w="1118" w:type="dxa"/>
          </w:tcPr>
          <w:p w14:paraId="1F631192"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114</w:t>
            </w:r>
          </w:p>
        </w:tc>
        <w:tc>
          <w:tcPr>
            <w:tcW w:w="903" w:type="dxa"/>
          </w:tcPr>
          <w:p w14:paraId="36A5D61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116</w:t>
            </w:r>
          </w:p>
        </w:tc>
        <w:tc>
          <w:tcPr>
            <w:tcW w:w="1239" w:type="dxa"/>
          </w:tcPr>
          <w:p w14:paraId="13143310"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461" w:type="dxa"/>
          </w:tcPr>
          <w:p w14:paraId="08F7B173" w14:textId="77777777" w:rsidR="00912F4E" w:rsidRPr="000E4DA5" w:rsidRDefault="00912F4E" w:rsidP="00912F4E">
            <w:pPr>
              <w:jc w:val="both"/>
              <w:rPr>
                <w:rFonts w:ascii="Arial Narrow" w:hAnsi="Arial Narrow"/>
                <w:sz w:val="20"/>
                <w:szCs w:val="20"/>
                <w:highlight w:val="yellow"/>
              </w:rPr>
            </w:pPr>
            <w:r w:rsidRPr="000E4DA5">
              <w:rPr>
                <w:rFonts w:ascii="Arial Narrow" w:hAnsi="Arial Narrow"/>
                <w:sz w:val="20"/>
                <w:szCs w:val="20"/>
              </w:rPr>
              <w:t>126-131</w:t>
            </w:r>
          </w:p>
        </w:tc>
        <w:tc>
          <w:tcPr>
            <w:tcW w:w="3570" w:type="dxa"/>
          </w:tcPr>
          <w:p w14:paraId="215F4AF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10 mg; E+ S 10 mg</w:t>
            </w:r>
          </w:p>
        </w:tc>
      </w:tr>
      <w:tr w:rsidR="00912F4E" w:rsidRPr="000E4DA5" w14:paraId="78C188CD" w14:textId="77777777" w:rsidTr="006609C9">
        <w:tc>
          <w:tcPr>
            <w:tcW w:w="1343" w:type="dxa"/>
          </w:tcPr>
          <w:p w14:paraId="007EEB7C" w14:textId="489308DD" w:rsidR="00912F4E" w:rsidRPr="000E4DA5" w:rsidRDefault="00912F4E" w:rsidP="001704FF">
            <w:pPr>
              <w:jc w:val="both"/>
              <w:rPr>
                <w:rFonts w:ascii="Arial Narrow" w:hAnsi="Arial Narrow"/>
                <w:sz w:val="20"/>
                <w:szCs w:val="20"/>
              </w:rPr>
            </w:pPr>
            <w:r w:rsidRPr="000E4DA5">
              <w:rPr>
                <w:rFonts w:ascii="Arial Narrow" w:hAnsi="Arial Narrow"/>
                <w:sz w:val="20"/>
                <w:szCs w:val="20"/>
              </w:rPr>
              <w:t xml:space="preserve">Zinellu 2012 </w:t>
            </w:r>
          </w:p>
        </w:tc>
        <w:tc>
          <w:tcPr>
            <w:tcW w:w="1118" w:type="dxa"/>
          </w:tcPr>
          <w:p w14:paraId="201C989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20</w:t>
            </w:r>
          </w:p>
        </w:tc>
        <w:tc>
          <w:tcPr>
            <w:tcW w:w="903" w:type="dxa"/>
          </w:tcPr>
          <w:p w14:paraId="04178B1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10</w:t>
            </w:r>
          </w:p>
        </w:tc>
        <w:tc>
          <w:tcPr>
            <w:tcW w:w="1239" w:type="dxa"/>
          </w:tcPr>
          <w:p w14:paraId="163FBE59" w14:textId="77777777" w:rsidR="00912F4E" w:rsidRPr="000E4DA5" w:rsidRDefault="00912F4E" w:rsidP="00912F4E">
            <w:pPr>
              <w:jc w:val="both"/>
              <w:rPr>
                <w:rFonts w:ascii="Arial Narrow" w:hAnsi="Arial Narrow"/>
                <w:sz w:val="20"/>
                <w:szCs w:val="20"/>
              </w:rPr>
            </w:pPr>
          </w:p>
        </w:tc>
        <w:tc>
          <w:tcPr>
            <w:tcW w:w="1461" w:type="dxa"/>
          </w:tcPr>
          <w:p w14:paraId="2676150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230-254</w:t>
            </w:r>
          </w:p>
        </w:tc>
        <w:tc>
          <w:tcPr>
            <w:tcW w:w="3570" w:type="dxa"/>
          </w:tcPr>
          <w:p w14:paraId="1B1110E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S 40 mg; E+ S 20,40 mg</w:t>
            </w:r>
          </w:p>
        </w:tc>
      </w:tr>
    </w:tbl>
    <w:p w14:paraId="33AA08BD" w14:textId="77777777" w:rsidR="00912F4E" w:rsidRPr="00912F4E" w:rsidRDefault="00912F4E" w:rsidP="00912F4E">
      <w:pPr>
        <w:ind w:right="-731"/>
        <w:rPr>
          <w:rFonts w:eastAsiaTheme="minorHAnsi"/>
          <w:sz w:val="18"/>
          <w:szCs w:val="18"/>
          <w:lang w:eastAsia="en-US"/>
        </w:rPr>
      </w:pPr>
      <w:r w:rsidRPr="00912F4E">
        <w:rPr>
          <w:rFonts w:eastAsiaTheme="minorHAnsi"/>
          <w:sz w:val="18"/>
          <w:szCs w:val="18"/>
          <w:lang w:eastAsia="en-US"/>
        </w:rPr>
        <w:t>S=simvastatin; P=pravastin; A=atorvastatin; F=fluvastatin; (</w:t>
      </w:r>
      <w:hyperlink r:id="rId19" w:history="1">
        <w:r w:rsidRPr="00912F4E">
          <w:rPr>
            <w:rFonts w:eastAsiaTheme="minorHAnsi"/>
            <w:color w:val="0563C1" w:themeColor="hyperlink"/>
            <w:sz w:val="18"/>
            <w:szCs w:val="18"/>
            <w:u w:val="single"/>
            <w:lang w:eastAsia="en-US"/>
          </w:rPr>
          <w:t>http://heartuk.org.uk/files/uploads/documents/huk_fs_mfsP_cholestrigly_leverlsconv</w:t>
        </w:r>
      </w:hyperlink>
      <w:r w:rsidRPr="00912F4E">
        <w:rPr>
          <w:rFonts w:eastAsiaTheme="minorHAnsi"/>
          <w:color w:val="0563C1" w:themeColor="hyperlink"/>
          <w:sz w:val="18"/>
          <w:szCs w:val="18"/>
          <w:u w:val="single"/>
          <w:lang w:eastAsia="en-US"/>
        </w:rPr>
        <w:t>ersion.pdf</w:t>
      </w:r>
      <w:r w:rsidRPr="00912F4E">
        <w:rPr>
          <w:rFonts w:eastAsiaTheme="minorHAnsi"/>
          <w:sz w:val="18"/>
          <w:szCs w:val="18"/>
          <w:lang w:eastAsia="en-US"/>
        </w:rPr>
        <w:t>) was used to convert to mg/dL (mmol/l x 38.6).</w:t>
      </w:r>
    </w:p>
    <w:p w14:paraId="1D1DF7E1" w14:textId="263569B9" w:rsidR="00912F4E" w:rsidRPr="00912F4E" w:rsidRDefault="00912F4E" w:rsidP="00912F4E">
      <w:pPr>
        <w:spacing w:after="0"/>
        <w:jc w:val="both"/>
        <w:rPr>
          <w:rFonts w:eastAsiaTheme="minorHAnsi"/>
          <w:lang w:eastAsia="en-US"/>
        </w:rPr>
      </w:pPr>
      <w:r w:rsidRPr="00912F4E">
        <w:rPr>
          <w:rFonts w:eastAsiaTheme="minorHAnsi"/>
          <w:lang w:eastAsia="en-US"/>
        </w:rPr>
        <w:t>A</w:t>
      </w:r>
      <w:r w:rsidR="00127FB8">
        <w:rPr>
          <w:rFonts w:eastAsiaTheme="minorHAnsi"/>
          <w:lang w:eastAsia="en-US"/>
        </w:rPr>
        <w:t xml:space="preserve">t the baseline in the ezetimibe and </w:t>
      </w:r>
      <w:r w:rsidRPr="00912F4E">
        <w:rPr>
          <w:rFonts w:eastAsiaTheme="minorHAnsi"/>
          <w:lang w:eastAsia="en-US"/>
        </w:rPr>
        <w:t>statin combination trials</w:t>
      </w:r>
      <w:r w:rsidR="00271686">
        <w:rPr>
          <w:rFonts w:eastAsiaTheme="minorHAnsi"/>
          <w:lang w:eastAsia="en-US"/>
        </w:rPr>
        <w:t xml:space="preserve">, LDL-c values in the ezetimibe and </w:t>
      </w:r>
      <w:r w:rsidRPr="00912F4E">
        <w:rPr>
          <w:rFonts w:eastAsiaTheme="minorHAnsi"/>
          <w:lang w:eastAsia="en-US"/>
        </w:rPr>
        <w:t xml:space="preserve">statin groups ranged from 93.8 mg/dL (IMPROVE-IT trial) to 319 mg/dL (Kastelein, 2008). In the statin monotherapy groups, values ranged from 93.8 mg/dL (IMPROVE-IT trial) to 317.8 mg/dL (Kastelein, </w:t>
      </w:r>
      <w:r w:rsidRPr="00912F4E">
        <w:rPr>
          <w:rFonts w:eastAsiaTheme="minorHAnsi"/>
          <w:lang w:eastAsia="en-US"/>
        </w:rPr>
        <w:lastRenderedPageBreak/>
        <w:t>2008). All the participants in the IMPROVE-IT trial had acute coronary syndrome, whilst those in the Kastelein (2008) trial had familial hypercholesterolemia.</w:t>
      </w:r>
    </w:p>
    <w:p w14:paraId="21BB3594" w14:textId="77777777" w:rsidR="00912F4E" w:rsidRPr="00912F4E" w:rsidRDefault="00912F4E" w:rsidP="00912F4E">
      <w:pPr>
        <w:spacing w:after="0"/>
        <w:jc w:val="both"/>
        <w:rPr>
          <w:rFonts w:eastAsiaTheme="minorHAnsi"/>
          <w:lang w:eastAsia="en-US"/>
        </w:rPr>
      </w:pPr>
    </w:p>
    <w:p w14:paraId="26032324" w14:textId="7AC5021D" w:rsidR="00912F4E" w:rsidRPr="00912F4E" w:rsidRDefault="00912F4E" w:rsidP="00912F4E">
      <w:pPr>
        <w:jc w:val="both"/>
        <w:rPr>
          <w:rFonts w:eastAsiaTheme="minorHAnsi"/>
          <w:lang w:eastAsia="en-US"/>
        </w:rPr>
      </w:pPr>
      <w:r w:rsidRPr="00912F4E">
        <w:rPr>
          <w:rFonts w:eastAsiaTheme="minorHAnsi"/>
          <w:lang w:eastAsia="en-US"/>
        </w:rPr>
        <w:t>The random-effects meta-analysis of the identified 13 trials (N=23,359</w:t>
      </w:r>
      <w:r w:rsidR="00810E33">
        <w:rPr>
          <w:rFonts w:eastAsiaTheme="minorHAnsi"/>
          <w:lang w:eastAsia="en-US"/>
        </w:rPr>
        <w:t xml:space="preserve">, listed in Table </w:t>
      </w:r>
      <w:r w:rsidRPr="00912F4E">
        <w:rPr>
          <w:rFonts w:eastAsiaTheme="minorHAnsi"/>
          <w:lang w:eastAsia="en-US"/>
        </w:rPr>
        <w:t>) demonstrated that a combination of ezetimibe and a statin resulted in a statistically significant greater reduction in the LDL-C percentage change from baseline (-15.6%, 95% CI -17.1 to -14.1, p&lt;0.0001, I</w:t>
      </w:r>
      <w:r w:rsidRPr="00912F4E">
        <w:rPr>
          <w:rFonts w:eastAsiaTheme="minorHAnsi"/>
          <w:vertAlign w:val="superscript"/>
          <w:lang w:eastAsia="en-US"/>
        </w:rPr>
        <w:t>2</w:t>
      </w:r>
      <w:r w:rsidRPr="00912F4E">
        <w:rPr>
          <w:rFonts w:eastAsiaTheme="minorHAnsi"/>
          <w:lang w:eastAsia="en-US"/>
        </w:rPr>
        <w:t>=99.9) and in total cholesterol (-12.2%, 95% CI -12.9to -11.5, p&lt;0.0001, I</w:t>
      </w:r>
      <w:r w:rsidRPr="00912F4E">
        <w:rPr>
          <w:rFonts w:eastAsiaTheme="minorHAnsi"/>
          <w:vertAlign w:val="superscript"/>
          <w:lang w:eastAsia="en-US"/>
        </w:rPr>
        <w:t>2</w:t>
      </w:r>
      <w:r w:rsidRPr="00912F4E">
        <w:rPr>
          <w:rFonts w:eastAsiaTheme="minorHAnsi"/>
          <w:lang w:eastAsia="en-US"/>
        </w:rPr>
        <w:t xml:space="preserve">=99.8) compared to the matching dose of a statin alone. </w:t>
      </w:r>
      <w:r w:rsidRPr="00271686">
        <w:rPr>
          <w:rFonts w:eastAsiaTheme="minorHAnsi"/>
          <w:i/>
          <w:lang w:eastAsia="en-US"/>
        </w:rPr>
        <w:t>There was a large degree of heterogeneity present (I</w:t>
      </w:r>
      <w:r w:rsidRPr="00271686">
        <w:rPr>
          <w:rFonts w:eastAsiaTheme="minorHAnsi"/>
          <w:i/>
          <w:vertAlign w:val="superscript"/>
          <w:lang w:eastAsia="en-US"/>
        </w:rPr>
        <w:t>2</w:t>
      </w:r>
      <w:r w:rsidR="00271686" w:rsidRPr="00271686">
        <w:rPr>
          <w:rFonts w:eastAsiaTheme="minorHAnsi"/>
          <w:i/>
          <w:lang w:eastAsia="en-US"/>
        </w:rPr>
        <w:t>&gt;99) for all analyses indicating that the narrative rather than quantitative synthesis of the results would be more appropriate.</w:t>
      </w:r>
      <w:r w:rsidR="00271686">
        <w:rPr>
          <w:rFonts w:eastAsiaTheme="minorHAnsi"/>
          <w:lang w:eastAsia="en-US"/>
        </w:rPr>
        <w:t xml:space="preserve"> </w:t>
      </w:r>
    </w:p>
    <w:p w14:paraId="6167F4A4" w14:textId="77777777" w:rsidR="00912F4E" w:rsidRPr="00912F4E" w:rsidRDefault="00912F4E" w:rsidP="00912F4E">
      <w:pPr>
        <w:jc w:val="both"/>
        <w:rPr>
          <w:rFonts w:eastAsiaTheme="minorHAnsi"/>
          <w:u w:val="single"/>
          <w:lang w:eastAsia="en-US"/>
        </w:rPr>
      </w:pPr>
      <w:r w:rsidRPr="001704FF">
        <w:rPr>
          <w:rFonts w:eastAsiaTheme="minorHAnsi"/>
          <w:i/>
          <w:lang w:eastAsia="en-US"/>
        </w:rPr>
        <w:t xml:space="preserve">Monotherapy </w:t>
      </w:r>
      <w:r w:rsidRPr="00912F4E">
        <w:rPr>
          <w:rFonts w:eastAsiaTheme="minorHAnsi"/>
          <w:lang w:eastAsia="en-US"/>
        </w:rPr>
        <w:t>(for those where a statin was inappropriate or not tolerated). The company identified 13 trials (N=3,173) that were consistent with the negotiated terms of reference. The HTA independent assessment also identified a placebo-controlled trial of ezetimibe+lovastatin (</w:t>
      </w:r>
      <w:r w:rsidRPr="001704FF">
        <w:rPr>
          <w:rFonts w:eastAsiaTheme="minorHAnsi"/>
          <w:sz w:val="20"/>
          <w:szCs w:val="20"/>
          <w:lang w:eastAsia="en-US"/>
        </w:rPr>
        <w:t>Kerzner 2003)</w:t>
      </w:r>
      <w:r w:rsidRPr="001704FF">
        <w:rPr>
          <w:rFonts w:eastAsiaTheme="minorHAnsi"/>
          <w:lang w:eastAsia="en-US"/>
        </w:rPr>
        <w:t xml:space="preserve">, </w:t>
      </w:r>
      <w:r w:rsidRPr="00912F4E">
        <w:rPr>
          <w:rFonts w:eastAsiaTheme="minorHAnsi"/>
          <w:lang w:eastAsia="en-US"/>
        </w:rPr>
        <w:t>that should have been included in meta-analysis.</w:t>
      </w:r>
    </w:p>
    <w:p w14:paraId="6C212C3D" w14:textId="66E8B6C2" w:rsidR="00912F4E" w:rsidRPr="00912F4E" w:rsidRDefault="00912F4E" w:rsidP="00912F4E">
      <w:pPr>
        <w:rPr>
          <w:rFonts w:eastAsiaTheme="minorHAnsi"/>
          <w:lang w:eastAsia="en-US"/>
        </w:rPr>
      </w:pPr>
      <w:r w:rsidRPr="00912F4E">
        <w:rPr>
          <w:rFonts w:eastAsiaTheme="minorHAnsi"/>
          <w:lang w:eastAsia="en-US"/>
        </w:rPr>
        <w:t xml:space="preserve">Some of the characteristics of population and treatment regimen of these trials are shown in Table </w:t>
      </w:r>
      <w:r w:rsidR="001704FF">
        <w:rPr>
          <w:rFonts w:eastAsiaTheme="minorHAnsi"/>
          <w:lang w:eastAsia="en-US"/>
        </w:rPr>
        <w:t>2.2.3.5</w:t>
      </w:r>
    </w:p>
    <w:p w14:paraId="4FAB193E" w14:textId="26E4F266" w:rsidR="00912F4E" w:rsidRPr="001704FF" w:rsidRDefault="00912F4E" w:rsidP="001704FF">
      <w:pPr>
        <w:pStyle w:val="Caption"/>
        <w:ind w:left="0"/>
        <w:rPr>
          <w:sz w:val="22"/>
          <w:szCs w:val="22"/>
        </w:rPr>
      </w:pPr>
      <w:r w:rsidRPr="001704FF">
        <w:rPr>
          <w:sz w:val="22"/>
          <w:szCs w:val="22"/>
        </w:rPr>
        <w:t xml:space="preserve">Table </w:t>
      </w:r>
      <w:r w:rsidR="001704FF">
        <w:rPr>
          <w:sz w:val="22"/>
          <w:szCs w:val="22"/>
        </w:rPr>
        <w:t>2.2.3.5</w:t>
      </w:r>
      <w:r w:rsidRPr="001704FF">
        <w:rPr>
          <w:sz w:val="22"/>
          <w:szCs w:val="22"/>
        </w:rPr>
        <w:t xml:space="preserve"> Meta-analysis of the percentage reduction in LDL-c from baseline reported in RCTs comparing ezetimibe monotherapy to placebo in patients with primary hypercholesterolemia </w:t>
      </w:r>
    </w:p>
    <w:tbl>
      <w:tblPr>
        <w:tblStyle w:val="TableGrid3"/>
        <w:tblW w:w="8217" w:type="dxa"/>
        <w:tblLayout w:type="fixed"/>
        <w:tblLook w:val="04A0" w:firstRow="1" w:lastRow="0" w:firstColumn="1" w:lastColumn="0" w:noHBand="0" w:noVBand="1"/>
      </w:tblPr>
      <w:tblGrid>
        <w:gridCol w:w="1696"/>
        <w:gridCol w:w="1114"/>
        <w:gridCol w:w="1114"/>
        <w:gridCol w:w="1114"/>
        <w:gridCol w:w="1114"/>
        <w:gridCol w:w="2065"/>
      </w:tblGrid>
      <w:tr w:rsidR="00912F4E" w:rsidRPr="000E4DA5" w14:paraId="7758A224" w14:textId="77777777" w:rsidTr="006609C9">
        <w:tc>
          <w:tcPr>
            <w:tcW w:w="1696" w:type="dxa"/>
          </w:tcPr>
          <w:p w14:paraId="71F44DBD" w14:textId="77777777" w:rsidR="00912F4E" w:rsidRPr="000E4DA5" w:rsidRDefault="00912F4E" w:rsidP="00912F4E">
            <w:pPr>
              <w:jc w:val="both"/>
              <w:rPr>
                <w:rFonts w:ascii="Arial Narrow" w:hAnsi="Arial Narrow"/>
              </w:rPr>
            </w:pPr>
            <w:r w:rsidRPr="000E4DA5">
              <w:rPr>
                <w:rFonts w:ascii="Arial Narrow" w:hAnsi="Arial Narrow"/>
              </w:rPr>
              <w:t>Study</w:t>
            </w:r>
          </w:p>
        </w:tc>
        <w:tc>
          <w:tcPr>
            <w:tcW w:w="1114" w:type="dxa"/>
          </w:tcPr>
          <w:p w14:paraId="44575348" w14:textId="77777777" w:rsidR="00912F4E" w:rsidRPr="000E4DA5" w:rsidRDefault="00912F4E" w:rsidP="00912F4E">
            <w:pPr>
              <w:jc w:val="both"/>
              <w:rPr>
                <w:rFonts w:ascii="Arial Narrow" w:hAnsi="Arial Narrow"/>
              </w:rPr>
            </w:pPr>
            <w:r w:rsidRPr="000E4DA5">
              <w:rPr>
                <w:rFonts w:ascii="Arial Narrow" w:hAnsi="Arial Narrow"/>
              </w:rPr>
              <w:t>Treat-ment duration (weeks)</w:t>
            </w:r>
          </w:p>
        </w:tc>
        <w:tc>
          <w:tcPr>
            <w:tcW w:w="1114" w:type="dxa"/>
          </w:tcPr>
          <w:p w14:paraId="6522C24D" w14:textId="77777777" w:rsidR="00912F4E" w:rsidRPr="000E4DA5" w:rsidRDefault="00912F4E" w:rsidP="00912F4E">
            <w:pPr>
              <w:jc w:val="both"/>
              <w:rPr>
                <w:rFonts w:ascii="Arial Narrow" w:hAnsi="Arial Narrow"/>
              </w:rPr>
            </w:pPr>
            <w:r w:rsidRPr="000E4DA5">
              <w:rPr>
                <w:rFonts w:ascii="Arial Narrow" w:hAnsi="Arial Narrow"/>
              </w:rPr>
              <w:t>N Ezetimibe</w:t>
            </w:r>
          </w:p>
        </w:tc>
        <w:tc>
          <w:tcPr>
            <w:tcW w:w="1114" w:type="dxa"/>
          </w:tcPr>
          <w:p w14:paraId="0184F951" w14:textId="77777777" w:rsidR="00912F4E" w:rsidRPr="000E4DA5" w:rsidRDefault="00912F4E" w:rsidP="00912F4E">
            <w:pPr>
              <w:jc w:val="both"/>
              <w:rPr>
                <w:rFonts w:ascii="Arial Narrow" w:hAnsi="Arial Narrow"/>
              </w:rPr>
            </w:pPr>
            <w:r w:rsidRPr="000E4DA5">
              <w:rPr>
                <w:rFonts w:ascii="Arial Narrow" w:hAnsi="Arial Narrow"/>
              </w:rPr>
              <w:t>N placebo</w:t>
            </w:r>
          </w:p>
        </w:tc>
        <w:tc>
          <w:tcPr>
            <w:tcW w:w="1114" w:type="dxa"/>
          </w:tcPr>
          <w:p w14:paraId="655D36C5" w14:textId="77777777" w:rsidR="00912F4E" w:rsidRPr="000E4DA5" w:rsidRDefault="00912F4E" w:rsidP="00912F4E">
            <w:pPr>
              <w:jc w:val="both"/>
              <w:rPr>
                <w:rFonts w:ascii="Arial Narrow" w:hAnsi="Arial Narrow"/>
              </w:rPr>
            </w:pPr>
            <w:r w:rsidRPr="000E4DA5">
              <w:rPr>
                <w:rFonts w:ascii="Arial Narrow" w:hAnsi="Arial Narrow"/>
              </w:rPr>
              <w:t>Mean Baseline LDL-C (mg/dL)</w:t>
            </w:r>
          </w:p>
        </w:tc>
        <w:tc>
          <w:tcPr>
            <w:tcW w:w="2065" w:type="dxa"/>
          </w:tcPr>
          <w:p w14:paraId="440B1310" w14:textId="77777777" w:rsidR="00912F4E" w:rsidRPr="000E4DA5" w:rsidRDefault="00912F4E" w:rsidP="00912F4E">
            <w:pPr>
              <w:rPr>
                <w:rFonts w:ascii="Arial Narrow" w:hAnsi="Arial Narrow"/>
              </w:rPr>
            </w:pPr>
            <w:r w:rsidRPr="000E4DA5">
              <w:rPr>
                <w:rFonts w:ascii="Arial Narrow" w:hAnsi="Arial Narrow"/>
              </w:rPr>
              <w:t xml:space="preserve">Weighted mean difference (random effects) </w:t>
            </w:r>
          </w:p>
          <w:p w14:paraId="77E7168A" w14:textId="77777777" w:rsidR="00912F4E" w:rsidRPr="000E4DA5" w:rsidRDefault="00912F4E" w:rsidP="00912F4E">
            <w:pPr>
              <w:jc w:val="both"/>
              <w:rPr>
                <w:rFonts w:ascii="Arial Narrow" w:hAnsi="Arial Narrow"/>
              </w:rPr>
            </w:pPr>
            <w:r w:rsidRPr="000E4DA5">
              <w:rPr>
                <w:rFonts w:ascii="Arial Narrow" w:hAnsi="Arial Narrow"/>
              </w:rPr>
              <w:t>95%CI</w:t>
            </w:r>
          </w:p>
        </w:tc>
      </w:tr>
      <w:tr w:rsidR="00912F4E" w:rsidRPr="000E4DA5" w14:paraId="558BFFFA" w14:textId="77777777" w:rsidTr="006609C9">
        <w:tc>
          <w:tcPr>
            <w:tcW w:w="1696" w:type="dxa"/>
          </w:tcPr>
          <w:p w14:paraId="1E51429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Ballantyne 2003</w:t>
            </w:r>
          </w:p>
        </w:tc>
        <w:tc>
          <w:tcPr>
            <w:tcW w:w="1114" w:type="dxa"/>
          </w:tcPr>
          <w:p w14:paraId="2E73F93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4" w:type="dxa"/>
          </w:tcPr>
          <w:p w14:paraId="322C777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65</w:t>
            </w:r>
          </w:p>
        </w:tc>
        <w:tc>
          <w:tcPr>
            <w:tcW w:w="1114" w:type="dxa"/>
          </w:tcPr>
          <w:p w14:paraId="6EEFEAD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60</w:t>
            </w:r>
          </w:p>
        </w:tc>
        <w:tc>
          <w:tcPr>
            <w:tcW w:w="1114" w:type="dxa"/>
          </w:tcPr>
          <w:p w14:paraId="051044E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175-179</w:t>
            </w:r>
          </w:p>
        </w:tc>
        <w:tc>
          <w:tcPr>
            <w:tcW w:w="2065" w:type="dxa"/>
          </w:tcPr>
          <w:p w14:paraId="5C30C1E9"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-24.30 (-25.0, -23.7)</w:t>
            </w:r>
          </w:p>
        </w:tc>
      </w:tr>
      <w:tr w:rsidR="00912F4E" w:rsidRPr="000E4DA5" w14:paraId="78EADC47" w14:textId="77777777" w:rsidTr="006609C9">
        <w:tc>
          <w:tcPr>
            <w:tcW w:w="1696" w:type="dxa"/>
          </w:tcPr>
          <w:p w14:paraId="76E80F1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Bays 2001 arm A</w:t>
            </w:r>
          </w:p>
        </w:tc>
        <w:tc>
          <w:tcPr>
            <w:tcW w:w="1114" w:type="dxa"/>
          </w:tcPr>
          <w:p w14:paraId="3F977CB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4" w:type="dxa"/>
          </w:tcPr>
          <w:p w14:paraId="3199058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46</w:t>
            </w:r>
          </w:p>
        </w:tc>
        <w:tc>
          <w:tcPr>
            <w:tcW w:w="1114" w:type="dxa"/>
          </w:tcPr>
          <w:p w14:paraId="5676B01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52</w:t>
            </w:r>
          </w:p>
        </w:tc>
        <w:tc>
          <w:tcPr>
            <w:tcW w:w="1114" w:type="dxa"/>
          </w:tcPr>
          <w:p w14:paraId="224F23B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171-177</w:t>
            </w:r>
          </w:p>
        </w:tc>
        <w:tc>
          <w:tcPr>
            <w:tcW w:w="2065" w:type="dxa"/>
          </w:tcPr>
          <w:p w14:paraId="511A4C3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-22.30 (-22.8, -21.8)</w:t>
            </w:r>
          </w:p>
        </w:tc>
      </w:tr>
      <w:tr w:rsidR="00912F4E" w:rsidRPr="000E4DA5" w14:paraId="2A24A467" w14:textId="77777777" w:rsidTr="006609C9">
        <w:tc>
          <w:tcPr>
            <w:tcW w:w="1696" w:type="dxa"/>
          </w:tcPr>
          <w:p w14:paraId="65118B1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Bays 2001 arm B</w:t>
            </w:r>
          </w:p>
        </w:tc>
        <w:tc>
          <w:tcPr>
            <w:tcW w:w="1114" w:type="dxa"/>
          </w:tcPr>
          <w:p w14:paraId="6D1323D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4" w:type="dxa"/>
          </w:tcPr>
          <w:p w14:paraId="1253BBF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77</w:t>
            </w:r>
          </w:p>
        </w:tc>
        <w:tc>
          <w:tcPr>
            <w:tcW w:w="1114" w:type="dxa"/>
          </w:tcPr>
          <w:p w14:paraId="315DBA55"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36</w:t>
            </w:r>
          </w:p>
        </w:tc>
        <w:tc>
          <w:tcPr>
            <w:tcW w:w="1114" w:type="dxa"/>
          </w:tcPr>
          <w:p w14:paraId="73C2280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171-177</w:t>
            </w:r>
          </w:p>
        </w:tc>
        <w:tc>
          <w:tcPr>
            <w:tcW w:w="2065" w:type="dxa"/>
          </w:tcPr>
          <w:p w14:paraId="7A870DA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-12.70 (-13.4, -12.0)</w:t>
            </w:r>
          </w:p>
        </w:tc>
      </w:tr>
      <w:tr w:rsidR="00912F4E" w:rsidRPr="000E4DA5" w14:paraId="416BB352" w14:textId="77777777" w:rsidTr="006609C9">
        <w:tc>
          <w:tcPr>
            <w:tcW w:w="1696" w:type="dxa"/>
          </w:tcPr>
          <w:p w14:paraId="5AC3D550"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Bays 2004</w:t>
            </w:r>
          </w:p>
        </w:tc>
        <w:tc>
          <w:tcPr>
            <w:tcW w:w="1114" w:type="dxa"/>
          </w:tcPr>
          <w:p w14:paraId="25DB4C5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4" w:type="dxa"/>
          </w:tcPr>
          <w:p w14:paraId="690D274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149</w:t>
            </w:r>
          </w:p>
        </w:tc>
        <w:tc>
          <w:tcPr>
            <w:tcW w:w="1114" w:type="dxa"/>
          </w:tcPr>
          <w:p w14:paraId="38A8E86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148</w:t>
            </w:r>
          </w:p>
        </w:tc>
        <w:tc>
          <w:tcPr>
            <w:tcW w:w="1114" w:type="dxa"/>
          </w:tcPr>
          <w:p w14:paraId="42E8527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176-180</w:t>
            </w:r>
          </w:p>
        </w:tc>
        <w:tc>
          <w:tcPr>
            <w:tcW w:w="2065" w:type="dxa"/>
          </w:tcPr>
          <w:p w14:paraId="65B08F06"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-16.70 (-17.0, -16.2)</w:t>
            </w:r>
          </w:p>
        </w:tc>
      </w:tr>
      <w:tr w:rsidR="00912F4E" w:rsidRPr="000E4DA5" w14:paraId="6FC31B81" w14:textId="77777777" w:rsidTr="006609C9">
        <w:tc>
          <w:tcPr>
            <w:tcW w:w="1696" w:type="dxa"/>
          </w:tcPr>
          <w:p w14:paraId="5BCB17F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Davidson 2002</w:t>
            </w:r>
          </w:p>
        </w:tc>
        <w:tc>
          <w:tcPr>
            <w:tcW w:w="1114" w:type="dxa"/>
          </w:tcPr>
          <w:p w14:paraId="1963745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4" w:type="dxa"/>
          </w:tcPr>
          <w:p w14:paraId="1773E38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61</w:t>
            </w:r>
          </w:p>
        </w:tc>
        <w:tc>
          <w:tcPr>
            <w:tcW w:w="1114" w:type="dxa"/>
          </w:tcPr>
          <w:p w14:paraId="53EBD64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70</w:t>
            </w:r>
          </w:p>
        </w:tc>
        <w:tc>
          <w:tcPr>
            <w:tcW w:w="1114" w:type="dxa"/>
          </w:tcPr>
          <w:p w14:paraId="1987684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176-171</w:t>
            </w:r>
          </w:p>
        </w:tc>
        <w:tc>
          <w:tcPr>
            <w:tcW w:w="2065" w:type="dxa"/>
          </w:tcPr>
          <w:p w14:paraId="7AB79459"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-16.80 (-17.4, -16.2)</w:t>
            </w:r>
          </w:p>
        </w:tc>
      </w:tr>
      <w:tr w:rsidR="00912F4E" w:rsidRPr="000E4DA5" w14:paraId="07D3AC8E" w14:textId="77777777" w:rsidTr="006609C9">
        <w:tc>
          <w:tcPr>
            <w:tcW w:w="1696" w:type="dxa"/>
          </w:tcPr>
          <w:p w14:paraId="2B0329C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Dujovne 2002</w:t>
            </w:r>
          </w:p>
        </w:tc>
        <w:tc>
          <w:tcPr>
            <w:tcW w:w="1114" w:type="dxa"/>
          </w:tcPr>
          <w:p w14:paraId="3365E81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4" w:type="dxa"/>
          </w:tcPr>
          <w:p w14:paraId="6785BAC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570</w:t>
            </w:r>
          </w:p>
        </w:tc>
        <w:tc>
          <w:tcPr>
            <w:tcW w:w="1114" w:type="dxa"/>
          </w:tcPr>
          <w:p w14:paraId="105B713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193</w:t>
            </w:r>
          </w:p>
        </w:tc>
        <w:tc>
          <w:tcPr>
            <w:tcW w:w="1114" w:type="dxa"/>
          </w:tcPr>
          <w:p w14:paraId="1F13D7D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168</w:t>
            </w:r>
          </w:p>
        </w:tc>
        <w:tc>
          <w:tcPr>
            <w:tcW w:w="2065" w:type="dxa"/>
          </w:tcPr>
          <w:p w14:paraId="574B8900"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-17.30 (-17.4, -17.2)</w:t>
            </w:r>
          </w:p>
        </w:tc>
      </w:tr>
      <w:tr w:rsidR="00912F4E" w:rsidRPr="000E4DA5" w14:paraId="4F052AF8" w14:textId="77777777" w:rsidTr="006609C9">
        <w:tc>
          <w:tcPr>
            <w:tcW w:w="1696" w:type="dxa"/>
          </w:tcPr>
          <w:p w14:paraId="5E8F781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 xml:space="preserve">Farnier 2005 </w:t>
            </w:r>
          </w:p>
        </w:tc>
        <w:tc>
          <w:tcPr>
            <w:tcW w:w="1114" w:type="dxa"/>
          </w:tcPr>
          <w:p w14:paraId="40FFB0AD" w14:textId="345E32B1" w:rsidR="00912F4E" w:rsidRPr="000E4DA5" w:rsidRDefault="00B40C8D" w:rsidP="00912F4E">
            <w:pPr>
              <w:jc w:val="both"/>
              <w:rPr>
                <w:rFonts w:ascii="Arial Narrow" w:hAnsi="Arial Narrow"/>
                <w:sz w:val="20"/>
                <w:szCs w:val="20"/>
              </w:rPr>
            </w:pPr>
            <w:r>
              <w:rPr>
                <w:rFonts w:ascii="Arial Narrow" w:hAnsi="Arial Narrow"/>
                <w:sz w:val="20"/>
                <w:szCs w:val="20"/>
              </w:rPr>
              <w:t>6</w:t>
            </w:r>
          </w:p>
        </w:tc>
        <w:tc>
          <w:tcPr>
            <w:tcW w:w="1114" w:type="dxa"/>
          </w:tcPr>
          <w:p w14:paraId="2C29A2E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187</w:t>
            </w:r>
          </w:p>
        </w:tc>
        <w:tc>
          <w:tcPr>
            <w:tcW w:w="1114" w:type="dxa"/>
          </w:tcPr>
          <w:p w14:paraId="545B71C0"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64</w:t>
            </w:r>
          </w:p>
        </w:tc>
        <w:tc>
          <w:tcPr>
            <w:tcW w:w="1114" w:type="dxa"/>
          </w:tcPr>
          <w:p w14:paraId="5327B9E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158-162</w:t>
            </w:r>
          </w:p>
        </w:tc>
        <w:tc>
          <w:tcPr>
            <w:tcW w:w="2065" w:type="dxa"/>
          </w:tcPr>
          <w:p w14:paraId="36149782"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-13.60 (-14.0, -13.2)</w:t>
            </w:r>
          </w:p>
        </w:tc>
      </w:tr>
      <w:tr w:rsidR="00912F4E" w:rsidRPr="000E4DA5" w14:paraId="2ECED8EC" w14:textId="77777777" w:rsidTr="006609C9">
        <w:tc>
          <w:tcPr>
            <w:tcW w:w="1696" w:type="dxa"/>
          </w:tcPr>
          <w:p w14:paraId="144E56A5"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 xml:space="preserve">Goldberg 2004 </w:t>
            </w:r>
          </w:p>
        </w:tc>
        <w:tc>
          <w:tcPr>
            <w:tcW w:w="1114" w:type="dxa"/>
          </w:tcPr>
          <w:p w14:paraId="1C5EB6A9"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4" w:type="dxa"/>
          </w:tcPr>
          <w:p w14:paraId="7892262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92</w:t>
            </w:r>
          </w:p>
        </w:tc>
        <w:tc>
          <w:tcPr>
            <w:tcW w:w="1114" w:type="dxa"/>
          </w:tcPr>
          <w:p w14:paraId="19CE2E7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93</w:t>
            </w:r>
          </w:p>
        </w:tc>
        <w:tc>
          <w:tcPr>
            <w:tcW w:w="1114" w:type="dxa"/>
          </w:tcPr>
          <w:p w14:paraId="15DA2B2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NR</w:t>
            </w:r>
          </w:p>
        </w:tc>
        <w:tc>
          <w:tcPr>
            <w:tcW w:w="2065" w:type="dxa"/>
          </w:tcPr>
          <w:p w14:paraId="6DB75F45"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-22.50 (-22.9, -22.1)</w:t>
            </w:r>
          </w:p>
        </w:tc>
      </w:tr>
      <w:tr w:rsidR="00912F4E" w:rsidRPr="000E4DA5" w14:paraId="69BE05FD" w14:textId="77777777" w:rsidTr="006609C9">
        <w:tc>
          <w:tcPr>
            <w:tcW w:w="1696" w:type="dxa"/>
          </w:tcPr>
          <w:p w14:paraId="50649D2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 xml:space="preserve">Knopp 2003 </w:t>
            </w:r>
          </w:p>
        </w:tc>
        <w:tc>
          <w:tcPr>
            <w:tcW w:w="1114" w:type="dxa"/>
          </w:tcPr>
          <w:p w14:paraId="3EED4BE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4" w:type="dxa"/>
          </w:tcPr>
          <w:p w14:paraId="30852D3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622</w:t>
            </w:r>
          </w:p>
        </w:tc>
        <w:tc>
          <w:tcPr>
            <w:tcW w:w="1114" w:type="dxa"/>
          </w:tcPr>
          <w:p w14:paraId="00236F9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205</w:t>
            </w:r>
          </w:p>
        </w:tc>
        <w:tc>
          <w:tcPr>
            <w:tcW w:w="1114" w:type="dxa"/>
          </w:tcPr>
          <w:p w14:paraId="6A7CD5E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164</w:t>
            </w:r>
          </w:p>
        </w:tc>
        <w:tc>
          <w:tcPr>
            <w:tcW w:w="2065" w:type="dxa"/>
          </w:tcPr>
          <w:p w14:paraId="5228291C"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-18.50 (-18.6, -18.4)</w:t>
            </w:r>
          </w:p>
        </w:tc>
      </w:tr>
      <w:tr w:rsidR="00912F4E" w:rsidRPr="000E4DA5" w14:paraId="398A0220" w14:textId="77777777" w:rsidTr="006609C9">
        <w:tc>
          <w:tcPr>
            <w:tcW w:w="1696" w:type="dxa"/>
          </w:tcPr>
          <w:p w14:paraId="39F8AD8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 xml:space="preserve">Krysiak 2011 </w:t>
            </w:r>
          </w:p>
        </w:tc>
        <w:tc>
          <w:tcPr>
            <w:tcW w:w="1114" w:type="dxa"/>
          </w:tcPr>
          <w:p w14:paraId="1426D09E" w14:textId="1CCB795C" w:rsidR="00912F4E" w:rsidRPr="000E4DA5" w:rsidRDefault="00B40C8D" w:rsidP="00912F4E">
            <w:pPr>
              <w:jc w:val="both"/>
              <w:rPr>
                <w:rFonts w:ascii="Arial Narrow" w:hAnsi="Arial Narrow"/>
                <w:sz w:val="20"/>
                <w:szCs w:val="20"/>
              </w:rPr>
            </w:pPr>
            <w:r>
              <w:rPr>
                <w:rFonts w:ascii="Arial Narrow" w:hAnsi="Arial Narrow"/>
                <w:sz w:val="20"/>
                <w:szCs w:val="20"/>
              </w:rPr>
              <w:t>90 days</w:t>
            </w:r>
          </w:p>
        </w:tc>
        <w:tc>
          <w:tcPr>
            <w:tcW w:w="1114" w:type="dxa"/>
          </w:tcPr>
          <w:p w14:paraId="301E016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33</w:t>
            </w:r>
          </w:p>
        </w:tc>
        <w:tc>
          <w:tcPr>
            <w:tcW w:w="1114" w:type="dxa"/>
          </w:tcPr>
          <w:p w14:paraId="0A29D67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30</w:t>
            </w:r>
          </w:p>
        </w:tc>
        <w:tc>
          <w:tcPr>
            <w:tcW w:w="1114" w:type="dxa"/>
          </w:tcPr>
          <w:p w14:paraId="0215769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175-183</w:t>
            </w:r>
          </w:p>
        </w:tc>
        <w:tc>
          <w:tcPr>
            <w:tcW w:w="2065" w:type="dxa"/>
          </w:tcPr>
          <w:p w14:paraId="0C732CC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-30.00 (-30.9, -29.2)</w:t>
            </w:r>
          </w:p>
        </w:tc>
      </w:tr>
      <w:tr w:rsidR="00912F4E" w:rsidRPr="000E4DA5" w14:paraId="0AA20C86" w14:textId="77777777" w:rsidTr="006609C9">
        <w:tc>
          <w:tcPr>
            <w:tcW w:w="1696" w:type="dxa"/>
          </w:tcPr>
          <w:p w14:paraId="7E804DB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Krysiak 2012a</w:t>
            </w:r>
          </w:p>
        </w:tc>
        <w:tc>
          <w:tcPr>
            <w:tcW w:w="1114" w:type="dxa"/>
          </w:tcPr>
          <w:p w14:paraId="1B318C8B"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90 days</w:t>
            </w:r>
          </w:p>
        </w:tc>
        <w:tc>
          <w:tcPr>
            <w:tcW w:w="1114" w:type="dxa"/>
          </w:tcPr>
          <w:p w14:paraId="56E9731B"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24</w:t>
            </w:r>
          </w:p>
        </w:tc>
        <w:tc>
          <w:tcPr>
            <w:tcW w:w="1114" w:type="dxa"/>
          </w:tcPr>
          <w:p w14:paraId="54F1BF0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24</w:t>
            </w:r>
          </w:p>
        </w:tc>
        <w:tc>
          <w:tcPr>
            <w:tcW w:w="1114" w:type="dxa"/>
          </w:tcPr>
          <w:p w14:paraId="59396E4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175-182</w:t>
            </w:r>
          </w:p>
        </w:tc>
        <w:tc>
          <w:tcPr>
            <w:tcW w:w="2065" w:type="dxa"/>
          </w:tcPr>
          <w:p w14:paraId="0B49006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-29.40 (-30.5, -28.3)</w:t>
            </w:r>
          </w:p>
        </w:tc>
      </w:tr>
      <w:tr w:rsidR="00912F4E" w:rsidRPr="000E4DA5" w14:paraId="4B58DB6D" w14:textId="77777777" w:rsidTr="006609C9">
        <w:tc>
          <w:tcPr>
            <w:tcW w:w="1696" w:type="dxa"/>
          </w:tcPr>
          <w:p w14:paraId="05C729A1"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Krysiak 2012b</w:t>
            </w:r>
          </w:p>
        </w:tc>
        <w:tc>
          <w:tcPr>
            <w:tcW w:w="1114" w:type="dxa"/>
          </w:tcPr>
          <w:p w14:paraId="4494BAC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4" w:type="dxa"/>
          </w:tcPr>
          <w:p w14:paraId="18CDAA4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43</w:t>
            </w:r>
          </w:p>
        </w:tc>
        <w:tc>
          <w:tcPr>
            <w:tcW w:w="1114" w:type="dxa"/>
          </w:tcPr>
          <w:p w14:paraId="250B0F2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41</w:t>
            </w:r>
          </w:p>
        </w:tc>
        <w:tc>
          <w:tcPr>
            <w:tcW w:w="1114" w:type="dxa"/>
          </w:tcPr>
          <w:p w14:paraId="3452554B"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179-183</w:t>
            </w:r>
          </w:p>
        </w:tc>
        <w:tc>
          <w:tcPr>
            <w:tcW w:w="2065" w:type="dxa"/>
          </w:tcPr>
          <w:p w14:paraId="559EE234"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-24.30 (-25.0, -23.7)</w:t>
            </w:r>
          </w:p>
        </w:tc>
      </w:tr>
      <w:tr w:rsidR="00912F4E" w:rsidRPr="000E4DA5" w14:paraId="0B539B23" w14:textId="77777777" w:rsidTr="006609C9">
        <w:tc>
          <w:tcPr>
            <w:tcW w:w="1696" w:type="dxa"/>
          </w:tcPr>
          <w:p w14:paraId="2AE6CC13"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Melani 2003</w:t>
            </w:r>
          </w:p>
        </w:tc>
        <w:tc>
          <w:tcPr>
            <w:tcW w:w="1114" w:type="dxa"/>
          </w:tcPr>
          <w:p w14:paraId="732FC8D2"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4" w:type="dxa"/>
          </w:tcPr>
          <w:p w14:paraId="0B380AE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64</w:t>
            </w:r>
          </w:p>
        </w:tc>
        <w:tc>
          <w:tcPr>
            <w:tcW w:w="1114" w:type="dxa"/>
          </w:tcPr>
          <w:p w14:paraId="000778C5"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65</w:t>
            </w:r>
          </w:p>
        </w:tc>
        <w:tc>
          <w:tcPr>
            <w:tcW w:w="1114" w:type="dxa"/>
          </w:tcPr>
          <w:p w14:paraId="39B0D52A"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177.6</w:t>
            </w:r>
          </w:p>
        </w:tc>
        <w:tc>
          <w:tcPr>
            <w:tcW w:w="2065" w:type="dxa"/>
          </w:tcPr>
          <w:p w14:paraId="4FEE7D8E"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-20.00 (-20.6, -19.5)</w:t>
            </w:r>
          </w:p>
        </w:tc>
      </w:tr>
      <w:tr w:rsidR="00912F4E" w:rsidRPr="000E4DA5" w14:paraId="1DACAD13" w14:textId="77777777" w:rsidTr="006609C9">
        <w:tc>
          <w:tcPr>
            <w:tcW w:w="1696" w:type="dxa"/>
          </w:tcPr>
          <w:p w14:paraId="21734C6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Total</w:t>
            </w:r>
          </w:p>
        </w:tc>
        <w:tc>
          <w:tcPr>
            <w:tcW w:w="1114" w:type="dxa"/>
          </w:tcPr>
          <w:p w14:paraId="5F47F312" w14:textId="77777777" w:rsidR="00912F4E" w:rsidRPr="000E4DA5" w:rsidRDefault="00912F4E" w:rsidP="00912F4E">
            <w:pPr>
              <w:jc w:val="both"/>
              <w:rPr>
                <w:rFonts w:ascii="Arial Narrow" w:hAnsi="Arial Narrow"/>
                <w:sz w:val="20"/>
                <w:szCs w:val="20"/>
              </w:rPr>
            </w:pPr>
          </w:p>
        </w:tc>
        <w:tc>
          <w:tcPr>
            <w:tcW w:w="1114" w:type="dxa"/>
          </w:tcPr>
          <w:p w14:paraId="6644F4F2"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2,033</w:t>
            </w:r>
          </w:p>
        </w:tc>
        <w:tc>
          <w:tcPr>
            <w:tcW w:w="1114" w:type="dxa"/>
          </w:tcPr>
          <w:p w14:paraId="7E75C7F8"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1,081</w:t>
            </w:r>
          </w:p>
        </w:tc>
        <w:tc>
          <w:tcPr>
            <w:tcW w:w="1114" w:type="dxa"/>
          </w:tcPr>
          <w:p w14:paraId="0785700E" w14:textId="77777777" w:rsidR="00912F4E" w:rsidRPr="000E4DA5" w:rsidRDefault="00912F4E" w:rsidP="00912F4E">
            <w:pPr>
              <w:jc w:val="both"/>
              <w:rPr>
                <w:rFonts w:ascii="Arial Narrow" w:hAnsi="Arial Narrow"/>
                <w:sz w:val="20"/>
                <w:szCs w:val="20"/>
              </w:rPr>
            </w:pPr>
          </w:p>
        </w:tc>
        <w:tc>
          <w:tcPr>
            <w:tcW w:w="2065" w:type="dxa"/>
          </w:tcPr>
          <w:p w14:paraId="25287F69"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-20.60 (-22.1, -19.1)*</w:t>
            </w:r>
          </w:p>
        </w:tc>
      </w:tr>
      <w:tr w:rsidR="00912F4E" w:rsidRPr="000E4DA5" w14:paraId="194C121F" w14:textId="77777777" w:rsidTr="006609C9">
        <w:tc>
          <w:tcPr>
            <w:tcW w:w="8217" w:type="dxa"/>
            <w:gridSpan w:val="6"/>
          </w:tcPr>
          <w:p w14:paraId="047861C9" w14:textId="77777777" w:rsidR="00912F4E" w:rsidRPr="000E4DA5" w:rsidRDefault="00912F4E" w:rsidP="00912F4E">
            <w:pPr>
              <w:jc w:val="center"/>
              <w:rPr>
                <w:rFonts w:ascii="Arial Narrow" w:hAnsi="Arial Narrow"/>
                <w:i/>
                <w:sz w:val="20"/>
                <w:szCs w:val="20"/>
              </w:rPr>
            </w:pPr>
            <w:r w:rsidRPr="000E4DA5">
              <w:rPr>
                <w:rFonts w:ascii="Arial Narrow" w:hAnsi="Arial Narrow"/>
                <w:i/>
                <w:sz w:val="20"/>
                <w:szCs w:val="20"/>
              </w:rPr>
              <w:t>Not included in the meta-analysis</w:t>
            </w:r>
          </w:p>
        </w:tc>
      </w:tr>
      <w:tr w:rsidR="00912F4E" w:rsidRPr="000E4DA5" w14:paraId="312D023A" w14:textId="77777777" w:rsidTr="006609C9">
        <w:tc>
          <w:tcPr>
            <w:tcW w:w="1696" w:type="dxa"/>
          </w:tcPr>
          <w:p w14:paraId="165FE849"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Kerzner 2003</w:t>
            </w:r>
          </w:p>
        </w:tc>
        <w:tc>
          <w:tcPr>
            <w:tcW w:w="1114" w:type="dxa"/>
          </w:tcPr>
          <w:p w14:paraId="785EF4C2"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12</w:t>
            </w:r>
          </w:p>
        </w:tc>
        <w:tc>
          <w:tcPr>
            <w:tcW w:w="1114" w:type="dxa"/>
          </w:tcPr>
          <w:p w14:paraId="6DE0B82D"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72</w:t>
            </w:r>
          </w:p>
        </w:tc>
        <w:tc>
          <w:tcPr>
            <w:tcW w:w="1114" w:type="dxa"/>
          </w:tcPr>
          <w:p w14:paraId="6106805F"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64</w:t>
            </w:r>
          </w:p>
        </w:tc>
        <w:tc>
          <w:tcPr>
            <w:tcW w:w="1114" w:type="dxa"/>
          </w:tcPr>
          <w:p w14:paraId="51779740" w14:textId="77777777" w:rsidR="00912F4E" w:rsidRPr="000E4DA5" w:rsidRDefault="00912F4E" w:rsidP="00912F4E">
            <w:pPr>
              <w:jc w:val="both"/>
              <w:rPr>
                <w:rFonts w:ascii="Arial Narrow" w:hAnsi="Arial Narrow"/>
                <w:sz w:val="20"/>
                <w:szCs w:val="20"/>
              </w:rPr>
            </w:pPr>
          </w:p>
        </w:tc>
        <w:tc>
          <w:tcPr>
            <w:tcW w:w="2065" w:type="dxa"/>
          </w:tcPr>
          <w:p w14:paraId="73F24AD0" w14:textId="77777777" w:rsidR="00912F4E" w:rsidRPr="000E4DA5" w:rsidRDefault="00912F4E" w:rsidP="00912F4E">
            <w:pPr>
              <w:jc w:val="both"/>
              <w:rPr>
                <w:rFonts w:ascii="Arial Narrow" w:hAnsi="Arial Narrow"/>
                <w:sz w:val="20"/>
                <w:szCs w:val="20"/>
              </w:rPr>
            </w:pPr>
          </w:p>
        </w:tc>
      </w:tr>
      <w:tr w:rsidR="00912F4E" w:rsidRPr="000E4DA5" w14:paraId="78413C78" w14:textId="77777777" w:rsidTr="006609C9">
        <w:tc>
          <w:tcPr>
            <w:tcW w:w="8217" w:type="dxa"/>
            <w:gridSpan w:val="6"/>
          </w:tcPr>
          <w:p w14:paraId="26BB3DDE"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Test for heterogeneity: I</w:t>
            </w:r>
            <w:r w:rsidRPr="000E4DA5">
              <w:rPr>
                <w:rFonts w:ascii="Arial Narrow" w:hAnsi="Arial Narrow"/>
                <w:sz w:val="20"/>
                <w:szCs w:val="20"/>
                <w:vertAlign w:val="superscript"/>
              </w:rPr>
              <w:t>2</w:t>
            </w:r>
            <w:r w:rsidRPr="000E4DA5">
              <w:rPr>
                <w:rFonts w:ascii="Arial Narrow" w:hAnsi="Arial Narrow"/>
                <w:sz w:val="20"/>
                <w:szCs w:val="20"/>
              </w:rPr>
              <w:t>=99.6%</w:t>
            </w:r>
          </w:p>
        </w:tc>
      </w:tr>
      <w:tr w:rsidR="00912F4E" w:rsidRPr="000E4DA5" w14:paraId="67B1292A" w14:textId="77777777" w:rsidTr="006609C9">
        <w:tc>
          <w:tcPr>
            <w:tcW w:w="8217" w:type="dxa"/>
            <w:gridSpan w:val="6"/>
          </w:tcPr>
          <w:p w14:paraId="79B9CB17" w14:textId="77777777" w:rsidR="00912F4E" w:rsidRPr="000E4DA5" w:rsidRDefault="00912F4E" w:rsidP="00912F4E">
            <w:pPr>
              <w:jc w:val="both"/>
              <w:rPr>
                <w:rFonts w:ascii="Arial Narrow" w:hAnsi="Arial Narrow"/>
                <w:sz w:val="20"/>
                <w:szCs w:val="20"/>
              </w:rPr>
            </w:pPr>
            <w:r w:rsidRPr="000E4DA5">
              <w:rPr>
                <w:rFonts w:ascii="Arial Narrow" w:hAnsi="Arial Narrow"/>
                <w:sz w:val="20"/>
                <w:szCs w:val="20"/>
              </w:rPr>
              <w:t>Test for the overall effect: not reported</w:t>
            </w:r>
          </w:p>
        </w:tc>
      </w:tr>
    </w:tbl>
    <w:p w14:paraId="12851B2F" w14:textId="77777777" w:rsidR="00912F4E" w:rsidRPr="00912F4E" w:rsidRDefault="00912F4E" w:rsidP="00912F4E">
      <w:pPr>
        <w:spacing w:after="0"/>
        <w:rPr>
          <w:rFonts w:eastAsiaTheme="minorHAnsi"/>
          <w:sz w:val="18"/>
          <w:szCs w:val="18"/>
          <w:lang w:eastAsia="en-US"/>
        </w:rPr>
      </w:pPr>
      <w:r w:rsidRPr="00912F4E">
        <w:rPr>
          <w:rFonts w:eastAsiaTheme="minorHAnsi"/>
          <w:sz w:val="18"/>
          <w:szCs w:val="18"/>
          <w:lang w:eastAsia="en-US"/>
        </w:rPr>
        <w:t>S=simvastatin; P=pravastin; A=atorvastatin; F=fluvastatin; L=Lovastatin</w:t>
      </w:r>
    </w:p>
    <w:p w14:paraId="17709545" w14:textId="77777777" w:rsidR="00912F4E" w:rsidRPr="00912F4E" w:rsidRDefault="00912F4E" w:rsidP="00912F4E">
      <w:pPr>
        <w:spacing w:after="0"/>
        <w:rPr>
          <w:rFonts w:eastAsiaTheme="minorHAnsi"/>
          <w:highlight w:val="yellow"/>
          <w:lang w:eastAsia="en-US"/>
        </w:rPr>
      </w:pPr>
      <w:r w:rsidRPr="00912F4E">
        <w:rPr>
          <w:rFonts w:eastAsiaTheme="minorHAnsi"/>
          <w:sz w:val="18"/>
          <w:szCs w:val="18"/>
          <w:lang w:eastAsia="en-US"/>
        </w:rPr>
        <w:t>*obtained from the Figure 1 in company response to the questions raised by the independent assessors</w:t>
      </w:r>
    </w:p>
    <w:p w14:paraId="551B3E93" w14:textId="77777777" w:rsidR="00912F4E" w:rsidRPr="00912F4E" w:rsidRDefault="00912F4E" w:rsidP="00912F4E">
      <w:pPr>
        <w:rPr>
          <w:rFonts w:eastAsiaTheme="minorHAnsi"/>
          <w:lang w:eastAsia="en-US"/>
        </w:rPr>
      </w:pPr>
    </w:p>
    <w:p w14:paraId="113C6453" w14:textId="77777777" w:rsidR="00912F4E" w:rsidRPr="00912F4E" w:rsidRDefault="00912F4E" w:rsidP="001704FF">
      <w:pPr>
        <w:jc w:val="both"/>
        <w:rPr>
          <w:rFonts w:eastAsiaTheme="minorHAnsi"/>
          <w:lang w:eastAsia="en-US"/>
        </w:rPr>
      </w:pPr>
      <w:r w:rsidRPr="00912F4E">
        <w:rPr>
          <w:rFonts w:eastAsiaTheme="minorHAnsi"/>
          <w:lang w:eastAsia="en-US"/>
        </w:rPr>
        <w:t>The mean baseline LDL-c levels were balanced within individual trials but there was wide variation between trials. In the 13 ezetimibe monotherapy trials, values in the ezetimibe groups ranged from 144.1 mg/dL (</w:t>
      </w:r>
      <w:r w:rsidRPr="00912F4E">
        <w:rPr>
          <w:rFonts w:eastAsiaTheme="minorHAnsi"/>
          <w:sz w:val="20"/>
          <w:szCs w:val="20"/>
          <w:lang w:eastAsia="en-US"/>
        </w:rPr>
        <w:t xml:space="preserve">Farnier 2005) </w:t>
      </w:r>
      <w:r w:rsidRPr="00912F4E">
        <w:rPr>
          <w:rFonts w:eastAsiaTheme="minorHAnsi"/>
          <w:lang w:eastAsia="en-US"/>
        </w:rPr>
        <w:t>to 181.3 mg/dL (</w:t>
      </w:r>
      <w:r w:rsidRPr="00912F4E">
        <w:rPr>
          <w:rFonts w:eastAsiaTheme="minorHAnsi"/>
          <w:sz w:val="20"/>
          <w:szCs w:val="20"/>
          <w:lang w:eastAsia="en-US"/>
        </w:rPr>
        <w:t>Davidson 2002).</w:t>
      </w:r>
      <w:r w:rsidRPr="00912F4E">
        <w:rPr>
          <w:rFonts w:eastAsiaTheme="minorHAnsi"/>
          <w:lang w:eastAsia="en-US"/>
        </w:rPr>
        <w:t xml:space="preserve"> In the placebo groups, values were between </w:t>
      </w:r>
      <w:r w:rsidRPr="001704FF">
        <w:rPr>
          <w:rFonts w:eastAsiaTheme="minorHAnsi"/>
          <w:lang w:eastAsia="en-US"/>
        </w:rPr>
        <w:t>130 mg/dL (Dujovne, 2002)</w:t>
      </w:r>
      <w:r w:rsidRPr="00912F4E">
        <w:rPr>
          <w:rFonts w:eastAsiaTheme="minorHAnsi"/>
          <w:lang w:eastAsia="en-US"/>
        </w:rPr>
        <w:t xml:space="preserve"> and 179 mg/dL (Krysjak, 2012b).</w:t>
      </w:r>
    </w:p>
    <w:p w14:paraId="54E16C3D" w14:textId="77777777" w:rsidR="00912F4E" w:rsidRPr="00912F4E" w:rsidRDefault="00912F4E" w:rsidP="001704FF">
      <w:pPr>
        <w:jc w:val="both"/>
        <w:rPr>
          <w:rFonts w:eastAsiaTheme="minorHAnsi"/>
          <w:u w:val="single"/>
          <w:lang w:eastAsia="en-US"/>
        </w:rPr>
      </w:pPr>
      <w:r w:rsidRPr="000A4940">
        <w:rPr>
          <w:rFonts w:eastAsiaTheme="minorHAnsi"/>
          <w:lang w:eastAsia="en-US"/>
        </w:rPr>
        <w:t xml:space="preserve">Results of the random-effects meta-analysis demonstrated that ezetimibe monotherapy resulted in a significantly greater reduction in the LDL-C percentage change from baseline compared to placebo </w:t>
      </w:r>
      <w:r w:rsidRPr="000A4940">
        <w:rPr>
          <w:rFonts w:eastAsiaTheme="minorHAnsi"/>
          <w:lang w:eastAsia="en-US"/>
        </w:rPr>
        <w:lastRenderedPageBreak/>
        <w:t>(Mean Difference -20.6%, 95% CI -22.1 to -19.1 p&lt;0.0001, I</w:t>
      </w:r>
      <w:r w:rsidRPr="000A4940">
        <w:rPr>
          <w:rFonts w:eastAsiaTheme="minorHAnsi"/>
          <w:vertAlign w:val="superscript"/>
          <w:lang w:eastAsia="en-US"/>
        </w:rPr>
        <w:t>2</w:t>
      </w:r>
      <w:r w:rsidRPr="000A4940">
        <w:rPr>
          <w:rFonts w:eastAsiaTheme="minorHAnsi"/>
          <w:lang w:eastAsia="en-US"/>
        </w:rPr>
        <w:t>=99.6) and in the TC percentage change from baseline compared to placebo (Mean Difference -16.1%, 95% CI -17.0 to</w:t>
      </w:r>
      <w:r w:rsidRPr="00912F4E">
        <w:rPr>
          <w:rFonts w:eastAsiaTheme="minorHAnsi"/>
          <w:lang w:eastAsia="en-US"/>
        </w:rPr>
        <w:t xml:space="preserve"> -15.1 p&lt;0.0001, I</w:t>
      </w:r>
      <w:r w:rsidRPr="00912F4E">
        <w:rPr>
          <w:rFonts w:eastAsiaTheme="minorHAnsi"/>
          <w:vertAlign w:val="superscript"/>
          <w:lang w:eastAsia="en-US"/>
        </w:rPr>
        <w:t>2</w:t>
      </w:r>
      <w:r w:rsidRPr="00912F4E">
        <w:rPr>
          <w:rFonts w:eastAsiaTheme="minorHAnsi"/>
          <w:lang w:eastAsia="en-US"/>
        </w:rPr>
        <w:t xml:space="preserve">=99.5). </w:t>
      </w:r>
    </w:p>
    <w:p w14:paraId="670240D1" w14:textId="77777777" w:rsidR="00912F4E" w:rsidRDefault="00912F4E" w:rsidP="00810E33">
      <w:pPr>
        <w:spacing w:after="0"/>
        <w:jc w:val="both"/>
        <w:rPr>
          <w:rFonts w:eastAsiaTheme="minorHAnsi"/>
          <w:i/>
          <w:lang w:eastAsia="en-US"/>
        </w:rPr>
      </w:pPr>
      <w:r w:rsidRPr="00912F4E">
        <w:rPr>
          <w:rFonts w:eastAsiaTheme="minorHAnsi"/>
          <w:lang w:eastAsia="en-US"/>
        </w:rPr>
        <w:t>There was a large degree of heterogeneity present (I</w:t>
      </w:r>
      <w:r w:rsidRPr="00912F4E">
        <w:rPr>
          <w:rFonts w:eastAsiaTheme="minorHAnsi"/>
          <w:vertAlign w:val="superscript"/>
          <w:lang w:eastAsia="en-US"/>
        </w:rPr>
        <w:t>2</w:t>
      </w:r>
      <w:r w:rsidRPr="00912F4E">
        <w:rPr>
          <w:rFonts w:eastAsiaTheme="minorHAnsi"/>
          <w:lang w:eastAsia="en-US"/>
        </w:rPr>
        <w:t xml:space="preserve">&gt;99) for all analyses. This means that there were very high levels of inconsistency between the trials included in the meta-analyses (95% confidence intervals for different trials rarely overlap). </w:t>
      </w:r>
      <w:r w:rsidRPr="001704FF">
        <w:rPr>
          <w:rFonts w:eastAsiaTheme="minorHAnsi"/>
          <w:i/>
          <w:lang w:eastAsia="en-US"/>
        </w:rPr>
        <w:t xml:space="preserve">Results of this meta-analysis may not produce a reliable estimate of the true Mean Difference in LDL-C, favouring an earlier, more conservative estimate of -18.5% reduction in LDL-C from the baseline obtained from the smaller number but more heterogeneous trials (HTA 2008, Pandor 2009). </w:t>
      </w:r>
    </w:p>
    <w:p w14:paraId="753BB11C" w14:textId="77777777" w:rsidR="00810E33" w:rsidRPr="001704FF" w:rsidRDefault="00810E33" w:rsidP="00810E33">
      <w:pPr>
        <w:spacing w:after="0"/>
        <w:jc w:val="both"/>
        <w:rPr>
          <w:rFonts w:eastAsiaTheme="minorHAnsi"/>
          <w:i/>
          <w:lang w:eastAsia="en-US"/>
        </w:rPr>
      </w:pPr>
    </w:p>
    <w:p w14:paraId="2A1E52AF" w14:textId="77777777" w:rsidR="008D5C2B" w:rsidRDefault="008D5C2B" w:rsidP="00810E33">
      <w:pPr>
        <w:pStyle w:val="Heading4"/>
        <w:spacing w:before="0"/>
        <w:rPr>
          <w:lang w:eastAsia="en-US"/>
        </w:rPr>
      </w:pPr>
      <w:r w:rsidRPr="008D5C2B">
        <w:rPr>
          <w:lang w:eastAsia="en-US"/>
        </w:rPr>
        <w:t>Comparative efficacy of the addition of ezetimibe to statin vs statin titration in patients with hypercholesterolaemia (Mikhailidis, 2011)</w:t>
      </w:r>
    </w:p>
    <w:p w14:paraId="2F01951C" w14:textId="77777777" w:rsidR="008D5C2B" w:rsidRPr="008D5C2B" w:rsidRDefault="008D5C2B" w:rsidP="00810E33">
      <w:pPr>
        <w:spacing w:after="0"/>
        <w:rPr>
          <w:lang w:eastAsia="en-US"/>
        </w:rPr>
      </w:pPr>
    </w:p>
    <w:p w14:paraId="6856BF97" w14:textId="52CE78F6" w:rsidR="008D5C2B" w:rsidRPr="0028552B" w:rsidRDefault="008D5C2B" w:rsidP="00810E33">
      <w:pPr>
        <w:spacing w:after="0"/>
        <w:jc w:val="both"/>
        <w:rPr>
          <w:rFonts w:eastAsiaTheme="minorHAnsi"/>
          <w:b/>
          <w:lang w:eastAsia="en-US"/>
        </w:rPr>
      </w:pPr>
      <w:r w:rsidRPr="008D5C2B">
        <w:rPr>
          <w:rFonts w:eastAsiaTheme="minorHAnsi"/>
          <w:lang w:eastAsia="en-US"/>
        </w:rPr>
        <w:t>The systematic review by Mikhailidis (2011) is an extension of the earlier systematic review comparing clinical effectiveness and safety in ezetimibe + statin combination vs matching dose of statin (with or without a placebo) Mikhailidis (2007). While the research question in Mikhailidis (2007) is similar to the research question in HTA 2015, the 2011 systematic review by Mikhailidis and colleagues replicates one of the research questions in the HTA 2008 report by further examining the comparative clinical efficacy of ezetimibe+statin combination therapy vs statin monotherapy. The objective was to compare the lipid-lowering efficacy of ezetimibe add</w:t>
      </w:r>
      <w:r w:rsidR="00893E48">
        <w:rPr>
          <w:rFonts w:eastAsiaTheme="minorHAnsi"/>
          <w:lang w:eastAsia="en-US"/>
        </w:rPr>
        <w:t>ed to the background statin</w:t>
      </w:r>
      <w:r w:rsidRPr="008D5C2B">
        <w:rPr>
          <w:rFonts w:eastAsiaTheme="minorHAnsi"/>
          <w:lang w:eastAsia="en-US"/>
        </w:rPr>
        <w:t xml:space="preserve"> </w:t>
      </w:r>
      <w:r w:rsidR="00893E48">
        <w:rPr>
          <w:rFonts w:eastAsiaTheme="minorHAnsi"/>
          <w:lang w:eastAsia="en-US"/>
        </w:rPr>
        <w:t>versus</w:t>
      </w:r>
      <w:r w:rsidRPr="008D5C2B">
        <w:rPr>
          <w:rFonts w:eastAsiaTheme="minorHAnsi"/>
          <w:lang w:eastAsia="en-US"/>
        </w:rPr>
        <w:t xml:space="preserve"> doubling the statin monotherapy dose in patients who received statin monotherapy for at least 4 weeks prior to randomisation. Doubling of a statin dose could be happening at a regular intervals, (ideally this analysis would require data for the end of each treatment period, i.e. prior to each titration point), however a single-period studies were not excluded if the statin dose was doubled in the monotherapy arm between ‘run-in’ and baseline (i.e. at randomisation). </w:t>
      </w:r>
    </w:p>
    <w:p w14:paraId="0E0684EC" w14:textId="77777777" w:rsidR="00810E33" w:rsidRPr="008D5C2B" w:rsidRDefault="00810E33" w:rsidP="00810E33">
      <w:pPr>
        <w:spacing w:after="0"/>
        <w:jc w:val="both"/>
        <w:rPr>
          <w:rFonts w:eastAsiaTheme="minorHAnsi"/>
          <w:i/>
          <w:lang w:eastAsia="en-US"/>
        </w:rPr>
      </w:pPr>
    </w:p>
    <w:p w14:paraId="6300F0A6" w14:textId="69C4C2B8" w:rsidR="008D5C2B" w:rsidRPr="008D5C2B" w:rsidRDefault="008D5C2B" w:rsidP="008D5C2B">
      <w:pPr>
        <w:jc w:val="both"/>
        <w:rPr>
          <w:rFonts w:eastAsiaTheme="minorHAnsi"/>
          <w:lang w:eastAsia="en-US"/>
        </w:rPr>
      </w:pPr>
      <w:r w:rsidRPr="008D5C2B">
        <w:rPr>
          <w:rFonts w:eastAsiaTheme="minorHAnsi"/>
          <w:lang w:eastAsia="en-US"/>
        </w:rPr>
        <w:t xml:space="preserve">The systematic review identified 13 trials suitable for meta-analyses. The aim of the analyses was to compare the difference between treatments in the percentage change in lipid levels from baseline, at the end of each treatment period, thereby comparing the effect of adding ezetimibe vs successive doubling of the statin dose. However, these data were not available for the majority of studies, therefore, two sets of statistical analyses were performed. The first set of meta-analyses (N=13) included studies reporting lipid data and dispersions around the mean for one of the treatment periods. Typically, these data were for the first treatment period (i.e. up to the first titration point; period 1) or study end in those with only a single treatment period. The result of this analysis are illustrated in Figure </w:t>
      </w:r>
      <w:r w:rsidR="009D5FBA">
        <w:rPr>
          <w:rFonts w:eastAsiaTheme="minorHAnsi"/>
          <w:lang w:eastAsia="en-US"/>
        </w:rPr>
        <w:t>2.2.3.6</w:t>
      </w:r>
      <w:r>
        <w:rPr>
          <w:rFonts w:eastAsiaTheme="minorHAnsi"/>
          <w:lang w:eastAsia="en-US"/>
        </w:rPr>
        <w:t>.</w:t>
      </w:r>
    </w:p>
    <w:p w14:paraId="361D069E" w14:textId="090FB129" w:rsidR="008D5C2B" w:rsidRPr="008D5C2B" w:rsidRDefault="008D5C2B" w:rsidP="008D5C2B">
      <w:pPr>
        <w:keepNext/>
        <w:keepLines/>
        <w:jc w:val="both"/>
        <w:rPr>
          <w:rFonts w:eastAsiaTheme="minorHAnsi"/>
          <w:b/>
          <w:lang w:eastAsia="en-US"/>
        </w:rPr>
      </w:pPr>
      <w:r w:rsidRPr="008D5C2B">
        <w:rPr>
          <w:rFonts w:eastAsiaTheme="minorHAnsi"/>
          <w:b/>
          <w:lang w:eastAsia="en-US"/>
        </w:rPr>
        <w:lastRenderedPageBreak/>
        <w:t xml:space="preserve">Figure </w:t>
      </w:r>
      <w:r w:rsidR="009D5FBA">
        <w:rPr>
          <w:rFonts w:eastAsiaTheme="minorHAnsi"/>
          <w:b/>
          <w:lang w:eastAsia="en-US"/>
        </w:rPr>
        <w:t xml:space="preserve">2.2.3.6 </w:t>
      </w:r>
      <w:r w:rsidRPr="008D5C2B">
        <w:rPr>
          <w:rFonts w:eastAsiaTheme="minorHAnsi"/>
          <w:b/>
          <w:lang w:eastAsia="en-US"/>
        </w:rPr>
        <w:t>Percentage change from baseline in LDL-C in ezetimibe in combination with statin vs up</w:t>
      </w:r>
      <w:r>
        <w:rPr>
          <w:rFonts w:eastAsiaTheme="minorHAnsi"/>
          <w:b/>
          <w:lang w:eastAsia="en-US"/>
        </w:rPr>
        <w:t>-</w:t>
      </w:r>
      <w:r w:rsidRPr="008D5C2B">
        <w:rPr>
          <w:rFonts w:eastAsiaTheme="minorHAnsi"/>
          <w:b/>
          <w:lang w:eastAsia="en-US"/>
        </w:rPr>
        <w:t>titrating statin monotherapy at the end of the first treatment period for studies with multiple treatment periods or at study endpoint for studies with a single treatment period.</w:t>
      </w:r>
    </w:p>
    <w:p w14:paraId="1293ADF9" w14:textId="77777777" w:rsidR="008D5C2B" w:rsidRPr="008D5C2B" w:rsidRDefault="008D5C2B" w:rsidP="008D5C2B">
      <w:pPr>
        <w:keepNext/>
        <w:keepLines/>
        <w:jc w:val="both"/>
        <w:rPr>
          <w:rFonts w:eastAsiaTheme="minorHAnsi"/>
          <w:lang w:eastAsia="en-US"/>
        </w:rPr>
      </w:pPr>
      <w:r w:rsidRPr="008D5C2B">
        <w:rPr>
          <w:rFonts w:eastAsiaTheme="minorHAnsi"/>
          <w:noProof/>
          <w:lang w:eastAsia="en-AU"/>
        </w:rPr>
        <w:drawing>
          <wp:inline distT="0" distB="0" distL="0" distR="0" wp14:anchorId="67DD2565" wp14:editId="29F09159">
            <wp:extent cx="5814060" cy="36880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5091" t="18796" r="2220" b="10616"/>
                    <a:stretch/>
                  </pic:blipFill>
                  <pic:spPr bwMode="auto">
                    <a:xfrm>
                      <a:off x="0" y="0"/>
                      <a:ext cx="5814060" cy="3688080"/>
                    </a:xfrm>
                    <a:prstGeom prst="rect">
                      <a:avLst/>
                    </a:prstGeom>
                    <a:ln>
                      <a:noFill/>
                    </a:ln>
                    <a:extLst>
                      <a:ext uri="{53640926-AAD7-44D8-BBD7-CCE9431645EC}">
                        <a14:shadowObscured xmlns:a14="http://schemas.microsoft.com/office/drawing/2010/main"/>
                      </a:ext>
                    </a:extLst>
                  </pic:spPr>
                </pic:pic>
              </a:graphicData>
            </a:graphic>
          </wp:inline>
        </w:drawing>
      </w:r>
    </w:p>
    <w:p w14:paraId="4685E360" w14:textId="77777777" w:rsidR="008D5C2B" w:rsidRPr="008D5C2B" w:rsidRDefault="008D5C2B" w:rsidP="008D5C2B">
      <w:pPr>
        <w:keepNext/>
        <w:keepLines/>
        <w:jc w:val="both"/>
        <w:rPr>
          <w:rFonts w:eastAsiaTheme="minorHAnsi"/>
          <w:lang w:eastAsia="en-US"/>
        </w:rPr>
      </w:pPr>
    </w:p>
    <w:p w14:paraId="6A71C187" w14:textId="77777777" w:rsidR="00613C69" w:rsidRPr="00613C69" w:rsidRDefault="008D5C2B" w:rsidP="00613C69">
      <w:pPr>
        <w:jc w:val="both"/>
        <w:rPr>
          <w:rFonts w:eastAsiaTheme="minorHAnsi"/>
          <w:lang w:eastAsia="en-US"/>
        </w:rPr>
      </w:pPr>
      <w:r w:rsidRPr="00613C69">
        <w:rPr>
          <w:rFonts w:eastAsiaTheme="minorHAnsi"/>
          <w:lang w:eastAsia="en-US"/>
        </w:rPr>
        <w:t xml:space="preserve">In the 13 RCTs included in the first set of meta-analyses, 2396 patients received ezetimibe in combination with statin and 2318 patients received statin monotherapy. At the end of the first treatment period there was a significantly greater percentage reduction from baseline in serum LDL-C levels in patients treated with ezetimibe in combination with statin compared with those treated with statin monotherapy (Weighted Mean Difference:-14.1% [95% CI -16.1, -12.1], p&lt;0.001). </w:t>
      </w:r>
      <w:r w:rsidR="00613C69" w:rsidRPr="00613C69">
        <w:rPr>
          <w:rFonts w:eastAsiaTheme="minorHAnsi"/>
          <w:i/>
          <w:lang w:eastAsia="en-US"/>
        </w:rPr>
        <w:t>Heterogeneity was statistically significant in all meta-analyses comparing ezetimibe + statin therapy with up-titrated statin monotherapy. It suggests that the quantitative synthesis of the outcomes may not be appropriate.</w:t>
      </w:r>
      <w:r w:rsidR="00613C69" w:rsidRPr="00613C69">
        <w:rPr>
          <w:rFonts w:eastAsiaTheme="minorHAnsi"/>
          <w:i/>
          <w:color w:val="FF0000"/>
          <w:lang w:eastAsia="en-US"/>
        </w:rPr>
        <w:t xml:space="preserve"> </w:t>
      </w:r>
      <w:r w:rsidR="00613C69" w:rsidRPr="00613C69">
        <w:rPr>
          <w:rFonts w:eastAsiaTheme="minorHAnsi"/>
          <w:i/>
          <w:lang w:eastAsia="en-US"/>
        </w:rPr>
        <w:t>Reasons for the large variations in the trial results and the confidence intervals are likely to relate to a) variation in the populations, where secondary, primary prevention and mixed prevention populations were lumped together; b) interventions that involved statins of different potencies in terms of intensity and dose; c) interventions that were administered as the first line in some RCTs and the second line in others.</w:t>
      </w:r>
    </w:p>
    <w:p w14:paraId="16040A20" w14:textId="48A12E15" w:rsidR="008D5C2B" w:rsidRPr="008D5C2B" w:rsidRDefault="008D5C2B" w:rsidP="008D5C2B">
      <w:pPr>
        <w:jc w:val="both"/>
        <w:rPr>
          <w:rFonts w:eastAsiaTheme="minorHAnsi"/>
          <w:lang w:eastAsia="en-US"/>
        </w:rPr>
      </w:pPr>
      <w:r w:rsidRPr="000A4940">
        <w:rPr>
          <w:rFonts w:eastAsiaTheme="minorHAnsi"/>
          <w:lang w:eastAsia="en-US"/>
        </w:rPr>
        <w:t>A further set of meta-analyses (N=6) was conducted to compare period</w:t>
      </w:r>
      <w:r w:rsidRPr="008D5C2B">
        <w:rPr>
          <w:rFonts w:eastAsiaTheme="minorHAnsi"/>
          <w:lang w:eastAsia="en-US"/>
        </w:rPr>
        <w:t xml:space="preserve"> 1 data for the ezetimibe–statin combination therapy arm with the data after the first titration point, and up to the second titration point (i.e. period 2), for the statin monotherapy arm. A limitation of the first set of analyses is that in the period compared, the statin monotherapy dose in three studies had not been up-titrated by that point; furthermore, in nine studies, the statin dose was up-titrated in both arms, which did not allow a comparison of ezetimibe addition and statin monotherapy up-titration. Therefore, the second set of analyses was conducted to compare the incremental reduction in lipid levels (or increase in HDL-C levels) with addition of ezetimibe vs doubling the dose of statin monotherapy. The result of this analysis are illustrated in Figure </w:t>
      </w:r>
      <w:r w:rsidR="005C4ECA">
        <w:rPr>
          <w:rFonts w:eastAsiaTheme="minorHAnsi"/>
          <w:lang w:eastAsia="en-US"/>
        </w:rPr>
        <w:t>2.2.3.7</w:t>
      </w:r>
      <w:r>
        <w:rPr>
          <w:rFonts w:eastAsiaTheme="minorHAnsi"/>
          <w:lang w:eastAsia="en-US"/>
        </w:rPr>
        <w:t>.</w:t>
      </w:r>
    </w:p>
    <w:p w14:paraId="340535B5" w14:textId="63B62FC7" w:rsidR="008D5C2B" w:rsidRPr="008D5C2B" w:rsidRDefault="008D5C2B" w:rsidP="008D5C2B">
      <w:pPr>
        <w:keepNext/>
        <w:keepLines/>
        <w:jc w:val="both"/>
        <w:rPr>
          <w:rFonts w:eastAsiaTheme="minorHAnsi"/>
          <w:b/>
          <w:lang w:eastAsia="en-US"/>
        </w:rPr>
      </w:pPr>
      <w:r w:rsidRPr="008D5C2B">
        <w:rPr>
          <w:rFonts w:eastAsiaTheme="minorHAnsi"/>
          <w:b/>
          <w:lang w:eastAsia="en-US"/>
        </w:rPr>
        <w:lastRenderedPageBreak/>
        <w:t xml:space="preserve">Figure </w:t>
      </w:r>
      <w:r w:rsidR="005C4ECA">
        <w:rPr>
          <w:rFonts w:eastAsiaTheme="minorHAnsi"/>
          <w:b/>
          <w:lang w:eastAsia="en-US"/>
        </w:rPr>
        <w:t>2.2.3.7</w:t>
      </w:r>
      <w:r>
        <w:rPr>
          <w:rFonts w:eastAsiaTheme="minorHAnsi"/>
          <w:b/>
          <w:lang w:eastAsia="en-US"/>
        </w:rPr>
        <w:t>.</w:t>
      </w:r>
      <w:r w:rsidRPr="008D5C2B">
        <w:rPr>
          <w:rFonts w:eastAsiaTheme="minorHAnsi"/>
          <w:b/>
          <w:lang w:eastAsia="en-US"/>
        </w:rPr>
        <w:t xml:space="preserve">  Percentage change from baseline in LDL-C in ezetimibe in combination with statin vs doubling statin monotherapy.</w:t>
      </w:r>
    </w:p>
    <w:p w14:paraId="46EA308D" w14:textId="77777777" w:rsidR="008D5C2B" w:rsidRPr="008D5C2B" w:rsidRDefault="008D5C2B" w:rsidP="008D5C2B">
      <w:pPr>
        <w:keepNext/>
        <w:keepLines/>
        <w:rPr>
          <w:rFonts w:eastAsiaTheme="minorHAnsi"/>
          <w:b/>
          <w:sz w:val="24"/>
          <w:szCs w:val="24"/>
          <w:lang w:eastAsia="en-US"/>
        </w:rPr>
      </w:pPr>
      <w:r w:rsidRPr="008D5C2B">
        <w:rPr>
          <w:rFonts w:eastAsiaTheme="minorHAnsi"/>
          <w:noProof/>
          <w:lang w:eastAsia="en-AU"/>
        </w:rPr>
        <w:drawing>
          <wp:inline distT="0" distB="0" distL="0" distR="0" wp14:anchorId="0D04CE44" wp14:editId="0C69AC65">
            <wp:extent cx="5814060" cy="3604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6136" t="23809" r="1828" b="8771"/>
                    <a:stretch/>
                  </pic:blipFill>
                  <pic:spPr bwMode="auto">
                    <a:xfrm>
                      <a:off x="0" y="0"/>
                      <a:ext cx="5814060" cy="3604260"/>
                    </a:xfrm>
                    <a:prstGeom prst="rect">
                      <a:avLst/>
                    </a:prstGeom>
                    <a:ln>
                      <a:noFill/>
                    </a:ln>
                    <a:extLst>
                      <a:ext uri="{53640926-AAD7-44D8-BBD7-CCE9431645EC}">
                        <a14:shadowObscured xmlns:a14="http://schemas.microsoft.com/office/drawing/2010/main"/>
                      </a:ext>
                    </a:extLst>
                  </pic:spPr>
                </pic:pic>
              </a:graphicData>
            </a:graphic>
          </wp:inline>
        </w:drawing>
      </w:r>
    </w:p>
    <w:p w14:paraId="21557C39" w14:textId="70D3557E" w:rsidR="008D5C2B" w:rsidRPr="008D5C2B" w:rsidRDefault="008D5C2B" w:rsidP="008D5C2B">
      <w:pPr>
        <w:jc w:val="both"/>
        <w:rPr>
          <w:rFonts w:eastAsiaTheme="minorHAnsi"/>
          <w:lang w:eastAsia="en-US"/>
        </w:rPr>
      </w:pPr>
      <w:r w:rsidRPr="008D5C2B">
        <w:rPr>
          <w:rFonts w:eastAsiaTheme="minorHAnsi"/>
          <w:lang w:eastAsia="en-US"/>
        </w:rPr>
        <w:t xml:space="preserve">In the six RCTs included in the second set of meta-analyses, 1681 patients received ezetimibe in combination with statin and 1409 patients received statin monotherapy. The reduction in LDL-C levels attributed to the addition of ezetimibe during the first treatment period was greater than the reduction in LDL-C levels with doubling the dose of statin monotherapy during the second treatment period and the difference between treatment arms was significant </w:t>
      </w:r>
      <w:r w:rsidRPr="000A4940">
        <w:rPr>
          <w:rFonts w:eastAsiaTheme="minorHAnsi"/>
          <w:lang w:eastAsia="en-US"/>
        </w:rPr>
        <w:t>(Weighted Mean Difference: -15.3% [95% CI -19.1, -11.4], p&lt;0.001).</w:t>
      </w:r>
      <w:r w:rsidRPr="008D5C2B">
        <w:rPr>
          <w:rFonts w:eastAsiaTheme="minorHAnsi"/>
          <w:lang w:eastAsia="en-US"/>
        </w:rPr>
        <w:t xml:space="preserve"> </w:t>
      </w:r>
      <w:r w:rsidR="005856FB">
        <w:rPr>
          <w:rFonts w:eastAsiaTheme="minorHAnsi"/>
          <w:lang w:eastAsia="en-US"/>
        </w:rPr>
        <w:t>Degree of h</w:t>
      </w:r>
      <w:r w:rsidRPr="008D5C2B">
        <w:rPr>
          <w:rFonts w:eastAsiaTheme="minorHAnsi"/>
          <w:lang w:eastAsia="en-US"/>
        </w:rPr>
        <w:t>eterogeneity was</w:t>
      </w:r>
      <w:r w:rsidR="005856FB">
        <w:rPr>
          <w:rFonts w:eastAsiaTheme="minorHAnsi"/>
          <w:lang w:eastAsia="en-US"/>
        </w:rPr>
        <w:t xml:space="preserve"> larger than in the first set of meta-analyses and</w:t>
      </w:r>
      <w:r w:rsidRPr="008D5C2B">
        <w:rPr>
          <w:rFonts w:eastAsiaTheme="minorHAnsi"/>
          <w:lang w:eastAsia="en-US"/>
        </w:rPr>
        <w:t xml:space="preserve"> </w:t>
      </w:r>
      <w:r w:rsidR="005856FB">
        <w:rPr>
          <w:rFonts w:eastAsiaTheme="minorHAnsi"/>
          <w:lang w:eastAsia="en-US"/>
        </w:rPr>
        <w:t xml:space="preserve">statistically </w:t>
      </w:r>
      <w:r w:rsidR="005856FB" w:rsidRPr="008D5C2B">
        <w:rPr>
          <w:rFonts w:eastAsiaTheme="minorHAnsi"/>
          <w:lang w:eastAsia="en-US"/>
        </w:rPr>
        <w:t>significant</w:t>
      </w:r>
      <w:r w:rsidRPr="008D5C2B">
        <w:rPr>
          <w:rFonts w:eastAsiaTheme="minorHAnsi"/>
          <w:lang w:eastAsia="en-US"/>
        </w:rPr>
        <w:t>.</w:t>
      </w:r>
    </w:p>
    <w:p w14:paraId="678B58DE" w14:textId="57B6EED2" w:rsidR="008D5C2B" w:rsidRDefault="005856FB" w:rsidP="009A77F6">
      <w:pPr>
        <w:spacing w:after="0"/>
        <w:jc w:val="both"/>
        <w:rPr>
          <w:rFonts w:eastAsiaTheme="minorHAnsi"/>
          <w:lang w:eastAsia="en-US"/>
        </w:rPr>
      </w:pPr>
      <w:r>
        <w:rPr>
          <w:rFonts w:eastAsiaTheme="minorHAnsi"/>
          <w:lang w:eastAsia="en-US"/>
        </w:rPr>
        <w:t>Despite of the evident uncertainties, t</w:t>
      </w:r>
      <w:r w:rsidR="008D5C2B" w:rsidRPr="008D5C2B">
        <w:rPr>
          <w:rFonts w:eastAsiaTheme="minorHAnsi"/>
          <w:lang w:eastAsia="en-US"/>
        </w:rPr>
        <w:t>he authors concluded that ezetimibe</w:t>
      </w:r>
      <w:r>
        <w:rPr>
          <w:rFonts w:eastAsiaTheme="minorHAnsi"/>
          <w:lang w:eastAsia="en-US"/>
        </w:rPr>
        <w:t xml:space="preserve"> in  combination with </w:t>
      </w:r>
      <w:r w:rsidR="008D5C2B" w:rsidRPr="008D5C2B">
        <w:rPr>
          <w:rFonts w:eastAsiaTheme="minorHAnsi"/>
          <w:lang w:eastAsia="en-US"/>
        </w:rPr>
        <w:t xml:space="preserve">statin </w:t>
      </w:r>
      <w:r>
        <w:rPr>
          <w:rFonts w:eastAsiaTheme="minorHAnsi"/>
          <w:lang w:eastAsia="en-US"/>
        </w:rPr>
        <w:t xml:space="preserve">is associated with </w:t>
      </w:r>
      <w:r w:rsidR="008D5C2B" w:rsidRPr="008D5C2B">
        <w:rPr>
          <w:rFonts w:eastAsiaTheme="minorHAnsi"/>
          <w:lang w:eastAsia="en-US"/>
        </w:rPr>
        <w:t xml:space="preserve"> a significantly greater reduction in LDL-C levels than increasing the statin monotherapy dose, thereby enabling more patients to achieve LDL-C goal, specified in most studies as 2.59 mmol/L (range 1.8–2.59 mmol/L). </w:t>
      </w:r>
    </w:p>
    <w:p w14:paraId="5C7D77E7" w14:textId="77777777" w:rsidR="00912F4E" w:rsidRDefault="00912F4E" w:rsidP="009A77F6">
      <w:pPr>
        <w:spacing w:after="0"/>
        <w:jc w:val="both"/>
        <w:rPr>
          <w:rFonts w:eastAsiaTheme="minorHAnsi"/>
          <w:b/>
          <w:lang w:eastAsia="en-US"/>
        </w:rPr>
      </w:pPr>
    </w:p>
    <w:p w14:paraId="145EA374" w14:textId="018A0FF1" w:rsidR="009D5FBA" w:rsidRDefault="009D5FBA" w:rsidP="009A77F6">
      <w:pPr>
        <w:spacing w:after="0"/>
        <w:jc w:val="both"/>
        <w:rPr>
          <w:rFonts w:eastAsiaTheme="minorHAnsi"/>
          <w:b/>
          <w:lang w:eastAsia="en-US"/>
        </w:rPr>
      </w:pPr>
      <w:r w:rsidRPr="0028552B">
        <w:rPr>
          <w:rFonts w:eastAsiaTheme="minorHAnsi"/>
          <w:b/>
          <w:lang w:eastAsia="en-US"/>
        </w:rPr>
        <w:t>The aim of the analyses</w:t>
      </w:r>
      <w:r w:rsidR="00B15E74">
        <w:rPr>
          <w:rFonts w:eastAsiaTheme="minorHAnsi"/>
          <w:b/>
          <w:lang w:eastAsia="en-US"/>
        </w:rPr>
        <w:t xml:space="preserve"> in </w:t>
      </w:r>
      <w:r w:rsidR="00B15E74" w:rsidRPr="00B15E74">
        <w:rPr>
          <w:rFonts w:eastAsiaTheme="minorHAnsi"/>
          <w:b/>
          <w:lang w:eastAsia="en-US"/>
        </w:rPr>
        <w:t>the systematic review by Mikhailidis (2011)</w:t>
      </w:r>
      <w:r w:rsidR="00B15E74" w:rsidRPr="008D5C2B">
        <w:rPr>
          <w:rFonts w:eastAsiaTheme="minorHAnsi"/>
          <w:lang w:eastAsia="en-US"/>
        </w:rPr>
        <w:t xml:space="preserve"> </w:t>
      </w:r>
      <w:r w:rsidRPr="0028552B">
        <w:rPr>
          <w:rFonts w:eastAsiaTheme="minorHAnsi"/>
          <w:b/>
          <w:lang w:eastAsia="en-US"/>
        </w:rPr>
        <w:t xml:space="preserve">was to compare the effect of adding ezetimibe vs successive doubling of the statin dose. </w:t>
      </w:r>
      <w:r>
        <w:rPr>
          <w:rFonts w:eastAsiaTheme="minorHAnsi"/>
          <w:b/>
          <w:lang w:eastAsia="en-US"/>
        </w:rPr>
        <w:t xml:space="preserve">With respect to the research question of the present Review, this is </w:t>
      </w:r>
      <w:r w:rsidR="005856FB">
        <w:rPr>
          <w:rFonts w:eastAsiaTheme="minorHAnsi"/>
          <w:b/>
          <w:lang w:eastAsia="en-US"/>
        </w:rPr>
        <w:t xml:space="preserve">the </w:t>
      </w:r>
      <w:r>
        <w:rPr>
          <w:rFonts w:eastAsiaTheme="minorHAnsi"/>
          <w:b/>
          <w:lang w:eastAsia="en-US"/>
        </w:rPr>
        <w:t xml:space="preserve">more relevant approach that, </w:t>
      </w:r>
      <w:r w:rsidR="005856FB">
        <w:rPr>
          <w:rFonts w:eastAsiaTheme="minorHAnsi"/>
          <w:b/>
          <w:lang w:eastAsia="en-US"/>
        </w:rPr>
        <w:t>still short of</w:t>
      </w:r>
      <w:r>
        <w:rPr>
          <w:rFonts w:eastAsiaTheme="minorHAnsi"/>
          <w:b/>
          <w:lang w:eastAsia="en-US"/>
        </w:rPr>
        <w:t xml:space="preserve"> the population who were on the maximally tolerated dose of statin prior to receiving ezetimibe, </w:t>
      </w:r>
      <w:r w:rsidR="005856FB">
        <w:rPr>
          <w:rFonts w:eastAsiaTheme="minorHAnsi"/>
          <w:b/>
          <w:lang w:eastAsia="en-US"/>
        </w:rPr>
        <w:t xml:space="preserve">may </w:t>
      </w:r>
      <w:r>
        <w:rPr>
          <w:rFonts w:eastAsiaTheme="minorHAnsi"/>
          <w:b/>
          <w:lang w:eastAsia="en-US"/>
        </w:rPr>
        <w:t>better approximates the clinical practice that would be consistent with meeting the PBS restrictions. Still the analysis utilised only the surrogate outcomes</w:t>
      </w:r>
      <w:r w:rsidR="00B15E74">
        <w:rPr>
          <w:rFonts w:eastAsiaTheme="minorHAnsi"/>
          <w:b/>
          <w:lang w:eastAsia="en-US"/>
        </w:rPr>
        <w:t xml:space="preserve"> and, the degree of </w:t>
      </w:r>
      <w:r w:rsidR="00B15E74" w:rsidRPr="00B15E74">
        <w:rPr>
          <w:rFonts w:eastAsiaTheme="minorHAnsi"/>
          <w:b/>
          <w:lang w:eastAsia="en-US"/>
        </w:rPr>
        <w:t xml:space="preserve">heterogeneity </w:t>
      </w:r>
      <w:r w:rsidR="005856FB">
        <w:rPr>
          <w:rFonts w:eastAsiaTheme="minorHAnsi"/>
          <w:b/>
          <w:lang w:eastAsia="en-US"/>
        </w:rPr>
        <w:t xml:space="preserve">between the trials </w:t>
      </w:r>
      <w:r w:rsidR="00B15E74" w:rsidRPr="00B15E74">
        <w:rPr>
          <w:rFonts w:eastAsiaTheme="minorHAnsi"/>
          <w:b/>
          <w:lang w:eastAsia="en-US"/>
        </w:rPr>
        <w:t>was large</w:t>
      </w:r>
      <w:r w:rsidR="00B15E74" w:rsidRPr="00B15E74">
        <w:rPr>
          <w:rFonts w:eastAsiaTheme="minorHAnsi"/>
          <w:i/>
          <w:lang w:eastAsia="en-US"/>
        </w:rPr>
        <w:t xml:space="preserve"> </w:t>
      </w:r>
      <w:r w:rsidR="005856FB" w:rsidRPr="005856FB">
        <w:rPr>
          <w:rFonts w:eastAsiaTheme="minorHAnsi"/>
          <w:b/>
          <w:lang w:eastAsia="en-US"/>
        </w:rPr>
        <w:t xml:space="preserve">suggesting that </w:t>
      </w:r>
      <w:r w:rsidR="00B15E74">
        <w:rPr>
          <w:rFonts w:eastAsiaTheme="minorHAnsi"/>
          <w:b/>
          <w:lang w:eastAsia="en-US"/>
        </w:rPr>
        <w:t>the outcomes were inappropriately aggregated using a quantitative technique</w:t>
      </w:r>
      <w:r w:rsidR="005856FB">
        <w:rPr>
          <w:rFonts w:eastAsiaTheme="minorHAnsi"/>
          <w:b/>
          <w:lang w:eastAsia="en-US"/>
        </w:rPr>
        <w:t xml:space="preserve"> and the resulting WMD should be interpreted with caution</w:t>
      </w:r>
      <w:r>
        <w:rPr>
          <w:rFonts w:eastAsiaTheme="minorHAnsi"/>
          <w:b/>
          <w:lang w:eastAsia="en-US"/>
        </w:rPr>
        <w:t xml:space="preserve">.  </w:t>
      </w:r>
    </w:p>
    <w:p w14:paraId="320A83B9" w14:textId="77777777" w:rsidR="00613C69" w:rsidRDefault="00613C69" w:rsidP="009A77F6">
      <w:pPr>
        <w:spacing w:after="0"/>
        <w:jc w:val="both"/>
        <w:rPr>
          <w:rFonts w:eastAsiaTheme="minorHAnsi"/>
          <w:b/>
          <w:lang w:eastAsia="en-US"/>
        </w:rPr>
      </w:pPr>
    </w:p>
    <w:p w14:paraId="79BB080E" w14:textId="77777777" w:rsidR="00531D34" w:rsidRDefault="00531D34" w:rsidP="009A77F6">
      <w:pPr>
        <w:spacing w:after="0"/>
        <w:jc w:val="both"/>
        <w:rPr>
          <w:rFonts w:eastAsiaTheme="minorHAnsi"/>
          <w:b/>
          <w:lang w:eastAsia="en-US"/>
        </w:rPr>
      </w:pPr>
    </w:p>
    <w:p w14:paraId="75BE6402" w14:textId="6A7493F7" w:rsidR="008D34D1" w:rsidRDefault="008D34D1" w:rsidP="008D34D1">
      <w:pPr>
        <w:pStyle w:val="Heading4"/>
        <w:rPr>
          <w:lang w:eastAsia="en-US"/>
        </w:rPr>
      </w:pPr>
      <w:r>
        <w:rPr>
          <w:lang w:eastAsia="en-US"/>
        </w:rPr>
        <w:lastRenderedPageBreak/>
        <w:t>Association between lowering LDL-C and cardiovascular risk reduction among different therapeutic interventions. A Systematic Review and Meta-analysis</w:t>
      </w:r>
      <w:r w:rsidRPr="008D5C2B">
        <w:rPr>
          <w:lang w:eastAsia="en-US"/>
        </w:rPr>
        <w:t xml:space="preserve"> (</w:t>
      </w:r>
      <w:r>
        <w:rPr>
          <w:lang w:eastAsia="en-US"/>
        </w:rPr>
        <w:t>Silverman</w:t>
      </w:r>
      <w:r w:rsidRPr="008D5C2B">
        <w:rPr>
          <w:lang w:eastAsia="en-US"/>
        </w:rPr>
        <w:t>, 201</w:t>
      </w:r>
      <w:r>
        <w:rPr>
          <w:lang w:eastAsia="en-US"/>
        </w:rPr>
        <w:t>6</w:t>
      </w:r>
      <w:r w:rsidRPr="008D5C2B">
        <w:rPr>
          <w:lang w:eastAsia="en-US"/>
        </w:rPr>
        <w:t>)</w:t>
      </w:r>
    </w:p>
    <w:p w14:paraId="155D64DE" w14:textId="77777777" w:rsidR="008D34D1" w:rsidRDefault="008D34D1" w:rsidP="008D34D1">
      <w:pPr>
        <w:rPr>
          <w:lang w:eastAsia="en-US"/>
        </w:rPr>
      </w:pPr>
    </w:p>
    <w:p w14:paraId="5C98FEED" w14:textId="0A478BD3" w:rsidR="00973B92" w:rsidRDefault="008D34D1" w:rsidP="00973B92">
      <w:pPr>
        <w:jc w:val="both"/>
        <w:rPr>
          <w:lang w:eastAsia="en-US"/>
        </w:rPr>
      </w:pPr>
      <w:r>
        <w:rPr>
          <w:lang w:eastAsia="en-US"/>
        </w:rPr>
        <w:t xml:space="preserve">The most recent meta-analysis (Silverman 2016) aimed at evaluation of the association between lowering LDL-C and relative cardiovascular risk reduction across different statin and non-statin therapies. </w:t>
      </w:r>
      <w:r w:rsidR="00973B92">
        <w:rPr>
          <w:lang w:eastAsia="en-US"/>
        </w:rPr>
        <w:t>The association between the absolute amount of LDL-C reduction of an intervention (calculated as the difference in achieved LDL-C levels between the 2 treatment groups) and the hazard or risk ratio for major vascular events with that intervention was evaluated. Summary effect estimates (which are presented as relative risk (RR) with 95% CIs, P values, and R</w:t>
      </w:r>
      <w:r w:rsidR="00973B92" w:rsidRPr="000E5FF3">
        <w:rPr>
          <w:vertAlign w:val="superscript"/>
          <w:lang w:eastAsia="en-US"/>
        </w:rPr>
        <w:t>2</w:t>
      </w:r>
      <w:r w:rsidR="00973B92">
        <w:rPr>
          <w:lang w:eastAsia="en-US"/>
        </w:rPr>
        <w:t xml:space="preserve"> values (a measure of the proportion of between-study variability accounted for by the variable) were obtained with meta-regression analyses using random-effects models. </w:t>
      </w:r>
    </w:p>
    <w:p w14:paraId="35D396CF" w14:textId="212147CE" w:rsidR="00354796" w:rsidRDefault="008D34D1" w:rsidP="00354796">
      <w:pPr>
        <w:jc w:val="both"/>
        <w:rPr>
          <w:lang w:eastAsia="en-US"/>
        </w:rPr>
      </w:pPr>
      <w:r>
        <w:rPr>
          <w:lang w:eastAsia="en-US"/>
        </w:rPr>
        <w:t xml:space="preserve">Only one of the intervention groups involving </w:t>
      </w:r>
      <w:r w:rsidRPr="008D34D1">
        <w:rPr>
          <w:lang w:eastAsia="en-US"/>
        </w:rPr>
        <w:t>non</w:t>
      </w:r>
      <w:r>
        <w:rPr>
          <w:lang w:eastAsia="en-US"/>
        </w:rPr>
        <w:t>-</w:t>
      </w:r>
      <w:r w:rsidRPr="008D34D1">
        <w:rPr>
          <w:lang w:eastAsia="en-US"/>
        </w:rPr>
        <w:t>statin therapies that ultimately lower LDL-C predomi</w:t>
      </w:r>
      <w:r>
        <w:rPr>
          <w:lang w:eastAsia="en-US"/>
        </w:rPr>
        <w:t>nantly by lowering intrahepatic cholesterol, thereby leading to upregulation of LDL receptor expression (i.e</w:t>
      </w:r>
      <w:r w:rsidR="000E5FF3">
        <w:rPr>
          <w:lang w:eastAsia="en-US"/>
        </w:rPr>
        <w:t>.</w:t>
      </w:r>
      <w:r>
        <w:rPr>
          <w:lang w:eastAsia="en-US"/>
        </w:rPr>
        <w:t>, diet, bile acid sequestrants, ileal bypass surgery, and ezetimibe</w:t>
      </w:r>
      <w:r w:rsidR="00973B92">
        <w:rPr>
          <w:lang w:eastAsia="en-US"/>
        </w:rPr>
        <w:t>)</w:t>
      </w:r>
      <w:r>
        <w:rPr>
          <w:lang w:eastAsia="en-US"/>
        </w:rPr>
        <w:t xml:space="preserve"> was relevant to the research question of the present review. A single ezetimibe RCT (</w:t>
      </w:r>
      <w:r w:rsidR="00EA2AF8">
        <w:rPr>
          <w:lang w:eastAsia="en-US"/>
        </w:rPr>
        <w:t xml:space="preserve">Improved Reduction of Outcomes: Vytorin Efficacy International Trial </w:t>
      </w:r>
      <w:r>
        <w:rPr>
          <w:lang w:eastAsia="en-US"/>
        </w:rPr>
        <w:t>IMPROVE IT, Cannon 2015</w:t>
      </w:r>
      <w:r w:rsidR="00EA2AF8">
        <w:rPr>
          <w:lang w:eastAsia="en-US"/>
        </w:rPr>
        <w:t>, also described below</w:t>
      </w:r>
      <w:r>
        <w:rPr>
          <w:lang w:eastAsia="en-US"/>
        </w:rPr>
        <w:t>) that reported cardiovascular outcomes as primary endpoint met the inclusion criteria for this</w:t>
      </w:r>
      <w:r w:rsidR="00973B92">
        <w:rPr>
          <w:lang w:eastAsia="en-US"/>
        </w:rPr>
        <w:t xml:space="preserve"> meta-analysis</w:t>
      </w:r>
      <w:r>
        <w:rPr>
          <w:lang w:eastAsia="en-US"/>
        </w:rPr>
        <w:t xml:space="preserve"> (</w:t>
      </w:r>
      <w:r w:rsidR="00973B92">
        <w:rPr>
          <w:lang w:eastAsia="en-US"/>
        </w:rPr>
        <w:t xml:space="preserve">see </w:t>
      </w:r>
      <w:r>
        <w:rPr>
          <w:lang w:eastAsia="en-US"/>
        </w:rPr>
        <w:t>Table 2.2.3.1</w:t>
      </w:r>
      <w:r w:rsidR="00973B92">
        <w:rPr>
          <w:lang w:eastAsia="en-US"/>
        </w:rPr>
        <w:t xml:space="preserve"> above</w:t>
      </w:r>
      <w:r>
        <w:rPr>
          <w:lang w:eastAsia="en-US"/>
        </w:rPr>
        <w:t xml:space="preserve">). </w:t>
      </w:r>
      <w:r w:rsidR="00973B92">
        <w:rPr>
          <w:lang w:eastAsia="en-US"/>
        </w:rPr>
        <w:t>For this intervention group an association between the achieved LDL-C level and the estimated 5-year rate of major coronary events (coronary death or MI) was evaluated using random-effects meta-regression analysis of the data from each group (experimental and control).</w:t>
      </w:r>
      <w:r w:rsidR="00973B92" w:rsidRPr="00973B92">
        <w:t xml:space="preserve"> </w:t>
      </w:r>
      <w:r w:rsidR="00973B92">
        <w:rPr>
          <w:lang w:eastAsia="en-US"/>
        </w:rPr>
        <w:t xml:space="preserve">There were </w:t>
      </w:r>
      <w:r w:rsidR="00EA2AF8">
        <w:rPr>
          <w:lang w:eastAsia="en-US"/>
        </w:rPr>
        <w:t>eight</w:t>
      </w:r>
      <w:r w:rsidR="00973B92">
        <w:rPr>
          <w:lang w:eastAsia="en-US"/>
        </w:rPr>
        <w:t xml:space="preserve"> trials of established non-statin therapies that ultimately act predominantly via upregulation of LDL receptor expression (4 diet trials, 2 trials of bile acid sequestrants, 1 trial of ileal bypass surgery, and </w:t>
      </w:r>
      <w:r w:rsidR="00354796">
        <w:rPr>
          <w:lang w:eastAsia="en-US"/>
        </w:rPr>
        <w:t>(</w:t>
      </w:r>
      <w:r w:rsidR="00973B92">
        <w:rPr>
          <w:lang w:eastAsia="en-US"/>
        </w:rPr>
        <w:t>IMPROVE IT trial).</w:t>
      </w:r>
      <w:r w:rsidR="00354796">
        <w:rPr>
          <w:lang w:eastAsia="en-US"/>
        </w:rPr>
        <w:t xml:space="preserve"> In</w:t>
      </w:r>
      <w:r w:rsidR="00973B92">
        <w:rPr>
          <w:lang w:eastAsia="en-US"/>
        </w:rPr>
        <w:t xml:space="preserve"> </w:t>
      </w:r>
      <w:r w:rsidR="00354796">
        <w:rPr>
          <w:lang w:eastAsia="en-US"/>
        </w:rPr>
        <w:t>IMPROVE-IT trial in patients receiving background statin therapy the RR reduction for major vascular events was 6.4% (95% CI, 1%-11%), with an absolute risk reduction of 2% over 7 years. The relatively small magnitude of the observed effect reflects the low starting LDL-C level by design that yielded a small absolute between-group difference, and is similar to what was predicted from the Cholesterol Treatment Trialists’ meta-regression of statin trials and confirmed in the meta-regression in this recent meta-analysis.</w:t>
      </w:r>
    </w:p>
    <w:p w14:paraId="6816E113" w14:textId="37236784" w:rsidR="009D5FBA" w:rsidRDefault="00973B92" w:rsidP="000005FB">
      <w:pPr>
        <w:jc w:val="both"/>
        <w:rPr>
          <w:lang w:eastAsia="en-US"/>
        </w:rPr>
      </w:pPr>
      <w:r>
        <w:rPr>
          <w:lang w:eastAsia="en-US"/>
        </w:rPr>
        <w:t>In these eight trials of established non-statin therapies it was found that each 1-mmol/L reduction in LDL-C was associated with an RR of 0.75 (95%CI, 0.66-0.86; P = .002)</w:t>
      </w:r>
      <w:r w:rsidR="00EA2AF8">
        <w:rPr>
          <w:lang w:eastAsia="en-US"/>
        </w:rPr>
        <w:t xml:space="preserve">. </w:t>
      </w:r>
      <w:r w:rsidR="00EA2AF8" w:rsidRPr="00EA2AF8">
        <w:rPr>
          <w:i/>
          <w:lang w:eastAsia="en-US"/>
        </w:rPr>
        <w:t>The between-group difference comparing RR reduction in major vascular events in this particular non-statin therapy with statin therapy</w:t>
      </w:r>
      <w:r w:rsidRPr="00EA2AF8">
        <w:rPr>
          <w:i/>
          <w:lang w:eastAsia="en-US"/>
        </w:rPr>
        <w:t xml:space="preserve"> </w:t>
      </w:r>
      <w:r w:rsidR="00EA2AF8" w:rsidRPr="00EA2AF8">
        <w:rPr>
          <w:i/>
          <w:lang w:eastAsia="en-US"/>
        </w:rPr>
        <w:t>was not statistically significant (P =0.72</w:t>
      </w:r>
      <w:r w:rsidRPr="00EA2AF8">
        <w:rPr>
          <w:i/>
          <w:lang w:eastAsia="en-US"/>
        </w:rPr>
        <w:t>).</w:t>
      </w:r>
      <w:r w:rsidR="000E5FF3">
        <w:rPr>
          <w:lang w:eastAsia="en-US"/>
        </w:rPr>
        <w:t xml:space="preserve"> There was a significant association between the observed absolute achieved LDL-C and the 5-year rates of major coronary events (coronary death or MI, n = 11 301) in the intervention and control groups among the trials of statins and established non-statin therapies that ultimately act predominantly via upregulation of LDL receptor expression. This association was seen in primary prevention trials (1.5% lower event rate [95%CI, 0.5%-2.6%] per 1-mmol/L lower LDL-C; P = .008) and secondary prevention trials (4.6% lower event rate [95%CI, 2.9%-6.4%] per 1-mmol/L lower LDL-C;</w:t>
      </w:r>
      <w:r w:rsidR="000005FB">
        <w:rPr>
          <w:lang w:eastAsia="en-US"/>
        </w:rPr>
        <w:t xml:space="preserve"> </w:t>
      </w:r>
      <w:r w:rsidR="000413AA">
        <w:rPr>
          <w:lang w:eastAsia="en-US"/>
        </w:rPr>
        <w:t>P &lt; .001)</w:t>
      </w:r>
      <w:r w:rsidR="000E5FF3">
        <w:rPr>
          <w:lang w:eastAsia="en-US"/>
        </w:rPr>
        <w:t>. Baseline LDL-C was not a significant variable in either of these models.</w:t>
      </w:r>
      <w:r w:rsidR="000413AA">
        <w:rPr>
          <w:lang w:eastAsia="en-US"/>
        </w:rPr>
        <w:t xml:space="preserve"> Surprisingly, despite of the evident incompatibility of the interventions aggregated into one group (e.g. diet is a “zero line” therapy, preceding the first line with a statin and the second line with ezetimibe, with ileal surgery being an intervention in the class of it own), no</w:t>
      </w:r>
      <w:r w:rsidR="000005FB" w:rsidRPr="000413AA">
        <w:rPr>
          <w:lang w:eastAsia="en-US"/>
        </w:rPr>
        <w:t xml:space="preserve"> significant heterogeneity was </w:t>
      </w:r>
      <w:r w:rsidR="000413AA">
        <w:rPr>
          <w:lang w:eastAsia="en-US"/>
        </w:rPr>
        <w:t>observed in meta-analysis of this 8 trials</w:t>
      </w:r>
      <w:r w:rsidR="000005FB" w:rsidRPr="000005FB">
        <w:rPr>
          <w:lang w:eastAsia="en-US"/>
        </w:rPr>
        <w:t>.</w:t>
      </w:r>
      <w:r w:rsidR="000413AA">
        <w:rPr>
          <w:lang w:eastAsia="en-US"/>
        </w:rPr>
        <w:t xml:space="preserve"> </w:t>
      </w:r>
    </w:p>
    <w:p w14:paraId="3615A956" w14:textId="5AB5DE24" w:rsidR="00EA2AF8" w:rsidRPr="00EC4A8D" w:rsidRDefault="00354796" w:rsidP="00354796">
      <w:pPr>
        <w:jc w:val="both"/>
        <w:rPr>
          <w:b/>
          <w:i/>
          <w:lang w:eastAsia="en-US"/>
        </w:rPr>
      </w:pPr>
      <w:r w:rsidRPr="00FB7A3C">
        <w:rPr>
          <w:b/>
          <w:i/>
          <w:lang w:eastAsia="en-US"/>
        </w:rPr>
        <w:t>In this meta-regression analysis, the use of statin and non</w:t>
      </w:r>
      <w:r w:rsidR="00FB7A3C">
        <w:rPr>
          <w:b/>
          <w:i/>
          <w:lang w:eastAsia="en-US"/>
        </w:rPr>
        <w:t>-</w:t>
      </w:r>
      <w:r w:rsidRPr="00FB7A3C">
        <w:rPr>
          <w:b/>
          <w:i/>
          <w:lang w:eastAsia="en-US"/>
        </w:rPr>
        <w:t>statin therapies that act via upregulation of LDL receptor expression to reduce LDL-C</w:t>
      </w:r>
      <w:r w:rsidR="00FB7A3C">
        <w:rPr>
          <w:b/>
          <w:i/>
          <w:lang w:eastAsia="en-US"/>
        </w:rPr>
        <w:t xml:space="preserve"> </w:t>
      </w:r>
      <w:r w:rsidRPr="00FB7A3C">
        <w:rPr>
          <w:b/>
          <w:i/>
          <w:lang w:eastAsia="en-US"/>
        </w:rPr>
        <w:t>were associated</w:t>
      </w:r>
      <w:r w:rsidR="00EA2AF8" w:rsidRPr="00FB7A3C">
        <w:rPr>
          <w:b/>
          <w:i/>
          <w:lang w:eastAsia="en-US"/>
        </w:rPr>
        <w:t xml:space="preserve"> </w:t>
      </w:r>
      <w:r w:rsidRPr="00FB7A3C">
        <w:rPr>
          <w:b/>
          <w:i/>
          <w:lang w:eastAsia="en-US"/>
        </w:rPr>
        <w:t>with similar RRs of major vascular events per change in LDL-C.</w:t>
      </w:r>
      <w:r w:rsidR="00EA2AF8" w:rsidRPr="00FB7A3C">
        <w:rPr>
          <w:b/>
          <w:i/>
          <w:lang w:eastAsia="en-US"/>
        </w:rPr>
        <w:t xml:space="preserve"> </w:t>
      </w:r>
      <w:r w:rsidRPr="00FB7A3C">
        <w:rPr>
          <w:b/>
          <w:i/>
          <w:lang w:eastAsia="en-US"/>
        </w:rPr>
        <w:t>Lower achieved LDL-C levels were associated with lower rates of major coronary events.</w:t>
      </w:r>
    </w:p>
    <w:p w14:paraId="2D2EF2EE" w14:textId="67A8964D" w:rsidR="0014447B" w:rsidRPr="0014447B" w:rsidRDefault="0014447B" w:rsidP="004358AC">
      <w:pPr>
        <w:pStyle w:val="Heading3"/>
        <w:rPr>
          <w:lang w:eastAsia="en-US"/>
        </w:rPr>
      </w:pPr>
      <w:r w:rsidRPr="0014447B">
        <w:rPr>
          <w:lang w:eastAsia="en-US"/>
        </w:rPr>
        <w:lastRenderedPageBreak/>
        <w:t>Safety profile of ezetimibe in combination with a statin</w:t>
      </w:r>
      <w:r w:rsidR="006B45CB">
        <w:rPr>
          <w:lang w:eastAsia="en-US"/>
        </w:rPr>
        <w:t xml:space="preserve"> vs statin monotherapy</w:t>
      </w:r>
    </w:p>
    <w:p w14:paraId="500E0EA6" w14:textId="77777777" w:rsidR="006B45CB" w:rsidRDefault="006B45CB" w:rsidP="009A77F6">
      <w:pPr>
        <w:spacing w:after="0"/>
        <w:jc w:val="both"/>
        <w:rPr>
          <w:rFonts w:eastAsiaTheme="minorHAnsi"/>
          <w:lang w:eastAsia="en-US"/>
        </w:rPr>
      </w:pPr>
    </w:p>
    <w:p w14:paraId="7D2A581E" w14:textId="77777777" w:rsidR="0014447B" w:rsidRDefault="0014447B" w:rsidP="009A77F6">
      <w:pPr>
        <w:spacing w:after="0"/>
        <w:jc w:val="both"/>
        <w:rPr>
          <w:rFonts w:eastAsiaTheme="minorHAnsi"/>
          <w:lang w:eastAsia="en-US"/>
        </w:rPr>
      </w:pPr>
      <w:r w:rsidRPr="0014447B">
        <w:rPr>
          <w:rFonts w:eastAsiaTheme="minorHAnsi"/>
          <w:lang w:eastAsia="en-US"/>
        </w:rPr>
        <w:t xml:space="preserve">Literature search identified two systematic reviews that specifically aimed at assessing the risk of adverse events in ezetimibe in combination with a statin versus a statin monotherapy (Kushani 2008; Luo 2015). Kushani (2008) identified 18 fairly large (&gt;100 patients) RCTs that reported AEs and Luo (2015) identified 20 RCT without any restrictions on the sample size. However Luo (2015) used the latest NCEP ATP III criteria for the LDL-C threshold level, that produced two sets of trials that only partially overlap (10 RCTs were included in both). </w:t>
      </w:r>
    </w:p>
    <w:p w14:paraId="7D9C1A73" w14:textId="77777777" w:rsidR="00C62F7D" w:rsidRPr="0014447B" w:rsidRDefault="00C62F7D" w:rsidP="009A77F6">
      <w:pPr>
        <w:spacing w:after="0"/>
        <w:jc w:val="both"/>
        <w:rPr>
          <w:rFonts w:eastAsiaTheme="minorHAnsi"/>
          <w:lang w:eastAsia="en-US"/>
        </w:rPr>
      </w:pPr>
    </w:p>
    <w:p w14:paraId="5C8377EC" w14:textId="77777777" w:rsidR="0014447B" w:rsidRPr="0014447B" w:rsidRDefault="0014447B" w:rsidP="0014447B">
      <w:pPr>
        <w:spacing w:after="0"/>
        <w:jc w:val="both"/>
        <w:rPr>
          <w:rFonts w:eastAsiaTheme="minorHAnsi"/>
          <w:lang w:eastAsia="en-US"/>
        </w:rPr>
      </w:pPr>
      <w:r w:rsidRPr="0014447B">
        <w:rPr>
          <w:rFonts w:eastAsiaTheme="minorHAnsi"/>
          <w:lang w:eastAsia="en-US"/>
        </w:rPr>
        <w:t>Kushani (2008) reported results aggregated by the type of AE, and within this subgroup, by the type of statin. Luo (2015) reported the total numbers and proportions of AEs by the type of a statin as well as the grand total. Luo (2015) also reported the total number and proportions of serious AEs but no definition of a serious AE was produced; some selected categories of AEs were also pooled across the studies and analysed in total and by the type of a statin.  In addition to AEs, both systematic reviews evaluated discontinuations of study drug because of any adverse event. Comparability of the definitions of the AEs in two systematic reviews is difficult to establish as they are frequently lacking in Luo (2015) (Table X.X).</w:t>
      </w:r>
    </w:p>
    <w:p w14:paraId="3A9C90D8" w14:textId="77777777" w:rsidR="0014447B" w:rsidRPr="0014447B" w:rsidRDefault="0014447B" w:rsidP="0014447B">
      <w:pPr>
        <w:spacing w:after="0"/>
        <w:jc w:val="both"/>
        <w:rPr>
          <w:rFonts w:eastAsiaTheme="minorHAnsi"/>
          <w:lang w:eastAsia="en-US"/>
        </w:rPr>
      </w:pPr>
    </w:p>
    <w:p w14:paraId="236D8ED4" w14:textId="69EB121F" w:rsidR="0014447B" w:rsidRPr="0014447B" w:rsidRDefault="004358AC" w:rsidP="006B45CB">
      <w:pPr>
        <w:pStyle w:val="Caption"/>
        <w:ind w:left="0"/>
        <w:rPr>
          <w:sz w:val="22"/>
          <w:szCs w:val="22"/>
        </w:rPr>
      </w:pPr>
      <w:r>
        <w:rPr>
          <w:sz w:val="22"/>
          <w:szCs w:val="22"/>
        </w:rPr>
        <w:t>Table 2.2.3.8</w:t>
      </w:r>
      <w:r w:rsidR="006B45CB">
        <w:rPr>
          <w:sz w:val="22"/>
          <w:szCs w:val="22"/>
        </w:rPr>
        <w:t xml:space="preserve">. </w:t>
      </w:r>
      <w:r w:rsidR="0014447B" w:rsidRPr="0014447B">
        <w:rPr>
          <w:sz w:val="22"/>
          <w:szCs w:val="22"/>
        </w:rPr>
        <w:t>Definitions of AEs in Kushani (2008) and Luo (2015)</w:t>
      </w:r>
    </w:p>
    <w:tbl>
      <w:tblPr>
        <w:tblStyle w:val="TableGrid4"/>
        <w:tblW w:w="0" w:type="auto"/>
        <w:tblLook w:val="04A0" w:firstRow="1" w:lastRow="0" w:firstColumn="1" w:lastColumn="0" w:noHBand="0" w:noVBand="1"/>
      </w:tblPr>
      <w:tblGrid>
        <w:gridCol w:w="3060"/>
        <w:gridCol w:w="3061"/>
        <w:gridCol w:w="3061"/>
      </w:tblGrid>
      <w:tr w:rsidR="0014447B" w:rsidRPr="000E4DA5" w14:paraId="78A1914B" w14:textId="77777777" w:rsidTr="00944F57">
        <w:tc>
          <w:tcPr>
            <w:tcW w:w="3060" w:type="dxa"/>
          </w:tcPr>
          <w:p w14:paraId="3D0D251F" w14:textId="77777777" w:rsidR="0014447B" w:rsidRPr="000E4DA5" w:rsidRDefault="0014447B" w:rsidP="0014447B">
            <w:pPr>
              <w:jc w:val="both"/>
              <w:rPr>
                <w:rFonts w:ascii="Arial Narrow" w:hAnsi="Arial Narrow"/>
              </w:rPr>
            </w:pPr>
            <w:r w:rsidRPr="000E4DA5">
              <w:rPr>
                <w:rFonts w:ascii="Arial Narrow" w:hAnsi="Arial Narrow"/>
              </w:rPr>
              <w:t>Adverse events (AE)</w:t>
            </w:r>
          </w:p>
        </w:tc>
        <w:tc>
          <w:tcPr>
            <w:tcW w:w="3061" w:type="dxa"/>
          </w:tcPr>
          <w:p w14:paraId="3C55E264" w14:textId="77777777" w:rsidR="0014447B" w:rsidRPr="000E4DA5" w:rsidRDefault="0014447B" w:rsidP="0014447B">
            <w:pPr>
              <w:jc w:val="both"/>
              <w:rPr>
                <w:rFonts w:ascii="Arial Narrow" w:hAnsi="Arial Narrow"/>
              </w:rPr>
            </w:pPr>
            <w:r w:rsidRPr="000E4DA5">
              <w:rPr>
                <w:rFonts w:ascii="Arial Narrow" w:hAnsi="Arial Narrow"/>
              </w:rPr>
              <w:t>Definitions in studies identified by Kushani (2008)</w:t>
            </w:r>
          </w:p>
        </w:tc>
        <w:tc>
          <w:tcPr>
            <w:tcW w:w="3061" w:type="dxa"/>
          </w:tcPr>
          <w:p w14:paraId="45DADEC9" w14:textId="77777777" w:rsidR="0014447B" w:rsidRPr="000E4DA5" w:rsidRDefault="0014447B" w:rsidP="0014447B">
            <w:pPr>
              <w:jc w:val="both"/>
              <w:rPr>
                <w:rFonts w:ascii="Arial Narrow" w:hAnsi="Arial Narrow"/>
              </w:rPr>
            </w:pPr>
            <w:r w:rsidRPr="000E4DA5">
              <w:rPr>
                <w:rFonts w:ascii="Arial Narrow" w:hAnsi="Arial Narrow"/>
              </w:rPr>
              <w:t>Definitions in studies identified by in Luo (2015)</w:t>
            </w:r>
          </w:p>
        </w:tc>
      </w:tr>
      <w:tr w:rsidR="0014447B" w:rsidRPr="000E4DA5" w14:paraId="1DEF4725" w14:textId="77777777" w:rsidTr="00944F57">
        <w:tc>
          <w:tcPr>
            <w:tcW w:w="3060" w:type="dxa"/>
          </w:tcPr>
          <w:p w14:paraId="694FE700" w14:textId="77777777" w:rsidR="0014447B" w:rsidRPr="000E4DA5" w:rsidRDefault="0014447B" w:rsidP="0014447B">
            <w:pPr>
              <w:jc w:val="both"/>
              <w:rPr>
                <w:rFonts w:ascii="Arial Narrow" w:hAnsi="Arial Narrow"/>
              </w:rPr>
            </w:pPr>
            <w:r w:rsidRPr="000E4DA5">
              <w:rPr>
                <w:rFonts w:ascii="Arial Narrow" w:hAnsi="Arial Narrow"/>
              </w:rPr>
              <w:t>Myalgias</w:t>
            </w:r>
          </w:p>
        </w:tc>
        <w:tc>
          <w:tcPr>
            <w:tcW w:w="3061" w:type="dxa"/>
          </w:tcPr>
          <w:p w14:paraId="395DD579" w14:textId="77777777" w:rsidR="0014447B" w:rsidRPr="000E4DA5" w:rsidRDefault="0014447B" w:rsidP="0014447B">
            <w:pPr>
              <w:jc w:val="both"/>
              <w:rPr>
                <w:rFonts w:ascii="Arial Narrow" w:hAnsi="Arial Narrow"/>
              </w:rPr>
            </w:pPr>
            <w:r w:rsidRPr="000E4DA5">
              <w:rPr>
                <w:rFonts w:ascii="Arial Narrow" w:hAnsi="Arial Narrow"/>
              </w:rPr>
              <w:t xml:space="preserve">Myalgias; </w:t>
            </w:r>
          </w:p>
          <w:p w14:paraId="5FD36111" w14:textId="77777777" w:rsidR="0014447B" w:rsidRPr="000E4DA5" w:rsidRDefault="0014447B" w:rsidP="0014447B">
            <w:pPr>
              <w:jc w:val="both"/>
              <w:rPr>
                <w:rFonts w:ascii="Arial Narrow" w:hAnsi="Arial Narrow"/>
              </w:rPr>
            </w:pPr>
            <w:r w:rsidRPr="000E4DA5">
              <w:rPr>
                <w:rFonts w:ascii="Arial Narrow" w:hAnsi="Arial Narrow"/>
              </w:rPr>
              <w:t>musculoskeletal AE; or</w:t>
            </w:r>
          </w:p>
          <w:p w14:paraId="4B3FA869" w14:textId="77777777" w:rsidR="0014447B" w:rsidRPr="000E4DA5" w:rsidRDefault="0014447B" w:rsidP="0014447B">
            <w:pPr>
              <w:jc w:val="both"/>
              <w:rPr>
                <w:rFonts w:ascii="Arial Narrow" w:hAnsi="Arial Narrow"/>
              </w:rPr>
            </w:pPr>
            <w:r w:rsidRPr="000E4DA5">
              <w:rPr>
                <w:rFonts w:ascii="Arial Narrow" w:hAnsi="Arial Narrow"/>
              </w:rPr>
              <w:t>myalgia/muscle pain</w:t>
            </w:r>
          </w:p>
        </w:tc>
        <w:tc>
          <w:tcPr>
            <w:tcW w:w="3061" w:type="dxa"/>
          </w:tcPr>
          <w:p w14:paraId="642C98D0" w14:textId="77777777" w:rsidR="0014447B" w:rsidRPr="000E4DA5" w:rsidRDefault="0014447B" w:rsidP="0014447B">
            <w:pPr>
              <w:jc w:val="both"/>
              <w:rPr>
                <w:rFonts w:ascii="Arial Narrow" w:hAnsi="Arial Narrow"/>
              </w:rPr>
            </w:pPr>
            <w:r w:rsidRPr="000E4DA5">
              <w:rPr>
                <w:rFonts w:ascii="Arial Narrow" w:hAnsi="Arial Narrow"/>
              </w:rPr>
              <w:t>Not defined, not extracted as a separate AE.</w:t>
            </w:r>
          </w:p>
        </w:tc>
      </w:tr>
      <w:tr w:rsidR="0014447B" w:rsidRPr="000E4DA5" w14:paraId="78725B53" w14:textId="77777777" w:rsidTr="00944F57">
        <w:tc>
          <w:tcPr>
            <w:tcW w:w="3060" w:type="dxa"/>
          </w:tcPr>
          <w:p w14:paraId="7F891946" w14:textId="77777777" w:rsidR="0014447B" w:rsidRPr="000E4DA5" w:rsidRDefault="0014447B" w:rsidP="0014447B">
            <w:pPr>
              <w:jc w:val="both"/>
              <w:rPr>
                <w:rFonts w:ascii="Arial Narrow" w:hAnsi="Arial Narrow"/>
              </w:rPr>
            </w:pPr>
            <w:r w:rsidRPr="000E4DA5">
              <w:rPr>
                <w:rFonts w:ascii="Arial Narrow" w:hAnsi="Arial Narrow"/>
              </w:rPr>
              <w:t>Creatine Kinase (CK) increases</w:t>
            </w:r>
          </w:p>
        </w:tc>
        <w:tc>
          <w:tcPr>
            <w:tcW w:w="3061" w:type="dxa"/>
          </w:tcPr>
          <w:p w14:paraId="499B9388" w14:textId="77777777" w:rsidR="0014447B" w:rsidRPr="000E4DA5" w:rsidRDefault="0014447B" w:rsidP="0014447B">
            <w:pPr>
              <w:jc w:val="both"/>
              <w:rPr>
                <w:rFonts w:ascii="Arial Narrow" w:hAnsi="Arial Narrow"/>
              </w:rPr>
            </w:pPr>
            <w:r w:rsidRPr="000E4DA5">
              <w:rPr>
                <w:rFonts w:ascii="Arial Narrow" w:hAnsi="Arial Narrow"/>
              </w:rPr>
              <w:t>≥3 times the upper limit of normal (ULN);</w:t>
            </w:r>
          </w:p>
          <w:p w14:paraId="7077A10B" w14:textId="77777777" w:rsidR="0014447B" w:rsidRPr="000E4DA5" w:rsidRDefault="0014447B" w:rsidP="0014447B">
            <w:pPr>
              <w:jc w:val="both"/>
              <w:rPr>
                <w:rFonts w:ascii="Arial Narrow" w:hAnsi="Arial Narrow"/>
              </w:rPr>
            </w:pPr>
            <w:r w:rsidRPr="000E4DA5">
              <w:rPr>
                <w:rFonts w:ascii="Arial Narrow" w:hAnsi="Arial Narrow"/>
              </w:rPr>
              <w:t>≥5 times the ULN; or</w:t>
            </w:r>
          </w:p>
          <w:p w14:paraId="386A1EA1" w14:textId="77777777" w:rsidR="0014447B" w:rsidRPr="000E4DA5" w:rsidRDefault="0014447B" w:rsidP="0014447B">
            <w:pPr>
              <w:jc w:val="both"/>
              <w:rPr>
                <w:rFonts w:ascii="Arial Narrow" w:hAnsi="Arial Narrow"/>
              </w:rPr>
            </w:pPr>
            <w:r w:rsidRPr="000E4DA5">
              <w:rPr>
                <w:rFonts w:ascii="Arial Narrow" w:hAnsi="Arial Narrow"/>
              </w:rPr>
              <w:t>myopathy</w:t>
            </w:r>
          </w:p>
        </w:tc>
        <w:tc>
          <w:tcPr>
            <w:tcW w:w="3061" w:type="dxa"/>
            <w:vMerge w:val="restart"/>
            <w:vAlign w:val="center"/>
          </w:tcPr>
          <w:p w14:paraId="5A25D53D" w14:textId="77777777" w:rsidR="0014447B" w:rsidRPr="000E4DA5" w:rsidRDefault="0014447B" w:rsidP="0014447B">
            <w:pPr>
              <w:jc w:val="center"/>
              <w:rPr>
                <w:rFonts w:ascii="Arial Narrow" w:hAnsi="Arial Narrow"/>
              </w:rPr>
            </w:pPr>
            <w:r w:rsidRPr="000E4DA5">
              <w:rPr>
                <w:rFonts w:ascii="Arial Narrow" w:hAnsi="Arial Narrow"/>
              </w:rPr>
              <w:t>(CK) &gt;10 × ULN</w:t>
            </w:r>
          </w:p>
        </w:tc>
      </w:tr>
      <w:tr w:rsidR="0014447B" w:rsidRPr="000E4DA5" w14:paraId="16BB69CB" w14:textId="77777777" w:rsidTr="00944F57">
        <w:tc>
          <w:tcPr>
            <w:tcW w:w="3060" w:type="dxa"/>
          </w:tcPr>
          <w:p w14:paraId="56267B02" w14:textId="77777777" w:rsidR="0014447B" w:rsidRPr="000E4DA5" w:rsidRDefault="0014447B" w:rsidP="0014447B">
            <w:pPr>
              <w:jc w:val="both"/>
              <w:rPr>
                <w:rFonts w:ascii="Arial Narrow" w:hAnsi="Arial Narrow"/>
              </w:rPr>
            </w:pPr>
            <w:r w:rsidRPr="000E4DA5">
              <w:rPr>
                <w:rFonts w:ascii="Arial Narrow" w:hAnsi="Arial Narrow"/>
              </w:rPr>
              <w:t>Rhabdomyolysis</w:t>
            </w:r>
          </w:p>
        </w:tc>
        <w:tc>
          <w:tcPr>
            <w:tcW w:w="3061" w:type="dxa"/>
          </w:tcPr>
          <w:p w14:paraId="1D49DF4F" w14:textId="77777777" w:rsidR="0014447B" w:rsidRPr="000E4DA5" w:rsidRDefault="0014447B" w:rsidP="0014447B">
            <w:pPr>
              <w:jc w:val="both"/>
              <w:rPr>
                <w:rFonts w:ascii="Arial Narrow" w:hAnsi="Arial Narrow"/>
              </w:rPr>
            </w:pPr>
            <w:r w:rsidRPr="000E4DA5">
              <w:rPr>
                <w:rFonts w:ascii="Arial Narrow" w:hAnsi="Arial Narrow"/>
              </w:rPr>
              <w:t>CK increases ≥10 times the</w:t>
            </w:r>
          </w:p>
          <w:p w14:paraId="36089C89" w14:textId="77777777" w:rsidR="0014447B" w:rsidRPr="000E4DA5" w:rsidRDefault="0014447B" w:rsidP="0014447B">
            <w:pPr>
              <w:jc w:val="both"/>
              <w:rPr>
                <w:rFonts w:ascii="Arial Narrow" w:hAnsi="Arial Narrow"/>
              </w:rPr>
            </w:pPr>
            <w:r w:rsidRPr="000E4DA5">
              <w:rPr>
                <w:rFonts w:ascii="Arial Narrow" w:hAnsi="Arial Narrow"/>
              </w:rPr>
              <w:t>ULN</w:t>
            </w:r>
          </w:p>
        </w:tc>
        <w:tc>
          <w:tcPr>
            <w:tcW w:w="3061" w:type="dxa"/>
            <w:vMerge/>
          </w:tcPr>
          <w:p w14:paraId="036A0E83" w14:textId="77777777" w:rsidR="0014447B" w:rsidRPr="000E4DA5" w:rsidRDefault="0014447B" w:rsidP="0014447B">
            <w:pPr>
              <w:jc w:val="both"/>
              <w:rPr>
                <w:rFonts w:ascii="Arial Narrow" w:hAnsi="Arial Narrow"/>
              </w:rPr>
            </w:pPr>
          </w:p>
        </w:tc>
      </w:tr>
      <w:tr w:rsidR="0014447B" w:rsidRPr="000E4DA5" w14:paraId="561C094F" w14:textId="77777777" w:rsidTr="00944F57">
        <w:tc>
          <w:tcPr>
            <w:tcW w:w="3060" w:type="dxa"/>
          </w:tcPr>
          <w:p w14:paraId="2ED65F0C" w14:textId="77777777" w:rsidR="0014447B" w:rsidRPr="000E4DA5" w:rsidRDefault="0014447B" w:rsidP="0014447B">
            <w:pPr>
              <w:jc w:val="both"/>
              <w:rPr>
                <w:rFonts w:ascii="Arial Narrow" w:hAnsi="Arial Narrow"/>
              </w:rPr>
            </w:pPr>
            <w:r w:rsidRPr="000E4DA5">
              <w:rPr>
                <w:rFonts w:ascii="Arial Narrow" w:hAnsi="Arial Narrow"/>
              </w:rPr>
              <w:t>Hepatotoxicity</w:t>
            </w:r>
          </w:p>
        </w:tc>
        <w:tc>
          <w:tcPr>
            <w:tcW w:w="3061" w:type="dxa"/>
          </w:tcPr>
          <w:p w14:paraId="71092214" w14:textId="77777777" w:rsidR="0014447B" w:rsidRPr="000E4DA5" w:rsidRDefault="0014447B" w:rsidP="0014447B">
            <w:pPr>
              <w:rPr>
                <w:rFonts w:ascii="Arial Narrow" w:hAnsi="Arial Narrow"/>
              </w:rPr>
            </w:pPr>
            <w:r w:rsidRPr="000E4DA5">
              <w:rPr>
                <w:rFonts w:ascii="Arial Narrow" w:hAnsi="Arial Narrow"/>
              </w:rPr>
              <w:t>Increase of serum alanine aminotransferase or aspartate aminotransferase of ≥3 times the ULN; or</w:t>
            </w:r>
          </w:p>
          <w:p w14:paraId="066D477D" w14:textId="77777777" w:rsidR="0014447B" w:rsidRPr="000E4DA5" w:rsidRDefault="0014447B" w:rsidP="0014447B">
            <w:pPr>
              <w:rPr>
                <w:rFonts w:ascii="Arial Narrow" w:hAnsi="Arial Narrow"/>
              </w:rPr>
            </w:pPr>
            <w:r w:rsidRPr="000E4DA5">
              <w:rPr>
                <w:rFonts w:ascii="Arial Narrow" w:hAnsi="Arial Narrow"/>
              </w:rPr>
              <w:t>Increase of serum alanine aminotransferase or aspartate aminotransferase of ≥3 times the ULN on 2 consecutive visits;</w:t>
            </w:r>
          </w:p>
          <w:p w14:paraId="295C4161" w14:textId="77777777" w:rsidR="0014447B" w:rsidRPr="000E4DA5" w:rsidRDefault="0014447B" w:rsidP="0014447B">
            <w:pPr>
              <w:rPr>
                <w:rFonts w:ascii="Arial Narrow" w:hAnsi="Arial Narrow"/>
              </w:rPr>
            </w:pPr>
          </w:p>
        </w:tc>
        <w:tc>
          <w:tcPr>
            <w:tcW w:w="3061" w:type="dxa"/>
          </w:tcPr>
          <w:p w14:paraId="5344FE34" w14:textId="77777777" w:rsidR="0014447B" w:rsidRPr="000E4DA5" w:rsidRDefault="0014447B" w:rsidP="0014447B">
            <w:pPr>
              <w:jc w:val="both"/>
              <w:rPr>
                <w:rFonts w:ascii="Arial Narrow" w:hAnsi="Arial Narrow"/>
              </w:rPr>
            </w:pPr>
            <w:r w:rsidRPr="000E4DA5">
              <w:rPr>
                <w:rFonts w:ascii="Arial Narrow" w:hAnsi="Arial Narrow"/>
              </w:rPr>
              <w:t>alanine aminotransferase (ALT) ≥3 × ULN,</w:t>
            </w:r>
          </w:p>
          <w:p w14:paraId="18D8F42C" w14:textId="77777777" w:rsidR="0014447B" w:rsidRPr="000E4DA5" w:rsidRDefault="0014447B" w:rsidP="0014447B">
            <w:pPr>
              <w:jc w:val="both"/>
              <w:rPr>
                <w:rFonts w:ascii="Arial Narrow" w:hAnsi="Arial Narrow"/>
              </w:rPr>
            </w:pPr>
            <w:r w:rsidRPr="000E4DA5">
              <w:rPr>
                <w:rFonts w:ascii="Arial Narrow" w:hAnsi="Arial Narrow"/>
              </w:rPr>
              <w:t>aspartate aminotransferase</w:t>
            </w:r>
            <w:r w:rsidRPr="000E4DA5">
              <w:rPr>
                <w:rFonts w:ascii="Arial Narrow" w:hAnsi="Arial Narrow" w:cs="Meridien-Roman"/>
                <w:sz w:val="18"/>
                <w:szCs w:val="18"/>
              </w:rPr>
              <w:t xml:space="preserve"> (</w:t>
            </w:r>
            <w:r w:rsidRPr="000E4DA5">
              <w:rPr>
                <w:rFonts w:ascii="Arial Narrow" w:hAnsi="Arial Narrow"/>
              </w:rPr>
              <w:t>AST) ≥3 × ULN</w:t>
            </w:r>
          </w:p>
        </w:tc>
      </w:tr>
      <w:tr w:rsidR="0014447B" w:rsidRPr="000E4DA5" w14:paraId="1662400F" w14:textId="77777777" w:rsidTr="00944F57">
        <w:tc>
          <w:tcPr>
            <w:tcW w:w="3060" w:type="dxa"/>
          </w:tcPr>
          <w:p w14:paraId="0C9E06ED" w14:textId="77777777" w:rsidR="0014447B" w:rsidRPr="000E4DA5" w:rsidRDefault="0014447B" w:rsidP="0014447B">
            <w:pPr>
              <w:jc w:val="both"/>
              <w:rPr>
                <w:rFonts w:ascii="Arial Narrow" w:hAnsi="Arial Narrow"/>
              </w:rPr>
            </w:pPr>
            <w:r w:rsidRPr="000E4DA5">
              <w:rPr>
                <w:rFonts w:ascii="Arial Narrow" w:hAnsi="Arial Narrow"/>
              </w:rPr>
              <w:t>Gastrointestinal AE</w:t>
            </w:r>
          </w:p>
        </w:tc>
        <w:tc>
          <w:tcPr>
            <w:tcW w:w="3061" w:type="dxa"/>
          </w:tcPr>
          <w:p w14:paraId="257C62CE" w14:textId="77777777" w:rsidR="0014447B" w:rsidRPr="000E4DA5" w:rsidRDefault="0014447B" w:rsidP="0014447B">
            <w:pPr>
              <w:jc w:val="both"/>
              <w:rPr>
                <w:rFonts w:ascii="Arial Narrow" w:hAnsi="Arial Narrow"/>
              </w:rPr>
            </w:pPr>
            <w:r w:rsidRPr="000E4DA5">
              <w:rPr>
                <w:rFonts w:ascii="Arial Narrow" w:hAnsi="Arial Narrow"/>
              </w:rPr>
              <w:t>gastrointestinal</w:t>
            </w:r>
          </w:p>
          <w:p w14:paraId="2FE72EDC" w14:textId="77777777" w:rsidR="0014447B" w:rsidRPr="000E4DA5" w:rsidRDefault="0014447B" w:rsidP="0014447B">
            <w:pPr>
              <w:jc w:val="both"/>
              <w:rPr>
                <w:rFonts w:ascii="Arial Narrow" w:hAnsi="Arial Narrow"/>
              </w:rPr>
            </w:pPr>
            <w:r w:rsidRPr="000E4DA5">
              <w:rPr>
                <w:rFonts w:ascii="Arial Narrow" w:hAnsi="Arial Narrow"/>
              </w:rPr>
              <w:t>adverse effects in general;</w:t>
            </w:r>
          </w:p>
          <w:p w14:paraId="52FD8656" w14:textId="77777777" w:rsidR="0014447B" w:rsidRPr="000E4DA5" w:rsidRDefault="0014447B" w:rsidP="0014447B">
            <w:pPr>
              <w:jc w:val="both"/>
              <w:rPr>
                <w:rFonts w:ascii="Arial Narrow" w:hAnsi="Arial Narrow"/>
              </w:rPr>
            </w:pPr>
            <w:r w:rsidRPr="000E4DA5">
              <w:rPr>
                <w:rFonts w:ascii="Arial Narrow" w:hAnsi="Arial Narrow"/>
              </w:rPr>
              <w:t>abdominal pain</w:t>
            </w:r>
          </w:p>
        </w:tc>
        <w:tc>
          <w:tcPr>
            <w:tcW w:w="3061" w:type="dxa"/>
          </w:tcPr>
          <w:p w14:paraId="631777F8" w14:textId="77777777" w:rsidR="0014447B" w:rsidRPr="000E4DA5" w:rsidRDefault="0014447B" w:rsidP="0014447B">
            <w:pPr>
              <w:jc w:val="both"/>
              <w:rPr>
                <w:rFonts w:ascii="Arial Narrow" w:hAnsi="Arial Narrow"/>
              </w:rPr>
            </w:pPr>
            <w:r w:rsidRPr="000E4DA5">
              <w:rPr>
                <w:rFonts w:ascii="Arial Narrow" w:hAnsi="Arial Narrow"/>
              </w:rPr>
              <w:t>Not defined</w:t>
            </w:r>
          </w:p>
        </w:tc>
      </w:tr>
      <w:tr w:rsidR="0014447B" w:rsidRPr="000E4DA5" w14:paraId="0EA8775B" w14:textId="77777777" w:rsidTr="00944F57">
        <w:tc>
          <w:tcPr>
            <w:tcW w:w="3060" w:type="dxa"/>
          </w:tcPr>
          <w:p w14:paraId="5240468E" w14:textId="77777777" w:rsidR="0014447B" w:rsidRPr="000E4DA5" w:rsidRDefault="0014447B" w:rsidP="0014447B">
            <w:pPr>
              <w:jc w:val="both"/>
              <w:rPr>
                <w:rFonts w:ascii="Arial Narrow" w:hAnsi="Arial Narrow"/>
              </w:rPr>
            </w:pPr>
            <w:r w:rsidRPr="000E4DA5">
              <w:rPr>
                <w:rFonts w:ascii="Arial Narrow" w:hAnsi="Arial Narrow"/>
              </w:rPr>
              <w:t>Allergic reactions or rashes</w:t>
            </w:r>
          </w:p>
        </w:tc>
        <w:tc>
          <w:tcPr>
            <w:tcW w:w="3061" w:type="dxa"/>
          </w:tcPr>
          <w:p w14:paraId="06DF9DE4" w14:textId="77777777" w:rsidR="0014447B" w:rsidRPr="000E4DA5" w:rsidRDefault="0014447B" w:rsidP="0014447B">
            <w:pPr>
              <w:jc w:val="both"/>
              <w:rPr>
                <w:rFonts w:ascii="Arial Narrow" w:hAnsi="Arial Narrow"/>
              </w:rPr>
            </w:pPr>
            <w:r w:rsidRPr="000E4DA5">
              <w:rPr>
                <w:rFonts w:ascii="Arial Narrow" w:hAnsi="Arial Narrow"/>
              </w:rPr>
              <w:t>Not defined or calculated</w:t>
            </w:r>
          </w:p>
        </w:tc>
        <w:tc>
          <w:tcPr>
            <w:tcW w:w="3061" w:type="dxa"/>
          </w:tcPr>
          <w:p w14:paraId="4BB8E14F" w14:textId="77777777" w:rsidR="0014447B" w:rsidRPr="000E4DA5" w:rsidRDefault="0014447B" w:rsidP="0014447B">
            <w:pPr>
              <w:jc w:val="both"/>
              <w:rPr>
                <w:rFonts w:ascii="Arial Narrow" w:hAnsi="Arial Narrow"/>
              </w:rPr>
            </w:pPr>
            <w:r w:rsidRPr="000E4DA5">
              <w:rPr>
                <w:rFonts w:ascii="Arial Narrow" w:hAnsi="Arial Narrow"/>
              </w:rPr>
              <w:t>Not defined</w:t>
            </w:r>
          </w:p>
        </w:tc>
      </w:tr>
      <w:tr w:rsidR="0014447B" w:rsidRPr="000E4DA5" w14:paraId="267677B4" w14:textId="77777777" w:rsidTr="00944F57">
        <w:tc>
          <w:tcPr>
            <w:tcW w:w="3060" w:type="dxa"/>
          </w:tcPr>
          <w:p w14:paraId="6FF7A7DC" w14:textId="77777777" w:rsidR="0014447B" w:rsidRPr="000E4DA5" w:rsidRDefault="0014447B" w:rsidP="0014447B">
            <w:pPr>
              <w:jc w:val="both"/>
              <w:rPr>
                <w:rFonts w:ascii="Arial Narrow" w:hAnsi="Arial Narrow"/>
              </w:rPr>
            </w:pPr>
            <w:r w:rsidRPr="000E4DA5">
              <w:rPr>
                <w:rFonts w:ascii="Arial Narrow" w:hAnsi="Arial Narrow"/>
              </w:rPr>
              <w:t>Serious AEs</w:t>
            </w:r>
          </w:p>
        </w:tc>
        <w:tc>
          <w:tcPr>
            <w:tcW w:w="3061" w:type="dxa"/>
          </w:tcPr>
          <w:p w14:paraId="0AEF9FE8" w14:textId="77777777" w:rsidR="0014447B" w:rsidRPr="000E4DA5" w:rsidRDefault="0014447B" w:rsidP="0014447B">
            <w:pPr>
              <w:jc w:val="both"/>
              <w:rPr>
                <w:rFonts w:ascii="Arial Narrow" w:hAnsi="Arial Narrow"/>
              </w:rPr>
            </w:pPr>
            <w:r w:rsidRPr="000E4DA5">
              <w:rPr>
                <w:rFonts w:ascii="Arial Narrow" w:hAnsi="Arial Narrow"/>
              </w:rPr>
              <w:t>Not defined or calculated</w:t>
            </w:r>
          </w:p>
        </w:tc>
        <w:tc>
          <w:tcPr>
            <w:tcW w:w="3061" w:type="dxa"/>
          </w:tcPr>
          <w:p w14:paraId="25D639DC" w14:textId="77777777" w:rsidR="0014447B" w:rsidRPr="000E4DA5" w:rsidRDefault="0014447B" w:rsidP="0014447B">
            <w:pPr>
              <w:jc w:val="both"/>
              <w:rPr>
                <w:rFonts w:ascii="Arial Narrow" w:hAnsi="Arial Narrow"/>
              </w:rPr>
            </w:pPr>
            <w:r w:rsidRPr="000E4DA5">
              <w:rPr>
                <w:rFonts w:ascii="Arial Narrow" w:hAnsi="Arial Narrow"/>
              </w:rPr>
              <w:t>Calculated but not defined</w:t>
            </w:r>
          </w:p>
        </w:tc>
      </w:tr>
    </w:tbl>
    <w:p w14:paraId="29DAF282" w14:textId="77777777" w:rsidR="0014447B" w:rsidRPr="0014447B" w:rsidRDefault="0014447B" w:rsidP="0014447B">
      <w:pPr>
        <w:spacing w:after="0"/>
        <w:jc w:val="both"/>
        <w:rPr>
          <w:rFonts w:eastAsiaTheme="minorHAnsi"/>
          <w:lang w:eastAsia="en-US"/>
        </w:rPr>
      </w:pPr>
    </w:p>
    <w:p w14:paraId="4F962EF5" w14:textId="77777777" w:rsidR="0014447B" w:rsidRPr="0014447B" w:rsidRDefault="0014447B" w:rsidP="0014447B">
      <w:pPr>
        <w:jc w:val="both"/>
        <w:rPr>
          <w:rFonts w:eastAsiaTheme="minorHAnsi"/>
          <w:i/>
          <w:lang w:eastAsia="en-US"/>
        </w:rPr>
      </w:pPr>
      <w:r w:rsidRPr="0014447B">
        <w:rPr>
          <w:rFonts w:eastAsiaTheme="minorHAnsi"/>
          <w:i/>
          <w:lang w:eastAsia="en-US"/>
        </w:rPr>
        <w:t>Ezetimibe monotherapy vs a statin (Kushani 2008)</w:t>
      </w:r>
    </w:p>
    <w:p w14:paraId="4F943CA7" w14:textId="21BA8D7B" w:rsidR="0014447B" w:rsidRPr="0014447B" w:rsidRDefault="0014447B" w:rsidP="0014447B">
      <w:pPr>
        <w:jc w:val="both"/>
        <w:rPr>
          <w:rFonts w:eastAsiaTheme="minorHAnsi"/>
          <w:lang w:eastAsia="en-US"/>
        </w:rPr>
      </w:pPr>
      <w:r w:rsidRPr="0014447B">
        <w:rPr>
          <w:rFonts w:eastAsiaTheme="minorHAnsi"/>
          <w:lang w:eastAsia="en-US"/>
        </w:rPr>
        <w:t xml:space="preserve">Although the primary objective of this systematic review was to assess the risk of adverse events in combination ezetimibe+statin versus a statin monotherapy, the results of ezetimibe monotherapy vs a </w:t>
      </w:r>
      <w:r w:rsidR="00476E5A">
        <w:rPr>
          <w:rFonts w:eastAsiaTheme="minorHAnsi"/>
          <w:lang w:eastAsia="en-US"/>
        </w:rPr>
        <w:t>placebo</w:t>
      </w:r>
      <w:r w:rsidRPr="0014447B">
        <w:rPr>
          <w:rFonts w:eastAsiaTheme="minorHAnsi"/>
          <w:lang w:eastAsia="en-US"/>
        </w:rPr>
        <w:t xml:space="preserve"> were also reported in some of the identified RCTs and were analysed by the authors in the same way as the main results. The review identified six RCTs (Ballantyne 2003</w:t>
      </w:r>
      <w:r w:rsidR="00D21DD3">
        <w:rPr>
          <w:rFonts w:eastAsiaTheme="minorHAnsi"/>
          <w:lang w:eastAsia="en-US"/>
        </w:rPr>
        <w:fldChar w:fldCharType="begin"/>
      </w:r>
      <w:r w:rsidR="00D21DD3">
        <w:rPr>
          <w:rFonts w:eastAsiaTheme="minorHAnsi"/>
          <w:lang w:eastAsia="en-US"/>
        </w:rPr>
        <w:instrText xml:space="preserve"> NOTEREF _Ref460673206 \f \h </w:instrText>
      </w:r>
      <w:r w:rsidR="00D21DD3">
        <w:rPr>
          <w:rFonts w:eastAsiaTheme="minorHAnsi"/>
          <w:lang w:eastAsia="en-US"/>
        </w:rPr>
      </w:r>
      <w:r w:rsidR="00D21DD3">
        <w:rPr>
          <w:rFonts w:eastAsiaTheme="minorHAnsi"/>
          <w:lang w:eastAsia="en-US"/>
        </w:rPr>
        <w:fldChar w:fldCharType="separate"/>
      </w:r>
      <w:r w:rsidR="00CA6F76" w:rsidRPr="00CA6F76">
        <w:rPr>
          <w:rStyle w:val="EndnoteReference"/>
        </w:rPr>
        <w:t>5</w:t>
      </w:r>
      <w:r w:rsidR="00D21DD3">
        <w:rPr>
          <w:rFonts w:eastAsiaTheme="minorHAnsi"/>
          <w:lang w:eastAsia="en-US"/>
        </w:rPr>
        <w:fldChar w:fldCharType="end"/>
      </w:r>
      <w:r w:rsidRPr="0014447B">
        <w:rPr>
          <w:rFonts w:eastAsiaTheme="minorHAnsi"/>
          <w:lang w:eastAsia="en-US"/>
        </w:rPr>
        <w:t>; Kerzner, 2003</w:t>
      </w:r>
      <w:r w:rsidR="008A3784">
        <w:rPr>
          <w:rFonts w:eastAsiaTheme="minorHAnsi"/>
          <w:lang w:eastAsia="en-US"/>
        </w:rPr>
        <w:fldChar w:fldCharType="begin"/>
      </w:r>
      <w:r w:rsidR="008A3784">
        <w:rPr>
          <w:rFonts w:eastAsiaTheme="minorHAnsi"/>
          <w:lang w:eastAsia="en-US"/>
        </w:rPr>
        <w:instrText xml:space="preserve"> NOTEREF _Ref460679746 \f \h </w:instrText>
      </w:r>
      <w:r w:rsidR="008A3784">
        <w:rPr>
          <w:rFonts w:eastAsiaTheme="minorHAnsi"/>
          <w:lang w:eastAsia="en-US"/>
        </w:rPr>
      </w:r>
      <w:r w:rsidR="008A3784">
        <w:rPr>
          <w:rFonts w:eastAsiaTheme="minorHAnsi"/>
          <w:lang w:eastAsia="en-US"/>
        </w:rPr>
        <w:fldChar w:fldCharType="separate"/>
      </w:r>
      <w:r w:rsidR="00CA6F76" w:rsidRPr="00CA6F76">
        <w:rPr>
          <w:rStyle w:val="EndnoteReference"/>
        </w:rPr>
        <w:t>65</w:t>
      </w:r>
      <w:r w:rsidR="008A3784">
        <w:rPr>
          <w:rFonts w:eastAsiaTheme="minorHAnsi"/>
          <w:lang w:eastAsia="en-US"/>
        </w:rPr>
        <w:fldChar w:fldCharType="end"/>
      </w:r>
      <w:r w:rsidRPr="0014447B">
        <w:rPr>
          <w:rFonts w:eastAsiaTheme="minorHAnsi"/>
          <w:lang w:eastAsia="en-US"/>
        </w:rPr>
        <w:t xml:space="preserve">; Melani </w:t>
      </w:r>
      <w:r w:rsidRPr="0014447B">
        <w:rPr>
          <w:rFonts w:eastAsiaTheme="minorHAnsi"/>
          <w:lang w:eastAsia="en-US"/>
        </w:rPr>
        <w:lastRenderedPageBreak/>
        <w:t>2003; Davidson 2002</w:t>
      </w:r>
      <w:r w:rsidR="008A3784">
        <w:rPr>
          <w:rFonts w:eastAsiaTheme="minorHAnsi"/>
          <w:lang w:eastAsia="en-US"/>
        </w:rPr>
        <w:fldChar w:fldCharType="begin"/>
      </w:r>
      <w:r w:rsidR="008A3784">
        <w:rPr>
          <w:rFonts w:eastAsiaTheme="minorHAnsi"/>
          <w:lang w:eastAsia="en-US"/>
        </w:rPr>
        <w:instrText xml:space="preserve"> NOTEREF _Ref460672395 \f \h </w:instrText>
      </w:r>
      <w:r w:rsidR="008A3784">
        <w:rPr>
          <w:rFonts w:eastAsiaTheme="minorHAnsi"/>
          <w:lang w:eastAsia="en-US"/>
        </w:rPr>
      </w:r>
      <w:r w:rsidR="008A3784">
        <w:rPr>
          <w:rFonts w:eastAsiaTheme="minorHAnsi"/>
          <w:lang w:eastAsia="en-US"/>
        </w:rPr>
        <w:fldChar w:fldCharType="separate"/>
      </w:r>
      <w:r w:rsidR="00CA6F76" w:rsidRPr="00CA6F76">
        <w:rPr>
          <w:rStyle w:val="EndnoteReference"/>
        </w:rPr>
        <w:t>4</w:t>
      </w:r>
      <w:r w:rsidR="008A3784">
        <w:rPr>
          <w:rFonts w:eastAsiaTheme="minorHAnsi"/>
          <w:lang w:eastAsia="en-US"/>
        </w:rPr>
        <w:fldChar w:fldCharType="end"/>
      </w:r>
      <w:r w:rsidRPr="0014447B">
        <w:rPr>
          <w:rFonts w:eastAsiaTheme="minorHAnsi"/>
          <w:lang w:eastAsia="en-US"/>
        </w:rPr>
        <w:t>; Bays 2004</w:t>
      </w:r>
      <w:r w:rsidR="008A3784">
        <w:rPr>
          <w:rFonts w:eastAsiaTheme="minorHAnsi"/>
          <w:lang w:eastAsia="en-US"/>
        </w:rPr>
        <w:fldChar w:fldCharType="begin"/>
      </w:r>
      <w:r w:rsidR="008A3784">
        <w:rPr>
          <w:rFonts w:eastAsiaTheme="minorHAnsi"/>
          <w:lang w:eastAsia="en-US"/>
        </w:rPr>
        <w:instrText xml:space="preserve"> NOTEREF _Ref460672386 \f \h </w:instrText>
      </w:r>
      <w:r w:rsidR="008A3784">
        <w:rPr>
          <w:rFonts w:eastAsiaTheme="minorHAnsi"/>
          <w:lang w:eastAsia="en-US"/>
        </w:rPr>
      </w:r>
      <w:r w:rsidR="008A3784">
        <w:rPr>
          <w:rFonts w:eastAsiaTheme="minorHAnsi"/>
          <w:lang w:eastAsia="en-US"/>
        </w:rPr>
        <w:fldChar w:fldCharType="separate"/>
      </w:r>
      <w:r w:rsidR="00CA6F76" w:rsidRPr="00CA6F76">
        <w:rPr>
          <w:rStyle w:val="EndnoteReference"/>
        </w:rPr>
        <w:t>19</w:t>
      </w:r>
      <w:r w:rsidR="008A3784">
        <w:rPr>
          <w:rFonts w:eastAsiaTheme="minorHAnsi"/>
          <w:lang w:eastAsia="en-US"/>
        </w:rPr>
        <w:fldChar w:fldCharType="end"/>
      </w:r>
      <w:r w:rsidRPr="0014447B">
        <w:rPr>
          <w:rFonts w:eastAsiaTheme="minorHAnsi"/>
          <w:lang w:eastAsia="en-US"/>
        </w:rPr>
        <w:t xml:space="preserve"> and Goldberg 2004</w:t>
      </w:r>
      <w:r w:rsidR="00D21DD3">
        <w:rPr>
          <w:rFonts w:eastAsiaTheme="minorHAnsi"/>
          <w:lang w:eastAsia="en-US"/>
        </w:rPr>
        <w:fldChar w:fldCharType="begin"/>
      </w:r>
      <w:r w:rsidR="00D21DD3">
        <w:rPr>
          <w:rFonts w:eastAsiaTheme="minorHAnsi"/>
          <w:lang w:eastAsia="en-US"/>
        </w:rPr>
        <w:instrText xml:space="preserve"> NOTEREF _Ref460672845 \f \h </w:instrText>
      </w:r>
      <w:r w:rsidR="00D21DD3">
        <w:rPr>
          <w:rFonts w:eastAsiaTheme="minorHAnsi"/>
          <w:lang w:eastAsia="en-US"/>
        </w:rPr>
      </w:r>
      <w:r w:rsidR="00D21DD3">
        <w:rPr>
          <w:rFonts w:eastAsiaTheme="minorHAnsi"/>
          <w:lang w:eastAsia="en-US"/>
        </w:rPr>
        <w:fldChar w:fldCharType="separate"/>
      </w:r>
      <w:r w:rsidR="00CA6F76" w:rsidRPr="00CA6F76">
        <w:rPr>
          <w:rStyle w:val="EndnoteReference"/>
        </w:rPr>
        <w:t>38</w:t>
      </w:r>
      <w:r w:rsidR="00D21DD3">
        <w:rPr>
          <w:rFonts w:eastAsiaTheme="minorHAnsi"/>
          <w:lang w:eastAsia="en-US"/>
        </w:rPr>
        <w:fldChar w:fldCharType="end"/>
      </w:r>
      <w:r w:rsidRPr="0014447B">
        <w:rPr>
          <w:rFonts w:eastAsiaTheme="minorHAnsi"/>
          <w:lang w:eastAsia="en-US"/>
        </w:rPr>
        <w:t>) that reported AE with respect to the ezetimibe monotherapy arm and a statin arm (that included atorvastatin, lovastatin, pravastatin and simvastatin). The incidence of myalgias was lower with ezetimibe monotherapy versus statin monotherapy, this difference did not reach statistical significance with RR calculations (RR=0.32, 95% CI 0.06 to 1.66). This lack of significance persisted in subgroup analysis of all simvastatin studies (RR=0.48, 95% CI 0.06 to 3.71). CK increases were not significantly higher with ezetimibe monotherapy versus statin monotherapy (RR=3.20, 95% CI 0.20 to 50.50). Rhabdomyolysis did not occur significantly more often with ezetimibe monotherapy versus statin monotherapy (RR=0.97, 95% CI 0.20 to 4.60). The incidence of transaminase increases, did not reach statistical significance when comparing ezetimibe monotherapy with statin monotherapy (RR=0.74, 95% CI 0.19 to 2.88). Gastrointestinal symptoms did not occur significantly more often with ezetimibe monotherapy versus statin monotherapy (RR=1.14, 95% CI 0.62 to 2.10). Discontinuations because of any adverse event was not significantly higher with ezetimibe monotherapy versus statin monotherapy (RR=1.04, 95% CI 0.61 to 1.78).</w:t>
      </w:r>
    </w:p>
    <w:p w14:paraId="04E7AFBC" w14:textId="77777777" w:rsidR="0014447B" w:rsidRPr="0014447B" w:rsidRDefault="0014447B" w:rsidP="0014447B">
      <w:pPr>
        <w:jc w:val="both"/>
        <w:rPr>
          <w:rFonts w:eastAsiaTheme="minorHAnsi"/>
          <w:i/>
          <w:lang w:eastAsia="en-US"/>
        </w:rPr>
      </w:pPr>
      <w:r w:rsidRPr="0014447B">
        <w:rPr>
          <w:rFonts w:eastAsiaTheme="minorHAnsi"/>
          <w:i/>
          <w:lang w:eastAsia="en-US"/>
        </w:rPr>
        <w:t>Ezetimibe combination with a statin vs a statin (Kushani 2008).</w:t>
      </w:r>
    </w:p>
    <w:p w14:paraId="474D6356" w14:textId="77777777" w:rsidR="0014447B" w:rsidRPr="0014447B" w:rsidRDefault="0014447B" w:rsidP="0014447B">
      <w:pPr>
        <w:spacing w:after="0"/>
        <w:jc w:val="both"/>
        <w:rPr>
          <w:rFonts w:eastAsiaTheme="minorHAnsi"/>
          <w:lang w:eastAsia="en-US"/>
        </w:rPr>
      </w:pPr>
      <w:r w:rsidRPr="0014447B">
        <w:rPr>
          <w:rFonts w:eastAsiaTheme="minorHAnsi"/>
          <w:lang w:eastAsia="en-US"/>
        </w:rPr>
        <w:t>Myalgias, reported by 7 studies including 3,185 patients (39% of total studies in this systematic review), were not more common with ezetimibe plus statin combination therapy (RR=0.86, 95% CI 0.60 to 1.24) compared with statin monotherapy. CK increases, reported by 7 trials including 5,611 patients were not significantly higher with combination therapy versus statin monotherapy (RR=0.84, 95% CI 0.10 to 6.81).</w:t>
      </w:r>
    </w:p>
    <w:p w14:paraId="7EE8C23D" w14:textId="77777777" w:rsidR="0014447B" w:rsidRPr="0014447B" w:rsidRDefault="0014447B" w:rsidP="0014447B">
      <w:pPr>
        <w:spacing w:after="0"/>
        <w:jc w:val="both"/>
        <w:rPr>
          <w:rFonts w:eastAsiaTheme="minorHAnsi"/>
          <w:lang w:eastAsia="en-US"/>
        </w:rPr>
      </w:pPr>
      <w:r w:rsidRPr="0014447B">
        <w:rPr>
          <w:rFonts w:eastAsiaTheme="minorHAnsi"/>
          <w:lang w:eastAsia="en-US"/>
        </w:rPr>
        <w:t>Rhabdomyolysis, reported in all 18 studies (100% of included studies) including 14,471 patients, did not occur more frequently in patients treated with combination therapy compared with statin monotherapy (RR=0.67, 95% CI 0.27 to 1.70). The incidence of transaminase increases, reported in 18 studies (100% of included studies) including 14,471 patients, did not reach statistical significance when comparing combination therapy with statin monotherapy (RR=1.55, 95% CI 0.99 to 2.44), although the lower boundary of the confidence interval was approaching the level of statistical significance. Gastrointestinal symptoms were the end point with the highest incidence and were reported by 7 studies (39% of total studies) that included 3,891 patients. Overall, 6.7% of 1,978 patients receiving ezetimibe experienced gastrointestinal symptoms versus 6.4% of 1,725 patients receiving statins alone. However, this was not significantly higher with combination therapy compared with statin monotherapy (RR=1.07, 95% CI 0.82 to 1.38). Discontinuations because of any adverse event were reported by 17 studies (94% of total studies) and included 12,569 patients. This end point was not higher with combination therapy vs statin monotherapy (RR=1.08, 95% CI 0.89 to 1.31).</w:t>
      </w:r>
    </w:p>
    <w:p w14:paraId="4270A2DC" w14:textId="77777777" w:rsidR="0014447B" w:rsidRPr="0014447B" w:rsidRDefault="0014447B" w:rsidP="0014447B">
      <w:pPr>
        <w:spacing w:after="0"/>
        <w:jc w:val="both"/>
        <w:rPr>
          <w:rFonts w:eastAsiaTheme="minorHAnsi"/>
          <w:lang w:eastAsia="en-US"/>
        </w:rPr>
      </w:pPr>
    </w:p>
    <w:p w14:paraId="76249FC5" w14:textId="2DF3519D" w:rsidR="0014447B" w:rsidRPr="0014447B" w:rsidRDefault="0014447B" w:rsidP="0014447B">
      <w:pPr>
        <w:spacing w:after="0"/>
        <w:jc w:val="both"/>
        <w:rPr>
          <w:rFonts w:eastAsiaTheme="minorHAnsi"/>
          <w:lang w:eastAsia="en-US"/>
        </w:rPr>
      </w:pPr>
      <w:r w:rsidRPr="0014447B">
        <w:rPr>
          <w:rFonts w:eastAsiaTheme="minorHAnsi"/>
          <w:lang w:eastAsia="en-US"/>
        </w:rPr>
        <w:t xml:space="preserve">Authors stated that the observed rates of AEs are consistent with smaller single-site studies. In premarketing clinical trials, the incidence of myalgias was reported as &lt;2% with ezetimibe monotherapy and 3.2% to 4.5% with ezetimibe-statin combination therapy </w:t>
      </w:r>
      <w:r w:rsidR="008C074C">
        <w:rPr>
          <w:rFonts w:eastAsiaTheme="minorHAnsi"/>
          <w:lang w:eastAsia="en-US"/>
        </w:rPr>
        <w:t>(Smith 2003</w:t>
      </w:r>
      <w:r w:rsidR="008C074C">
        <w:rPr>
          <w:rStyle w:val="EndnoteReference"/>
          <w:rFonts w:eastAsiaTheme="minorHAnsi"/>
          <w:lang w:eastAsia="en-US"/>
        </w:rPr>
        <w:endnoteReference w:id="77"/>
      </w:r>
      <w:r w:rsidR="008C074C">
        <w:rPr>
          <w:rFonts w:eastAsiaTheme="minorHAnsi"/>
          <w:lang w:eastAsia="en-US"/>
        </w:rPr>
        <w:t xml:space="preserve">). </w:t>
      </w:r>
      <w:r w:rsidRPr="0014447B">
        <w:rPr>
          <w:rFonts w:eastAsiaTheme="minorHAnsi"/>
          <w:lang w:eastAsia="en-US"/>
        </w:rPr>
        <w:t xml:space="preserve"> </w:t>
      </w:r>
      <w:r w:rsidR="008C074C">
        <w:rPr>
          <w:rFonts w:eastAsiaTheme="minorHAnsi"/>
          <w:lang w:eastAsia="en-US"/>
        </w:rPr>
        <w:t>Patient information</w:t>
      </w:r>
      <w:r w:rsidRPr="0014447B">
        <w:rPr>
          <w:rFonts w:eastAsiaTheme="minorHAnsi"/>
          <w:lang w:eastAsia="en-US"/>
        </w:rPr>
        <w:t xml:space="preserve"> and previous studies reported a 1.3% to 1.4% incidence of hepatotoxicity and a 0.1% to 0.2% incidence of rhabdomyolysis with combination therapy (Davidson, 2004</w:t>
      </w:r>
      <w:r w:rsidR="008C074C">
        <w:rPr>
          <w:rStyle w:val="EndnoteReference"/>
          <w:rFonts w:eastAsiaTheme="minorHAnsi"/>
          <w:lang w:eastAsia="en-US"/>
        </w:rPr>
        <w:endnoteReference w:id="78"/>
      </w:r>
      <w:r w:rsidRPr="0014447B">
        <w:rPr>
          <w:rFonts w:eastAsiaTheme="minorHAnsi"/>
          <w:lang w:eastAsia="en-US"/>
        </w:rPr>
        <w:t>). In addition, reports indicated a 2.8% to 3.7% rate of adverse gastrointestinal events with combination therapy (Miocromedex(R) Healthcare Series. Vol 127. Thompson Healthcare, 2004). Although their meta-analysis found a higher rate of gastrointestinal adverse events (6.7%), this did not reach statistical significance in comparison to statin therapy. In a pooled analysis of 1,861 patients, Davidson (2004) found a slightly higher rate of hepatotoxicity with ezetimibe-statin combination therapy versus statin monotherapy (1.4% vs 0.4%; p=0.03). In Kushani (2008) analysis that included 13,978 patients for comparison, this difference did not reach statistical significance (0.8% vs 0.6% respectively).</w:t>
      </w:r>
    </w:p>
    <w:p w14:paraId="76123E33" w14:textId="77777777" w:rsidR="0014447B" w:rsidRPr="0014447B" w:rsidRDefault="0014447B" w:rsidP="0014447B">
      <w:pPr>
        <w:spacing w:after="0"/>
        <w:jc w:val="both"/>
        <w:rPr>
          <w:rFonts w:eastAsiaTheme="minorHAnsi"/>
          <w:lang w:eastAsia="en-US"/>
        </w:rPr>
      </w:pPr>
    </w:p>
    <w:p w14:paraId="34E931A0" w14:textId="77777777" w:rsidR="0014447B" w:rsidRPr="008C074C" w:rsidRDefault="0014447B" w:rsidP="0014447B">
      <w:pPr>
        <w:spacing w:after="0"/>
        <w:jc w:val="both"/>
        <w:rPr>
          <w:rFonts w:eastAsiaTheme="minorHAnsi"/>
          <w:b/>
          <w:lang w:eastAsia="en-US"/>
        </w:rPr>
      </w:pPr>
      <w:r w:rsidRPr="008C074C">
        <w:rPr>
          <w:rFonts w:eastAsiaTheme="minorHAnsi"/>
          <w:b/>
          <w:lang w:eastAsia="en-US"/>
        </w:rPr>
        <w:t>Based on results of the analyses, Kushani (2008) concluded that the addition of ezetimibe to statin therapy does not significantly increase the incidence of adverse events.</w:t>
      </w:r>
    </w:p>
    <w:p w14:paraId="71218DC8" w14:textId="77777777" w:rsidR="0014447B" w:rsidRPr="0014447B" w:rsidRDefault="0014447B" w:rsidP="0014447B">
      <w:pPr>
        <w:spacing w:after="0"/>
        <w:jc w:val="both"/>
        <w:rPr>
          <w:rFonts w:eastAsiaTheme="minorHAnsi"/>
          <w:lang w:eastAsia="en-US"/>
        </w:rPr>
      </w:pPr>
    </w:p>
    <w:p w14:paraId="2F491683" w14:textId="77777777" w:rsidR="0014447B" w:rsidRPr="0014447B" w:rsidRDefault="0014447B" w:rsidP="00FB7A3C">
      <w:pPr>
        <w:spacing w:after="0" w:line="240" w:lineRule="auto"/>
        <w:jc w:val="both"/>
        <w:rPr>
          <w:rFonts w:eastAsiaTheme="minorHAnsi"/>
          <w:i/>
          <w:lang w:eastAsia="en-US"/>
        </w:rPr>
      </w:pPr>
      <w:r w:rsidRPr="0014447B">
        <w:rPr>
          <w:rFonts w:eastAsiaTheme="minorHAnsi"/>
          <w:i/>
          <w:lang w:eastAsia="en-US"/>
        </w:rPr>
        <w:t>Ezetimibe combination with a statin vs a statin (Luo 2015)</w:t>
      </w:r>
    </w:p>
    <w:p w14:paraId="21F165F3" w14:textId="77777777" w:rsidR="0014447B" w:rsidRPr="0014447B" w:rsidRDefault="0014447B" w:rsidP="00FB7A3C">
      <w:pPr>
        <w:spacing w:after="0" w:line="240" w:lineRule="auto"/>
        <w:jc w:val="both"/>
        <w:rPr>
          <w:rFonts w:eastAsiaTheme="minorHAnsi"/>
          <w:u w:val="single"/>
          <w:lang w:eastAsia="en-US"/>
        </w:rPr>
      </w:pPr>
    </w:p>
    <w:p w14:paraId="44E0E442" w14:textId="2BD1D2AF" w:rsidR="0014447B" w:rsidRPr="0014447B" w:rsidRDefault="0014447B" w:rsidP="00FB7A3C">
      <w:pPr>
        <w:spacing w:after="0" w:line="240" w:lineRule="auto"/>
        <w:jc w:val="both"/>
        <w:rPr>
          <w:rFonts w:eastAsiaTheme="minorHAnsi"/>
          <w:lang w:eastAsia="en-US"/>
        </w:rPr>
      </w:pPr>
      <w:r w:rsidRPr="0014447B">
        <w:rPr>
          <w:rFonts w:eastAsiaTheme="minorHAnsi"/>
          <w:lang w:eastAsia="en-US"/>
        </w:rPr>
        <w:t>Out of 20 identified RCTs, total adverse events were reported in 16 studies, with 1,165 events occurring in 3,856 patients (30%) treated with ezetimibe and statins, compared with 1,198 events in 4,171 patients (29%) treated with statins alone. There was no statistically significant difference in the two arms (OR=0.95 95% CI 0.85 to1.06; P = 0.34, I</w:t>
      </w:r>
      <w:r w:rsidRPr="0014447B">
        <w:rPr>
          <w:rFonts w:eastAsiaTheme="minorHAnsi"/>
          <w:vertAlign w:val="superscript"/>
          <w:lang w:eastAsia="en-US"/>
        </w:rPr>
        <w:t>2</w:t>
      </w:r>
      <w:r w:rsidRPr="0014447B">
        <w:rPr>
          <w:rFonts w:eastAsiaTheme="minorHAnsi"/>
          <w:lang w:eastAsia="en-US"/>
        </w:rPr>
        <w:t>=0). Serious adverse events were reported in 13 studies, with 76 events occurring in 3</w:t>
      </w:r>
      <w:r w:rsidR="00AD18B3">
        <w:rPr>
          <w:rFonts w:eastAsiaTheme="minorHAnsi"/>
          <w:lang w:eastAsia="en-US"/>
        </w:rPr>
        <w:t>,</w:t>
      </w:r>
      <w:r w:rsidRPr="0014447B">
        <w:rPr>
          <w:rFonts w:eastAsiaTheme="minorHAnsi"/>
          <w:lang w:eastAsia="en-US"/>
        </w:rPr>
        <w:t>997 patients (2%) treated with ezetimibe and statins, compared with 69 events in 4</w:t>
      </w:r>
      <w:r w:rsidR="00AD18B3">
        <w:rPr>
          <w:rFonts w:eastAsiaTheme="minorHAnsi"/>
          <w:lang w:eastAsia="en-US"/>
        </w:rPr>
        <w:t>,</w:t>
      </w:r>
      <w:r w:rsidRPr="0014447B">
        <w:rPr>
          <w:rFonts w:eastAsiaTheme="minorHAnsi"/>
          <w:lang w:eastAsia="en-US"/>
        </w:rPr>
        <w:t>301 patients (1.6%) treated with statins alone. This end point was not higher with combination therapy compared with statin monotherapy (OR=1.04 95% CI, 0.75 to 1.45; P = 0.81; I</w:t>
      </w:r>
      <w:r w:rsidRPr="0014447B">
        <w:rPr>
          <w:rFonts w:eastAsiaTheme="minorHAnsi"/>
          <w:vertAlign w:val="superscript"/>
          <w:lang w:eastAsia="en-US"/>
        </w:rPr>
        <w:t>2</w:t>
      </w:r>
      <w:r w:rsidRPr="0014447B">
        <w:rPr>
          <w:rFonts w:eastAsiaTheme="minorHAnsi"/>
          <w:lang w:eastAsia="en-US"/>
        </w:rPr>
        <w:t xml:space="preserve"> = 0%),</w:t>
      </w:r>
    </w:p>
    <w:p w14:paraId="02A18EAC" w14:textId="77777777" w:rsidR="0014447B" w:rsidRPr="0014447B" w:rsidRDefault="0014447B" w:rsidP="00FB7A3C">
      <w:pPr>
        <w:spacing w:after="0" w:line="240" w:lineRule="auto"/>
        <w:jc w:val="both"/>
        <w:rPr>
          <w:rFonts w:eastAsiaTheme="minorHAnsi"/>
          <w:lang w:eastAsia="en-US"/>
        </w:rPr>
      </w:pPr>
    </w:p>
    <w:p w14:paraId="0AEB1608" w14:textId="77777777" w:rsidR="0014447B" w:rsidRPr="0014447B" w:rsidRDefault="0014447B" w:rsidP="00FB7A3C">
      <w:pPr>
        <w:spacing w:after="0" w:line="240" w:lineRule="auto"/>
        <w:jc w:val="both"/>
        <w:rPr>
          <w:rFonts w:eastAsiaTheme="minorHAnsi"/>
          <w:lang w:eastAsia="en-US"/>
        </w:rPr>
      </w:pPr>
      <w:r w:rsidRPr="0014447B">
        <w:rPr>
          <w:rFonts w:eastAsiaTheme="minorHAnsi"/>
          <w:lang w:eastAsia="en-US"/>
        </w:rPr>
        <w:t>Eighteen studies were assessed in terms of treatment discontinuation, 169 of 4818 patients (3.5%) discontinued treatment with ezetimibe and statins and 148 of 5142 patients (2.9%) discontinued statins alone. There was no significant difference between combination therapy and statin monotherapy (OR=1.15 95% CI, 0. 92 to 1.44; P = 0.22; I</w:t>
      </w:r>
      <w:r w:rsidRPr="0014447B">
        <w:rPr>
          <w:rFonts w:eastAsiaTheme="minorHAnsi"/>
          <w:vertAlign w:val="superscript"/>
          <w:lang w:eastAsia="en-US"/>
        </w:rPr>
        <w:t>2</w:t>
      </w:r>
      <w:r w:rsidRPr="0014447B">
        <w:rPr>
          <w:rFonts w:eastAsiaTheme="minorHAnsi"/>
          <w:lang w:eastAsia="en-US"/>
        </w:rPr>
        <w:t xml:space="preserve"> = 0%).</w:t>
      </w:r>
    </w:p>
    <w:p w14:paraId="77B8F790" w14:textId="77777777" w:rsidR="0014447B" w:rsidRPr="0014447B" w:rsidRDefault="0014447B" w:rsidP="00FB7A3C">
      <w:pPr>
        <w:spacing w:after="0" w:line="240" w:lineRule="auto"/>
        <w:jc w:val="both"/>
        <w:rPr>
          <w:rFonts w:eastAsiaTheme="minorHAnsi"/>
          <w:lang w:eastAsia="en-US"/>
        </w:rPr>
      </w:pPr>
    </w:p>
    <w:p w14:paraId="0DFE4B2A" w14:textId="77777777" w:rsidR="0014447B" w:rsidRPr="0014447B" w:rsidRDefault="0014447B" w:rsidP="00FB7A3C">
      <w:pPr>
        <w:spacing w:after="0" w:line="240" w:lineRule="auto"/>
        <w:jc w:val="both"/>
        <w:rPr>
          <w:rFonts w:eastAsiaTheme="minorHAnsi"/>
          <w:lang w:eastAsia="en-US"/>
        </w:rPr>
      </w:pPr>
      <w:r w:rsidRPr="0014447B">
        <w:rPr>
          <w:rFonts w:eastAsiaTheme="minorHAnsi"/>
          <w:lang w:eastAsia="en-US"/>
        </w:rPr>
        <w:t>Nine studies were assessed for gastrointestinal adverse events. A total of 123 events occurred in 2446 patients (5%) treated with ezetimibe and statins, compared with 122 events in 2957 patients (4%) treated with statins alone. There was no significant difference between combination therapy and statin monotherapy (OR=1.26 95% CI, 0.97 to 1.63; P = 0.08; I</w:t>
      </w:r>
      <w:r w:rsidRPr="0014447B">
        <w:rPr>
          <w:rFonts w:eastAsiaTheme="minorHAnsi"/>
          <w:vertAlign w:val="superscript"/>
          <w:lang w:eastAsia="en-US"/>
        </w:rPr>
        <w:t>2</w:t>
      </w:r>
      <w:r w:rsidRPr="0014447B">
        <w:rPr>
          <w:rFonts w:eastAsiaTheme="minorHAnsi"/>
          <w:lang w:eastAsia="en-US"/>
        </w:rPr>
        <w:t xml:space="preserve"> = 24%). Six trials reported allergic reactions or rashes. Seventeen events occurred in 1903 patients (0.9%) treated with ezetimibe and statins, compared with 31 events in 2391 patients (1.3%) treated with statins alone. There was no significant difference between the groups (OR=0.76 95% CI, 0.41 to 1.35; P = 0.33; I</w:t>
      </w:r>
      <w:r w:rsidRPr="0014447B">
        <w:rPr>
          <w:rFonts w:eastAsiaTheme="minorHAnsi"/>
          <w:vertAlign w:val="superscript"/>
          <w:lang w:eastAsia="en-US"/>
        </w:rPr>
        <w:t>2</w:t>
      </w:r>
      <w:r w:rsidRPr="0014447B">
        <w:rPr>
          <w:rFonts w:eastAsiaTheme="minorHAnsi"/>
          <w:lang w:eastAsia="en-US"/>
        </w:rPr>
        <w:t xml:space="preserve"> = 0%). CK&gt;10 × ULN, was reported in 11 studies. Eleven events occurred in 5579 patients (0.2%) treated with ezetimibe and statins, compared with 10 events in 5850 patients (0.2%) treated with statins alone. There was no significant difference between the groups (OR=1.07 95% CI, 0.51 to 2.23; P =0.86; I</w:t>
      </w:r>
      <w:r w:rsidRPr="0014447B">
        <w:rPr>
          <w:rFonts w:eastAsiaTheme="minorHAnsi"/>
          <w:vertAlign w:val="superscript"/>
          <w:lang w:eastAsia="en-US"/>
        </w:rPr>
        <w:t>2</w:t>
      </w:r>
      <w:r w:rsidRPr="0014447B">
        <w:rPr>
          <w:rFonts w:eastAsiaTheme="minorHAnsi"/>
          <w:lang w:eastAsia="en-US"/>
        </w:rPr>
        <w:t xml:space="preserve"> = 0%).</w:t>
      </w:r>
    </w:p>
    <w:p w14:paraId="6F963830" w14:textId="77777777" w:rsidR="0014447B" w:rsidRPr="0014447B" w:rsidRDefault="0014447B" w:rsidP="00FB7A3C">
      <w:pPr>
        <w:spacing w:after="0" w:line="240" w:lineRule="auto"/>
        <w:jc w:val="both"/>
        <w:rPr>
          <w:rFonts w:eastAsiaTheme="minorHAnsi"/>
          <w:lang w:eastAsia="en-US"/>
        </w:rPr>
      </w:pPr>
    </w:p>
    <w:p w14:paraId="70F67089" w14:textId="77777777" w:rsidR="0014447B" w:rsidRPr="0014447B" w:rsidRDefault="0014447B" w:rsidP="00FB7A3C">
      <w:pPr>
        <w:spacing w:after="0" w:line="240" w:lineRule="auto"/>
        <w:jc w:val="both"/>
        <w:rPr>
          <w:rFonts w:eastAsiaTheme="minorHAnsi"/>
          <w:lang w:eastAsia="en-US"/>
        </w:rPr>
      </w:pPr>
      <w:r w:rsidRPr="0014447B">
        <w:rPr>
          <w:rFonts w:eastAsiaTheme="minorHAnsi"/>
          <w:lang w:eastAsia="en-US"/>
        </w:rPr>
        <w:t>The incidence of ALT &gt;3 × ULN was reported in 11 studies and did not reach statistical significance when compared between the combination therapy and statin monotherapy groups (OR= 1.01 95% CI, 0.58 to 1.77; P = 0.96; I</w:t>
      </w:r>
      <w:r w:rsidRPr="0014447B">
        <w:rPr>
          <w:rFonts w:eastAsiaTheme="minorHAnsi"/>
          <w:vertAlign w:val="superscript"/>
          <w:lang w:eastAsia="en-US"/>
        </w:rPr>
        <w:t>2</w:t>
      </w:r>
      <w:r w:rsidRPr="0014447B">
        <w:rPr>
          <w:rFonts w:eastAsiaTheme="minorHAnsi"/>
          <w:lang w:eastAsia="en-US"/>
        </w:rPr>
        <w:t xml:space="preserve"> =0%). Seven trials reported the proportion of patients with AST &gt;3 × ULN. A total of 17 events occurred in 3864 patients (0.4%) treated with ezetimibe and statins, compared with 16 events in 4335 patients (0.4%) treated with statins alone. There was no significant difference between the groups (OR=1.21 95% CI, 0.61 to 2.39; P = 0.58; I</w:t>
      </w:r>
      <w:r w:rsidRPr="0014447B">
        <w:rPr>
          <w:rFonts w:eastAsiaTheme="minorHAnsi"/>
          <w:vertAlign w:val="superscript"/>
          <w:lang w:eastAsia="en-US"/>
        </w:rPr>
        <w:t>2</w:t>
      </w:r>
      <w:r w:rsidRPr="0014447B">
        <w:rPr>
          <w:rFonts w:eastAsiaTheme="minorHAnsi"/>
          <w:lang w:eastAsia="en-US"/>
        </w:rPr>
        <w:t xml:space="preserve"> = 35%).</w:t>
      </w:r>
    </w:p>
    <w:p w14:paraId="39483593" w14:textId="77777777" w:rsidR="0014447B" w:rsidRPr="0014447B" w:rsidRDefault="0014447B" w:rsidP="00FB7A3C">
      <w:pPr>
        <w:spacing w:after="0" w:line="240" w:lineRule="auto"/>
        <w:jc w:val="both"/>
        <w:rPr>
          <w:rFonts w:eastAsiaTheme="minorHAnsi"/>
          <w:lang w:eastAsia="en-US"/>
        </w:rPr>
      </w:pPr>
    </w:p>
    <w:p w14:paraId="223C2158" w14:textId="0BA0FC84" w:rsidR="0014447B" w:rsidRDefault="0014447B" w:rsidP="00FB7A3C">
      <w:pPr>
        <w:spacing w:after="0" w:line="240" w:lineRule="auto"/>
        <w:jc w:val="both"/>
        <w:rPr>
          <w:b/>
          <w:i/>
        </w:rPr>
      </w:pPr>
      <w:r w:rsidRPr="00AD18B3">
        <w:rPr>
          <w:rFonts w:eastAsiaTheme="minorHAnsi"/>
          <w:b/>
          <w:i/>
          <w:lang w:eastAsia="en-US"/>
        </w:rPr>
        <w:t>Consistent with the conclusion of Kushani (2008), Luo (2015) also concluded that the incidence of adverse effects with co-administration of ezetimibe and statins did not differ significantly from those with statin monotherapy.</w:t>
      </w:r>
      <w:r w:rsidR="006B45CB" w:rsidRPr="00AD18B3">
        <w:rPr>
          <w:b/>
        </w:rPr>
        <w:t xml:space="preserve"> </w:t>
      </w:r>
      <w:r w:rsidR="006B45CB" w:rsidRPr="00AD18B3">
        <w:rPr>
          <w:b/>
          <w:i/>
        </w:rPr>
        <w:t xml:space="preserve">The systematic reviews </w:t>
      </w:r>
      <w:r w:rsidR="006B45CB" w:rsidRPr="00AD18B3">
        <w:rPr>
          <w:rFonts w:eastAsiaTheme="minorHAnsi"/>
          <w:b/>
          <w:i/>
          <w:lang w:eastAsia="en-US"/>
        </w:rPr>
        <w:t>Kushani (2008) and Luo (2015) do not restrict the population to patients with statin in</w:t>
      </w:r>
      <w:r w:rsidR="006B45CB" w:rsidRPr="00AD18B3">
        <w:rPr>
          <w:b/>
          <w:i/>
        </w:rPr>
        <w:t xml:space="preserve">tolerance or contraindication. Therefore the applicability of their conclusions to the research question of the review is uncertain. </w:t>
      </w:r>
    </w:p>
    <w:p w14:paraId="6BFFEAAE" w14:textId="77777777" w:rsidR="008D34D1" w:rsidRDefault="008D34D1" w:rsidP="00FB7A3C">
      <w:pPr>
        <w:spacing w:after="0" w:line="240" w:lineRule="auto"/>
        <w:jc w:val="both"/>
        <w:rPr>
          <w:b/>
          <w:i/>
        </w:rPr>
      </w:pPr>
    </w:p>
    <w:p w14:paraId="71E9D5CD" w14:textId="32BBFDF4" w:rsidR="008D34D1" w:rsidRDefault="008D34D1" w:rsidP="00FB7A3C">
      <w:pPr>
        <w:pStyle w:val="Heading2"/>
        <w:spacing w:before="0" w:line="240" w:lineRule="auto"/>
      </w:pPr>
      <w:bookmarkStart w:id="52" w:name="_Toc467857751"/>
      <w:r w:rsidRPr="008D34D1">
        <w:t>Summary of the systematic reviews</w:t>
      </w:r>
      <w:bookmarkEnd w:id="52"/>
    </w:p>
    <w:p w14:paraId="04DFBF92" w14:textId="77777777" w:rsidR="00EA2AF8" w:rsidRDefault="00EA2AF8" w:rsidP="00FB7A3C">
      <w:pPr>
        <w:spacing w:after="0" w:line="240" w:lineRule="auto"/>
      </w:pPr>
    </w:p>
    <w:p w14:paraId="16C509BA" w14:textId="01D61BF5" w:rsidR="00EA2AF8" w:rsidRDefault="00EA2AF8" w:rsidP="00EB7E04">
      <w:pPr>
        <w:spacing w:after="0" w:line="240" w:lineRule="auto"/>
      </w:pPr>
      <w:r>
        <w:t>Table 2.2.3.9 shows a check list of the identified systematic reviews.</w:t>
      </w:r>
    </w:p>
    <w:p w14:paraId="64D5C1C8" w14:textId="77777777" w:rsidR="00FB7A3C" w:rsidRPr="00EA2AF8" w:rsidRDefault="00FB7A3C" w:rsidP="00EB7E04">
      <w:pPr>
        <w:spacing w:after="0" w:line="240" w:lineRule="auto"/>
      </w:pPr>
    </w:p>
    <w:p w14:paraId="2AD60B09" w14:textId="0A76996A" w:rsidR="00EA2AF8" w:rsidRPr="0014447B" w:rsidRDefault="00EA2AF8" w:rsidP="00EB7E04">
      <w:pPr>
        <w:pStyle w:val="Caption"/>
        <w:ind w:left="0"/>
        <w:rPr>
          <w:sz w:val="22"/>
          <w:szCs w:val="22"/>
        </w:rPr>
      </w:pPr>
      <w:r>
        <w:rPr>
          <w:sz w:val="22"/>
          <w:szCs w:val="22"/>
        </w:rPr>
        <w:t>Table 2.2.3.9. A check list of the identified systematic reviews</w:t>
      </w:r>
    </w:p>
    <w:tbl>
      <w:tblPr>
        <w:tblStyle w:val="TableGrid4"/>
        <w:tblW w:w="9498" w:type="dxa"/>
        <w:tblLook w:val="04A0" w:firstRow="1" w:lastRow="0" w:firstColumn="1" w:lastColumn="0" w:noHBand="0" w:noVBand="1"/>
      </w:tblPr>
      <w:tblGrid>
        <w:gridCol w:w="4253"/>
        <w:gridCol w:w="5245"/>
      </w:tblGrid>
      <w:tr w:rsidR="005A1492" w:rsidRPr="000E4DA5" w14:paraId="4FD05417" w14:textId="77777777" w:rsidTr="00A75484">
        <w:tc>
          <w:tcPr>
            <w:tcW w:w="4253" w:type="dxa"/>
          </w:tcPr>
          <w:p w14:paraId="242088A2" w14:textId="7CA15272" w:rsidR="005A1492" w:rsidRPr="00EA2AF8" w:rsidRDefault="00EA2AF8" w:rsidP="00EB7E04">
            <w:pPr>
              <w:rPr>
                <w:rFonts w:ascii="Arial Narrow" w:hAnsi="Arial Narrow"/>
                <w:b/>
                <w:sz w:val="20"/>
                <w:szCs w:val="20"/>
              </w:rPr>
            </w:pPr>
            <w:r>
              <w:rPr>
                <w:rFonts w:ascii="Arial Narrow" w:hAnsi="Arial Narrow"/>
                <w:b/>
                <w:sz w:val="20"/>
                <w:szCs w:val="20"/>
              </w:rPr>
              <w:t>N</w:t>
            </w:r>
            <w:r w:rsidR="005A1492" w:rsidRPr="00EA2AF8">
              <w:rPr>
                <w:rFonts w:ascii="Arial Narrow" w:hAnsi="Arial Narrow"/>
                <w:b/>
                <w:sz w:val="20"/>
                <w:szCs w:val="20"/>
              </w:rPr>
              <w:t>umber of original reviews identified</w:t>
            </w:r>
          </w:p>
        </w:tc>
        <w:tc>
          <w:tcPr>
            <w:tcW w:w="5245" w:type="dxa"/>
          </w:tcPr>
          <w:p w14:paraId="0F266A7F" w14:textId="1EA377D1" w:rsidR="005A1492" w:rsidRPr="00EA2AF8" w:rsidRDefault="005A1492" w:rsidP="00EB7E04">
            <w:pPr>
              <w:rPr>
                <w:rFonts w:ascii="Arial Narrow" w:hAnsi="Arial Narrow"/>
                <w:b/>
                <w:sz w:val="20"/>
                <w:szCs w:val="20"/>
              </w:rPr>
            </w:pPr>
            <w:r w:rsidRPr="000E4DA5">
              <w:rPr>
                <w:rFonts w:ascii="Arial Narrow" w:hAnsi="Arial Narrow"/>
                <w:sz w:val="20"/>
                <w:szCs w:val="20"/>
              </w:rPr>
              <w:t xml:space="preserve"> </w:t>
            </w:r>
            <w:r w:rsidR="0033365D" w:rsidRPr="00EA2AF8">
              <w:rPr>
                <w:rFonts w:ascii="Arial Narrow" w:hAnsi="Arial Narrow"/>
                <w:b/>
                <w:sz w:val="20"/>
                <w:szCs w:val="20"/>
              </w:rPr>
              <w:t>15</w:t>
            </w:r>
          </w:p>
        </w:tc>
      </w:tr>
      <w:tr w:rsidR="005A1492" w:rsidRPr="000E4DA5" w14:paraId="17361480" w14:textId="77777777" w:rsidTr="00A75484">
        <w:tc>
          <w:tcPr>
            <w:tcW w:w="4253" w:type="dxa"/>
          </w:tcPr>
          <w:p w14:paraId="0636DAEA" w14:textId="1E8AFFDD" w:rsidR="005A1492" w:rsidRPr="000E4DA5" w:rsidRDefault="00487904" w:rsidP="00EB7E04">
            <w:pPr>
              <w:rPr>
                <w:rFonts w:ascii="Arial Narrow" w:hAnsi="Arial Narrow"/>
                <w:sz w:val="20"/>
                <w:szCs w:val="20"/>
              </w:rPr>
            </w:pPr>
            <w:r w:rsidRPr="000E4DA5">
              <w:rPr>
                <w:rFonts w:ascii="Arial Narrow" w:hAnsi="Arial Narrow"/>
                <w:sz w:val="20"/>
                <w:szCs w:val="20"/>
              </w:rPr>
              <w:t xml:space="preserve"> </w:t>
            </w:r>
            <w:r w:rsidR="005A1492" w:rsidRPr="000E4DA5">
              <w:rPr>
                <w:rFonts w:ascii="Arial Narrow" w:hAnsi="Arial Narrow"/>
                <w:sz w:val="20"/>
                <w:szCs w:val="20"/>
              </w:rPr>
              <w:t xml:space="preserve">Excluded </w:t>
            </w:r>
          </w:p>
        </w:tc>
        <w:tc>
          <w:tcPr>
            <w:tcW w:w="5245" w:type="dxa"/>
          </w:tcPr>
          <w:p w14:paraId="0178ED59" w14:textId="77777777" w:rsidR="005A1492" w:rsidRPr="000E4DA5" w:rsidRDefault="005A1492" w:rsidP="00EB7E04">
            <w:pPr>
              <w:rPr>
                <w:rFonts w:ascii="Arial Narrow" w:hAnsi="Arial Narrow"/>
                <w:sz w:val="20"/>
                <w:szCs w:val="20"/>
              </w:rPr>
            </w:pPr>
          </w:p>
        </w:tc>
      </w:tr>
      <w:tr w:rsidR="005A1492" w:rsidRPr="000E4DA5" w14:paraId="05D40711" w14:textId="77777777" w:rsidTr="00A75484">
        <w:tc>
          <w:tcPr>
            <w:tcW w:w="4253" w:type="dxa"/>
          </w:tcPr>
          <w:p w14:paraId="5B7A879D" w14:textId="3FDF7813" w:rsidR="005A1492" w:rsidRPr="000E4DA5" w:rsidRDefault="005A1492" w:rsidP="00EB7E04">
            <w:pPr>
              <w:rPr>
                <w:rFonts w:ascii="Arial Narrow" w:hAnsi="Arial Narrow"/>
                <w:sz w:val="20"/>
                <w:szCs w:val="20"/>
              </w:rPr>
            </w:pPr>
            <w:r w:rsidRPr="000E4DA5">
              <w:rPr>
                <w:rFonts w:ascii="Arial Narrow" w:hAnsi="Arial Narrow"/>
                <w:sz w:val="20"/>
                <w:szCs w:val="20"/>
              </w:rPr>
              <w:t xml:space="preserve"> </w:t>
            </w:r>
            <w:r w:rsidR="00AD18B3" w:rsidRPr="000E4DA5">
              <w:rPr>
                <w:rFonts w:ascii="Arial Narrow" w:hAnsi="Arial Narrow"/>
                <w:sz w:val="20"/>
                <w:szCs w:val="20"/>
              </w:rPr>
              <w:t xml:space="preserve">         </w:t>
            </w:r>
            <w:r w:rsidRPr="000E4DA5">
              <w:rPr>
                <w:rFonts w:ascii="Arial Narrow" w:hAnsi="Arial Narrow"/>
                <w:sz w:val="20"/>
                <w:szCs w:val="20"/>
              </w:rPr>
              <w:t>Poor quality</w:t>
            </w:r>
          </w:p>
          <w:p w14:paraId="5C2701D7" w14:textId="1C118566" w:rsidR="00AD18B3" w:rsidRPr="000E4DA5" w:rsidRDefault="00AD18B3" w:rsidP="00EB7E04">
            <w:pPr>
              <w:rPr>
                <w:rFonts w:ascii="Arial Narrow" w:hAnsi="Arial Narrow"/>
                <w:sz w:val="20"/>
                <w:szCs w:val="20"/>
              </w:rPr>
            </w:pPr>
            <w:r w:rsidRPr="000E4DA5">
              <w:rPr>
                <w:rFonts w:ascii="Arial Narrow" w:hAnsi="Arial Narrow"/>
                <w:sz w:val="20"/>
                <w:szCs w:val="20"/>
              </w:rPr>
              <w:t xml:space="preserve">          Duplicate </w:t>
            </w:r>
          </w:p>
          <w:p w14:paraId="10BD2994" w14:textId="586C2912" w:rsidR="00AD18B3" w:rsidRPr="000E4DA5" w:rsidRDefault="00AD18B3" w:rsidP="00EB7E04">
            <w:pPr>
              <w:rPr>
                <w:rFonts w:ascii="Arial Narrow" w:hAnsi="Arial Narrow"/>
                <w:sz w:val="20"/>
                <w:szCs w:val="20"/>
              </w:rPr>
            </w:pPr>
            <w:r w:rsidRPr="000E4DA5">
              <w:rPr>
                <w:rFonts w:ascii="Arial Narrow" w:hAnsi="Arial Narrow"/>
                <w:sz w:val="20"/>
                <w:szCs w:val="20"/>
              </w:rPr>
              <w:t xml:space="preserve">          More recent update</w:t>
            </w:r>
          </w:p>
        </w:tc>
        <w:tc>
          <w:tcPr>
            <w:tcW w:w="5245" w:type="dxa"/>
          </w:tcPr>
          <w:p w14:paraId="2AA37E01" w14:textId="77777777" w:rsidR="005A1492" w:rsidRPr="000E4DA5" w:rsidRDefault="005A1492" w:rsidP="00EB7E04">
            <w:pPr>
              <w:rPr>
                <w:rFonts w:ascii="Arial Narrow" w:hAnsi="Arial Narrow"/>
                <w:sz w:val="20"/>
                <w:szCs w:val="20"/>
              </w:rPr>
            </w:pPr>
            <w:r w:rsidRPr="000E4DA5">
              <w:rPr>
                <w:rFonts w:ascii="Arial Narrow" w:hAnsi="Arial Narrow"/>
                <w:sz w:val="20"/>
                <w:szCs w:val="20"/>
              </w:rPr>
              <w:t>3 (Ijioma 2011, Sandro 2015, Battagia 2015)</w:t>
            </w:r>
          </w:p>
          <w:p w14:paraId="5A49D9F0" w14:textId="5CB203AB" w:rsidR="00AD18B3" w:rsidRPr="000E4DA5" w:rsidRDefault="00AD18B3" w:rsidP="00EB7E04">
            <w:pPr>
              <w:rPr>
                <w:rFonts w:ascii="Arial Narrow" w:hAnsi="Arial Narrow"/>
                <w:sz w:val="20"/>
                <w:szCs w:val="20"/>
              </w:rPr>
            </w:pPr>
            <w:r w:rsidRPr="000E4DA5">
              <w:rPr>
                <w:rFonts w:ascii="Arial Narrow" w:hAnsi="Arial Narrow"/>
                <w:sz w:val="20"/>
                <w:szCs w:val="20"/>
              </w:rPr>
              <w:t xml:space="preserve">1 </w:t>
            </w:r>
            <w:r w:rsidR="00EB6393" w:rsidRPr="000E4DA5">
              <w:rPr>
                <w:rFonts w:ascii="Arial Narrow" w:hAnsi="Arial Narrow"/>
                <w:sz w:val="20"/>
                <w:szCs w:val="20"/>
              </w:rPr>
              <w:t>(</w:t>
            </w:r>
            <w:r w:rsidRPr="000E4DA5">
              <w:rPr>
                <w:rFonts w:ascii="Arial Narrow" w:hAnsi="Arial Narrow"/>
                <w:sz w:val="20"/>
                <w:szCs w:val="20"/>
              </w:rPr>
              <w:t>Sharma 2009</w:t>
            </w:r>
            <w:r w:rsidR="00EB6393" w:rsidRPr="000E4DA5">
              <w:rPr>
                <w:rFonts w:ascii="Arial Narrow" w:hAnsi="Arial Narrow"/>
                <w:sz w:val="20"/>
                <w:szCs w:val="20"/>
              </w:rPr>
              <w:t>b</w:t>
            </w:r>
            <w:r w:rsidRPr="000E4DA5">
              <w:rPr>
                <w:rFonts w:ascii="Arial Narrow" w:hAnsi="Arial Narrow"/>
                <w:sz w:val="20"/>
                <w:szCs w:val="20"/>
              </w:rPr>
              <w:t>=AHRQ</w:t>
            </w:r>
            <w:r w:rsidR="00EB6393" w:rsidRPr="000E4DA5">
              <w:rPr>
                <w:rFonts w:ascii="Arial Narrow" w:hAnsi="Arial Narrow"/>
                <w:sz w:val="20"/>
                <w:szCs w:val="20"/>
              </w:rPr>
              <w:t xml:space="preserve"> 20</w:t>
            </w:r>
            <w:r w:rsidR="00F3449D" w:rsidRPr="000E4DA5">
              <w:rPr>
                <w:rFonts w:ascii="Arial Narrow" w:hAnsi="Arial Narrow"/>
                <w:sz w:val="20"/>
                <w:szCs w:val="20"/>
              </w:rPr>
              <w:t>09</w:t>
            </w:r>
            <w:r w:rsidRPr="000E4DA5">
              <w:rPr>
                <w:rFonts w:ascii="Arial Narrow" w:hAnsi="Arial Narrow"/>
                <w:sz w:val="20"/>
                <w:szCs w:val="20"/>
              </w:rPr>
              <w:t xml:space="preserve"> full report)</w:t>
            </w:r>
          </w:p>
          <w:p w14:paraId="43F0BEC9" w14:textId="2CE89C0E" w:rsidR="00AD18B3" w:rsidRPr="000E4DA5" w:rsidRDefault="00EB6393" w:rsidP="00EB7E04">
            <w:pPr>
              <w:rPr>
                <w:rFonts w:ascii="Arial Narrow" w:hAnsi="Arial Narrow"/>
                <w:sz w:val="20"/>
                <w:szCs w:val="20"/>
              </w:rPr>
            </w:pPr>
            <w:r w:rsidRPr="000E4DA5">
              <w:rPr>
                <w:rFonts w:ascii="Arial Narrow" w:hAnsi="Arial Narrow"/>
                <w:sz w:val="20"/>
                <w:szCs w:val="20"/>
              </w:rPr>
              <w:t>2</w:t>
            </w:r>
            <w:r w:rsidR="00AD18B3" w:rsidRPr="000E4DA5">
              <w:rPr>
                <w:rFonts w:ascii="Arial Narrow" w:hAnsi="Arial Narrow"/>
                <w:sz w:val="20"/>
                <w:szCs w:val="20"/>
              </w:rPr>
              <w:t xml:space="preserve"> (</w:t>
            </w:r>
            <w:r w:rsidRPr="000E4DA5">
              <w:rPr>
                <w:rFonts w:ascii="Arial Narrow" w:hAnsi="Arial Narrow"/>
                <w:sz w:val="20"/>
                <w:szCs w:val="20"/>
              </w:rPr>
              <w:t>AHRQ 2009; Mikhailidis 2007</w:t>
            </w:r>
            <w:r w:rsidR="00AD18B3" w:rsidRPr="000E4DA5">
              <w:rPr>
                <w:rFonts w:ascii="Arial Narrow" w:hAnsi="Arial Narrow"/>
                <w:sz w:val="20"/>
                <w:szCs w:val="20"/>
              </w:rPr>
              <w:t>)</w:t>
            </w:r>
          </w:p>
        </w:tc>
      </w:tr>
      <w:tr w:rsidR="005A1492" w:rsidRPr="000E4DA5" w14:paraId="5B5ECF22" w14:textId="77777777" w:rsidTr="00A75484">
        <w:tc>
          <w:tcPr>
            <w:tcW w:w="4253" w:type="dxa"/>
          </w:tcPr>
          <w:p w14:paraId="2AFC4384" w14:textId="4719070C" w:rsidR="00BD2A29" w:rsidRPr="000E4DA5" w:rsidRDefault="00AD18B3" w:rsidP="00EB7E04">
            <w:pPr>
              <w:rPr>
                <w:rFonts w:ascii="Arial Narrow" w:hAnsi="Arial Narrow"/>
                <w:sz w:val="20"/>
                <w:szCs w:val="20"/>
              </w:rPr>
            </w:pPr>
            <w:r w:rsidRPr="000E4DA5">
              <w:rPr>
                <w:rFonts w:ascii="Arial Narrow" w:hAnsi="Arial Narrow"/>
                <w:sz w:val="20"/>
                <w:szCs w:val="20"/>
              </w:rPr>
              <w:t xml:space="preserve">  Systematic</w:t>
            </w:r>
            <w:r w:rsidR="00E667A3" w:rsidRPr="000E4DA5">
              <w:rPr>
                <w:rFonts w:ascii="Arial Narrow" w:hAnsi="Arial Narrow"/>
                <w:sz w:val="20"/>
                <w:szCs w:val="20"/>
              </w:rPr>
              <w:t xml:space="preserve"> reviews of </w:t>
            </w:r>
            <w:r w:rsidR="00E61353" w:rsidRPr="000E4DA5">
              <w:rPr>
                <w:rFonts w:ascii="Arial Narrow" w:hAnsi="Arial Narrow"/>
                <w:sz w:val="20"/>
                <w:szCs w:val="20"/>
              </w:rPr>
              <w:t>“</w:t>
            </w:r>
            <w:r w:rsidRPr="000E4DA5">
              <w:rPr>
                <w:rFonts w:ascii="Arial Narrow" w:hAnsi="Arial Narrow"/>
                <w:sz w:val="20"/>
                <w:szCs w:val="20"/>
              </w:rPr>
              <w:t>add-on</w:t>
            </w:r>
            <w:r w:rsidR="00E61353" w:rsidRPr="000E4DA5">
              <w:rPr>
                <w:rFonts w:ascii="Arial Narrow" w:hAnsi="Arial Narrow"/>
                <w:sz w:val="20"/>
                <w:szCs w:val="20"/>
              </w:rPr>
              <w:t>”</w:t>
            </w:r>
            <w:r w:rsidRPr="000E4DA5">
              <w:rPr>
                <w:rFonts w:ascii="Arial Narrow" w:hAnsi="Arial Narrow"/>
                <w:sz w:val="20"/>
                <w:szCs w:val="20"/>
              </w:rPr>
              <w:t xml:space="preserve"> EZ</w:t>
            </w:r>
            <w:r w:rsidR="00E667A3" w:rsidRPr="000E4DA5">
              <w:rPr>
                <w:rFonts w:ascii="Arial Narrow" w:hAnsi="Arial Narrow"/>
                <w:sz w:val="20"/>
                <w:szCs w:val="20"/>
              </w:rPr>
              <w:t>+statin</w:t>
            </w:r>
            <w:r w:rsidRPr="000E4DA5">
              <w:rPr>
                <w:rFonts w:ascii="Arial Narrow" w:hAnsi="Arial Narrow"/>
                <w:sz w:val="20"/>
                <w:szCs w:val="20"/>
              </w:rPr>
              <w:t xml:space="preserve"> </w:t>
            </w:r>
            <w:r w:rsidR="00BD2A29" w:rsidRPr="000E4DA5">
              <w:rPr>
                <w:rFonts w:ascii="Arial Narrow" w:hAnsi="Arial Narrow"/>
                <w:sz w:val="20"/>
                <w:szCs w:val="20"/>
              </w:rPr>
              <w:t xml:space="preserve"> </w:t>
            </w:r>
          </w:p>
          <w:p w14:paraId="1A3D07FC" w14:textId="53C6E373" w:rsidR="005A1492" w:rsidRPr="000E4DA5" w:rsidRDefault="00BD2A29" w:rsidP="00EB7E04">
            <w:pPr>
              <w:rPr>
                <w:rFonts w:ascii="Arial Narrow" w:hAnsi="Arial Narrow"/>
                <w:sz w:val="20"/>
                <w:szCs w:val="20"/>
              </w:rPr>
            </w:pPr>
            <w:r w:rsidRPr="000E4DA5">
              <w:rPr>
                <w:rFonts w:ascii="Arial Narrow" w:hAnsi="Arial Narrow"/>
                <w:sz w:val="20"/>
                <w:szCs w:val="20"/>
              </w:rPr>
              <w:lastRenderedPageBreak/>
              <w:t xml:space="preserve">  </w:t>
            </w:r>
            <w:r w:rsidR="00AD18B3" w:rsidRPr="000E4DA5">
              <w:rPr>
                <w:rFonts w:ascii="Arial Narrow" w:hAnsi="Arial Narrow"/>
                <w:sz w:val="20"/>
                <w:szCs w:val="20"/>
              </w:rPr>
              <w:t>trials vs matching dose of statin</w:t>
            </w:r>
          </w:p>
        </w:tc>
        <w:tc>
          <w:tcPr>
            <w:tcW w:w="5245" w:type="dxa"/>
          </w:tcPr>
          <w:p w14:paraId="32680399" w14:textId="11CBA0CB" w:rsidR="005A1492" w:rsidRPr="000E4DA5" w:rsidRDefault="00487904" w:rsidP="00EB7E04">
            <w:pPr>
              <w:rPr>
                <w:rFonts w:ascii="Arial Narrow" w:hAnsi="Arial Narrow"/>
                <w:sz w:val="20"/>
                <w:szCs w:val="20"/>
              </w:rPr>
            </w:pPr>
            <w:r w:rsidRPr="000E4DA5">
              <w:rPr>
                <w:rFonts w:ascii="Arial Narrow" w:hAnsi="Arial Narrow"/>
                <w:sz w:val="20"/>
                <w:szCs w:val="20"/>
              </w:rPr>
              <w:lastRenderedPageBreak/>
              <w:t>HTA-2008</w:t>
            </w:r>
            <w:r w:rsidR="00EB6393" w:rsidRPr="000E4DA5">
              <w:rPr>
                <w:rFonts w:ascii="Arial Narrow" w:hAnsi="Arial Narrow"/>
                <w:sz w:val="20"/>
                <w:szCs w:val="20"/>
              </w:rPr>
              <w:t xml:space="preserve">; </w:t>
            </w:r>
            <w:r w:rsidRPr="000E4DA5">
              <w:rPr>
                <w:rFonts w:ascii="Arial Narrow" w:hAnsi="Arial Narrow"/>
                <w:sz w:val="20"/>
                <w:szCs w:val="20"/>
              </w:rPr>
              <w:t>HTA 2015</w:t>
            </w:r>
            <w:r w:rsidR="00EB6393" w:rsidRPr="000E4DA5">
              <w:rPr>
                <w:rFonts w:ascii="Arial Narrow" w:hAnsi="Arial Narrow"/>
                <w:sz w:val="20"/>
                <w:szCs w:val="20"/>
              </w:rPr>
              <w:t xml:space="preserve"> (both general population)</w:t>
            </w:r>
            <w:r w:rsidR="00E667A3" w:rsidRPr="000E4DA5">
              <w:rPr>
                <w:rFonts w:ascii="Arial Narrow" w:hAnsi="Arial Narrow"/>
                <w:sz w:val="20"/>
                <w:szCs w:val="20"/>
              </w:rPr>
              <w:t xml:space="preserve">; </w:t>
            </w:r>
          </w:p>
        </w:tc>
      </w:tr>
      <w:tr w:rsidR="005A1492" w:rsidRPr="000E4DA5" w14:paraId="0771DE27" w14:textId="77777777" w:rsidTr="00A75484">
        <w:tc>
          <w:tcPr>
            <w:tcW w:w="4253" w:type="dxa"/>
          </w:tcPr>
          <w:p w14:paraId="747E3197" w14:textId="7C497947" w:rsidR="00487904" w:rsidRPr="000E4DA5" w:rsidRDefault="00487904" w:rsidP="00EB7E04">
            <w:pPr>
              <w:rPr>
                <w:rFonts w:ascii="Arial Narrow" w:hAnsi="Arial Narrow"/>
                <w:sz w:val="20"/>
                <w:szCs w:val="20"/>
              </w:rPr>
            </w:pPr>
            <w:r w:rsidRPr="000E4DA5">
              <w:rPr>
                <w:rFonts w:ascii="Arial Narrow" w:hAnsi="Arial Narrow"/>
                <w:sz w:val="20"/>
                <w:szCs w:val="20"/>
              </w:rPr>
              <w:lastRenderedPageBreak/>
              <w:t xml:space="preserve">  Systematic reviews of  </w:t>
            </w:r>
            <w:r w:rsidR="00E61353" w:rsidRPr="000E4DA5">
              <w:rPr>
                <w:rFonts w:ascii="Arial Narrow" w:hAnsi="Arial Narrow"/>
                <w:sz w:val="20"/>
                <w:szCs w:val="20"/>
              </w:rPr>
              <w:t xml:space="preserve">trials in </w:t>
            </w:r>
            <w:r w:rsidRPr="000E4DA5">
              <w:rPr>
                <w:rFonts w:ascii="Arial Narrow" w:hAnsi="Arial Narrow"/>
                <w:sz w:val="20"/>
                <w:szCs w:val="20"/>
              </w:rPr>
              <w:t>EZ</w:t>
            </w:r>
            <w:r w:rsidR="00E667A3" w:rsidRPr="000E4DA5">
              <w:rPr>
                <w:rFonts w:ascii="Arial Narrow" w:hAnsi="Arial Narrow"/>
                <w:sz w:val="20"/>
                <w:szCs w:val="20"/>
              </w:rPr>
              <w:t>+statin</w:t>
            </w:r>
            <w:r w:rsidRPr="000E4DA5">
              <w:rPr>
                <w:rFonts w:ascii="Arial Narrow" w:hAnsi="Arial Narrow"/>
                <w:sz w:val="20"/>
                <w:szCs w:val="20"/>
              </w:rPr>
              <w:t xml:space="preserve"> vs   </w:t>
            </w:r>
          </w:p>
          <w:p w14:paraId="7F000A57" w14:textId="71480F0D" w:rsidR="005A1492" w:rsidRPr="000E4DA5" w:rsidRDefault="00487904" w:rsidP="00EB7E04">
            <w:pPr>
              <w:rPr>
                <w:rFonts w:ascii="Arial Narrow" w:hAnsi="Arial Narrow"/>
                <w:sz w:val="20"/>
                <w:szCs w:val="20"/>
              </w:rPr>
            </w:pPr>
            <w:r w:rsidRPr="000E4DA5">
              <w:rPr>
                <w:rFonts w:ascii="Arial Narrow" w:hAnsi="Arial Narrow"/>
                <w:sz w:val="20"/>
                <w:szCs w:val="20"/>
              </w:rPr>
              <w:t xml:space="preserve">  </w:t>
            </w:r>
            <w:r w:rsidR="00E667A3" w:rsidRPr="000E4DA5">
              <w:rPr>
                <w:rFonts w:ascii="Arial Narrow" w:hAnsi="Arial Narrow"/>
                <w:sz w:val="20"/>
                <w:szCs w:val="20"/>
              </w:rPr>
              <w:t>up-titrated</w:t>
            </w:r>
            <w:r w:rsidRPr="000E4DA5">
              <w:rPr>
                <w:rFonts w:ascii="Arial Narrow" w:hAnsi="Arial Narrow"/>
                <w:sz w:val="20"/>
                <w:szCs w:val="20"/>
              </w:rPr>
              <w:t xml:space="preserve"> dose of statin</w:t>
            </w:r>
          </w:p>
        </w:tc>
        <w:tc>
          <w:tcPr>
            <w:tcW w:w="5245" w:type="dxa"/>
          </w:tcPr>
          <w:p w14:paraId="3F99B998" w14:textId="1F6CFCF1" w:rsidR="005A1492" w:rsidRPr="000E4DA5" w:rsidRDefault="00E667A3" w:rsidP="00EB7E04">
            <w:pPr>
              <w:rPr>
                <w:rFonts w:ascii="Arial Narrow" w:hAnsi="Arial Narrow"/>
                <w:sz w:val="20"/>
                <w:szCs w:val="20"/>
              </w:rPr>
            </w:pPr>
            <w:r w:rsidRPr="000E4DA5">
              <w:rPr>
                <w:rFonts w:ascii="Arial Narrow" w:hAnsi="Arial Narrow"/>
                <w:sz w:val="20"/>
                <w:szCs w:val="20"/>
              </w:rPr>
              <w:t>HTA-2008; Mikhailidis 2011</w:t>
            </w:r>
            <w:r w:rsidR="00BD2A29" w:rsidRPr="000E4DA5">
              <w:rPr>
                <w:rFonts w:ascii="Arial Narrow" w:hAnsi="Arial Narrow"/>
                <w:sz w:val="20"/>
                <w:szCs w:val="20"/>
              </w:rPr>
              <w:t xml:space="preserve"> (both general population);</w:t>
            </w:r>
          </w:p>
        </w:tc>
      </w:tr>
      <w:tr w:rsidR="00E667A3" w:rsidRPr="000E4DA5" w14:paraId="46AA54C5" w14:textId="77777777" w:rsidTr="00A75484">
        <w:tc>
          <w:tcPr>
            <w:tcW w:w="4253" w:type="dxa"/>
          </w:tcPr>
          <w:p w14:paraId="72825015" w14:textId="29BE98FF" w:rsidR="00E667A3" w:rsidRPr="000E4DA5" w:rsidRDefault="00E667A3" w:rsidP="00EB7E04">
            <w:pPr>
              <w:rPr>
                <w:rFonts w:ascii="Arial Narrow" w:hAnsi="Arial Narrow"/>
                <w:sz w:val="20"/>
                <w:szCs w:val="20"/>
              </w:rPr>
            </w:pPr>
            <w:r w:rsidRPr="000E4DA5">
              <w:rPr>
                <w:rFonts w:ascii="Arial Narrow" w:hAnsi="Arial Narrow"/>
                <w:sz w:val="20"/>
                <w:szCs w:val="20"/>
              </w:rPr>
              <w:t xml:space="preserve">  Systematic</w:t>
            </w:r>
            <w:r w:rsidR="00E61353" w:rsidRPr="000E4DA5">
              <w:rPr>
                <w:rFonts w:ascii="Arial Narrow" w:hAnsi="Arial Narrow"/>
                <w:sz w:val="20"/>
                <w:szCs w:val="20"/>
              </w:rPr>
              <w:t xml:space="preserve"> reviews of trials in </w:t>
            </w:r>
            <w:r w:rsidRPr="000E4DA5">
              <w:rPr>
                <w:rFonts w:ascii="Arial Narrow" w:hAnsi="Arial Narrow"/>
                <w:sz w:val="20"/>
                <w:szCs w:val="20"/>
              </w:rPr>
              <w:t xml:space="preserve">EZ+statin vs   </w:t>
            </w:r>
          </w:p>
          <w:p w14:paraId="7622F624" w14:textId="3BCC8ACD" w:rsidR="00E667A3" w:rsidRPr="000E4DA5" w:rsidRDefault="00E667A3" w:rsidP="00EB7E04">
            <w:pPr>
              <w:rPr>
                <w:rFonts w:ascii="Arial Narrow" w:hAnsi="Arial Narrow"/>
                <w:sz w:val="20"/>
                <w:szCs w:val="20"/>
              </w:rPr>
            </w:pPr>
            <w:r w:rsidRPr="000E4DA5">
              <w:rPr>
                <w:rFonts w:ascii="Arial Narrow" w:hAnsi="Arial Narrow"/>
                <w:sz w:val="20"/>
                <w:szCs w:val="20"/>
              </w:rPr>
              <w:t xml:space="preserve">  more powerful statin</w:t>
            </w:r>
          </w:p>
        </w:tc>
        <w:tc>
          <w:tcPr>
            <w:tcW w:w="5245" w:type="dxa"/>
          </w:tcPr>
          <w:p w14:paraId="3649C228" w14:textId="72B7A092" w:rsidR="00E667A3" w:rsidRPr="000E4DA5" w:rsidRDefault="00EB6393" w:rsidP="00EB7E04">
            <w:pPr>
              <w:rPr>
                <w:rFonts w:ascii="Arial Narrow" w:hAnsi="Arial Narrow"/>
                <w:sz w:val="20"/>
                <w:szCs w:val="20"/>
              </w:rPr>
            </w:pPr>
            <w:r w:rsidRPr="000E4DA5">
              <w:rPr>
                <w:rFonts w:ascii="Arial Narrow" w:hAnsi="Arial Narrow"/>
                <w:sz w:val="20"/>
                <w:szCs w:val="20"/>
              </w:rPr>
              <w:t xml:space="preserve">AHRQ 2014; </w:t>
            </w:r>
            <w:r w:rsidR="00E667A3" w:rsidRPr="000E4DA5">
              <w:rPr>
                <w:rFonts w:ascii="Arial Narrow" w:hAnsi="Arial Narrow"/>
                <w:sz w:val="20"/>
                <w:szCs w:val="20"/>
              </w:rPr>
              <w:t>Gudzune 2014</w:t>
            </w:r>
            <w:r w:rsidRPr="000E4DA5">
              <w:rPr>
                <w:rFonts w:ascii="Arial Narrow" w:hAnsi="Arial Narrow"/>
                <w:sz w:val="20"/>
                <w:szCs w:val="20"/>
              </w:rPr>
              <w:t xml:space="preserve"> (secondary prevention population)</w:t>
            </w:r>
            <w:r w:rsidR="00E667A3" w:rsidRPr="000E4DA5">
              <w:rPr>
                <w:rFonts w:ascii="Arial Narrow" w:hAnsi="Arial Narrow"/>
                <w:sz w:val="20"/>
                <w:szCs w:val="20"/>
              </w:rPr>
              <w:t xml:space="preserve">; </w:t>
            </w:r>
          </w:p>
        </w:tc>
      </w:tr>
      <w:tr w:rsidR="00E61353" w:rsidRPr="000E4DA5" w14:paraId="2643C4CB" w14:textId="77777777" w:rsidTr="00A75484">
        <w:tc>
          <w:tcPr>
            <w:tcW w:w="4253" w:type="dxa"/>
          </w:tcPr>
          <w:p w14:paraId="6FD3EF91" w14:textId="0E4E438B" w:rsidR="00E61353" w:rsidRPr="000E4DA5" w:rsidRDefault="00E61353" w:rsidP="00EB7E04">
            <w:pPr>
              <w:rPr>
                <w:rFonts w:ascii="Arial Narrow" w:hAnsi="Arial Narrow"/>
                <w:sz w:val="20"/>
                <w:szCs w:val="20"/>
              </w:rPr>
            </w:pPr>
            <w:r w:rsidRPr="000E4DA5">
              <w:rPr>
                <w:rFonts w:ascii="Arial Narrow" w:hAnsi="Arial Narrow"/>
                <w:sz w:val="20"/>
                <w:szCs w:val="20"/>
              </w:rPr>
              <w:t xml:space="preserve">  Systematic review of trials in EZ    </w:t>
            </w:r>
          </w:p>
          <w:p w14:paraId="55269166" w14:textId="324AB90B" w:rsidR="00E61353" w:rsidRPr="000E4DA5" w:rsidRDefault="00E61353" w:rsidP="00EB7E04">
            <w:pPr>
              <w:rPr>
                <w:rFonts w:ascii="Arial Narrow" w:hAnsi="Arial Narrow"/>
                <w:sz w:val="20"/>
                <w:szCs w:val="20"/>
              </w:rPr>
            </w:pPr>
            <w:r w:rsidRPr="000E4DA5">
              <w:rPr>
                <w:rFonts w:ascii="Arial Narrow" w:hAnsi="Arial Narrow"/>
                <w:sz w:val="20"/>
                <w:szCs w:val="20"/>
              </w:rPr>
              <w:t xml:space="preserve">  monotherapy vs  placebo</w:t>
            </w:r>
          </w:p>
        </w:tc>
        <w:tc>
          <w:tcPr>
            <w:tcW w:w="5245" w:type="dxa"/>
          </w:tcPr>
          <w:p w14:paraId="43A4D9C9" w14:textId="6F2A2028" w:rsidR="00E61353" w:rsidRPr="000E4DA5" w:rsidRDefault="00E61353" w:rsidP="00EB7E04">
            <w:pPr>
              <w:rPr>
                <w:rFonts w:ascii="Arial Narrow" w:hAnsi="Arial Narrow"/>
                <w:sz w:val="20"/>
                <w:szCs w:val="20"/>
              </w:rPr>
            </w:pPr>
            <w:r w:rsidRPr="000E4DA5">
              <w:rPr>
                <w:rFonts w:ascii="Arial Narrow" w:hAnsi="Arial Narrow"/>
                <w:sz w:val="20"/>
                <w:szCs w:val="20"/>
              </w:rPr>
              <w:t>Pandor 2009 (general population without intolerance or contraindications to statin)</w:t>
            </w:r>
          </w:p>
        </w:tc>
      </w:tr>
      <w:tr w:rsidR="00E61353" w:rsidRPr="000E4DA5" w14:paraId="557AC302" w14:textId="77777777" w:rsidTr="00A75484">
        <w:tc>
          <w:tcPr>
            <w:tcW w:w="4253" w:type="dxa"/>
          </w:tcPr>
          <w:p w14:paraId="0D99C788" w14:textId="77777777" w:rsidR="00E61353" w:rsidRPr="000E4DA5" w:rsidRDefault="00E61353" w:rsidP="00EB7E04">
            <w:pPr>
              <w:rPr>
                <w:rFonts w:ascii="Arial Narrow" w:hAnsi="Arial Narrow"/>
                <w:sz w:val="20"/>
                <w:szCs w:val="20"/>
              </w:rPr>
            </w:pPr>
            <w:r w:rsidRPr="000E4DA5">
              <w:rPr>
                <w:rFonts w:ascii="Arial Narrow" w:hAnsi="Arial Narrow"/>
                <w:sz w:val="20"/>
                <w:szCs w:val="20"/>
              </w:rPr>
              <w:t xml:space="preserve">  Systematic reviews of AE reported in trials </w:t>
            </w:r>
          </w:p>
          <w:p w14:paraId="2A4D777D" w14:textId="5526EBCE" w:rsidR="00E61353" w:rsidRPr="000E4DA5" w:rsidRDefault="00E61353" w:rsidP="00EB7E04">
            <w:pPr>
              <w:rPr>
                <w:rFonts w:ascii="Arial Narrow" w:hAnsi="Arial Narrow"/>
                <w:sz w:val="20"/>
                <w:szCs w:val="20"/>
              </w:rPr>
            </w:pPr>
            <w:r w:rsidRPr="000E4DA5">
              <w:rPr>
                <w:rFonts w:ascii="Arial Narrow" w:hAnsi="Arial Narrow"/>
                <w:sz w:val="20"/>
                <w:szCs w:val="20"/>
              </w:rPr>
              <w:t xml:space="preserve">  of EZ+statin vs statin</w:t>
            </w:r>
          </w:p>
        </w:tc>
        <w:tc>
          <w:tcPr>
            <w:tcW w:w="5245" w:type="dxa"/>
          </w:tcPr>
          <w:p w14:paraId="78EDCA67" w14:textId="5ADA11F5" w:rsidR="00E61353" w:rsidRPr="000E4DA5" w:rsidRDefault="00E61353" w:rsidP="00EB7E04">
            <w:pPr>
              <w:rPr>
                <w:rFonts w:ascii="Arial Narrow" w:hAnsi="Arial Narrow"/>
                <w:sz w:val="20"/>
                <w:szCs w:val="20"/>
              </w:rPr>
            </w:pPr>
            <w:r w:rsidRPr="000E4DA5">
              <w:rPr>
                <w:rFonts w:ascii="Arial Narrow" w:hAnsi="Arial Narrow"/>
                <w:sz w:val="20"/>
                <w:szCs w:val="20"/>
              </w:rPr>
              <w:t>Kushani 2008; Luo 2015</w:t>
            </w:r>
          </w:p>
        </w:tc>
      </w:tr>
      <w:tr w:rsidR="007778B5" w:rsidRPr="000E4DA5" w14:paraId="2AD8CC02" w14:textId="77777777" w:rsidTr="00A75484">
        <w:tc>
          <w:tcPr>
            <w:tcW w:w="4253" w:type="dxa"/>
          </w:tcPr>
          <w:p w14:paraId="5D29A367" w14:textId="39E00756" w:rsidR="007778B5" w:rsidRPr="000E4DA5" w:rsidRDefault="00FB7A3C" w:rsidP="00EB7E04">
            <w:pPr>
              <w:rPr>
                <w:rFonts w:ascii="Arial Narrow" w:hAnsi="Arial Narrow"/>
                <w:sz w:val="20"/>
                <w:szCs w:val="20"/>
              </w:rPr>
            </w:pPr>
            <w:r>
              <w:rPr>
                <w:rFonts w:ascii="Arial Narrow" w:hAnsi="Arial Narrow"/>
                <w:sz w:val="20"/>
                <w:szCs w:val="20"/>
              </w:rPr>
              <w:t xml:space="preserve">    </w:t>
            </w:r>
            <w:r w:rsidR="007778B5">
              <w:rPr>
                <w:rFonts w:ascii="Arial Narrow" w:hAnsi="Arial Narrow"/>
                <w:sz w:val="20"/>
                <w:szCs w:val="20"/>
              </w:rPr>
              <w:t>Systematic review of final outcomes</w:t>
            </w:r>
            <w:r>
              <w:rPr>
                <w:rFonts w:ascii="Arial Narrow" w:hAnsi="Arial Narrow"/>
                <w:sz w:val="20"/>
                <w:szCs w:val="20"/>
              </w:rPr>
              <w:t xml:space="preserve"> (e.g. MI)</w:t>
            </w:r>
          </w:p>
        </w:tc>
        <w:tc>
          <w:tcPr>
            <w:tcW w:w="5245" w:type="dxa"/>
          </w:tcPr>
          <w:p w14:paraId="216E9863" w14:textId="29D29AE9" w:rsidR="007778B5" w:rsidRPr="000E4DA5" w:rsidRDefault="007778B5" w:rsidP="00EB7E04">
            <w:pPr>
              <w:rPr>
                <w:rFonts w:ascii="Arial Narrow" w:hAnsi="Arial Narrow"/>
                <w:sz w:val="20"/>
                <w:szCs w:val="20"/>
              </w:rPr>
            </w:pPr>
            <w:r>
              <w:rPr>
                <w:rFonts w:ascii="Arial Narrow" w:hAnsi="Arial Narrow"/>
                <w:sz w:val="20"/>
                <w:szCs w:val="20"/>
              </w:rPr>
              <w:t>Silverman 2016</w:t>
            </w:r>
          </w:p>
        </w:tc>
      </w:tr>
    </w:tbl>
    <w:p w14:paraId="5418EED2" w14:textId="116FC2F7" w:rsidR="005A1492" w:rsidRDefault="005A1492" w:rsidP="00EB7E04">
      <w:pPr>
        <w:spacing w:after="0" w:line="240" w:lineRule="auto"/>
      </w:pPr>
    </w:p>
    <w:p w14:paraId="33436A14" w14:textId="1D84D8EF" w:rsidR="003403AA" w:rsidRDefault="00FB7A3C" w:rsidP="00EB7E04">
      <w:pPr>
        <w:spacing w:after="0" w:line="240" w:lineRule="auto"/>
        <w:jc w:val="both"/>
      </w:pPr>
      <w:r w:rsidRPr="00FB7A3C">
        <w:t xml:space="preserve">Clinical effectiveness of ezetimibe as monotherapy or in combination with a statin was evaluated using a surrogate outcomes in all but </w:t>
      </w:r>
      <w:r w:rsidR="003403AA">
        <w:t xml:space="preserve">two </w:t>
      </w:r>
      <w:r w:rsidRPr="00FB7A3C">
        <w:t>systematic review</w:t>
      </w:r>
      <w:r>
        <w:t>s, of which one was of</w:t>
      </w:r>
      <w:r w:rsidRPr="00FB7A3C">
        <w:t xml:space="preserve"> poor methodological quality (Battagia 2015) </w:t>
      </w:r>
      <w:r>
        <w:t xml:space="preserve">and </w:t>
      </w:r>
      <w:r w:rsidRPr="00FB7A3C">
        <w:t xml:space="preserve">was excluded </w:t>
      </w:r>
      <w:r>
        <w:t>from further consideration</w:t>
      </w:r>
      <w:r w:rsidR="003403AA">
        <w:t xml:space="preserve"> in favour of the more recent and higher quality systematic review by Silverman (2016).</w:t>
      </w:r>
    </w:p>
    <w:p w14:paraId="42F11B1E" w14:textId="77777777" w:rsidR="00EB7E04" w:rsidRDefault="00EB7E04" w:rsidP="00EB7E04">
      <w:pPr>
        <w:spacing w:after="0" w:line="240" w:lineRule="auto"/>
        <w:jc w:val="both"/>
      </w:pPr>
    </w:p>
    <w:p w14:paraId="5734BEB4" w14:textId="127F6E86" w:rsidR="003403AA" w:rsidRDefault="003403AA" w:rsidP="00EB7E04">
      <w:pPr>
        <w:spacing w:after="0" w:line="240" w:lineRule="auto"/>
        <w:jc w:val="both"/>
        <w:rPr>
          <w:i/>
          <w:lang w:eastAsia="en-US"/>
        </w:rPr>
      </w:pPr>
      <w:r w:rsidRPr="00FB7A3C">
        <w:rPr>
          <w:b/>
          <w:i/>
          <w:lang w:eastAsia="en-US"/>
        </w:rPr>
        <w:t>In this meta-regression analysis, the use of statin and non</w:t>
      </w:r>
      <w:r>
        <w:rPr>
          <w:b/>
          <w:i/>
          <w:lang w:eastAsia="en-US"/>
        </w:rPr>
        <w:t>-</w:t>
      </w:r>
      <w:r w:rsidRPr="00FB7A3C">
        <w:rPr>
          <w:b/>
          <w:i/>
          <w:lang w:eastAsia="en-US"/>
        </w:rPr>
        <w:t xml:space="preserve">statin therapies </w:t>
      </w:r>
      <w:r>
        <w:rPr>
          <w:b/>
          <w:i/>
          <w:lang w:eastAsia="en-US"/>
        </w:rPr>
        <w:t xml:space="preserve">(including ezetimibe) </w:t>
      </w:r>
      <w:r w:rsidRPr="00FB7A3C">
        <w:rPr>
          <w:b/>
          <w:i/>
          <w:lang w:eastAsia="en-US"/>
        </w:rPr>
        <w:t>that act via upregulation of LDL receptor expression to reduce LDL-C</w:t>
      </w:r>
      <w:r>
        <w:rPr>
          <w:b/>
          <w:i/>
          <w:lang w:eastAsia="en-US"/>
        </w:rPr>
        <w:t xml:space="preserve"> </w:t>
      </w:r>
      <w:r w:rsidRPr="00FB7A3C">
        <w:rPr>
          <w:b/>
          <w:i/>
          <w:lang w:eastAsia="en-US"/>
        </w:rPr>
        <w:t>were associated with similar RRs of major vascular events per change in LDL-C. Lower achieved LDL-C levels were associated with lower rates of major coronary events</w:t>
      </w:r>
      <w:r w:rsidR="00EB7E04">
        <w:rPr>
          <w:b/>
          <w:i/>
          <w:lang w:eastAsia="en-US"/>
        </w:rPr>
        <w:t xml:space="preserve"> (e.g. as in IMPROVE IT trial)</w:t>
      </w:r>
      <w:r w:rsidRPr="00FB7A3C">
        <w:rPr>
          <w:b/>
          <w:i/>
          <w:lang w:eastAsia="en-US"/>
        </w:rPr>
        <w:t>.</w:t>
      </w:r>
      <w:r w:rsidR="00EB7E04">
        <w:rPr>
          <w:b/>
          <w:i/>
          <w:lang w:eastAsia="en-US"/>
        </w:rPr>
        <w:t xml:space="preserve"> </w:t>
      </w:r>
      <w:r w:rsidR="00EB7E04" w:rsidRPr="00EB7E04">
        <w:rPr>
          <w:b/>
          <w:i/>
          <w:lang w:eastAsia="en-US"/>
        </w:rPr>
        <w:t>The between-group difference comparing RR reduction in major vascular events in non-statin therapy with statin therapy was not statistically significant (P =0.72)</w:t>
      </w:r>
      <w:r w:rsidR="00EB7E04" w:rsidRPr="00EA2AF8">
        <w:rPr>
          <w:i/>
          <w:lang w:eastAsia="en-US"/>
        </w:rPr>
        <w:t>.</w:t>
      </w:r>
    </w:p>
    <w:p w14:paraId="36AA1E86" w14:textId="77777777" w:rsidR="00EB7E04" w:rsidRPr="00EB7E04" w:rsidRDefault="00EB7E04" w:rsidP="00EB7E04">
      <w:pPr>
        <w:spacing w:after="0" w:line="240" w:lineRule="auto"/>
        <w:jc w:val="both"/>
        <w:rPr>
          <w:b/>
          <w:i/>
          <w:lang w:eastAsia="en-US"/>
        </w:rPr>
      </w:pPr>
    </w:p>
    <w:p w14:paraId="368C67FF" w14:textId="3C4944C7" w:rsidR="00FB7A3C" w:rsidRDefault="00FB7A3C" w:rsidP="00EB7E04">
      <w:pPr>
        <w:spacing w:after="0" w:line="240" w:lineRule="auto"/>
        <w:rPr>
          <w:rFonts w:eastAsiaTheme="minorHAnsi"/>
          <w:lang w:eastAsia="en-US"/>
        </w:rPr>
      </w:pPr>
      <w:r>
        <w:t>The authors</w:t>
      </w:r>
      <w:r w:rsidRPr="00FB7A3C">
        <w:t xml:space="preserve"> of the remaining systematic reviews </w:t>
      </w:r>
      <w:r w:rsidR="003403AA">
        <w:t xml:space="preserve">that used surrogate outcomes as endpoints </w:t>
      </w:r>
      <w:r w:rsidRPr="00FB7A3C">
        <w:t>indicate</w:t>
      </w:r>
      <w:r w:rsidR="003403AA">
        <w:t>d</w:t>
      </w:r>
      <w:r w:rsidRPr="00FB7A3C">
        <w:t xml:space="preserve"> that</w:t>
      </w:r>
      <w:r>
        <w:t xml:space="preserve"> </w:t>
      </w:r>
    </w:p>
    <w:p w14:paraId="64A77C43" w14:textId="676E409E" w:rsidR="00FB7A3C" w:rsidRPr="004719AC" w:rsidRDefault="00FB7A3C" w:rsidP="00B8265D">
      <w:pPr>
        <w:pStyle w:val="ListParagraph"/>
        <w:numPr>
          <w:ilvl w:val="0"/>
          <w:numId w:val="25"/>
        </w:numPr>
        <w:spacing w:after="0" w:line="240" w:lineRule="auto"/>
      </w:pPr>
      <w:r w:rsidRPr="00912F4E">
        <w:rPr>
          <w:rFonts w:eastAsiaTheme="minorHAnsi"/>
          <w:lang w:eastAsia="en-US"/>
        </w:rPr>
        <w:t>ezetimibe monotherapy resulted in a significantly greater reduction in the LDL-C percentage change from baseline compared to placebo</w:t>
      </w:r>
      <w:r w:rsidR="003403AA">
        <w:rPr>
          <w:rFonts w:eastAsiaTheme="minorHAnsi"/>
          <w:lang w:eastAsia="en-US"/>
        </w:rPr>
        <w:t xml:space="preserve"> and a similar safety profile</w:t>
      </w:r>
      <w:r>
        <w:rPr>
          <w:rFonts w:eastAsiaTheme="minorHAnsi"/>
          <w:lang w:eastAsia="en-US"/>
        </w:rPr>
        <w:t>;</w:t>
      </w:r>
    </w:p>
    <w:p w14:paraId="3ABF3809" w14:textId="71D10A0F" w:rsidR="006E436A" w:rsidRPr="00B8265D" w:rsidRDefault="006E436A" w:rsidP="00B8265D">
      <w:pPr>
        <w:pStyle w:val="ListParagraph"/>
        <w:numPr>
          <w:ilvl w:val="0"/>
          <w:numId w:val="25"/>
        </w:numPr>
        <w:spacing w:after="0" w:line="240" w:lineRule="auto"/>
        <w:jc w:val="both"/>
        <w:rPr>
          <w:rFonts w:eastAsiaTheme="minorHAnsi"/>
          <w:lang w:eastAsia="en-US"/>
        </w:rPr>
      </w:pPr>
      <w:r>
        <w:rPr>
          <w:rFonts w:eastAsiaTheme="minorHAnsi"/>
          <w:lang w:eastAsia="en-US"/>
        </w:rPr>
        <w:t>ezetimibe</w:t>
      </w:r>
      <w:r w:rsidR="002B05F4">
        <w:rPr>
          <w:rFonts w:eastAsiaTheme="minorHAnsi"/>
          <w:lang w:eastAsia="en-US"/>
        </w:rPr>
        <w:t xml:space="preserve"> </w:t>
      </w:r>
      <w:r>
        <w:rPr>
          <w:rFonts w:eastAsiaTheme="minorHAnsi"/>
          <w:lang w:eastAsia="en-US"/>
        </w:rPr>
        <w:t>+</w:t>
      </w:r>
      <w:r w:rsidR="002B05F4">
        <w:rPr>
          <w:rFonts w:eastAsiaTheme="minorHAnsi"/>
          <w:lang w:eastAsia="en-US"/>
        </w:rPr>
        <w:t xml:space="preserve"> </w:t>
      </w:r>
      <w:r w:rsidRPr="008D5C2B">
        <w:rPr>
          <w:rFonts w:eastAsiaTheme="minorHAnsi"/>
          <w:lang w:eastAsia="en-US"/>
        </w:rPr>
        <w:t>statin</w:t>
      </w:r>
      <w:r>
        <w:rPr>
          <w:rFonts w:eastAsiaTheme="minorHAnsi"/>
          <w:lang w:eastAsia="en-US"/>
        </w:rPr>
        <w:t xml:space="preserve"> combination</w:t>
      </w:r>
      <w:r w:rsidRPr="008D5C2B">
        <w:rPr>
          <w:rFonts w:eastAsiaTheme="minorHAnsi"/>
          <w:lang w:eastAsia="en-US"/>
        </w:rPr>
        <w:t xml:space="preserve"> therapy </w:t>
      </w:r>
      <w:r>
        <w:rPr>
          <w:rFonts w:eastAsiaTheme="minorHAnsi"/>
          <w:lang w:eastAsia="en-US"/>
        </w:rPr>
        <w:t xml:space="preserve">(ezetimibe “add-on” study)  </w:t>
      </w:r>
      <w:r w:rsidRPr="008D5C2B">
        <w:rPr>
          <w:rFonts w:eastAsiaTheme="minorHAnsi"/>
          <w:lang w:eastAsia="en-US"/>
        </w:rPr>
        <w:t xml:space="preserve">resulted in </w:t>
      </w:r>
      <w:r w:rsidRPr="008F7BE9">
        <w:rPr>
          <w:rFonts w:eastAsiaTheme="minorHAnsi"/>
          <w:lang w:eastAsia="en-US"/>
        </w:rPr>
        <w:t xml:space="preserve">a greater reduction in LDL-C levels than </w:t>
      </w:r>
      <w:r>
        <w:rPr>
          <w:rFonts w:eastAsiaTheme="minorHAnsi"/>
          <w:lang w:eastAsia="en-US"/>
        </w:rPr>
        <w:t xml:space="preserve">the matching dose of </w:t>
      </w:r>
      <w:r w:rsidRPr="008F7BE9">
        <w:rPr>
          <w:rFonts w:eastAsiaTheme="minorHAnsi"/>
          <w:lang w:eastAsia="en-US"/>
        </w:rPr>
        <w:t>statin monotherapy</w:t>
      </w:r>
      <w:r>
        <w:rPr>
          <w:rFonts w:eastAsiaTheme="minorHAnsi"/>
          <w:lang w:eastAsia="en-US"/>
        </w:rPr>
        <w:t>;</w:t>
      </w:r>
    </w:p>
    <w:p w14:paraId="59387112" w14:textId="5AB1F3A8" w:rsidR="003403AA" w:rsidRPr="00B8265D" w:rsidRDefault="00FB7A3C" w:rsidP="00B8265D">
      <w:pPr>
        <w:pStyle w:val="ListParagraph"/>
        <w:numPr>
          <w:ilvl w:val="0"/>
          <w:numId w:val="25"/>
        </w:numPr>
        <w:spacing w:after="0" w:line="240" w:lineRule="auto"/>
        <w:jc w:val="both"/>
        <w:rPr>
          <w:rFonts w:eastAsiaTheme="minorHAnsi"/>
          <w:lang w:eastAsia="en-US"/>
        </w:rPr>
      </w:pPr>
      <w:r>
        <w:rPr>
          <w:rFonts w:eastAsiaTheme="minorHAnsi"/>
          <w:lang w:eastAsia="en-US"/>
        </w:rPr>
        <w:t>ezetimibe</w:t>
      </w:r>
      <w:r w:rsidR="002B05F4">
        <w:rPr>
          <w:rFonts w:eastAsiaTheme="minorHAnsi"/>
          <w:lang w:eastAsia="en-US"/>
        </w:rPr>
        <w:t xml:space="preserve"> </w:t>
      </w:r>
      <w:r>
        <w:rPr>
          <w:rFonts w:eastAsiaTheme="minorHAnsi"/>
          <w:lang w:eastAsia="en-US"/>
        </w:rPr>
        <w:t>+</w:t>
      </w:r>
      <w:r w:rsidR="002B05F4">
        <w:rPr>
          <w:rFonts w:eastAsiaTheme="minorHAnsi"/>
          <w:lang w:eastAsia="en-US"/>
        </w:rPr>
        <w:t xml:space="preserve"> </w:t>
      </w:r>
      <w:r w:rsidRPr="008D5C2B">
        <w:rPr>
          <w:rFonts w:eastAsiaTheme="minorHAnsi"/>
          <w:lang w:eastAsia="en-US"/>
        </w:rPr>
        <w:t>statin</w:t>
      </w:r>
      <w:r w:rsidR="006E436A">
        <w:rPr>
          <w:rFonts w:eastAsiaTheme="minorHAnsi"/>
          <w:lang w:eastAsia="en-US"/>
        </w:rPr>
        <w:t xml:space="preserve"> combination</w:t>
      </w:r>
      <w:r w:rsidRPr="008D5C2B">
        <w:rPr>
          <w:rFonts w:eastAsiaTheme="minorHAnsi"/>
          <w:lang w:eastAsia="en-US"/>
        </w:rPr>
        <w:t xml:space="preserve"> therapy resulted in </w:t>
      </w:r>
      <w:r w:rsidRPr="008F7BE9">
        <w:rPr>
          <w:rFonts w:eastAsiaTheme="minorHAnsi"/>
          <w:lang w:eastAsia="en-US"/>
        </w:rPr>
        <w:t xml:space="preserve">a greater reduction in LDL-C levels than </w:t>
      </w:r>
      <w:r w:rsidR="006E436A">
        <w:rPr>
          <w:rFonts w:eastAsiaTheme="minorHAnsi"/>
          <w:lang w:eastAsia="en-US"/>
        </w:rPr>
        <w:t>up-titrating</w:t>
      </w:r>
      <w:r w:rsidRPr="008F7BE9">
        <w:rPr>
          <w:rFonts w:eastAsiaTheme="minorHAnsi"/>
          <w:lang w:eastAsia="en-US"/>
        </w:rPr>
        <w:t xml:space="preserve"> statin monotherapy </w:t>
      </w:r>
      <w:r w:rsidR="006E436A">
        <w:rPr>
          <w:rFonts w:eastAsiaTheme="minorHAnsi"/>
          <w:lang w:eastAsia="en-US"/>
        </w:rPr>
        <w:t>(either in terms of potency or dose)</w:t>
      </w:r>
      <w:r>
        <w:rPr>
          <w:rFonts w:eastAsiaTheme="minorHAnsi"/>
          <w:lang w:eastAsia="en-US"/>
        </w:rPr>
        <w:t>;</w:t>
      </w:r>
      <w:r w:rsidR="003403AA">
        <w:rPr>
          <w:rFonts w:eastAsiaTheme="minorHAnsi"/>
          <w:lang w:eastAsia="en-US"/>
        </w:rPr>
        <w:t xml:space="preserve"> </w:t>
      </w:r>
    </w:p>
    <w:p w14:paraId="789A799D" w14:textId="72B939CD" w:rsidR="003403AA" w:rsidRPr="003403AA" w:rsidRDefault="003403AA" w:rsidP="00EB7E04">
      <w:pPr>
        <w:pStyle w:val="ListParagraph"/>
        <w:numPr>
          <w:ilvl w:val="0"/>
          <w:numId w:val="25"/>
        </w:numPr>
        <w:spacing w:after="0" w:line="240" w:lineRule="auto"/>
        <w:rPr>
          <w:rFonts w:eastAsiaTheme="minorHAnsi"/>
          <w:lang w:eastAsia="en-US"/>
        </w:rPr>
      </w:pPr>
      <w:r>
        <w:rPr>
          <w:rFonts w:eastAsiaTheme="minorHAnsi"/>
          <w:lang w:eastAsia="en-US"/>
        </w:rPr>
        <w:t xml:space="preserve">the </w:t>
      </w:r>
      <w:r w:rsidRPr="003403AA">
        <w:rPr>
          <w:rFonts w:eastAsiaTheme="minorHAnsi"/>
          <w:lang w:eastAsia="en-US"/>
        </w:rPr>
        <w:t>incidence of adverse effects with co-administration of ezetimibe and statins did not differ significantly from those with statin monotherapy</w:t>
      </w:r>
    </w:p>
    <w:p w14:paraId="5965EEF1" w14:textId="77777777" w:rsidR="00FB7A3C" w:rsidRDefault="00FB7A3C" w:rsidP="00EB7E04">
      <w:pPr>
        <w:spacing w:after="0" w:line="240" w:lineRule="auto"/>
      </w:pPr>
    </w:p>
    <w:p w14:paraId="1D5BE408" w14:textId="6753C08E" w:rsidR="003403AA" w:rsidRDefault="00FB7A3C" w:rsidP="00EB7E04">
      <w:pPr>
        <w:spacing w:after="0" w:line="240" w:lineRule="auto"/>
        <w:jc w:val="both"/>
        <w:rPr>
          <w:rFonts w:eastAsiaTheme="minorHAnsi"/>
          <w:i/>
          <w:lang w:eastAsia="en-US"/>
        </w:rPr>
      </w:pPr>
      <w:r>
        <w:rPr>
          <w:rFonts w:eastAsiaTheme="minorHAnsi"/>
          <w:i/>
          <w:lang w:eastAsia="en-US"/>
        </w:rPr>
        <w:t xml:space="preserve">The Review identified a number of concerns </w:t>
      </w:r>
      <w:r w:rsidR="00EB7E04">
        <w:rPr>
          <w:rFonts w:eastAsiaTheme="minorHAnsi"/>
          <w:i/>
          <w:lang w:eastAsia="en-US"/>
        </w:rPr>
        <w:t>that generate uncertainty in</w:t>
      </w:r>
      <w:r>
        <w:rPr>
          <w:rFonts w:eastAsiaTheme="minorHAnsi"/>
          <w:i/>
          <w:lang w:eastAsia="en-US"/>
        </w:rPr>
        <w:t xml:space="preserve"> the reported results of the systematic reviews:</w:t>
      </w:r>
      <w:r w:rsidR="003403AA" w:rsidRPr="003403AA">
        <w:rPr>
          <w:rFonts w:eastAsiaTheme="minorHAnsi"/>
          <w:i/>
          <w:lang w:eastAsia="en-US"/>
        </w:rPr>
        <w:t xml:space="preserve"> </w:t>
      </w:r>
    </w:p>
    <w:p w14:paraId="160C57B0" w14:textId="4F20D8CF" w:rsidR="003403AA" w:rsidRDefault="003403AA" w:rsidP="00EB7E04">
      <w:pPr>
        <w:pStyle w:val="ListParagraph"/>
        <w:numPr>
          <w:ilvl w:val="0"/>
          <w:numId w:val="33"/>
        </w:numPr>
        <w:spacing w:after="0" w:line="240" w:lineRule="auto"/>
        <w:jc w:val="both"/>
        <w:rPr>
          <w:rFonts w:eastAsiaTheme="minorHAnsi"/>
          <w:i/>
          <w:lang w:eastAsia="en-US"/>
        </w:rPr>
      </w:pPr>
      <w:r w:rsidRPr="003403AA">
        <w:rPr>
          <w:rFonts w:eastAsiaTheme="minorHAnsi"/>
          <w:i/>
          <w:lang w:eastAsia="en-US"/>
        </w:rPr>
        <w:t xml:space="preserve">The </w:t>
      </w:r>
      <w:r w:rsidR="00EB7E04">
        <w:rPr>
          <w:rFonts w:eastAsiaTheme="minorHAnsi"/>
          <w:i/>
          <w:lang w:eastAsia="en-US"/>
        </w:rPr>
        <w:t>meta-analysed results</w:t>
      </w:r>
      <w:r w:rsidRPr="003403AA">
        <w:rPr>
          <w:rFonts w:eastAsiaTheme="minorHAnsi"/>
          <w:i/>
          <w:lang w:eastAsia="en-US"/>
        </w:rPr>
        <w:t xml:space="preserve"> of ezetimibe</w:t>
      </w:r>
      <w:r w:rsidR="00B8265D">
        <w:rPr>
          <w:rFonts w:eastAsiaTheme="minorHAnsi"/>
          <w:i/>
          <w:lang w:eastAsia="en-US"/>
        </w:rPr>
        <w:t xml:space="preserve"> in combination with statin</w:t>
      </w:r>
      <w:r w:rsidRPr="003403AA">
        <w:rPr>
          <w:rFonts w:eastAsiaTheme="minorHAnsi"/>
          <w:i/>
          <w:lang w:eastAsia="en-US"/>
        </w:rPr>
        <w:t xml:space="preserve"> </w:t>
      </w:r>
      <w:r w:rsidR="00B8265D">
        <w:rPr>
          <w:rFonts w:eastAsiaTheme="minorHAnsi"/>
          <w:i/>
          <w:lang w:eastAsia="en-US"/>
        </w:rPr>
        <w:t>(</w:t>
      </w:r>
      <w:r w:rsidR="00EB7E04">
        <w:rPr>
          <w:rFonts w:eastAsiaTheme="minorHAnsi"/>
          <w:i/>
          <w:lang w:eastAsia="en-US"/>
        </w:rPr>
        <w:t>“</w:t>
      </w:r>
      <w:r w:rsidRPr="003403AA">
        <w:rPr>
          <w:rFonts w:eastAsiaTheme="minorHAnsi"/>
          <w:i/>
          <w:lang w:eastAsia="en-US"/>
        </w:rPr>
        <w:t>add-on</w:t>
      </w:r>
      <w:r w:rsidR="00EB7E04">
        <w:rPr>
          <w:rFonts w:eastAsiaTheme="minorHAnsi"/>
          <w:i/>
          <w:lang w:eastAsia="en-US"/>
        </w:rPr>
        <w:t>”</w:t>
      </w:r>
      <w:r w:rsidRPr="003403AA">
        <w:rPr>
          <w:rFonts w:eastAsiaTheme="minorHAnsi"/>
          <w:i/>
          <w:lang w:eastAsia="en-US"/>
        </w:rPr>
        <w:t xml:space="preserve"> trials</w:t>
      </w:r>
      <w:r w:rsidR="00B8265D">
        <w:rPr>
          <w:rFonts w:eastAsiaTheme="minorHAnsi"/>
          <w:i/>
          <w:lang w:eastAsia="en-US"/>
        </w:rPr>
        <w:t>)</w:t>
      </w:r>
      <w:r w:rsidRPr="003403AA">
        <w:rPr>
          <w:rFonts w:eastAsiaTheme="minorHAnsi"/>
          <w:i/>
          <w:lang w:eastAsia="en-US"/>
        </w:rPr>
        <w:t xml:space="preserve"> </w:t>
      </w:r>
      <w:r w:rsidR="00EB7E04">
        <w:rPr>
          <w:rFonts w:eastAsiaTheme="minorHAnsi"/>
          <w:i/>
          <w:lang w:eastAsia="en-US"/>
        </w:rPr>
        <w:t>have limited applicability to the research questions of the present Review. It could not be reasonably assumed that the population in t</w:t>
      </w:r>
      <w:r w:rsidR="00EB7E04" w:rsidRPr="003403AA">
        <w:rPr>
          <w:rFonts w:eastAsiaTheme="minorHAnsi"/>
          <w:i/>
          <w:lang w:eastAsia="en-US"/>
        </w:rPr>
        <w:t xml:space="preserve">rials of ezetimibe 10 mg plus statin versus matching statin dose </w:t>
      </w:r>
      <w:r w:rsidR="00EB7E04">
        <w:rPr>
          <w:rFonts w:eastAsiaTheme="minorHAnsi"/>
          <w:i/>
          <w:lang w:eastAsia="en-US"/>
        </w:rPr>
        <w:t xml:space="preserve">were administered a </w:t>
      </w:r>
      <w:r w:rsidRPr="003403AA">
        <w:rPr>
          <w:rFonts w:eastAsiaTheme="minorHAnsi"/>
          <w:i/>
          <w:lang w:eastAsia="en-US"/>
        </w:rPr>
        <w:t xml:space="preserve">maximum tolerated dose </w:t>
      </w:r>
      <w:r w:rsidR="00EB7E04">
        <w:rPr>
          <w:rFonts w:eastAsiaTheme="minorHAnsi"/>
          <w:i/>
          <w:lang w:eastAsia="en-US"/>
        </w:rPr>
        <w:t xml:space="preserve">of statin </w:t>
      </w:r>
      <w:r w:rsidRPr="003403AA">
        <w:rPr>
          <w:rFonts w:eastAsiaTheme="minorHAnsi"/>
          <w:i/>
          <w:lang w:eastAsia="en-US"/>
        </w:rPr>
        <w:t xml:space="preserve">at the baseline. </w:t>
      </w:r>
      <w:r w:rsidR="00EB7E04">
        <w:rPr>
          <w:rFonts w:eastAsiaTheme="minorHAnsi"/>
          <w:i/>
          <w:lang w:eastAsia="en-US"/>
        </w:rPr>
        <w:t>I</w:t>
      </w:r>
      <w:r w:rsidR="00B8265D">
        <w:rPr>
          <w:rFonts w:eastAsiaTheme="minorHAnsi"/>
          <w:i/>
          <w:lang w:eastAsia="en-US"/>
        </w:rPr>
        <w:t>t was not a selection criterion</w:t>
      </w:r>
      <w:r w:rsidRPr="003403AA">
        <w:rPr>
          <w:rFonts w:eastAsiaTheme="minorHAnsi"/>
          <w:i/>
          <w:lang w:eastAsia="en-US"/>
        </w:rPr>
        <w:t xml:space="preserve"> in any of the identified trials and it remained uncertain whether the population is representative of the target population, as defined in the terms of reference fo</w:t>
      </w:r>
      <w:r w:rsidR="00B8265D">
        <w:rPr>
          <w:rFonts w:eastAsiaTheme="minorHAnsi"/>
          <w:i/>
          <w:lang w:eastAsia="en-US"/>
        </w:rPr>
        <w:t>r this R</w:t>
      </w:r>
      <w:r w:rsidRPr="003403AA">
        <w:rPr>
          <w:rFonts w:eastAsiaTheme="minorHAnsi"/>
          <w:i/>
          <w:lang w:eastAsia="en-US"/>
        </w:rPr>
        <w:t>eview.</w:t>
      </w:r>
    </w:p>
    <w:p w14:paraId="4D9C9D0B" w14:textId="3BB34071" w:rsidR="003403AA" w:rsidRPr="00B8265D" w:rsidRDefault="00EB7E04" w:rsidP="00EB7E04">
      <w:pPr>
        <w:pStyle w:val="ListParagraph"/>
        <w:numPr>
          <w:ilvl w:val="0"/>
          <w:numId w:val="33"/>
        </w:numPr>
        <w:spacing w:after="0" w:line="240" w:lineRule="auto"/>
        <w:jc w:val="both"/>
        <w:rPr>
          <w:rFonts w:eastAsiaTheme="minorHAnsi"/>
          <w:i/>
          <w:lang w:eastAsia="en-US"/>
        </w:rPr>
      </w:pPr>
      <w:r>
        <w:rPr>
          <w:rFonts w:eastAsiaTheme="minorHAnsi"/>
          <w:i/>
          <w:lang w:eastAsia="en-US"/>
        </w:rPr>
        <w:t xml:space="preserve">The </w:t>
      </w:r>
      <w:r w:rsidR="00613C69">
        <w:rPr>
          <w:rFonts w:eastAsiaTheme="minorHAnsi"/>
          <w:i/>
          <w:lang w:eastAsia="en-US"/>
        </w:rPr>
        <w:t>claim that</w:t>
      </w:r>
      <w:r>
        <w:rPr>
          <w:rFonts w:eastAsiaTheme="minorHAnsi"/>
          <w:i/>
          <w:lang w:eastAsia="en-US"/>
        </w:rPr>
        <w:t xml:space="preserve"> </w:t>
      </w:r>
      <w:r w:rsidR="006E436A" w:rsidRPr="006E436A">
        <w:rPr>
          <w:rFonts w:eastAsiaTheme="minorHAnsi"/>
          <w:i/>
          <w:lang w:eastAsia="en-US"/>
        </w:rPr>
        <w:t>treatment with ezetimibe + statin therapy result</w:t>
      </w:r>
      <w:r w:rsidR="00613C69">
        <w:rPr>
          <w:rFonts w:eastAsiaTheme="minorHAnsi"/>
          <w:i/>
          <w:lang w:eastAsia="en-US"/>
        </w:rPr>
        <w:t>ed</w:t>
      </w:r>
      <w:r w:rsidR="006E436A" w:rsidRPr="006E436A">
        <w:rPr>
          <w:rFonts w:eastAsiaTheme="minorHAnsi"/>
          <w:i/>
          <w:lang w:eastAsia="en-US"/>
        </w:rPr>
        <w:t xml:space="preserve"> in a greater reduction in LDL-C levels than </w:t>
      </w:r>
      <w:r w:rsidR="00B8265D">
        <w:rPr>
          <w:rFonts w:eastAsiaTheme="minorHAnsi"/>
          <w:i/>
          <w:lang w:eastAsia="en-US"/>
        </w:rPr>
        <w:t>up-titrating</w:t>
      </w:r>
      <w:r w:rsidR="006E436A" w:rsidRPr="006E436A">
        <w:rPr>
          <w:rFonts w:eastAsiaTheme="minorHAnsi"/>
          <w:i/>
          <w:lang w:eastAsia="en-US"/>
        </w:rPr>
        <w:t xml:space="preserve"> statin monotherapy </w:t>
      </w:r>
      <w:r w:rsidR="00B8265D">
        <w:rPr>
          <w:rFonts w:eastAsiaTheme="minorHAnsi"/>
          <w:i/>
          <w:lang w:eastAsia="en-US"/>
        </w:rPr>
        <w:t xml:space="preserve">is not generalizable across all combinations as there is likely to be </w:t>
      </w:r>
      <w:r w:rsidR="005B409D" w:rsidRPr="005D3FEB">
        <w:rPr>
          <w:i/>
        </w:rPr>
        <w:t>equi-effective</w:t>
      </w:r>
      <w:r w:rsidR="005B409D">
        <w:rPr>
          <w:i/>
        </w:rPr>
        <w:t xml:space="preserve"> statin doses of the more potent statins</w:t>
      </w:r>
      <w:r w:rsidR="00B8265D">
        <w:rPr>
          <w:rFonts w:eastAsiaTheme="minorHAnsi"/>
          <w:i/>
          <w:lang w:eastAsia="en-US"/>
        </w:rPr>
        <w:t xml:space="preserve">. For example, </w:t>
      </w:r>
      <w:r w:rsidR="003403AA" w:rsidRPr="00B8265D">
        <w:rPr>
          <w:rFonts w:eastAsiaTheme="minorHAnsi"/>
          <w:i/>
          <w:lang w:eastAsia="en-US"/>
        </w:rPr>
        <w:t>two large trials (Ballantyne 2005</w:t>
      </w:r>
      <w:r w:rsidR="00613C69">
        <w:rPr>
          <w:rFonts w:eastAsiaTheme="minorHAnsi"/>
          <w:i/>
          <w:lang w:eastAsia="en-US"/>
        </w:rPr>
        <w:t>,</w:t>
      </w:r>
      <w:r w:rsidR="003403AA" w:rsidRPr="00B8265D">
        <w:rPr>
          <w:rFonts w:eastAsiaTheme="minorHAnsi"/>
          <w:i/>
          <w:lang w:eastAsia="en-US"/>
        </w:rPr>
        <w:t xml:space="preserve"> Bays 2004) found ATOR 80 (maximum dose) to be significantly more effective in lowering LDL-than EZ 10 +SIM 10</w:t>
      </w:r>
      <w:r w:rsidR="003403AA" w:rsidRPr="00B8265D">
        <w:rPr>
          <w:rFonts w:eastAsiaTheme="minorHAnsi"/>
          <w:lang w:eastAsia="en-US"/>
        </w:rPr>
        <w:t>.</w:t>
      </w:r>
    </w:p>
    <w:p w14:paraId="34AFB7AD" w14:textId="56ADE480" w:rsidR="00E779EB" w:rsidRDefault="00B8265D" w:rsidP="005D0FB5">
      <w:pPr>
        <w:pStyle w:val="ListParagraph"/>
        <w:numPr>
          <w:ilvl w:val="0"/>
          <w:numId w:val="33"/>
        </w:numPr>
        <w:jc w:val="both"/>
        <w:rPr>
          <w:rFonts w:eastAsiaTheme="minorHAnsi"/>
          <w:i/>
          <w:lang w:eastAsia="en-US"/>
        </w:rPr>
        <w:sectPr w:rsidR="00E779EB" w:rsidSect="00790ABE">
          <w:endnotePr>
            <w:numFmt w:val="decimal"/>
          </w:endnotePr>
          <w:pgSz w:w="11906" w:h="16838"/>
          <w:pgMar w:top="1440" w:right="1134" w:bottom="1440" w:left="1440" w:header="709" w:footer="709" w:gutter="0"/>
          <w:cols w:space="708"/>
          <w:docGrid w:linePitch="360"/>
        </w:sectPr>
      </w:pPr>
      <w:r w:rsidRPr="00B8265D">
        <w:rPr>
          <w:rFonts w:eastAsiaTheme="minorHAnsi"/>
          <w:i/>
          <w:lang w:eastAsia="en-US"/>
        </w:rPr>
        <w:t xml:space="preserve">Heterogeneity was statistically significant </w:t>
      </w:r>
      <w:r w:rsidR="00613C69">
        <w:rPr>
          <w:rFonts w:eastAsiaTheme="minorHAnsi"/>
          <w:i/>
          <w:lang w:eastAsia="en-US"/>
        </w:rPr>
        <w:t xml:space="preserve">in all meta-analyses comparing </w:t>
      </w:r>
      <w:r w:rsidR="00613C69" w:rsidRPr="006E436A">
        <w:rPr>
          <w:rFonts w:eastAsiaTheme="minorHAnsi"/>
          <w:i/>
          <w:lang w:eastAsia="en-US"/>
        </w:rPr>
        <w:t xml:space="preserve">ezetimibe + statin therapy </w:t>
      </w:r>
      <w:r w:rsidR="00613C69">
        <w:rPr>
          <w:rFonts w:eastAsiaTheme="minorHAnsi"/>
          <w:i/>
          <w:lang w:eastAsia="en-US"/>
        </w:rPr>
        <w:t xml:space="preserve">with </w:t>
      </w:r>
      <w:r w:rsidR="005B409D">
        <w:rPr>
          <w:rFonts w:eastAsiaTheme="minorHAnsi"/>
          <w:i/>
          <w:lang w:eastAsia="en-US"/>
        </w:rPr>
        <w:t xml:space="preserve">a </w:t>
      </w:r>
      <w:r w:rsidR="00613C69">
        <w:rPr>
          <w:rFonts w:eastAsiaTheme="minorHAnsi"/>
          <w:i/>
          <w:lang w:eastAsia="en-US"/>
        </w:rPr>
        <w:t xml:space="preserve">statin monotherapy. It </w:t>
      </w:r>
      <w:r w:rsidR="00613C69" w:rsidRPr="00B8265D">
        <w:rPr>
          <w:rFonts w:eastAsiaTheme="minorHAnsi"/>
          <w:i/>
          <w:lang w:eastAsia="en-US"/>
        </w:rPr>
        <w:t>suggest</w:t>
      </w:r>
      <w:r w:rsidR="00613C69">
        <w:rPr>
          <w:rFonts w:eastAsiaTheme="minorHAnsi"/>
          <w:i/>
          <w:lang w:eastAsia="en-US"/>
        </w:rPr>
        <w:t>s</w:t>
      </w:r>
      <w:r w:rsidRPr="00B8265D">
        <w:rPr>
          <w:rFonts w:eastAsiaTheme="minorHAnsi"/>
          <w:i/>
          <w:lang w:eastAsia="en-US"/>
        </w:rPr>
        <w:t xml:space="preserve"> that </w:t>
      </w:r>
      <w:r w:rsidR="00613C69">
        <w:rPr>
          <w:rFonts w:eastAsiaTheme="minorHAnsi"/>
          <w:i/>
          <w:lang w:eastAsia="en-US"/>
        </w:rPr>
        <w:t xml:space="preserve">the </w:t>
      </w:r>
      <w:r w:rsidRPr="00B8265D">
        <w:rPr>
          <w:rFonts w:eastAsiaTheme="minorHAnsi"/>
          <w:i/>
          <w:lang w:eastAsia="en-US"/>
        </w:rPr>
        <w:t>quantitative synthesis of the outcomes may not be appropriate.</w:t>
      </w:r>
      <w:r w:rsidRPr="00B8265D">
        <w:rPr>
          <w:rFonts w:eastAsiaTheme="minorHAnsi"/>
          <w:i/>
          <w:color w:val="FF0000"/>
          <w:lang w:eastAsia="en-US"/>
        </w:rPr>
        <w:t xml:space="preserve"> </w:t>
      </w:r>
      <w:r w:rsidR="00613C69">
        <w:rPr>
          <w:rFonts w:eastAsiaTheme="minorHAnsi"/>
          <w:i/>
          <w:lang w:eastAsia="en-US"/>
        </w:rPr>
        <w:t>R</w:t>
      </w:r>
      <w:r w:rsidRPr="00B8265D">
        <w:rPr>
          <w:rFonts w:eastAsiaTheme="minorHAnsi"/>
          <w:i/>
          <w:lang w:eastAsia="en-US"/>
        </w:rPr>
        <w:t xml:space="preserve">easons for the large variations in the trial results and the confidence intervals </w:t>
      </w:r>
      <w:r w:rsidR="00613C69">
        <w:rPr>
          <w:rFonts w:eastAsiaTheme="minorHAnsi"/>
          <w:i/>
          <w:lang w:eastAsia="en-US"/>
        </w:rPr>
        <w:t>are likely to relate to a)</w:t>
      </w:r>
      <w:r w:rsidRPr="00B8265D">
        <w:rPr>
          <w:rFonts w:eastAsiaTheme="minorHAnsi"/>
          <w:i/>
          <w:lang w:eastAsia="en-US"/>
        </w:rPr>
        <w:t xml:space="preserve"> variation in the populations, where secondary, primary prevention and mixed prevention populations were lumped together</w:t>
      </w:r>
      <w:r w:rsidR="00613C69">
        <w:rPr>
          <w:rFonts w:eastAsiaTheme="minorHAnsi"/>
          <w:i/>
          <w:lang w:eastAsia="en-US"/>
        </w:rPr>
        <w:t>;</w:t>
      </w:r>
      <w:r w:rsidRPr="00B8265D">
        <w:rPr>
          <w:rFonts w:eastAsiaTheme="minorHAnsi"/>
          <w:i/>
          <w:lang w:eastAsia="en-US"/>
        </w:rPr>
        <w:t xml:space="preserve"> </w:t>
      </w:r>
      <w:r w:rsidR="00613C69">
        <w:rPr>
          <w:rFonts w:eastAsiaTheme="minorHAnsi"/>
          <w:i/>
          <w:lang w:eastAsia="en-US"/>
        </w:rPr>
        <w:t xml:space="preserve">b) </w:t>
      </w:r>
      <w:r w:rsidRPr="00B8265D">
        <w:rPr>
          <w:rFonts w:eastAsiaTheme="minorHAnsi"/>
          <w:i/>
          <w:lang w:eastAsia="en-US"/>
        </w:rPr>
        <w:t xml:space="preserve">interventions </w:t>
      </w:r>
      <w:r w:rsidR="00613C69">
        <w:rPr>
          <w:rFonts w:eastAsiaTheme="minorHAnsi"/>
          <w:i/>
          <w:lang w:eastAsia="en-US"/>
        </w:rPr>
        <w:t xml:space="preserve">that </w:t>
      </w:r>
      <w:r w:rsidRPr="00B8265D">
        <w:rPr>
          <w:rFonts w:eastAsiaTheme="minorHAnsi"/>
          <w:i/>
          <w:lang w:eastAsia="en-US"/>
        </w:rPr>
        <w:lastRenderedPageBreak/>
        <w:t>involv</w:t>
      </w:r>
      <w:r w:rsidR="00613C69">
        <w:rPr>
          <w:rFonts w:eastAsiaTheme="minorHAnsi"/>
          <w:i/>
          <w:lang w:eastAsia="en-US"/>
        </w:rPr>
        <w:t>ed</w:t>
      </w:r>
      <w:r w:rsidRPr="00B8265D">
        <w:rPr>
          <w:rFonts w:eastAsiaTheme="minorHAnsi"/>
          <w:i/>
          <w:lang w:eastAsia="en-US"/>
        </w:rPr>
        <w:t xml:space="preserve"> statins of different potencies in terms of intensity and dose</w:t>
      </w:r>
      <w:r w:rsidR="00613C69">
        <w:rPr>
          <w:rFonts w:eastAsiaTheme="minorHAnsi"/>
          <w:i/>
          <w:lang w:eastAsia="en-US"/>
        </w:rPr>
        <w:t xml:space="preserve">; c) interventions that were </w:t>
      </w:r>
      <w:r w:rsidRPr="00B8265D">
        <w:rPr>
          <w:rFonts w:eastAsiaTheme="minorHAnsi"/>
          <w:i/>
          <w:lang w:eastAsia="en-US"/>
        </w:rPr>
        <w:t>administered as the first line in some RCTs and the second line in others</w:t>
      </w:r>
      <w:r w:rsidR="005B409D">
        <w:rPr>
          <w:rFonts w:eastAsiaTheme="minorHAnsi"/>
          <w:i/>
          <w:lang w:eastAsia="en-US"/>
        </w:rPr>
        <w:t>.</w:t>
      </w:r>
    </w:p>
    <w:p w14:paraId="413ADA7A" w14:textId="3CB00221" w:rsidR="00F97974" w:rsidRDefault="0004489B" w:rsidP="005D0FB5">
      <w:pPr>
        <w:pStyle w:val="Heading2"/>
      </w:pPr>
      <w:bookmarkStart w:id="53" w:name="_Toc467857752"/>
      <w:r>
        <w:lastRenderedPageBreak/>
        <w:t>2.2.4 Master list of identified trials that formed the evidence basis for the review</w:t>
      </w:r>
      <w:bookmarkEnd w:id="53"/>
    </w:p>
    <w:p w14:paraId="4D92A19C" w14:textId="77777777" w:rsidR="00A7651D" w:rsidRDefault="00A7651D" w:rsidP="005E4296"/>
    <w:p w14:paraId="5B65AD9B" w14:textId="0AC38635" w:rsidR="005E4296" w:rsidRDefault="005E4296" w:rsidP="0026209D">
      <w:pPr>
        <w:jc w:val="both"/>
      </w:pPr>
      <w:r>
        <w:t>The primary objective of the literature search was to identify the studies that evaluated the effect of ezetimibe as monotherapy or in combination with a statin on final patient outcomes of survival; quality-adjusted survival; fatal cardiovascular and cerebrovascular events and non-fatal cardiovascular and cerebrovascular events.</w:t>
      </w:r>
    </w:p>
    <w:p w14:paraId="0D4EC168" w14:textId="164A2CED" w:rsidR="00A7651D" w:rsidRDefault="003523B4" w:rsidP="005B7FC1">
      <w:pPr>
        <w:jc w:val="both"/>
      </w:pPr>
      <w:r>
        <w:t>Table 2.2.4.1 l</w:t>
      </w:r>
      <w:r w:rsidR="00670E3C">
        <w:t xml:space="preserve">ists the studies that reported </w:t>
      </w:r>
      <w:r w:rsidR="0012280B">
        <w:t xml:space="preserve">the final patient </w:t>
      </w:r>
      <w:r>
        <w:t>outcomes and the reason</w:t>
      </w:r>
      <w:r w:rsidR="005B5294">
        <w:t>s</w:t>
      </w:r>
      <w:r>
        <w:t xml:space="preserve"> for incl</w:t>
      </w:r>
      <w:r w:rsidR="005B7FC1">
        <w:t>usion/exclusion.</w:t>
      </w:r>
    </w:p>
    <w:p w14:paraId="424FA142" w14:textId="54C81B73" w:rsidR="003523B4" w:rsidRPr="0083333B" w:rsidRDefault="003523B4" w:rsidP="003523B4">
      <w:pPr>
        <w:pStyle w:val="Caption"/>
        <w:ind w:left="0"/>
        <w:rPr>
          <w:sz w:val="22"/>
          <w:szCs w:val="22"/>
        </w:rPr>
      </w:pPr>
      <w:r w:rsidRPr="0083333B">
        <w:rPr>
          <w:sz w:val="22"/>
          <w:szCs w:val="22"/>
        </w:rPr>
        <w:t>Table 2.2.4.1 RCTs of ezetimibe in combination with a statin that report final patient outcomes</w:t>
      </w:r>
    </w:p>
    <w:tbl>
      <w:tblPr>
        <w:tblStyle w:val="TableGrid"/>
        <w:tblW w:w="0" w:type="auto"/>
        <w:tblLook w:val="04A0" w:firstRow="1" w:lastRow="0" w:firstColumn="1" w:lastColumn="0" w:noHBand="0" w:noVBand="1"/>
      </w:tblPr>
      <w:tblGrid>
        <w:gridCol w:w="2330"/>
        <w:gridCol w:w="2331"/>
        <w:gridCol w:w="2331"/>
        <w:gridCol w:w="2331"/>
      </w:tblGrid>
      <w:tr w:rsidR="003523B4" w14:paraId="31F7D516" w14:textId="77777777" w:rsidTr="003523B4">
        <w:trPr>
          <w:cnfStyle w:val="100000000000" w:firstRow="1" w:lastRow="0" w:firstColumn="0" w:lastColumn="0" w:oddVBand="0" w:evenVBand="0" w:oddHBand="0" w:evenHBand="0" w:firstRowFirstColumn="0" w:firstRowLastColumn="0" w:lastRowFirstColumn="0" w:lastRowLastColumn="0"/>
        </w:trPr>
        <w:tc>
          <w:tcPr>
            <w:tcW w:w="2330" w:type="dxa"/>
          </w:tcPr>
          <w:p w14:paraId="74A626C3" w14:textId="1BD1F182" w:rsidR="003523B4" w:rsidRDefault="003523B4" w:rsidP="005E4296">
            <w:r>
              <w:t>Trial</w:t>
            </w:r>
          </w:p>
        </w:tc>
        <w:tc>
          <w:tcPr>
            <w:tcW w:w="2331" w:type="dxa"/>
          </w:tcPr>
          <w:p w14:paraId="2529F92F" w14:textId="572C1DCD" w:rsidR="003523B4" w:rsidRDefault="003523B4" w:rsidP="005E4296">
            <w:r>
              <w:t>Population</w:t>
            </w:r>
          </w:p>
        </w:tc>
        <w:tc>
          <w:tcPr>
            <w:tcW w:w="2331" w:type="dxa"/>
          </w:tcPr>
          <w:p w14:paraId="56493ABE" w14:textId="71C5FA1C" w:rsidR="003523B4" w:rsidRPr="003523B4" w:rsidRDefault="003523B4" w:rsidP="005E4296">
            <w:pPr>
              <w:rPr>
                <w:bCs/>
              </w:rPr>
            </w:pPr>
            <w:r w:rsidRPr="003523B4">
              <w:rPr>
                <w:bCs/>
              </w:rPr>
              <w:t>Intervention/ Comparator</w:t>
            </w:r>
          </w:p>
        </w:tc>
        <w:tc>
          <w:tcPr>
            <w:tcW w:w="2331" w:type="dxa"/>
          </w:tcPr>
          <w:p w14:paraId="4D939452" w14:textId="77777777" w:rsidR="003523B4" w:rsidRPr="003523B4" w:rsidRDefault="003523B4" w:rsidP="003523B4">
            <w:pPr>
              <w:rPr>
                <w:bCs/>
              </w:rPr>
            </w:pPr>
            <w:r w:rsidRPr="003523B4">
              <w:rPr>
                <w:bCs/>
              </w:rPr>
              <w:t>Included/</w:t>
            </w:r>
          </w:p>
          <w:p w14:paraId="525F6D7A" w14:textId="22B1BEB7" w:rsidR="003523B4" w:rsidRPr="003523B4" w:rsidRDefault="003523B4" w:rsidP="005E4296">
            <w:pPr>
              <w:rPr>
                <w:bCs/>
              </w:rPr>
            </w:pPr>
            <w:r w:rsidRPr="003523B4">
              <w:rPr>
                <w:bCs/>
              </w:rPr>
              <w:t>Excluded</w:t>
            </w:r>
            <w:r w:rsidR="008E366B">
              <w:rPr>
                <w:bCs/>
              </w:rPr>
              <w:t xml:space="preserve"> (reason)</w:t>
            </w:r>
          </w:p>
        </w:tc>
      </w:tr>
      <w:tr w:rsidR="003523B4" w14:paraId="06408369" w14:textId="77777777" w:rsidTr="003523B4">
        <w:tc>
          <w:tcPr>
            <w:tcW w:w="2330" w:type="dxa"/>
          </w:tcPr>
          <w:p w14:paraId="301178C9" w14:textId="77777777" w:rsidR="008E366B" w:rsidRDefault="003523B4" w:rsidP="005E4296">
            <w:pPr>
              <w:rPr>
                <w:rFonts w:ascii="Arial Narrow" w:hAnsi="Arial Narrow"/>
                <w:sz w:val="20"/>
                <w:szCs w:val="20"/>
              </w:rPr>
            </w:pPr>
            <w:r>
              <w:rPr>
                <w:rFonts w:ascii="Arial Narrow" w:hAnsi="Arial Narrow"/>
                <w:sz w:val="20"/>
                <w:szCs w:val="20"/>
              </w:rPr>
              <w:t>IMPROVE-IT</w:t>
            </w:r>
            <w:r w:rsidR="008E366B">
              <w:rPr>
                <w:rFonts w:ascii="Arial Narrow" w:hAnsi="Arial Narrow"/>
                <w:sz w:val="20"/>
                <w:szCs w:val="20"/>
              </w:rPr>
              <w:t xml:space="preserve"> </w:t>
            </w:r>
          </w:p>
          <w:p w14:paraId="0BB678D3" w14:textId="03C9D20A" w:rsidR="003523B4" w:rsidRPr="008E366B" w:rsidRDefault="008E366B" w:rsidP="005E4296">
            <w:pPr>
              <w:rPr>
                <w:rFonts w:ascii="Arial Narrow" w:hAnsi="Arial Narrow"/>
                <w:sz w:val="20"/>
                <w:szCs w:val="20"/>
              </w:rPr>
            </w:pPr>
            <w:r>
              <w:rPr>
                <w:rFonts w:ascii="Arial Narrow" w:hAnsi="Arial Narrow"/>
                <w:sz w:val="20"/>
                <w:szCs w:val="20"/>
              </w:rPr>
              <w:t>Cannon 2015</w:t>
            </w:r>
          </w:p>
        </w:tc>
        <w:tc>
          <w:tcPr>
            <w:tcW w:w="2331" w:type="dxa"/>
          </w:tcPr>
          <w:p w14:paraId="04C922BB" w14:textId="77777777" w:rsidR="008E366B" w:rsidRPr="008E366B" w:rsidRDefault="008E366B" w:rsidP="008E366B">
            <w:pPr>
              <w:rPr>
                <w:rFonts w:ascii="Arial Narrow" w:hAnsi="Arial Narrow"/>
                <w:sz w:val="20"/>
                <w:szCs w:val="20"/>
              </w:rPr>
            </w:pPr>
            <w:r w:rsidRPr="008E366B">
              <w:rPr>
                <w:rFonts w:ascii="Arial Narrow" w:hAnsi="Arial Narrow"/>
                <w:sz w:val="20"/>
                <w:szCs w:val="20"/>
              </w:rPr>
              <w:t xml:space="preserve">Acute coronary syndrome </w:t>
            </w:r>
          </w:p>
          <w:p w14:paraId="7245E33B" w14:textId="77777777" w:rsidR="003523B4" w:rsidRPr="008E366B" w:rsidRDefault="003523B4" w:rsidP="005E4296">
            <w:pPr>
              <w:rPr>
                <w:rFonts w:ascii="Arial Narrow" w:hAnsi="Arial Narrow"/>
                <w:sz w:val="20"/>
                <w:szCs w:val="20"/>
              </w:rPr>
            </w:pPr>
          </w:p>
        </w:tc>
        <w:tc>
          <w:tcPr>
            <w:tcW w:w="2331" w:type="dxa"/>
          </w:tcPr>
          <w:p w14:paraId="175172C5" w14:textId="77777777" w:rsidR="003523B4" w:rsidRPr="008E366B" w:rsidRDefault="003523B4" w:rsidP="003523B4">
            <w:pPr>
              <w:rPr>
                <w:rFonts w:ascii="Arial Narrow" w:hAnsi="Arial Narrow"/>
                <w:sz w:val="20"/>
                <w:szCs w:val="20"/>
              </w:rPr>
            </w:pPr>
            <w:r w:rsidRPr="008E366B">
              <w:rPr>
                <w:rFonts w:ascii="Arial Narrow" w:hAnsi="Arial Narrow"/>
                <w:sz w:val="20"/>
                <w:szCs w:val="20"/>
              </w:rPr>
              <w:t xml:space="preserve">SIM+EZ vs </w:t>
            </w:r>
          </w:p>
          <w:p w14:paraId="2AACAA89" w14:textId="77777777" w:rsidR="003523B4" w:rsidRPr="008E366B" w:rsidRDefault="003523B4" w:rsidP="003523B4">
            <w:pPr>
              <w:rPr>
                <w:rFonts w:ascii="Arial Narrow" w:hAnsi="Arial Narrow"/>
                <w:sz w:val="20"/>
                <w:szCs w:val="20"/>
              </w:rPr>
            </w:pPr>
            <w:r w:rsidRPr="008E366B">
              <w:rPr>
                <w:rFonts w:ascii="Arial Narrow" w:hAnsi="Arial Narrow"/>
                <w:sz w:val="20"/>
                <w:szCs w:val="20"/>
              </w:rPr>
              <w:t>SIM +PBO</w:t>
            </w:r>
          </w:p>
          <w:p w14:paraId="7E2B518E" w14:textId="77777777" w:rsidR="003523B4" w:rsidRPr="008E366B" w:rsidRDefault="003523B4" w:rsidP="005E4296">
            <w:pPr>
              <w:rPr>
                <w:rFonts w:ascii="Arial Narrow" w:hAnsi="Arial Narrow"/>
                <w:sz w:val="20"/>
                <w:szCs w:val="20"/>
              </w:rPr>
            </w:pPr>
          </w:p>
        </w:tc>
        <w:tc>
          <w:tcPr>
            <w:tcW w:w="2331" w:type="dxa"/>
          </w:tcPr>
          <w:p w14:paraId="5EE4AFFE" w14:textId="4889CA53" w:rsidR="003523B4" w:rsidRPr="008E366B" w:rsidRDefault="003523B4" w:rsidP="005E4296">
            <w:pPr>
              <w:rPr>
                <w:rFonts w:ascii="Arial Narrow" w:hAnsi="Arial Narrow"/>
                <w:sz w:val="20"/>
                <w:szCs w:val="20"/>
              </w:rPr>
            </w:pPr>
            <w:r w:rsidRPr="008E366B">
              <w:rPr>
                <w:rFonts w:ascii="Arial Narrow" w:hAnsi="Arial Narrow"/>
                <w:sz w:val="20"/>
                <w:szCs w:val="20"/>
              </w:rPr>
              <w:t>Included</w:t>
            </w:r>
          </w:p>
        </w:tc>
      </w:tr>
      <w:tr w:rsidR="003523B4" w14:paraId="197E52C2" w14:textId="77777777" w:rsidTr="003523B4">
        <w:tc>
          <w:tcPr>
            <w:tcW w:w="2330" w:type="dxa"/>
          </w:tcPr>
          <w:p w14:paraId="4B518735" w14:textId="77777777" w:rsidR="008E366B" w:rsidRPr="008E366B" w:rsidRDefault="008E366B" w:rsidP="008E366B">
            <w:pPr>
              <w:rPr>
                <w:rFonts w:ascii="Arial Narrow" w:hAnsi="Arial Narrow"/>
                <w:sz w:val="20"/>
                <w:szCs w:val="20"/>
              </w:rPr>
            </w:pPr>
            <w:r w:rsidRPr="008E366B">
              <w:rPr>
                <w:rFonts w:ascii="Arial Narrow" w:hAnsi="Arial Narrow"/>
                <w:sz w:val="20"/>
                <w:szCs w:val="20"/>
              </w:rPr>
              <w:t>ENHANCE</w:t>
            </w:r>
          </w:p>
          <w:p w14:paraId="11BCD69F" w14:textId="77777777" w:rsidR="008E366B" w:rsidRPr="008E366B" w:rsidRDefault="008E366B" w:rsidP="008E366B">
            <w:pPr>
              <w:rPr>
                <w:rFonts w:ascii="Arial Narrow" w:hAnsi="Arial Narrow"/>
                <w:sz w:val="20"/>
                <w:szCs w:val="20"/>
              </w:rPr>
            </w:pPr>
            <w:r w:rsidRPr="008E366B">
              <w:rPr>
                <w:rFonts w:ascii="Arial Narrow" w:hAnsi="Arial Narrow"/>
                <w:sz w:val="20"/>
                <w:szCs w:val="20"/>
              </w:rPr>
              <w:t>Kastelein 2008</w:t>
            </w:r>
          </w:p>
          <w:p w14:paraId="73FE0857" w14:textId="77777777" w:rsidR="003523B4" w:rsidRPr="008E366B" w:rsidRDefault="003523B4" w:rsidP="005E4296">
            <w:pPr>
              <w:rPr>
                <w:rFonts w:ascii="Arial Narrow" w:hAnsi="Arial Narrow"/>
                <w:sz w:val="20"/>
                <w:szCs w:val="20"/>
              </w:rPr>
            </w:pPr>
          </w:p>
        </w:tc>
        <w:tc>
          <w:tcPr>
            <w:tcW w:w="2331" w:type="dxa"/>
          </w:tcPr>
          <w:p w14:paraId="7392F075" w14:textId="219FFD9D" w:rsidR="003523B4" w:rsidRPr="008E366B" w:rsidRDefault="008E366B" w:rsidP="005E4296">
            <w:pPr>
              <w:rPr>
                <w:rFonts w:ascii="Arial Narrow" w:hAnsi="Arial Narrow"/>
                <w:sz w:val="20"/>
                <w:szCs w:val="20"/>
              </w:rPr>
            </w:pPr>
            <w:r>
              <w:rPr>
                <w:rFonts w:ascii="Arial Narrow" w:hAnsi="Arial Narrow"/>
                <w:sz w:val="20"/>
                <w:szCs w:val="20"/>
              </w:rPr>
              <w:t>HeFH</w:t>
            </w:r>
          </w:p>
        </w:tc>
        <w:tc>
          <w:tcPr>
            <w:tcW w:w="2331" w:type="dxa"/>
          </w:tcPr>
          <w:p w14:paraId="4A65F8FE" w14:textId="77777777" w:rsidR="003523B4" w:rsidRPr="008E366B" w:rsidRDefault="003523B4" w:rsidP="003523B4">
            <w:pPr>
              <w:rPr>
                <w:rFonts w:ascii="Arial Narrow" w:hAnsi="Arial Narrow"/>
                <w:sz w:val="20"/>
                <w:szCs w:val="20"/>
              </w:rPr>
            </w:pPr>
            <w:r w:rsidRPr="008E366B">
              <w:rPr>
                <w:rFonts w:ascii="Arial Narrow" w:hAnsi="Arial Narrow"/>
                <w:sz w:val="20"/>
                <w:szCs w:val="20"/>
              </w:rPr>
              <w:t xml:space="preserve">SIM+EZ vs </w:t>
            </w:r>
          </w:p>
          <w:p w14:paraId="450E0EB3" w14:textId="77777777" w:rsidR="003523B4" w:rsidRPr="008E366B" w:rsidRDefault="003523B4" w:rsidP="003523B4">
            <w:pPr>
              <w:rPr>
                <w:rFonts w:ascii="Arial Narrow" w:hAnsi="Arial Narrow"/>
                <w:sz w:val="20"/>
                <w:szCs w:val="20"/>
              </w:rPr>
            </w:pPr>
            <w:r w:rsidRPr="008E366B">
              <w:rPr>
                <w:rFonts w:ascii="Arial Narrow" w:hAnsi="Arial Narrow"/>
                <w:sz w:val="20"/>
                <w:szCs w:val="20"/>
              </w:rPr>
              <w:t>SIM +PBO</w:t>
            </w:r>
          </w:p>
          <w:p w14:paraId="671FA646" w14:textId="77777777" w:rsidR="003523B4" w:rsidRPr="008E366B" w:rsidRDefault="003523B4" w:rsidP="005E4296">
            <w:pPr>
              <w:rPr>
                <w:rFonts w:ascii="Arial Narrow" w:hAnsi="Arial Narrow"/>
                <w:sz w:val="20"/>
                <w:szCs w:val="20"/>
              </w:rPr>
            </w:pPr>
          </w:p>
        </w:tc>
        <w:tc>
          <w:tcPr>
            <w:tcW w:w="2331" w:type="dxa"/>
          </w:tcPr>
          <w:p w14:paraId="443AA951" w14:textId="55FD88A1" w:rsidR="003523B4" w:rsidRPr="008E366B" w:rsidRDefault="003523B4" w:rsidP="005E4296">
            <w:pPr>
              <w:rPr>
                <w:rFonts w:ascii="Arial Narrow" w:hAnsi="Arial Narrow"/>
                <w:sz w:val="20"/>
                <w:szCs w:val="20"/>
              </w:rPr>
            </w:pPr>
            <w:r w:rsidRPr="008E366B">
              <w:rPr>
                <w:rFonts w:ascii="Arial Narrow" w:hAnsi="Arial Narrow"/>
                <w:sz w:val="20"/>
                <w:szCs w:val="20"/>
              </w:rPr>
              <w:t>Included for LDL-c outcomes</w:t>
            </w:r>
            <w:r w:rsidR="0020320D">
              <w:rPr>
                <w:rFonts w:ascii="Arial Narrow" w:hAnsi="Arial Narrow"/>
                <w:sz w:val="20"/>
                <w:szCs w:val="20"/>
              </w:rPr>
              <w:t xml:space="preserve"> only</w:t>
            </w:r>
            <w:r w:rsidRPr="008E366B">
              <w:rPr>
                <w:rFonts w:ascii="Arial Narrow" w:hAnsi="Arial Narrow"/>
                <w:sz w:val="20"/>
                <w:szCs w:val="20"/>
                <w:vertAlign w:val="superscript"/>
              </w:rPr>
              <w:t>#</w:t>
            </w:r>
          </w:p>
        </w:tc>
      </w:tr>
      <w:tr w:rsidR="003523B4" w14:paraId="4B0EC453" w14:textId="77777777" w:rsidTr="003523B4">
        <w:tc>
          <w:tcPr>
            <w:tcW w:w="2330" w:type="dxa"/>
          </w:tcPr>
          <w:p w14:paraId="7859AE5C" w14:textId="77777777" w:rsidR="008E366B" w:rsidRPr="008E366B" w:rsidRDefault="008E366B" w:rsidP="008E366B">
            <w:pPr>
              <w:rPr>
                <w:rFonts w:ascii="Arial Narrow" w:hAnsi="Arial Narrow"/>
                <w:sz w:val="20"/>
                <w:szCs w:val="20"/>
              </w:rPr>
            </w:pPr>
            <w:r w:rsidRPr="008E366B">
              <w:rPr>
                <w:rFonts w:ascii="Arial Narrow" w:hAnsi="Arial Narrow"/>
                <w:sz w:val="20"/>
                <w:szCs w:val="20"/>
              </w:rPr>
              <w:t>SEAS</w:t>
            </w:r>
          </w:p>
          <w:p w14:paraId="2382FD27" w14:textId="77777777" w:rsidR="008E366B" w:rsidRPr="008E366B" w:rsidRDefault="008E366B" w:rsidP="008E366B">
            <w:pPr>
              <w:rPr>
                <w:rFonts w:ascii="Arial Narrow" w:hAnsi="Arial Narrow"/>
                <w:sz w:val="20"/>
                <w:szCs w:val="20"/>
              </w:rPr>
            </w:pPr>
            <w:r w:rsidRPr="008E366B">
              <w:rPr>
                <w:rFonts w:ascii="Arial Narrow" w:hAnsi="Arial Narrow"/>
                <w:sz w:val="20"/>
                <w:szCs w:val="20"/>
              </w:rPr>
              <w:t>Rossebø 2008</w:t>
            </w:r>
          </w:p>
          <w:p w14:paraId="1E399726" w14:textId="77777777" w:rsidR="003523B4" w:rsidRPr="008E366B" w:rsidRDefault="003523B4" w:rsidP="005E4296">
            <w:pPr>
              <w:rPr>
                <w:rFonts w:ascii="Arial Narrow" w:hAnsi="Arial Narrow"/>
                <w:sz w:val="20"/>
                <w:szCs w:val="20"/>
              </w:rPr>
            </w:pPr>
          </w:p>
        </w:tc>
        <w:tc>
          <w:tcPr>
            <w:tcW w:w="2331" w:type="dxa"/>
          </w:tcPr>
          <w:p w14:paraId="72BE107A" w14:textId="26EFD876" w:rsidR="008E366B" w:rsidRPr="008E366B" w:rsidRDefault="008E366B" w:rsidP="008E366B">
            <w:pPr>
              <w:rPr>
                <w:rFonts w:ascii="Arial Narrow" w:hAnsi="Arial Narrow"/>
                <w:sz w:val="20"/>
                <w:szCs w:val="20"/>
              </w:rPr>
            </w:pPr>
            <w:r>
              <w:rPr>
                <w:rFonts w:ascii="Arial Narrow" w:hAnsi="Arial Narrow"/>
                <w:sz w:val="20"/>
                <w:szCs w:val="20"/>
              </w:rPr>
              <w:t>A</w:t>
            </w:r>
            <w:r w:rsidRPr="008E366B">
              <w:rPr>
                <w:rFonts w:ascii="Arial Narrow" w:hAnsi="Arial Narrow"/>
                <w:sz w:val="20"/>
                <w:szCs w:val="20"/>
              </w:rPr>
              <w:t>ortic stenosis</w:t>
            </w:r>
          </w:p>
          <w:p w14:paraId="226848E6" w14:textId="77777777" w:rsidR="003523B4" w:rsidRPr="008E366B" w:rsidRDefault="003523B4" w:rsidP="005E4296">
            <w:pPr>
              <w:rPr>
                <w:rFonts w:ascii="Arial Narrow" w:hAnsi="Arial Narrow"/>
                <w:sz w:val="20"/>
                <w:szCs w:val="20"/>
              </w:rPr>
            </w:pPr>
          </w:p>
        </w:tc>
        <w:tc>
          <w:tcPr>
            <w:tcW w:w="2331" w:type="dxa"/>
          </w:tcPr>
          <w:p w14:paraId="6173C4B4" w14:textId="77777777" w:rsidR="003523B4" w:rsidRPr="008E366B" w:rsidRDefault="003523B4" w:rsidP="003523B4">
            <w:pPr>
              <w:rPr>
                <w:rFonts w:ascii="Arial Narrow" w:hAnsi="Arial Narrow"/>
                <w:sz w:val="20"/>
                <w:szCs w:val="20"/>
              </w:rPr>
            </w:pPr>
            <w:r w:rsidRPr="008E366B">
              <w:rPr>
                <w:rFonts w:ascii="Arial Narrow" w:hAnsi="Arial Narrow"/>
                <w:sz w:val="20"/>
                <w:szCs w:val="20"/>
              </w:rPr>
              <w:t xml:space="preserve">SIM+EZ vs </w:t>
            </w:r>
          </w:p>
          <w:p w14:paraId="314E18C4" w14:textId="7FBBC732" w:rsidR="003523B4" w:rsidRPr="008E366B" w:rsidRDefault="003523B4" w:rsidP="003523B4">
            <w:pPr>
              <w:rPr>
                <w:rFonts w:ascii="Arial Narrow" w:hAnsi="Arial Narrow"/>
                <w:sz w:val="20"/>
                <w:szCs w:val="20"/>
              </w:rPr>
            </w:pPr>
            <w:r w:rsidRPr="008E366B">
              <w:rPr>
                <w:rFonts w:ascii="Arial Narrow" w:hAnsi="Arial Narrow"/>
                <w:sz w:val="20"/>
                <w:szCs w:val="20"/>
              </w:rPr>
              <w:t>PBO</w:t>
            </w:r>
          </w:p>
          <w:p w14:paraId="15C16CF5" w14:textId="77777777" w:rsidR="003523B4" w:rsidRPr="008E366B" w:rsidRDefault="003523B4" w:rsidP="005E4296">
            <w:pPr>
              <w:rPr>
                <w:rFonts w:ascii="Arial Narrow" w:hAnsi="Arial Narrow"/>
                <w:sz w:val="20"/>
                <w:szCs w:val="20"/>
              </w:rPr>
            </w:pPr>
          </w:p>
        </w:tc>
        <w:tc>
          <w:tcPr>
            <w:tcW w:w="2331" w:type="dxa"/>
          </w:tcPr>
          <w:p w14:paraId="72A26A0F" w14:textId="77777777" w:rsidR="0020320D" w:rsidRPr="0020320D" w:rsidRDefault="0020320D" w:rsidP="0020320D">
            <w:pPr>
              <w:rPr>
                <w:rFonts w:ascii="Arial Narrow" w:hAnsi="Arial Narrow"/>
                <w:sz w:val="20"/>
                <w:szCs w:val="20"/>
              </w:rPr>
            </w:pPr>
            <w:r w:rsidRPr="0020320D">
              <w:rPr>
                <w:rFonts w:ascii="Arial Narrow" w:hAnsi="Arial Narrow"/>
                <w:sz w:val="20"/>
                <w:szCs w:val="20"/>
              </w:rPr>
              <w:t>Excluded (wrong comparator)</w:t>
            </w:r>
          </w:p>
          <w:p w14:paraId="387DBED5" w14:textId="77777777" w:rsidR="003523B4" w:rsidRPr="008E366B" w:rsidRDefault="003523B4" w:rsidP="005E4296">
            <w:pPr>
              <w:rPr>
                <w:rFonts w:ascii="Arial Narrow" w:hAnsi="Arial Narrow"/>
                <w:sz w:val="20"/>
                <w:szCs w:val="20"/>
              </w:rPr>
            </w:pPr>
          </w:p>
        </w:tc>
      </w:tr>
      <w:tr w:rsidR="003523B4" w14:paraId="0A9B2C76" w14:textId="77777777" w:rsidTr="003523B4">
        <w:tc>
          <w:tcPr>
            <w:tcW w:w="2330" w:type="dxa"/>
          </w:tcPr>
          <w:p w14:paraId="46FCE6BE" w14:textId="77777777" w:rsidR="008E366B" w:rsidRDefault="008E366B" w:rsidP="008E366B">
            <w:pPr>
              <w:rPr>
                <w:rFonts w:ascii="Arial Narrow" w:hAnsi="Arial Narrow"/>
                <w:sz w:val="20"/>
                <w:szCs w:val="20"/>
              </w:rPr>
            </w:pPr>
            <w:r w:rsidRPr="008E366B">
              <w:rPr>
                <w:rFonts w:ascii="Arial Narrow" w:hAnsi="Arial Narrow"/>
                <w:sz w:val="20"/>
                <w:szCs w:val="20"/>
              </w:rPr>
              <w:t>SHARP 2001</w:t>
            </w:r>
          </w:p>
          <w:p w14:paraId="1C5CAED0" w14:textId="4AFED68F" w:rsidR="0020320D" w:rsidRPr="008E366B" w:rsidRDefault="0020320D" w:rsidP="008E366B">
            <w:pPr>
              <w:rPr>
                <w:rFonts w:ascii="Arial Narrow" w:hAnsi="Arial Narrow"/>
                <w:sz w:val="20"/>
                <w:szCs w:val="20"/>
              </w:rPr>
            </w:pPr>
            <w:r w:rsidRPr="0020320D">
              <w:rPr>
                <w:rFonts w:ascii="Arial Narrow" w:hAnsi="Arial Narrow"/>
                <w:sz w:val="20"/>
                <w:szCs w:val="20"/>
              </w:rPr>
              <w:t>Baigent 2011</w:t>
            </w:r>
            <w:r>
              <w:rPr>
                <w:rFonts w:ascii="Arial Narrow" w:hAnsi="Arial Narrow"/>
                <w:sz w:val="20"/>
                <w:szCs w:val="20"/>
              </w:rPr>
              <w:t>,</w:t>
            </w:r>
            <w:r>
              <w:t xml:space="preserve"> </w:t>
            </w:r>
            <w:r w:rsidRPr="0020320D">
              <w:rPr>
                <w:rFonts w:ascii="Arial Narrow" w:hAnsi="Arial Narrow"/>
                <w:sz w:val="20"/>
                <w:szCs w:val="20"/>
              </w:rPr>
              <w:t>Haynes 2014</w:t>
            </w:r>
          </w:p>
          <w:p w14:paraId="108E80EB" w14:textId="77777777" w:rsidR="003523B4" w:rsidRPr="008E366B" w:rsidRDefault="003523B4" w:rsidP="005E4296">
            <w:pPr>
              <w:rPr>
                <w:rFonts w:ascii="Arial Narrow" w:hAnsi="Arial Narrow"/>
                <w:sz w:val="20"/>
                <w:szCs w:val="20"/>
              </w:rPr>
            </w:pPr>
          </w:p>
        </w:tc>
        <w:tc>
          <w:tcPr>
            <w:tcW w:w="2331" w:type="dxa"/>
          </w:tcPr>
          <w:p w14:paraId="45F465E7" w14:textId="2D7A0843" w:rsidR="003523B4" w:rsidRPr="008E366B" w:rsidRDefault="0020320D" w:rsidP="005E4296">
            <w:pPr>
              <w:rPr>
                <w:rFonts w:ascii="Arial Narrow" w:hAnsi="Arial Narrow"/>
                <w:sz w:val="20"/>
                <w:szCs w:val="20"/>
              </w:rPr>
            </w:pPr>
            <w:r>
              <w:rPr>
                <w:rFonts w:ascii="Arial Narrow" w:hAnsi="Arial Narrow"/>
                <w:sz w:val="20"/>
                <w:szCs w:val="20"/>
              </w:rPr>
              <w:t>CKD</w:t>
            </w:r>
          </w:p>
        </w:tc>
        <w:tc>
          <w:tcPr>
            <w:tcW w:w="2331" w:type="dxa"/>
          </w:tcPr>
          <w:p w14:paraId="320861B0" w14:textId="77777777" w:rsidR="003523B4" w:rsidRPr="008E366B" w:rsidRDefault="003523B4" w:rsidP="003523B4">
            <w:pPr>
              <w:rPr>
                <w:rFonts w:ascii="Arial Narrow" w:hAnsi="Arial Narrow"/>
                <w:sz w:val="20"/>
                <w:szCs w:val="20"/>
              </w:rPr>
            </w:pPr>
            <w:r w:rsidRPr="008E366B">
              <w:rPr>
                <w:rFonts w:ascii="Arial Narrow" w:hAnsi="Arial Narrow"/>
                <w:sz w:val="20"/>
                <w:szCs w:val="20"/>
              </w:rPr>
              <w:t xml:space="preserve">SIM+EZ vs </w:t>
            </w:r>
          </w:p>
          <w:p w14:paraId="06987E20" w14:textId="112EB95C" w:rsidR="003523B4" w:rsidRPr="008E366B" w:rsidRDefault="003523B4" w:rsidP="003523B4">
            <w:pPr>
              <w:rPr>
                <w:rFonts w:ascii="Arial Narrow" w:hAnsi="Arial Narrow"/>
                <w:sz w:val="20"/>
                <w:szCs w:val="20"/>
              </w:rPr>
            </w:pPr>
            <w:r w:rsidRPr="008E366B">
              <w:rPr>
                <w:rFonts w:ascii="Arial Narrow" w:hAnsi="Arial Narrow"/>
                <w:sz w:val="20"/>
                <w:szCs w:val="20"/>
              </w:rPr>
              <w:t>PBO</w:t>
            </w:r>
          </w:p>
          <w:p w14:paraId="4BF6210A" w14:textId="77777777" w:rsidR="003523B4" w:rsidRPr="008E366B" w:rsidRDefault="003523B4" w:rsidP="005E4296">
            <w:pPr>
              <w:rPr>
                <w:rFonts w:ascii="Arial Narrow" w:hAnsi="Arial Narrow"/>
                <w:sz w:val="20"/>
                <w:szCs w:val="20"/>
              </w:rPr>
            </w:pPr>
          </w:p>
        </w:tc>
        <w:tc>
          <w:tcPr>
            <w:tcW w:w="2331" w:type="dxa"/>
          </w:tcPr>
          <w:p w14:paraId="766BA853" w14:textId="77777777" w:rsidR="0020320D" w:rsidRPr="0020320D" w:rsidRDefault="0020320D" w:rsidP="0020320D">
            <w:pPr>
              <w:rPr>
                <w:rFonts w:ascii="Arial Narrow" w:hAnsi="Arial Narrow"/>
                <w:sz w:val="20"/>
                <w:szCs w:val="20"/>
              </w:rPr>
            </w:pPr>
            <w:r w:rsidRPr="0020320D">
              <w:rPr>
                <w:rFonts w:ascii="Arial Narrow" w:hAnsi="Arial Narrow"/>
                <w:sz w:val="20"/>
                <w:szCs w:val="20"/>
              </w:rPr>
              <w:t>Excluded (wrong comparator)</w:t>
            </w:r>
          </w:p>
          <w:p w14:paraId="3C5E5978" w14:textId="77777777" w:rsidR="003523B4" w:rsidRPr="008E366B" w:rsidRDefault="003523B4" w:rsidP="005E4296">
            <w:pPr>
              <w:rPr>
                <w:rFonts w:ascii="Arial Narrow" w:hAnsi="Arial Narrow"/>
                <w:sz w:val="20"/>
                <w:szCs w:val="20"/>
              </w:rPr>
            </w:pPr>
          </w:p>
        </w:tc>
      </w:tr>
      <w:tr w:rsidR="003523B4" w14:paraId="4B66D03D" w14:textId="77777777" w:rsidTr="003523B4">
        <w:tc>
          <w:tcPr>
            <w:tcW w:w="2330" w:type="dxa"/>
          </w:tcPr>
          <w:p w14:paraId="1965DBD4" w14:textId="77777777" w:rsidR="008E366B" w:rsidRPr="008E366B" w:rsidRDefault="008E366B" w:rsidP="008E366B">
            <w:pPr>
              <w:rPr>
                <w:rFonts w:ascii="Arial Narrow" w:hAnsi="Arial Narrow"/>
                <w:sz w:val="20"/>
                <w:szCs w:val="20"/>
              </w:rPr>
            </w:pPr>
            <w:r w:rsidRPr="008E366B">
              <w:rPr>
                <w:rFonts w:ascii="Arial Narrow" w:hAnsi="Arial Narrow"/>
                <w:sz w:val="20"/>
                <w:szCs w:val="20"/>
              </w:rPr>
              <w:t>ARBITER 6-HALTS</w:t>
            </w:r>
          </w:p>
          <w:p w14:paraId="7E055280" w14:textId="288DFC4F" w:rsidR="003523B4" w:rsidRPr="008E366B" w:rsidRDefault="008E366B" w:rsidP="005E4296">
            <w:pPr>
              <w:rPr>
                <w:rFonts w:ascii="Arial Narrow" w:hAnsi="Arial Narrow"/>
                <w:sz w:val="20"/>
                <w:szCs w:val="20"/>
              </w:rPr>
            </w:pPr>
            <w:r w:rsidRPr="008E366B">
              <w:rPr>
                <w:rFonts w:ascii="Arial Narrow" w:hAnsi="Arial Narrow"/>
                <w:sz w:val="20"/>
                <w:szCs w:val="20"/>
              </w:rPr>
              <w:t>Taylor 2009</w:t>
            </w:r>
          </w:p>
        </w:tc>
        <w:tc>
          <w:tcPr>
            <w:tcW w:w="2331" w:type="dxa"/>
          </w:tcPr>
          <w:p w14:paraId="55D3EB58" w14:textId="77777777" w:rsidR="0020320D" w:rsidRPr="0020320D" w:rsidRDefault="0020320D" w:rsidP="0020320D">
            <w:pPr>
              <w:rPr>
                <w:rFonts w:ascii="Arial Narrow" w:hAnsi="Arial Narrow"/>
                <w:sz w:val="20"/>
                <w:szCs w:val="20"/>
              </w:rPr>
            </w:pPr>
            <w:r w:rsidRPr="0020320D">
              <w:rPr>
                <w:rFonts w:ascii="Arial Narrow" w:hAnsi="Arial Narrow"/>
                <w:sz w:val="20"/>
                <w:szCs w:val="20"/>
              </w:rPr>
              <w:t>CHD or high risk of CHD</w:t>
            </w:r>
          </w:p>
          <w:p w14:paraId="2D3AFC13" w14:textId="77777777" w:rsidR="003523B4" w:rsidRPr="0020320D" w:rsidRDefault="003523B4" w:rsidP="005E4296">
            <w:pPr>
              <w:rPr>
                <w:rFonts w:ascii="Arial Narrow" w:hAnsi="Arial Narrow"/>
                <w:sz w:val="20"/>
                <w:szCs w:val="20"/>
              </w:rPr>
            </w:pPr>
          </w:p>
        </w:tc>
        <w:tc>
          <w:tcPr>
            <w:tcW w:w="2331" w:type="dxa"/>
          </w:tcPr>
          <w:p w14:paraId="03B9B89B" w14:textId="77777777" w:rsidR="0020320D" w:rsidRPr="0020320D" w:rsidRDefault="0020320D" w:rsidP="0020320D">
            <w:pPr>
              <w:rPr>
                <w:rFonts w:ascii="Arial Narrow" w:hAnsi="Arial Narrow"/>
                <w:sz w:val="20"/>
                <w:szCs w:val="20"/>
              </w:rPr>
            </w:pPr>
            <w:r w:rsidRPr="0020320D">
              <w:rPr>
                <w:rFonts w:ascii="Arial Narrow" w:hAnsi="Arial Narrow"/>
                <w:sz w:val="20"/>
                <w:szCs w:val="20"/>
              </w:rPr>
              <w:t xml:space="preserve">Statin+EZ vs </w:t>
            </w:r>
          </w:p>
          <w:p w14:paraId="06EBB7B4" w14:textId="77777777" w:rsidR="0020320D" w:rsidRPr="0020320D" w:rsidRDefault="0020320D" w:rsidP="0020320D">
            <w:pPr>
              <w:rPr>
                <w:rFonts w:ascii="Arial Narrow" w:hAnsi="Arial Narrow"/>
                <w:sz w:val="20"/>
                <w:szCs w:val="20"/>
              </w:rPr>
            </w:pPr>
            <w:r w:rsidRPr="0020320D">
              <w:rPr>
                <w:rFonts w:ascii="Arial Narrow" w:hAnsi="Arial Narrow"/>
                <w:sz w:val="20"/>
                <w:szCs w:val="20"/>
              </w:rPr>
              <w:t>Statin+ X niacin</w:t>
            </w:r>
          </w:p>
          <w:p w14:paraId="4AE53D3E" w14:textId="77777777" w:rsidR="003523B4" w:rsidRPr="0020320D" w:rsidRDefault="003523B4" w:rsidP="005E4296">
            <w:pPr>
              <w:rPr>
                <w:rFonts w:ascii="Arial Narrow" w:hAnsi="Arial Narrow"/>
                <w:sz w:val="20"/>
                <w:szCs w:val="20"/>
              </w:rPr>
            </w:pPr>
          </w:p>
        </w:tc>
        <w:tc>
          <w:tcPr>
            <w:tcW w:w="2331" w:type="dxa"/>
          </w:tcPr>
          <w:p w14:paraId="50BB5F48" w14:textId="77777777" w:rsidR="0020320D" w:rsidRPr="0020320D" w:rsidRDefault="0020320D" w:rsidP="0020320D">
            <w:pPr>
              <w:rPr>
                <w:rFonts w:ascii="Arial Narrow" w:hAnsi="Arial Narrow"/>
                <w:sz w:val="20"/>
                <w:szCs w:val="20"/>
              </w:rPr>
            </w:pPr>
            <w:r w:rsidRPr="0020320D">
              <w:rPr>
                <w:rFonts w:ascii="Arial Narrow" w:hAnsi="Arial Narrow"/>
                <w:sz w:val="20"/>
                <w:szCs w:val="20"/>
              </w:rPr>
              <w:t>Excluded (wrong comparator)</w:t>
            </w:r>
          </w:p>
          <w:p w14:paraId="576B5348" w14:textId="77777777" w:rsidR="003523B4" w:rsidRPr="008E366B" w:rsidRDefault="003523B4" w:rsidP="005E4296">
            <w:pPr>
              <w:rPr>
                <w:rFonts w:ascii="Arial Narrow" w:hAnsi="Arial Narrow"/>
                <w:sz w:val="20"/>
                <w:szCs w:val="20"/>
              </w:rPr>
            </w:pPr>
          </w:p>
        </w:tc>
      </w:tr>
      <w:tr w:rsidR="008E366B" w14:paraId="6C7837A8" w14:textId="77777777" w:rsidTr="003523B4">
        <w:tc>
          <w:tcPr>
            <w:tcW w:w="2330" w:type="dxa"/>
          </w:tcPr>
          <w:p w14:paraId="3CCACD25" w14:textId="77777777" w:rsidR="008E366B" w:rsidRPr="008E366B" w:rsidRDefault="008E366B" w:rsidP="008E366B">
            <w:pPr>
              <w:rPr>
                <w:rFonts w:ascii="Arial Narrow" w:hAnsi="Arial Narrow"/>
                <w:sz w:val="20"/>
                <w:szCs w:val="20"/>
              </w:rPr>
            </w:pPr>
            <w:r w:rsidRPr="008E366B">
              <w:rPr>
                <w:rFonts w:ascii="Arial Narrow" w:hAnsi="Arial Narrow"/>
                <w:sz w:val="20"/>
                <w:szCs w:val="20"/>
              </w:rPr>
              <w:t>SANDS</w:t>
            </w:r>
          </w:p>
          <w:p w14:paraId="4B2CD0DE" w14:textId="77777777" w:rsidR="008E366B" w:rsidRPr="008E366B" w:rsidRDefault="008E366B" w:rsidP="008E366B">
            <w:pPr>
              <w:rPr>
                <w:rFonts w:ascii="Arial Narrow" w:hAnsi="Arial Narrow"/>
                <w:sz w:val="20"/>
                <w:szCs w:val="20"/>
              </w:rPr>
            </w:pPr>
            <w:r w:rsidRPr="008E366B">
              <w:rPr>
                <w:rFonts w:ascii="Arial Narrow" w:hAnsi="Arial Narrow"/>
                <w:sz w:val="20"/>
                <w:szCs w:val="20"/>
              </w:rPr>
              <w:t>Howard 2008</w:t>
            </w:r>
          </w:p>
          <w:p w14:paraId="17C77325" w14:textId="77777777" w:rsidR="008E366B" w:rsidRPr="008E366B" w:rsidRDefault="008E366B" w:rsidP="005E4296">
            <w:pPr>
              <w:rPr>
                <w:rFonts w:ascii="Arial Narrow" w:hAnsi="Arial Narrow"/>
                <w:sz w:val="20"/>
                <w:szCs w:val="20"/>
              </w:rPr>
            </w:pPr>
          </w:p>
        </w:tc>
        <w:tc>
          <w:tcPr>
            <w:tcW w:w="2331" w:type="dxa"/>
          </w:tcPr>
          <w:p w14:paraId="6CDBFDD7" w14:textId="7989E5D2" w:rsidR="0020320D" w:rsidRPr="0020320D" w:rsidRDefault="0020320D" w:rsidP="0020320D">
            <w:pPr>
              <w:rPr>
                <w:rFonts w:ascii="Arial Narrow" w:hAnsi="Arial Narrow"/>
                <w:sz w:val="20"/>
                <w:szCs w:val="20"/>
              </w:rPr>
            </w:pPr>
            <w:r w:rsidRPr="0020320D">
              <w:rPr>
                <w:rFonts w:ascii="Arial Narrow" w:hAnsi="Arial Narrow"/>
                <w:sz w:val="20"/>
                <w:szCs w:val="20"/>
              </w:rPr>
              <w:t>American Indians with DM</w:t>
            </w:r>
            <w:r>
              <w:rPr>
                <w:rFonts w:ascii="Arial Narrow" w:hAnsi="Arial Narrow"/>
                <w:sz w:val="20"/>
                <w:szCs w:val="20"/>
              </w:rPr>
              <w:t xml:space="preserve"> </w:t>
            </w:r>
            <w:r w:rsidR="00CC43B9">
              <w:rPr>
                <w:rFonts w:ascii="Arial Narrow" w:hAnsi="Arial Narrow"/>
                <w:sz w:val="20"/>
                <w:szCs w:val="20"/>
              </w:rPr>
              <w:t xml:space="preserve">&amp; </w:t>
            </w:r>
            <w:r>
              <w:rPr>
                <w:rFonts w:ascii="Arial Narrow" w:hAnsi="Arial Narrow"/>
                <w:sz w:val="20"/>
                <w:szCs w:val="20"/>
              </w:rPr>
              <w:t>no prior CVD events</w:t>
            </w:r>
          </w:p>
          <w:p w14:paraId="59990265" w14:textId="77777777" w:rsidR="008E366B" w:rsidRPr="008E366B" w:rsidRDefault="008E366B" w:rsidP="005E4296">
            <w:pPr>
              <w:rPr>
                <w:rFonts w:ascii="Arial Narrow" w:hAnsi="Arial Narrow"/>
                <w:sz w:val="20"/>
                <w:szCs w:val="20"/>
              </w:rPr>
            </w:pPr>
          </w:p>
        </w:tc>
        <w:tc>
          <w:tcPr>
            <w:tcW w:w="2331" w:type="dxa"/>
          </w:tcPr>
          <w:p w14:paraId="4FE20086" w14:textId="77777777" w:rsidR="0020320D" w:rsidRPr="008E366B" w:rsidRDefault="0020320D" w:rsidP="0020320D">
            <w:pPr>
              <w:rPr>
                <w:rFonts w:ascii="Arial Narrow" w:hAnsi="Arial Narrow"/>
                <w:sz w:val="20"/>
                <w:szCs w:val="20"/>
              </w:rPr>
            </w:pPr>
            <w:r w:rsidRPr="008E366B">
              <w:rPr>
                <w:rFonts w:ascii="Arial Narrow" w:hAnsi="Arial Narrow"/>
                <w:sz w:val="20"/>
                <w:szCs w:val="20"/>
              </w:rPr>
              <w:t xml:space="preserve">SIM+EZ vs </w:t>
            </w:r>
          </w:p>
          <w:p w14:paraId="2C3AED19" w14:textId="77777777" w:rsidR="0020320D" w:rsidRPr="008E366B" w:rsidRDefault="0020320D" w:rsidP="0020320D">
            <w:pPr>
              <w:rPr>
                <w:rFonts w:ascii="Arial Narrow" w:hAnsi="Arial Narrow"/>
                <w:sz w:val="20"/>
                <w:szCs w:val="20"/>
              </w:rPr>
            </w:pPr>
            <w:r w:rsidRPr="008E366B">
              <w:rPr>
                <w:rFonts w:ascii="Arial Narrow" w:hAnsi="Arial Narrow"/>
                <w:sz w:val="20"/>
                <w:szCs w:val="20"/>
              </w:rPr>
              <w:t>SIM +PBO</w:t>
            </w:r>
          </w:p>
          <w:p w14:paraId="5DFDC01F" w14:textId="77777777" w:rsidR="008E366B" w:rsidRPr="008E366B" w:rsidRDefault="008E366B" w:rsidP="005E4296">
            <w:pPr>
              <w:rPr>
                <w:rFonts w:ascii="Arial Narrow" w:hAnsi="Arial Narrow"/>
                <w:sz w:val="20"/>
                <w:szCs w:val="20"/>
              </w:rPr>
            </w:pPr>
          </w:p>
        </w:tc>
        <w:tc>
          <w:tcPr>
            <w:tcW w:w="2331" w:type="dxa"/>
          </w:tcPr>
          <w:p w14:paraId="24B000BF" w14:textId="67FD3FEA" w:rsidR="0020320D" w:rsidRPr="0020320D" w:rsidRDefault="0020320D" w:rsidP="0020320D">
            <w:pPr>
              <w:rPr>
                <w:rFonts w:ascii="Arial Narrow" w:hAnsi="Arial Narrow"/>
                <w:sz w:val="20"/>
                <w:szCs w:val="20"/>
              </w:rPr>
            </w:pPr>
            <w:r w:rsidRPr="0020320D">
              <w:rPr>
                <w:rFonts w:ascii="Arial Narrow" w:hAnsi="Arial Narrow"/>
                <w:sz w:val="20"/>
                <w:szCs w:val="20"/>
              </w:rPr>
              <w:t>Excluded</w:t>
            </w:r>
            <w:r w:rsidR="00CC43B9" w:rsidRPr="00CC43B9">
              <w:rPr>
                <w:rFonts w:ascii="Arial Narrow" w:hAnsi="Arial Narrow"/>
                <w:sz w:val="20"/>
                <w:szCs w:val="20"/>
                <w:vertAlign w:val="superscript"/>
              </w:rPr>
              <w:t>#</w:t>
            </w:r>
            <w:r>
              <w:rPr>
                <w:rFonts w:ascii="Arial Narrow" w:hAnsi="Arial Narrow"/>
                <w:sz w:val="20"/>
                <w:szCs w:val="20"/>
              </w:rPr>
              <w:t>;</w:t>
            </w:r>
            <w:r w:rsidR="00CC43B9">
              <w:rPr>
                <w:rFonts w:ascii="Arial Narrow" w:hAnsi="Arial Narrow"/>
                <w:sz w:val="20"/>
                <w:szCs w:val="20"/>
              </w:rPr>
              <w:t xml:space="preserve"> </w:t>
            </w:r>
            <w:r>
              <w:rPr>
                <w:rFonts w:ascii="Arial Narrow" w:hAnsi="Arial Narrow"/>
                <w:sz w:val="20"/>
                <w:szCs w:val="20"/>
              </w:rPr>
              <w:t>results may not be generalizable to Australian population</w:t>
            </w:r>
          </w:p>
          <w:p w14:paraId="6AC04086" w14:textId="77777777" w:rsidR="008E366B" w:rsidRPr="008E366B" w:rsidRDefault="008E366B" w:rsidP="005E4296">
            <w:pPr>
              <w:rPr>
                <w:rFonts w:ascii="Arial Narrow" w:hAnsi="Arial Narrow"/>
                <w:sz w:val="20"/>
                <w:szCs w:val="20"/>
              </w:rPr>
            </w:pPr>
          </w:p>
        </w:tc>
      </w:tr>
    </w:tbl>
    <w:p w14:paraId="18317C68" w14:textId="220E48ED" w:rsidR="008E366B" w:rsidRPr="0020320D" w:rsidRDefault="0020320D" w:rsidP="0020320D">
      <w:pPr>
        <w:spacing w:after="0" w:line="240" w:lineRule="auto"/>
        <w:rPr>
          <w:rFonts w:ascii="Arial Narrow" w:hAnsi="Arial Narrow"/>
          <w:sz w:val="18"/>
          <w:szCs w:val="18"/>
        </w:rPr>
      </w:pPr>
      <w:r w:rsidRPr="0020320D">
        <w:rPr>
          <w:rFonts w:ascii="Arial Narrow" w:hAnsi="Arial Narrow"/>
          <w:sz w:val="18"/>
          <w:szCs w:val="18"/>
          <w:vertAlign w:val="superscript"/>
        </w:rPr>
        <w:t>#</w:t>
      </w:r>
      <w:r w:rsidRPr="0020320D">
        <w:rPr>
          <w:rFonts w:ascii="Arial Narrow" w:hAnsi="Arial Narrow"/>
          <w:sz w:val="18"/>
          <w:szCs w:val="18"/>
        </w:rPr>
        <w:t>The trial was not powered to detect a statistically significant difference in patient outcomes;</w:t>
      </w:r>
    </w:p>
    <w:p w14:paraId="424311CA" w14:textId="7615535A" w:rsidR="0020320D" w:rsidRDefault="0020320D" w:rsidP="0020320D">
      <w:pPr>
        <w:spacing w:after="0" w:line="240" w:lineRule="auto"/>
      </w:pPr>
      <w:r w:rsidRPr="0020320D">
        <w:rPr>
          <w:rFonts w:ascii="Arial Narrow" w:hAnsi="Arial Narrow"/>
          <w:sz w:val="18"/>
          <w:szCs w:val="18"/>
        </w:rPr>
        <w:t>HeFH= heterozegous familial hypercholesterolaemia; CKD= chronic kidney disease</w:t>
      </w:r>
      <w:r>
        <w:rPr>
          <w:rFonts w:ascii="Arial Narrow" w:hAnsi="Arial Narrow"/>
          <w:sz w:val="18"/>
          <w:szCs w:val="18"/>
        </w:rPr>
        <w:t xml:space="preserve">; DM=diabetes mellitus </w:t>
      </w:r>
    </w:p>
    <w:p w14:paraId="7B32C303" w14:textId="77777777" w:rsidR="0020320D" w:rsidRDefault="0020320D" w:rsidP="0020320D">
      <w:pPr>
        <w:spacing w:after="0" w:line="240" w:lineRule="auto"/>
      </w:pPr>
    </w:p>
    <w:p w14:paraId="580890C0" w14:textId="0DBAC947" w:rsidR="005E4296" w:rsidRDefault="008E366B" w:rsidP="005B5294">
      <w:pPr>
        <w:jc w:val="both"/>
      </w:pPr>
      <w:r>
        <w:t>The 24 month ENHANCE trial (</w:t>
      </w:r>
      <w:r w:rsidRPr="008E366B">
        <w:t>Kastelein 2008</w:t>
      </w:r>
      <w:r>
        <w:t xml:space="preserve">) did not include </w:t>
      </w:r>
      <w:r w:rsidR="0020320D">
        <w:t>morbidity or mortality</w:t>
      </w:r>
      <w:r>
        <w:t xml:space="preserve"> as primary or secondary outcomes and was not powered to detect </w:t>
      </w:r>
      <w:r w:rsidR="0020320D">
        <w:t>a</w:t>
      </w:r>
      <w:r>
        <w:t xml:space="preserve"> </w:t>
      </w:r>
      <w:r w:rsidR="0020320D">
        <w:t xml:space="preserve">statistically significant difference </w:t>
      </w:r>
      <w:r>
        <w:t xml:space="preserve">in </w:t>
      </w:r>
      <w:r w:rsidR="0020320D">
        <w:t>final patient outcomes</w:t>
      </w:r>
      <w:r>
        <w:t>. Investigator-reported cardiovascular events were observed in 7 patients in the simvastatin group (including 1 death from a cardiovascular cause, 2 nonfatal myocardial infarctions, 1 nonfatal stroke, and 5 coronary revascularization procedures) and in 10 patients in the combined-therapy group (including 2 deaths from cardiovascular causes, 3 nonfatal myocardial infarctions, 1 nonfatal stroke, and 6 coronary revascularizations).</w:t>
      </w:r>
    </w:p>
    <w:p w14:paraId="5BD1B599" w14:textId="75C33B99" w:rsidR="006E32D2" w:rsidRPr="00DF5740" w:rsidRDefault="006E32D2" w:rsidP="005B5294">
      <w:pPr>
        <w:pStyle w:val="ListParagraph"/>
        <w:ind w:left="0"/>
        <w:jc w:val="both"/>
      </w:pPr>
      <w:r w:rsidRPr="00DF5740">
        <w:t xml:space="preserve">Patients diagnosed with kidney disease were considered within the scope of the review. However the </w:t>
      </w:r>
      <w:r w:rsidR="00DF5740" w:rsidRPr="00DF5740">
        <w:t xml:space="preserve">large </w:t>
      </w:r>
      <w:r w:rsidRPr="00DF5740">
        <w:t>SHARP trial</w:t>
      </w:r>
      <w:r w:rsidR="00DF5740" w:rsidRPr="00DF5740">
        <w:t xml:space="preserve"> </w:t>
      </w:r>
      <w:r w:rsidR="00DF5740">
        <w:t>(Baigent 2011</w:t>
      </w:r>
      <w:r w:rsidR="005B7FC1">
        <w:rPr>
          <w:rStyle w:val="EndnoteReference"/>
        </w:rPr>
        <w:endnoteReference w:id="79"/>
      </w:r>
      <w:r w:rsidR="00DF5740">
        <w:t xml:space="preserve">; </w:t>
      </w:r>
      <w:r w:rsidR="00DF5740" w:rsidRPr="00DF5740">
        <w:t>Haynes 2014</w:t>
      </w:r>
      <w:r w:rsidR="008E2BC2">
        <w:rPr>
          <w:rStyle w:val="EndnoteReference"/>
        </w:rPr>
        <w:endnoteReference w:id="80"/>
      </w:r>
      <w:r w:rsidR="00DF5740">
        <w:t xml:space="preserve">) </w:t>
      </w:r>
      <w:r w:rsidR="00DF5740" w:rsidRPr="00DF5740">
        <w:t>of</w:t>
      </w:r>
      <w:r w:rsidRPr="00DF5740">
        <w:t xml:space="preserve"> </w:t>
      </w:r>
      <w:r w:rsidR="00DF5740" w:rsidRPr="00DF5740">
        <w:t>ezetimibe in combination with simvastatin in patie</w:t>
      </w:r>
      <w:r w:rsidR="00A87450">
        <w:t>nts with chronic kidney disease</w:t>
      </w:r>
      <w:r w:rsidR="00DF5740" w:rsidRPr="00DF5740">
        <w:t xml:space="preserve"> did not meet the selection criteria because of the comparator (placebo) </w:t>
      </w:r>
      <w:r w:rsidR="00A87450">
        <w:t>was</w:t>
      </w:r>
      <w:r w:rsidR="00DF5740" w:rsidRPr="00DF5740">
        <w:t xml:space="preserve"> out of scope of the review</w:t>
      </w:r>
      <w:r w:rsidR="00DF5740">
        <w:t>.</w:t>
      </w:r>
      <w:r w:rsidR="00DF5740" w:rsidRPr="00DF5740">
        <w:t xml:space="preserve"> </w:t>
      </w:r>
      <w:r w:rsidRPr="00DF5740">
        <w:t xml:space="preserve">The literature search identified </w:t>
      </w:r>
      <w:r w:rsidR="00DF5740">
        <w:t>two other</w:t>
      </w:r>
      <w:r w:rsidRPr="00DF5740">
        <w:t xml:space="preserve"> </w:t>
      </w:r>
      <w:r w:rsidR="00DF5740">
        <w:t>publications</w:t>
      </w:r>
      <w:r w:rsidRPr="00DF5740">
        <w:t xml:space="preserve"> (</w:t>
      </w:r>
      <w:r w:rsidR="00DF5740">
        <w:t>Zinellu 2012a; Zinellu 2012</w:t>
      </w:r>
      <w:r w:rsidRPr="00DF5740">
        <w:t xml:space="preserve">b) </w:t>
      </w:r>
      <w:r w:rsidR="00DF5740">
        <w:t>of</w:t>
      </w:r>
      <w:r w:rsidRPr="00DF5740">
        <w:t xml:space="preserve"> </w:t>
      </w:r>
      <w:r w:rsidR="005B5294">
        <w:t xml:space="preserve">the </w:t>
      </w:r>
      <w:r w:rsidR="00DF5740">
        <w:t>RCT</w:t>
      </w:r>
      <w:r w:rsidR="005B5294">
        <w:t>s</w:t>
      </w:r>
      <w:r w:rsidRPr="00DF5740">
        <w:t xml:space="preserve"> </w:t>
      </w:r>
      <w:r w:rsidR="00DF5740">
        <w:t xml:space="preserve">of </w:t>
      </w:r>
      <w:r w:rsidRPr="00DF5740">
        <w:t>ezetimibe</w:t>
      </w:r>
      <w:r w:rsidR="00DF5740">
        <w:t xml:space="preserve"> in combination with statin</w:t>
      </w:r>
      <w:r w:rsidRPr="00DF5740">
        <w:t xml:space="preserve"> </w:t>
      </w:r>
      <w:r w:rsidR="00DF5740">
        <w:t xml:space="preserve">in population with chronic kidney disease </w:t>
      </w:r>
      <w:r w:rsidRPr="00DF5740">
        <w:t xml:space="preserve">with </w:t>
      </w:r>
      <w:r w:rsidR="00DF5740">
        <w:t>and</w:t>
      </w:r>
      <w:r w:rsidRPr="00DF5740">
        <w:t xml:space="preserve"> without hypercholesterolemia. </w:t>
      </w:r>
      <w:r w:rsidR="00DF5740">
        <w:t>However,</w:t>
      </w:r>
      <w:r w:rsidRPr="00DF5740">
        <w:t xml:space="preserve"> the outcomes of percentage reduction in lipid </w:t>
      </w:r>
      <w:r w:rsidR="00A87450">
        <w:t>endpoints</w:t>
      </w:r>
      <w:r w:rsidRPr="00DF5740">
        <w:t xml:space="preserve"> </w:t>
      </w:r>
      <w:r w:rsidR="00A87450">
        <w:t xml:space="preserve">were not reported separately </w:t>
      </w:r>
      <w:r w:rsidRPr="00DF5740">
        <w:t xml:space="preserve">for </w:t>
      </w:r>
      <w:r w:rsidR="00A87450">
        <w:t>every arm of the trial that used different doses of simvastatin. These publications</w:t>
      </w:r>
      <w:r w:rsidRPr="00DF5740">
        <w:t xml:space="preserve"> were </w:t>
      </w:r>
      <w:r w:rsidR="00A87450">
        <w:t>excluded on the basis of insufficient reporting</w:t>
      </w:r>
      <w:r w:rsidRPr="00DF5740">
        <w:t>.</w:t>
      </w:r>
    </w:p>
    <w:p w14:paraId="6714858C" w14:textId="77777777" w:rsidR="005B5294" w:rsidRDefault="005B5294" w:rsidP="005B5294">
      <w:pPr>
        <w:pStyle w:val="ListParagraph"/>
        <w:ind w:left="0"/>
        <w:jc w:val="both"/>
      </w:pPr>
    </w:p>
    <w:p w14:paraId="6A5FDC1D" w14:textId="2D7BEC05" w:rsidR="005B5294" w:rsidRPr="005B5294" w:rsidRDefault="0004489B" w:rsidP="005B5294">
      <w:pPr>
        <w:pStyle w:val="ListParagraph"/>
        <w:ind w:left="0"/>
        <w:jc w:val="both"/>
      </w:pPr>
      <w:r>
        <w:lastRenderedPageBreak/>
        <w:t xml:space="preserve">No published report of the RCTs that would meet </w:t>
      </w:r>
      <w:r w:rsidR="00670E3C">
        <w:t xml:space="preserve">selection </w:t>
      </w:r>
      <w:r>
        <w:t>criteria o</w:t>
      </w:r>
      <w:r w:rsidR="005B5294">
        <w:t xml:space="preserve">f ezetimibe in combination with </w:t>
      </w:r>
      <w:r w:rsidR="00670E3C">
        <w:t xml:space="preserve">maximum tolerated </w:t>
      </w:r>
      <w:r>
        <w:t xml:space="preserve">statin </w:t>
      </w:r>
      <w:r w:rsidR="00670E3C">
        <w:t xml:space="preserve">dose </w:t>
      </w:r>
      <w:r>
        <w:t xml:space="preserve">in the target population </w:t>
      </w:r>
      <w:r w:rsidRPr="005B5294">
        <w:t>(Table 2.2.1 Selection criteria)</w:t>
      </w:r>
      <w:r>
        <w:t xml:space="preserve"> was identified. </w:t>
      </w:r>
      <w:r w:rsidR="00670E3C">
        <w:t xml:space="preserve"> </w:t>
      </w:r>
      <w:r w:rsidR="00670E3C" w:rsidRPr="005B5294">
        <w:rPr>
          <w:b/>
        </w:rPr>
        <w:t xml:space="preserve">Therefore, there was insufficient evidence to address </w:t>
      </w:r>
      <w:r w:rsidR="005B5294" w:rsidRPr="005B5294">
        <w:rPr>
          <w:b/>
        </w:rPr>
        <w:t xml:space="preserve">the first two research questions </w:t>
      </w:r>
      <w:r w:rsidR="005B5294">
        <w:rPr>
          <w:b/>
        </w:rPr>
        <w:t xml:space="preserve">that </w:t>
      </w:r>
      <w:r w:rsidR="005B5294" w:rsidRPr="005B5294">
        <w:rPr>
          <w:b/>
        </w:rPr>
        <w:t xml:space="preserve">related to </w:t>
      </w:r>
      <w:r w:rsidR="00670E3C" w:rsidRPr="005B5294">
        <w:rPr>
          <w:b/>
        </w:rPr>
        <w:t>ToR1</w:t>
      </w:r>
      <w:r w:rsidR="005B5294">
        <w:rPr>
          <w:b/>
        </w:rPr>
        <w:t>, namely</w:t>
      </w:r>
      <w:r w:rsidR="005B5294" w:rsidRPr="005B5294">
        <w:t xml:space="preserve"> </w:t>
      </w:r>
      <w:r w:rsidR="005B5294">
        <w:t>whether</w:t>
      </w:r>
      <w:r w:rsidR="005B5294" w:rsidRPr="005B5294">
        <w:t xml:space="preserve"> addition of ezetimibe to the maximum tolerated dose of statin is associated with superior </w:t>
      </w:r>
      <w:r w:rsidR="005B5294">
        <w:t xml:space="preserve">patient </w:t>
      </w:r>
      <w:r w:rsidR="005B5294" w:rsidRPr="005B5294">
        <w:t xml:space="preserve">long-term </w:t>
      </w:r>
      <w:r w:rsidR="005B5294">
        <w:t xml:space="preserve">or surrogate outcomes </w:t>
      </w:r>
      <w:r w:rsidR="005B5294" w:rsidRPr="005B5294">
        <w:t>in comparison to placebo + maximum tolerated dose of statin</w:t>
      </w:r>
      <w:r w:rsidR="005B5294" w:rsidRPr="005B5294">
        <w:rPr>
          <w:b/>
        </w:rPr>
        <w:t xml:space="preserve"> (Q1 and Q2)</w:t>
      </w:r>
      <w:r w:rsidR="005B5294">
        <w:rPr>
          <w:b/>
        </w:rPr>
        <w:t>.</w:t>
      </w:r>
    </w:p>
    <w:p w14:paraId="7E9017FE" w14:textId="149C7B88" w:rsidR="003F0877" w:rsidRDefault="003F0877" w:rsidP="003E1201">
      <w:pPr>
        <w:jc w:val="both"/>
      </w:pPr>
      <w:r>
        <w:t>IMPROVE-IT (Cannon 2015)</w:t>
      </w:r>
      <w:r w:rsidR="00BC253A">
        <w:rPr>
          <w:rStyle w:val="EndnoteReference"/>
        </w:rPr>
        <w:endnoteReference w:id="81"/>
      </w:r>
      <w:r>
        <w:t xml:space="preserve"> was </w:t>
      </w:r>
      <w:r w:rsidR="00E804DE">
        <w:t>the only</w:t>
      </w:r>
      <w:r>
        <w:t xml:space="preserve"> RCT designed to assess the long-term patient outcomes </w:t>
      </w:r>
      <w:r w:rsidR="003E1201">
        <w:t>that met the selection criteria. It assessed clinical efficacy and safety of ezetimibe + simvastatin vs placebo + simvastatin in the secondary prevention population who had been hospitalized for an acute coronary syndrome within the preceding 10 days. A few i</w:t>
      </w:r>
      <w:r w:rsidR="003E1201" w:rsidRPr="00D46F4D">
        <w:t xml:space="preserve">ssues associated with applicability of results from IMPROVE-IT to </w:t>
      </w:r>
      <w:r w:rsidR="003E1201">
        <w:t>the target</w:t>
      </w:r>
      <w:r w:rsidR="003E1201" w:rsidRPr="00D46F4D">
        <w:t xml:space="preserve"> population</w:t>
      </w:r>
      <w:r w:rsidR="003E1201">
        <w:t xml:space="preserve"> were identified</w:t>
      </w:r>
      <w:r w:rsidR="003E1201" w:rsidRPr="00D46F4D">
        <w:t>: first</w:t>
      </w:r>
      <w:r w:rsidR="003E1201">
        <w:t>ly</w:t>
      </w:r>
      <w:r w:rsidR="003E1201" w:rsidRPr="00D46F4D">
        <w:t>, the IMPROVE-IT patient population</w:t>
      </w:r>
      <w:r w:rsidR="003E1201">
        <w:t xml:space="preserve"> would not met</w:t>
      </w:r>
      <w:r w:rsidR="003E1201" w:rsidRPr="00D46F4D">
        <w:t xml:space="preserve"> PBS </w:t>
      </w:r>
      <w:r w:rsidR="003E1201">
        <w:t>restriction criteria</w:t>
      </w:r>
      <w:r w:rsidR="003E1201" w:rsidRPr="00D46F4D">
        <w:t xml:space="preserve"> for ezetimibe </w:t>
      </w:r>
      <w:r w:rsidR="003E1201">
        <w:t>(the baseline LDL-C</w:t>
      </w:r>
      <w:r w:rsidR="003E1201" w:rsidRPr="00D46F4D">
        <w:t xml:space="preserve"> </w:t>
      </w:r>
      <w:r w:rsidR="003E1201">
        <w:t xml:space="preserve">was set at 1.3 to </w:t>
      </w:r>
      <w:r w:rsidR="00E91301">
        <w:t>2.43 mmol/L</w:t>
      </w:r>
      <w:r w:rsidR="003E1201">
        <w:t xml:space="preserve">); </w:t>
      </w:r>
      <w:r w:rsidR="003E1201" w:rsidRPr="00D46F4D">
        <w:t>second</w:t>
      </w:r>
      <w:r w:rsidR="003E1201">
        <w:t>ly,</w:t>
      </w:r>
      <w:r w:rsidR="003E1201" w:rsidRPr="00D46F4D">
        <w:t xml:space="preserve"> at the time </w:t>
      </w:r>
      <w:r w:rsidR="003E1201">
        <w:t>of enrolment</w:t>
      </w:r>
      <w:r w:rsidR="003E1201" w:rsidRPr="00D46F4D">
        <w:t xml:space="preserve"> only 34% of patients were being treated with a statin</w:t>
      </w:r>
      <w:r w:rsidR="003E1201">
        <w:t>; for other patients</w:t>
      </w:r>
      <w:r w:rsidR="003E1201" w:rsidRPr="00D46F4D">
        <w:t xml:space="preserve"> ezetimibe</w:t>
      </w:r>
      <w:r w:rsidR="003E1201">
        <w:t xml:space="preserve"> in combination with simvastatin</w:t>
      </w:r>
      <w:r w:rsidR="003E1201" w:rsidRPr="00D46F4D">
        <w:t xml:space="preserve"> was </w:t>
      </w:r>
      <w:r w:rsidR="003E1201">
        <w:t>prescribed as the first</w:t>
      </w:r>
      <w:r w:rsidR="003E1201" w:rsidRPr="00D46F4D">
        <w:t>-line treatment</w:t>
      </w:r>
      <w:r w:rsidR="003E1201">
        <w:t>.</w:t>
      </w:r>
      <w:r w:rsidR="003E1201" w:rsidRPr="00D46F4D">
        <w:t xml:space="preserve"> </w:t>
      </w:r>
      <w:r w:rsidR="003E1201" w:rsidRPr="003E1201">
        <w:t>Also, as in all other identified trials, there was no evidence that patients who had been treated with statins prior to randomisation were at their maximum tolerated dose.</w:t>
      </w:r>
      <w:r w:rsidR="00EE77F2">
        <w:t xml:space="preserve"> Therefore, </w:t>
      </w:r>
      <w:r>
        <w:t xml:space="preserve">IMPROVE-IT </w:t>
      </w:r>
      <w:r w:rsidR="00EE77F2">
        <w:t xml:space="preserve">RCT </w:t>
      </w:r>
      <w:r>
        <w:t>enrolled the population that did not meet the PBS eligibility criteria for subsidised prescription of ezetimibe</w:t>
      </w:r>
      <w:r w:rsidR="00EE77F2">
        <w:t>.</w:t>
      </w:r>
      <w:r>
        <w:t xml:space="preserve"> However, in the absence of any better </w:t>
      </w:r>
      <w:r w:rsidR="00EE77F2">
        <w:t xml:space="preserve">evidence on the </w:t>
      </w:r>
      <w:r>
        <w:t>long-term outcomes in the population</w:t>
      </w:r>
      <w:r w:rsidR="00EE77F2">
        <w:t xml:space="preserve"> with hypocholesterolaemia</w:t>
      </w:r>
      <w:r>
        <w:t xml:space="preserve"> the outcomes of IMPROVE-IT trial </w:t>
      </w:r>
      <w:r w:rsidR="00EE77F2">
        <w:t xml:space="preserve">were extracted and described alongside other evidence included in the analysis of clinical effectiveness to inform </w:t>
      </w:r>
      <w:r w:rsidR="00EE77F2" w:rsidRPr="003F0877">
        <w:rPr>
          <w:b/>
        </w:rPr>
        <w:t xml:space="preserve">ToR1: </w:t>
      </w:r>
      <w:r w:rsidR="00EE77F2">
        <w:rPr>
          <w:b/>
        </w:rPr>
        <w:t>Q3</w:t>
      </w:r>
      <w:r w:rsidR="00EE77F2">
        <w:t xml:space="preserve"> (</w:t>
      </w:r>
      <w:r w:rsidR="00EE77F2" w:rsidRPr="000E4DA5">
        <w:t xml:space="preserve">see Section </w:t>
      </w:r>
      <w:r w:rsidR="000E4DA5" w:rsidRPr="000E4DA5">
        <w:t>2.5</w:t>
      </w:r>
      <w:r w:rsidR="00EE77F2" w:rsidRPr="000E4DA5">
        <w:t>. below).</w:t>
      </w:r>
      <w:r w:rsidR="00EE77F2">
        <w:t xml:space="preserve"> The long-term outcomes of IMPROVE-IT trial were used </w:t>
      </w:r>
      <w:r>
        <w:t xml:space="preserve">in </w:t>
      </w:r>
      <w:r w:rsidR="00EE77F2">
        <w:t xml:space="preserve">the </w:t>
      </w:r>
      <w:r>
        <w:t>modelled econom</w:t>
      </w:r>
      <w:r w:rsidR="000E4DA5">
        <w:t>ic evaluation presented by the s</w:t>
      </w:r>
      <w:r>
        <w:t xml:space="preserve">ponsor for the </w:t>
      </w:r>
      <w:r w:rsidR="00EE77F2">
        <w:t xml:space="preserve">ezetimibe review. Their approach to incorporating these outcomes into the updated version of the model are reviewed </w:t>
      </w:r>
      <w:r w:rsidR="00EE77F2" w:rsidRPr="0026209D">
        <w:t xml:space="preserve">in </w:t>
      </w:r>
      <w:r w:rsidR="0026209D">
        <w:t>a separate document assessing the quality and applicability of published economic evaluations and modelled economic evaluations previously considered by PBAC</w:t>
      </w:r>
      <w:r w:rsidR="00EE77F2">
        <w:t xml:space="preserve">. </w:t>
      </w:r>
    </w:p>
    <w:p w14:paraId="2CAE5D71" w14:textId="39E523EB" w:rsidR="00670E3C" w:rsidRDefault="00E91301" w:rsidP="006B45CB">
      <w:pPr>
        <w:jc w:val="both"/>
      </w:pPr>
      <w:r>
        <w:t xml:space="preserve">The remaining </w:t>
      </w:r>
      <w:r w:rsidRPr="00E91301">
        <w:rPr>
          <w:b/>
        </w:rPr>
        <w:t>questions</w:t>
      </w:r>
      <w:r>
        <w:t xml:space="preserve"> </w:t>
      </w:r>
      <w:r w:rsidRPr="003F0877">
        <w:rPr>
          <w:b/>
        </w:rPr>
        <w:t>Q4-Q6</w:t>
      </w:r>
      <w:r>
        <w:rPr>
          <w:b/>
        </w:rPr>
        <w:t xml:space="preserve"> </w:t>
      </w:r>
      <w:r>
        <w:t xml:space="preserve">within the </w:t>
      </w:r>
      <w:r w:rsidRPr="003F0877">
        <w:rPr>
          <w:b/>
        </w:rPr>
        <w:t>ToR1</w:t>
      </w:r>
      <w:r>
        <w:rPr>
          <w:b/>
        </w:rPr>
        <w:t xml:space="preserve"> scope </w:t>
      </w:r>
      <w:r>
        <w:t>are</w:t>
      </w:r>
      <w:r w:rsidR="002C75AA">
        <w:t xml:space="preserve"> addressed with the evidence extracted from</w:t>
      </w:r>
      <w:r w:rsidRPr="00E91301">
        <w:t xml:space="preserve"> </w:t>
      </w:r>
      <w:r w:rsidR="00ED188B">
        <w:t xml:space="preserve">30 </w:t>
      </w:r>
      <w:r w:rsidR="003F0877">
        <w:t xml:space="preserve">identified </w:t>
      </w:r>
      <w:r w:rsidR="0004489B">
        <w:t xml:space="preserve">RCTs of ezetimibe </w:t>
      </w:r>
      <w:r w:rsidR="002C75AA">
        <w:t xml:space="preserve">in combination with statin </w:t>
      </w:r>
      <w:r w:rsidR="0004489B">
        <w:t xml:space="preserve">as </w:t>
      </w:r>
      <w:r w:rsidR="005954AB">
        <w:t>the first or</w:t>
      </w:r>
      <w:r w:rsidR="0004489B">
        <w:t xml:space="preserve"> second line therapy</w:t>
      </w:r>
      <w:r w:rsidR="003F0877">
        <w:t xml:space="preserve"> that met the selection criteria for the review</w:t>
      </w:r>
      <w:r w:rsidR="003F0877">
        <w:rPr>
          <w:b/>
        </w:rPr>
        <w:t>.</w:t>
      </w:r>
      <w:r w:rsidR="00670E3C">
        <w:t xml:space="preserve">  </w:t>
      </w:r>
    </w:p>
    <w:p w14:paraId="6DD4E9CC" w14:textId="7A85C670" w:rsidR="0004489B" w:rsidRDefault="0004489B" w:rsidP="00FD5FC0">
      <w:pPr>
        <w:jc w:val="both"/>
      </w:pPr>
      <w:r>
        <w:t xml:space="preserve">The master lists of all included trials </w:t>
      </w:r>
      <w:r w:rsidR="006358D5">
        <w:t xml:space="preserve">of ezetimibe in combination with a statin </w:t>
      </w:r>
      <w:r>
        <w:t xml:space="preserve">that meet the selection criteria are shown in </w:t>
      </w:r>
      <w:r w:rsidRPr="00912F4E">
        <w:t>Table 2.2.4</w:t>
      </w:r>
      <w:r w:rsidR="00AE3EA8">
        <w:t>.2</w:t>
      </w:r>
      <w:r w:rsidRPr="00912F4E">
        <w:t xml:space="preserve">. </w:t>
      </w:r>
      <w:r w:rsidR="00BD6A22">
        <w:t xml:space="preserve">The </w:t>
      </w:r>
      <w:r w:rsidR="00BC604A">
        <w:t xml:space="preserve">RCTs </w:t>
      </w:r>
      <w:r w:rsidR="00EB5CA7">
        <w:t>(N=12</w:t>
      </w:r>
      <w:r w:rsidR="00BD6A22">
        <w:t xml:space="preserve">) </w:t>
      </w:r>
      <w:r w:rsidR="00BC604A">
        <w:t xml:space="preserve">that were not considered by the PBS previously are marked with </w:t>
      </w:r>
      <w:r w:rsidR="0026209D">
        <w:t xml:space="preserve">an </w:t>
      </w:r>
      <w:r w:rsidR="00BC604A">
        <w:t>asterisk (</w:t>
      </w:r>
      <w:r w:rsidR="00BC604A" w:rsidRPr="00BC604A">
        <w:rPr>
          <w:b/>
        </w:rPr>
        <w:t>*</w:t>
      </w:r>
      <w:r w:rsidR="00BC604A">
        <w:t>).</w:t>
      </w:r>
    </w:p>
    <w:p w14:paraId="4DAF37E2" w14:textId="220AB2B8" w:rsidR="00162471" w:rsidRPr="0083333B" w:rsidRDefault="008C096A" w:rsidP="00912F4E">
      <w:pPr>
        <w:pStyle w:val="Caption"/>
        <w:ind w:left="0"/>
        <w:rPr>
          <w:sz w:val="22"/>
          <w:szCs w:val="22"/>
        </w:rPr>
      </w:pPr>
      <w:r w:rsidRPr="0083333B">
        <w:rPr>
          <w:sz w:val="22"/>
          <w:szCs w:val="22"/>
        </w:rPr>
        <w:t>Table 2.2.4</w:t>
      </w:r>
      <w:r w:rsidR="003523B4" w:rsidRPr="0083333B">
        <w:rPr>
          <w:sz w:val="22"/>
          <w:szCs w:val="22"/>
        </w:rPr>
        <w:t>.2</w:t>
      </w:r>
      <w:r w:rsidR="00912F4E" w:rsidRPr="0083333B">
        <w:rPr>
          <w:sz w:val="22"/>
          <w:szCs w:val="22"/>
        </w:rPr>
        <w:t xml:space="preserve"> </w:t>
      </w:r>
      <w:r w:rsidR="008F7BE7" w:rsidRPr="0083333B">
        <w:rPr>
          <w:sz w:val="22"/>
          <w:szCs w:val="22"/>
        </w:rPr>
        <w:t>Reports of the RCTs</w:t>
      </w:r>
      <w:r w:rsidR="00162471" w:rsidRPr="0083333B">
        <w:rPr>
          <w:sz w:val="22"/>
          <w:szCs w:val="22"/>
        </w:rPr>
        <w:t xml:space="preserve"> </w:t>
      </w:r>
      <w:r w:rsidR="00AF736F" w:rsidRPr="0083333B">
        <w:rPr>
          <w:sz w:val="22"/>
          <w:szCs w:val="22"/>
        </w:rPr>
        <w:t xml:space="preserve">of ezetimibe in combination with a statin </w:t>
      </w:r>
    </w:p>
    <w:tbl>
      <w:tblPr>
        <w:tblStyle w:val="TableGrid"/>
        <w:tblW w:w="9356" w:type="dxa"/>
        <w:tblInd w:w="-5" w:type="dxa"/>
        <w:tblLook w:val="04A0" w:firstRow="1" w:lastRow="0" w:firstColumn="1" w:lastColumn="0" w:noHBand="0" w:noVBand="1"/>
      </w:tblPr>
      <w:tblGrid>
        <w:gridCol w:w="1560"/>
        <w:gridCol w:w="7796"/>
      </w:tblGrid>
      <w:tr w:rsidR="00EC4F8A" w:rsidRPr="00CD6F42" w14:paraId="46019C08" w14:textId="77777777" w:rsidTr="003523B4">
        <w:trPr>
          <w:cnfStyle w:val="100000000000" w:firstRow="1" w:lastRow="0" w:firstColumn="0" w:lastColumn="0" w:oddVBand="0" w:evenVBand="0" w:oddHBand="0" w:evenHBand="0" w:firstRowFirstColumn="0" w:firstRowLastColumn="0" w:lastRowFirstColumn="0" w:lastRowLastColumn="0"/>
          <w:tblHeader/>
        </w:trPr>
        <w:tc>
          <w:tcPr>
            <w:tcW w:w="1560" w:type="dxa"/>
          </w:tcPr>
          <w:p w14:paraId="55FFAB72" w14:textId="77777777" w:rsidR="00162471" w:rsidRPr="00CD6F42" w:rsidRDefault="00162471" w:rsidP="0055459F">
            <w:pPr>
              <w:rPr>
                <w:rFonts w:ascii="Arial Narrow" w:hAnsi="Arial Narrow"/>
                <w:sz w:val="20"/>
                <w:szCs w:val="20"/>
              </w:rPr>
            </w:pPr>
            <w:r w:rsidRPr="00CD6F42">
              <w:rPr>
                <w:rFonts w:ascii="Arial Narrow" w:hAnsi="Arial Narrow"/>
                <w:sz w:val="20"/>
                <w:szCs w:val="20"/>
              </w:rPr>
              <w:t>Trial</w:t>
            </w:r>
          </w:p>
        </w:tc>
        <w:tc>
          <w:tcPr>
            <w:tcW w:w="7796" w:type="dxa"/>
          </w:tcPr>
          <w:p w14:paraId="4C612628" w14:textId="77777777" w:rsidR="00162471" w:rsidRPr="00CD6F42" w:rsidRDefault="00162471" w:rsidP="0055459F">
            <w:pPr>
              <w:rPr>
                <w:rFonts w:ascii="Arial Narrow" w:hAnsi="Arial Narrow"/>
                <w:sz w:val="20"/>
                <w:szCs w:val="20"/>
              </w:rPr>
            </w:pPr>
            <w:r w:rsidRPr="00CD6F42">
              <w:rPr>
                <w:rFonts w:ascii="Arial Narrow" w:hAnsi="Arial Narrow"/>
                <w:sz w:val="20"/>
                <w:szCs w:val="20"/>
              </w:rPr>
              <w:t>Reports</w:t>
            </w:r>
          </w:p>
        </w:tc>
      </w:tr>
      <w:tr w:rsidR="00EC4F8A" w:rsidRPr="00CD6F42" w14:paraId="0EE03B8E" w14:textId="77777777" w:rsidTr="003523B4">
        <w:trPr>
          <w:trHeight w:val="283"/>
        </w:trPr>
        <w:tc>
          <w:tcPr>
            <w:tcW w:w="9356" w:type="dxa"/>
            <w:gridSpan w:val="2"/>
            <w:vAlign w:val="bottom"/>
          </w:tcPr>
          <w:p w14:paraId="46CBAE08" w14:textId="78985D3F" w:rsidR="00EC4F8A" w:rsidRPr="00C87881" w:rsidRDefault="00BE72AD" w:rsidP="00A430EE">
            <w:pPr>
              <w:pStyle w:val="ListParagraph"/>
              <w:spacing w:after="240"/>
              <w:ind w:left="0"/>
              <w:jc w:val="center"/>
              <w:rPr>
                <w:rFonts w:ascii="Arial Narrow" w:hAnsi="Arial Narrow"/>
                <w:b/>
                <w:sz w:val="20"/>
                <w:szCs w:val="20"/>
              </w:rPr>
            </w:pPr>
            <w:r w:rsidRPr="00BE72AD">
              <w:rPr>
                <w:rFonts w:ascii="Arial Narrow" w:hAnsi="Arial Narrow"/>
                <w:b/>
                <w:sz w:val="20"/>
                <w:szCs w:val="20"/>
              </w:rPr>
              <w:t>Up-titra</w:t>
            </w:r>
            <w:r>
              <w:rPr>
                <w:rFonts w:ascii="Arial Narrow" w:hAnsi="Arial Narrow"/>
                <w:b/>
                <w:sz w:val="20"/>
                <w:szCs w:val="20"/>
              </w:rPr>
              <w:t xml:space="preserve">ting </w:t>
            </w:r>
            <w:r w:rsidR="006020F2">
              <w:rPr>
                <w:rFonts w:ascii="Arial Narrow" w:hAnsi="Arial Narrow"/>
                <w:b/>
                <w:sz w:val="20"/>
                <w:szCs w:val="20"/>
              </w:rPr>
              <w:t xml:space="preserve">dose of </w:t>
            </w:r>
            <w:r>
              <w:rPr>
                <w:rFonts w:ascii="Arial Narrow" w:hAnsi="Arial Narrow"/>
                <w:b/>
                <w:sz w:val="20"/>
                <w:szCs w:val="20"/>
              </w:rPr>
              <w:t xml:space="preserve">statin + ezetimibe vs </w:t>
            </w:r>
            <w:r w:rsidR="006020F2">
              <w:rPr>
                <w:rFonts w:ascii="Arial Narrow" w:hAnsi="Arial Narrow"/>
                <w:b/>
                <w:sz w:val="20"/>
                <w:szCs w:val="20"/>
              </w:rPr>
              <w:t>up-titrating</w:t>
            </w:r>
            <w:r w:rsidR="006020F2" w:rsidRPr="00C87881">
              <w:rPr>
                <w:rFonts w:ascii="Arial Narrow" w:hAnsi="Arial Narrow"/>
                <w:b/>
                <w:sz w:val="20"/>
                <w:szCs w:val="20"/>
              </w:rPr>
              <w:t xml:space="preserve"> dose</w:t>
            </w:r>
            <w:r w:rsidR="006020F2">
              <w:rPr>
                <w:rFonts w:ascii="Arial Narrow" w:hAnsi="Arial Narrow"/>
                <w:b/>
                <w:sz w:val="20"/>
                <w:szCs w:val="20"/>
              </w:rPr>
              <w:t xml:space="preserve"> of</w:t>
            </w:r>
            <w:r w:rsidR="006020F2" w:rsidRPr="00C87881">
              <w:rPr>
                <w:rFonts w:ascii="Arial Narrow" w:hAnsi="Arial Narrow"/>
                <w:b/>
                <w:sz w:val="20"/>
                <w:szCs w:val="20"/>
              </w:rPr>
              <w:t xml:space="preserve"> statin</w:t>
            </w:r>
          </w:p>
        </w:tc>
      </w:tr>
      <w:tr w:rsidR="00A430EE" w:rsidRPr="00CD6F42" w14:paraId="0D166EED" w14:textId="77777777" w:rsidTr="003523B4">
        <w:tc>
          <w:tcPr>
            <w:tcW w:w="1560" w:type="dxa"/>
          </w:tcPr>
          <w:p w14:paraId="14BDACE2" w14:textId="358BCFB9" w:rsidR="00A430EE" w:rsidRDefault="00A430EE" w:rsidP="00A430EE">
            <w:pPr>
              <w:rPr>
                <w:rFonts w:ascii="Arial Narrow" w:hAnsi="Arial Narrow"/>
                <w:sz w:val="20"/>
                <w:szCs w:val="20"/>
              </w:rPr>
            </w:pPr>
            <w:r>
              <w:rPr>
                <w:rFonts w:ascii="Arial Narrow" w:hAnsi="Arial Narrow"/>
                <w:sz w:val="20"/>
                <w:szCs w:val="20"/>
              </w:rPr>
              <w:t>Cannon 2015</w:t>
            </w:r>
            <w:r w:rsidR="00BC604A" w:rsidRPr="00BC604A">
              <w:rPr>
                <w:rFonts w:ascii="Arial Narrow" w:hAnsi="Arial Narrow"/>
                <w:b/>
                <w:sz w:val="20"/>
                <w:szCs w:val="20"/>
              </w:rPr>
              <w:t>*</w:t>
            </w:r>
            <w:r>
              <w:rPr>
                <w:rFonts w:ascii="Arial Narrow" w:hAnsi="Arial Narrow"/>
                <w:sz w:val="20"/>
                <w:szCs w:val="20"/>
              </w:rPr>
              <w:t xml:space="preserve"> IMPROVE-IT</w:t>
            </w:r>
          </w:p>
        </w:tc>
        <w:tc>
          <w:tcPr>
            <w:tcW w:w="7796" w:type="dxa"/>
          </w:tcPr>
          <w:p w14:paraId="4B9E25A1" w14:textId="6866308F" w:rsidR="00A430EE" w:rsidRPr="008812F3" w:rsidRDefault="00A430EE" w:rsidP="00A430EE">
            <w:pPr>
              <w:rPr>
                <w:rFonts w:ascii="Arial Narrow" w:eastAsia="Times New Roman" w:hAnsi="Arial Narrow" w:cs="Times New Roman"/>
                <w:color w:val="000000"/>
                <w:sz w:val="20"/>
                <w:szCs w:val="20"/>
                <w:lang w:eastAsia="en-AU"/>
              </w:rPr>
            </w:pPr>
            <w:r w:rsidRPr="00EC157E">
              <w:rPr>
                <w:rFonts w:ascii="Arial Narrow" w:eastAsia="Times New Roman" w:hAnsi="Arial Narrow" w:cs="Times New Roman"/>
                <w:color w:val="000000"/>
                <w:sz w:val="20"/>
                <w:szCs w:val="20"/>
                <w:lang w:eastAsia="en-AU"/>
              </w:rPr>
              <w:t>Cannon CP, Blazing MA, Giugliano RP, McCagg A, White JA, Theroux P, et al. Ezetimibe Added to Statin Therapy after Acute Coronary Syndromes. N Engl J Med. 2015;372(25):2387-97.</w:t>
            </w:r>
            <w:r w:rsidRPr="00CD6F42">
              <w:rPr>
                <w:rFonts w:ascii="Arial Narrow" w:hAnsi="Arial Narrow"/>
                <w:sz w:val="20"/>
                <w:szCs w:val="20"/>
              </w:rPr>
              <w:t xml:space="preserve"> </w:t>
            </w:r>
          </w:p>
        </w:tc>
      </w:tr>
      <w:tr w:rsidR="00A430EE" w:rsidRPr="00CD6F42" w14:paraId="0F82ADDE" w14:textId="77777777" w:rsidTr="003523B4">
        <w:tc>
          <w:tcPr>
            <w:tcW w:w="1560" w:type="dxa"/>
          </w:tcPr>
          <w:p w14:paraId="0D86BB0B" w14:textId="04C251FE" w:rsidR="00A430EE" w:rsidRDefault="00A430EE" w:rsidP="00A430EE">
            <w:pPr>
              <w:rPr>
                <w:rFonts w:ascii="Arial Narrow" w:hAnsi="Arial Narrow"/>
                <w:sz w:val="20"/>
                <w:szCs w:val="20"/>
              </w:rPr>
            </w:pPr>
            <w:r>
              <w:rPr>
                <w:rFonts w:ascii="Arial Narrow" w:hAnsi="Arial Narrow"/>
                <w:sz w:val="20"/>
                <w:szCs w:val="20"/>
              </w:rPr>
              <w:t>P025</w:t>
            </w:r>
          </w:p>
          <w:p w14:paraId="4B597779" w14:textId="4E8EC89D" w:rsidR="00A430EE" w:rsidRPr="00CD6F42" w:rsidRDefault="00A430EE" w:rsidP="00A430EE">
            <w:pPr>
              <w:rPr>
                <w:rFonts w:ascii="Arial Narrow" w:hAnsi="Arial Narrow"/>
                <w:sz w:val="20"/>
                <w:szCs w:val="20"/>
              </w:rPr>
            </w:pPr>
            <w:r w:rsidRPr="00CD6F42">
              <w:rPr>
                <w:rFonts w:ascii="Arial Narrow" w:hAnsi="Arial Narrow"/>
                <w:sz w:val="20"/>
                <w:szCs w:val="20"/>
              </w:rPr>
              <w:t>Ballantyne 2004</w:t>
            </w:r>
          </w:p>
        </w:tc>
        <w:tc>
          <w:tcPr>
            <w:tcW w:w="7796" w:type="dxa"/>
          </w:tcPr>
          <w:p w14:paraId="1FD6BFAE" w14:textId="77777777" w:rsidR="00A430EE" w:rsidRDefault="00A430EE" w:rsidP="00A430EE">
            <w:pPr>
              <w:rPr>
                <w:rFonts w:ascii="Arial Narrow" w:eastAsia="Times New Roman" w:hAnsi="Arial Narrow" w:cs="Times New Roman"/>
                <w:color w:val="000000"/>
                <w:sz w:val="20"/>
                <w:szCs w:val="20"/>
                <w:lang w:eastAsia="en-AU"/>
              </w:rPr>
            </w:pPr>
            <w:r w:rsidRPr="008812F3">
              <w:rPr>
                <w:rFonts w:ascii="Arial Narrow" w:eastAsia="Times New Roman" w:hAnsi="Arial Narrow" w:cs="Times New Roman"/>
                <w:color w:val="000000"/>
                <w:sz w:val="20"/>
                <w:szCs w:val="20"/>
                <w:lang w:eastAsia="en-AU"/>
              </w:rPr>
              <w:t xml:space="preserve">Ballantyne CM, Blazing MA, King TR, Brady WE, Palmisano J. Efficacy and safety of ezetimibe co-administered with simvastatin compared with atorvastatin in adults with hypercholesterolemia. American Journal of Cardiology. 2004;93(12):1487-94. </w:t>
            </w:r>
          </w:p>
          <w:p w14:paraId="687B9913" w14:textId="77777777" w:rsidR="00A430EE" w:rsidRPr="00AE49B3" w:rsidRDefault="00A430EE" w:rsidP="00140129">
            <w:pPr>
              <w:pStyle w:val="ListParagraph"/>
              <w:numPr>
                <w:ilvl w:val="0"/>
                <w:numId w:val="10"/>
              </w:numPr>
              <w:ind w:left="459" w:hanging="284"/>
              <w:rPr>
                <w:rFonts w:ascii="Arial Narrow" w:hAnsi="Arial Narrow"/>
                <w:sz w:val="20"/>
                <w:szCs w:val="20"/>
              </w:rPr>
            </w:pPr>
            <w:r w:rsidRPr="008812F3">
              <w:rPr>
                <w:rFonts w:ascii="Arial Narrow" w:eastAsia="Times New Roman" w:hAnsi="Arial Narrow" w:cs="Times New Roman"/>
                <w:color w:val="000000"/>
                <w:sz w:val="20"/>
                <w:szCs w:val="20"/>
                <w:lang w:eastAsia="en-AU"/>
              </w:rPr>
              <w:t xml:space="preserve">Ballantyne et al. 2004, Atherosclerosis 5(Suppl. 1) p105-105; </w:t>
            </w:r>
          </w:p>
          <w:p w14:paraId="42494256" w14:textId="68AC6A6E" w:rsidR="00A430EE" w:rsidRPr="00AE49B3" w:rsidRDefault="00A430EE" w:rsidP="00140129">
            <w:pPr>
              <w:pStyle w:val="ListParagraph"/>
              <w:numPr>
                <w:ilvl w:val="0"/>
                <w:numId w:val="10"/>
              </w:numPr>
              <w:ind w:left="459" w:hanging="284"/>
              <w:rPr>
                <w:rFonts w:ascii="Arial Narrow" w:hAnsi="Arial Narrow"/>
                <w:sz w:val="20"/>
                <w:szCs w:val="20"/>
              </w:rPr>
            </w:pPr>
            <w:r w:rsidRPr="00AE49B3">
              <w:rPr>
                <w:rFonts w:ascii="Arial Narrow" w:eastAsia="Times New Roman" w:hAnsi="Arial Narrow" w:cs="Times New Roman"/>
                <w:color w:val="000000"/>
                <w:sz w:val="20"/>
                <w:szCs w:val="20"/>
                <w:lang w:eastAsia="en-AU"/>
              </w:rPr>
              <w:t>Ballantyne et al. 2004, Journal of the American College of Cardiology 43 (5, Suppl. A) 480A-481A)</w:t>
            </w:r>
          </w:p>
        </w:tc>
      </w:tr>
      <w:tr w:rsidR="00A430EE" w:rsidRPr="008A5E9F" w14:paraId="6CE1E524" w14:textId="77777777" w:rsidTr="003523B4">
        <w:tc>
          <w:tcPr>
            <w:tcW w:w="1560" w:type="dxa"/>
          </w:tcPr>
          <w:p w14:paraId="66FFD4C6" w14:textId="63FC520E" w:rsidR="00A430EE" w:rsidRDefault="00A430EE" w:rsidP="00A430EE">
            <w:pPr>
              <w:rPr>
                <w:rFonts w:ascii="Arial Narrow" w:hAnsi="Arial Narrow"/>
                <w:sz w:val="20"/>
                <w:szCs w:val="20"/>
              </w:rPr>
            </w:pPr>
            <w:r>
              <w:rPr>
                <w:rFonts w:ascii="Arial Narrow" w:hAnsi="Arial Narrow"/>
                <w:sz w:val="20"/>
                <w:szCs w:val="20"/>
              </w:rPr>
              <w:t>P693</w:t>
            </w:r>
          </w:p>
          <w:p w14:paraId="0FCCC050" w14:textId="370A4C3D" w:rsidR="00A430EE" w:rsidRPr="00CD6F42" w:rsidRDefault="00A430EE" w:rsidP="00A430EE">
            <w:pPr>
              <w:rPr>
                <w:rFonts w:ascii="Arial Narrow" w:hAnsi="Arial Narrow"/>
                <w:sz w:val="20"/>
                <w:szCs w:val="20"/>
              </w:rPr>
            </w:pPr>
            <w:r>
              <w:rPr>
                <w:rFonts w:ascii="Arial Narrow" w:hAnsi="Arial Narrow"/>
                <w:sz w:val="20"/>
                <w:szCs w:val="20"/>
              </w:rPr>
              <w:t>Stein 2004</w:t>
            </w:r>
          </w:p>
        </w:tc>
        <w:tc>
          <w:tcPr>
            <w:tcW w:w="7796" w:type="dxa"/>
          </w:tcPr>
          <w:p w14:paraId="28966FB8" w14:textId="77777777" w:rsidR="00A430EE" w:rsidRDefault="00A430EE" w:rsidP="00A430EE">
            <w:pPr>
              <w:rPr>
                <w:rFonts w:ascii="Arial Narrow" w:eastAsia="Times New Roman" w:hAnsi="Arial Narrow" w:cs="Times New Roman"/>
                <w:color w:val="000000"/>
                <w:sz w:val="20"/>
                <w:szCs w:val="20"/>
                <w:lang w:eastAsia="en-AU"/>
              </w:rPr>
            </w:pPr>
            <w:r w:rsidRPr="00B9764D">
              <w:rPr>
                <w:rFonts w:ascii="Arial Narrow" w:eastAsia="Times New Roman" w:hAnsi="Arial Narrow" w:cs="Times New Roman"/>
                <w:color w:val="000000"/>
                <w:sz w:val="20"/>
                <w:szCs w:val="20"/>
                <w:lang w:val="nl-NL" w:eastAsia="en-AU"/>
              </w:rPr>
              <w:t xml:space="preserve">Stein E, Stender S, Mata P, Sager P, Ponsonnet D, Melani L, et al. </w:t>
            </w:r>
            <w:r w:rsidRPr="00B9764D">
              <w:rPr>
                <w:rFonts w:ascii="Arial Narrow" w:eastAsia="Times New Roman" w:hAnsi="Arial Narrow" w:cs="Times New Roman"/>
                <w:color w:val="000000"/>
                <w:sz w:val="20"/>
                <w:szCs w:val="20"/>
                <w:lang w:eastAsia="en-AU"/>
              </w:rPr>
              <w:t xml:space="preserve">Achieving lipoprotein goals in patients at high risk with severe hypercholesterolemia: Efficacy and safety of ezetimibe co-administered with atorvastatin. American Heart Journal. 2004;148(3):447-55. </w:t>
            </w:r>
          </w:p>
          <w:p w14:paraId="2E48AB4E" w14:textId="77777777" w:rsidR="00A430EE" w:rsidRPr="00B9764D" w:rsidRDefault="00A430EE" w:rsidP="00140129">
            <w:pPr>
              <w:pStyle w:val="ListParagraph"/>
              <w:numPr>
                <w:ilvl w:val="0"/>
                <w:numId w:val="12"/>
              </w:numPr>
              <w:ind w:left="459" w:hanging="284"/>
              <w:rPr>
                <w:rFonts w:ascii="Arial Narrow" w:eastAsia="Times New Roman" w:hAnsi="Arial Narrow" w:cs="Times New Roman"/>
                <w:color w:val="000000"/>
                <w:sz w:val="20"/>
                <w:szCs w:val="20"/>
                <w:lang w:val="nl-NL" w:eastAsia="en-AU"/>
              </w:rPr>
            </w:pPr>
            <w:r w:rsidRPr="00B9764D">
              <w:rPr>
                <w:rFonts w:ascii="Arial Narrow" w:eastAsia="Times New Roman" w:hAnsi="Arial Narrow" w:cs="Times New Roman"/>
                <w:color w:val="000000"/>
                <w:sz w:val="20"/>
                <w:szCs w:val="20"/>
                <w:lang w:val="nl-NL" w:eastAsia="en-AU"/>
              </w:rPr>
              <w:t xml:space="preserve">Stein et al. 2002, Atherosclerosis 3(2) p211; </w:t>
            </w:r>
          </w:p>
          <w:p w14:paraId="34E0916C" w14:textId="77777777" w:rsidR="00A430EE" w:rsidRPr="00A52459" w:rsidRDefault="00A430EE" w:rsidP="00140129">
            <w:pPr>
              <w:pStyle w:val="ListParagraph"/>
              <w:numPr>
                <w:ilvl w:val="0"/>
                <w:numId w:val="11"/>
              </w:numPr>
              <w:ind w:left="459" w:hanging="284"/>
              <w:rPr>
                <w:rFonts w:ascii="Arial Narrow" w:eastAsia="Times New Roman" w:hAnsi="Arial Narrow" w:cs="Times New Roman"/>
                <w:color w:val="000000"/>
                <w:sz w:val="20"/>
                <w:szCs w:val="20"/>
                <w:lang w:eastAsia="en-AU"/>
              </w:rPr>
            </w:pPr>
            <w:r w:rsidRPr="00A52459">
              <w:rPr>
                <w:rFonts w:ascii="Arial Narrow" w:eastAsia="Times New Roman" w:hAnsi="Arial Narrow" w:cs="Times New Roman"/>
                <w:color w:val="000000"/>
                <w:sz w:val="20"/>
                <w:szCs w:val="20"/>
                <w:lang w:val="nl-NL" w:eastAsia="en-AU"/>
              </w:rPr>
              <w:t xml:space="preserve">Stein et al. 2003, J. Am. </w:t>
            </w:r>
            <w:r w:rsidRPr="00A52459">
              <w:rPr>
                <w:rFonts w:ascii="Arial Narrow" w:eastAsia="Times New Roman" w:hAnsi="Arial Narrow" w:cs="Times New Roman"/>
                <w:color w:val="000000"/>
                <w:sz w:val="20"/>
                <w:szCs w:val="20"/>
                <w:lang w:eastAsia="en-AU"/>
              </w:rPr>
              <w:t xml:space="preserve">Coll. Cardiol. 41 (6, Suppl. A) 255A-255A; </w:t>
            </w:r>
          </w:p>
          <w:p w14:paraId="2C12C526" w14:textId="77777777" w:rsidR="00A430EE" w:rsidRDefault="00A430EE" w:rsidP="00140129">
            <w:pPr>
              <w:pStyle w:val="ListParagraph"/>
              <w:numPr>
                <w:ilvl w:val="0"/>
                <w:numId w:val="11"/>
              </w:numPr>
              <w:ind w:left="459" w:hanging="284"/>
              <w:rPr>
                <w:rFonts w:ascii="Arial Narrow" w:eastAsia="Times New Roman" w:hAnsi="Arial Narrow" w:cs="Times New Roman"/>
                <w:color w:val="000000"/>
                <w:sz w:val="20"/>
                <w:szCs w:val="20"/>
                <w:lang w:eastAsia="en-AU"/>
              </w:rPr>
            </w:pPr>
            <w:r w:rsidRPr="00A52459">
              <w:rPr>
                <w:rFonts w:ascii="Arial Narrow" w:eastAsia="Times New Roman" w:hAnsi="Arial Narrow" w:cs="Times New Roman"/>
                <w:color w:val="000000"/>
                <w:sz w:val="20"/>
                <w:szCs w:val="20"/>
                <w:lang w:val="nl-NL" w:eastAsia="en-AU"/>
              </w:rPr>
              <w:t xml:space="preserve">Vermaak et al. 2003, J. Am. </w:t>
            </w:r>
            <w:r w:rsidRPr="00A52459">
              <w:rPr>
                <w:rFonts w:ascii="Arial Narrow" w:eastAsia="Times New Roman" w:hAnsi="Arial Narrow" w:cs="Times New Roman"/>
                <w:color w:val="000000"/>
                <w:sz w:val="20"/>
                <w:szCs w:val="20"/>
                <w:lang w:eastAsia="en-AU"/>
              </w:rPr>
              <w:t xml:space="preserve">Coll. Cardiol. 41 (6, Suppl. A) 255A-255A; </w:t>
            </w:r>
          </w:p>
          <w:p w14:paraId="3CFA642D" w14:textId="672205B7" w:rsidR="00A430EE" w:rsidRPr="00DE3450" w:rsidRDefault="00A430EE" w:rsidP="00140129">
            <w:pPr>
              <w:pStyle w:val="ListParagraph"/>
              <w:numPr>
                <w:ilvl w:val="0"/>
                <w:numId w:val="11"/>
              </w:numPr>
              <w:ind w:left="459" w:hanging="284"/>
              <w:rPr>
                <w:rFonts w:ascii="Arial Narrow" w:eastAsia="Times New Roman" w:hAnsi="Arial Narrow" w:cs="Times New Roman"/>
                <w:color w:val="000000"/>
                <w:sz w:val="20"/>
                <w:szCs w:val="20"/>
                <w:lang w:val="nl-NL" w:eastAsia="en-AU"/>
              </w:rPr>
            </w:pPr>
            <w:r w:rsidRPr="00AE49B3">
              <w:rPr>
                <w:rFonts w:ascii="Arial Narrow" w:eastAsia="Times New Roman" w:hAnsi="Arial Narrow" w:cs="Times New Roman"/>
                <w:color w:val="000000"/>
                <w:sz w:val="20"/>
                <w:szCs w:val="20"/>
                <w:lang w:val="nl-NL" w:eastAsia="en-AU"/>
              </w:rPr>
              <w:t>Vermaak et al. 2002, Atherosclerosis 3(2) p230-231</w:t>
            </w:r>
          </w:p>
        </w:tc>
      </w:tr>
      <w:tr w:rsidR="00A430EE" w:rsidRPr="00CD6F42" w14:paraId="1B48A64D" w14:textId="77777777" w:rsidTr="003523B4">
        <w:trPr>
          <w:trHeight w:val="728"/>
        </w:trPr>
        <w:tc>
          <w:tcPr>
            <w:tcW w:w="1560" w:type="dxa"/>
          </w:tcPr>
          <w:p w14:paraId="42E6C8ED" w14:textId="77777777" w:rsidR="00A430EE" w:rsidRDefault="00A430EE" w:rsidP="00A430EE">
            <w:pPr>
              <w:rPr>
                <w:rFonts w:ascii="Arial Narrow" w:hAnsi="Arial Narrow"/>
                <w:sz w:val="20"/>
                <w:szCs w:val="20"/>
              </w:rPr>
            </w:pPr>
            <w:r w:rsidRPr="00CD6F42">
              <w:rPr>
                <w:rFonts w:ascii="Arial Narrow" w:hAnsi="Arial Narrow"/>
                <w:sz w:val="20"/>
                <w:szCs w:val="20"/>
              </w:rPr>
              <w:lastRenderedPageBreak/>
              <w:t>McKenney 2007</w:t>
            </w:r>
          </w:p>
          <w:p w14:paraId="178DBF75" w14:textId="2AB70A95" w:rsidR="00A430EE" w:rsidRPr="00CD6F42" w:rsidRDefault="00A430EE" w:rsidP="00A430EE">
            <w:pPr>
              <w:rPr>
                <w:rFonts w:ascii="Arial Narrow" w:hAnsi="Arial Narrow"/>
                <w:sz w:val="20"/>
                <w:szCs w:val="20"/>
              </w:rPr>
            </w:pPr>
            <w:r w:rsidRPr="00FF45E4">
              <w:rPr>
                <w:rFonts w:ascii="Arial Narrow" w:hAnsi="Arial Narrow"/>
                <w:sz w:val="20"/>
                <w:szCs w:val="20"/>
              </w:rPr>
              <w:t>COMPELL</w:t>
            </w:r>
          </w:p>
        </w:tc>
        <w:tc>
          <w:tcPr>
            <w:tcW w:w="7796" w:type="dxa"/>
          </w:tcPr>
          <w:p w14:paraId="33F6B9F4" w14:textId="5CC86AF0" w:rsidR="00A430EE" w:rsidRPr="00CD6F42" w:rsidRDefault="00A430EE" w:rsidP="00A430EE">
            <w:pPr>
              <w:rPr>
                <w:rFonts w:ascii="Arial Narrow" w:hAnsi="Arial Narrow"/>
                <w:sz w:val="20"/>
                <w:szCs w:val="20"/>
              </w:rPr>
            </w:pPr>
            <w:r w:rsidRPr="00EC157E">
              <w:rPr>
                <w:rFonts w:ascii="Arial Narrow" w:eastAsia="Times New Roman" w:hAnsi="Arial Narrow" w:cs="Times New Roman"/>
                <w:color w:val="000000"/>
                <w:sz w:val="20"/>
                <w:szCs w:val="20"/>
                <w:lang w:eastAsia="en-AU"/>
              </w:rPr>
              <w:t>McKenney JM, Jones PH, Bays HE, Knopp RH, Kashyap ML, Ruoff GE, et al. Comparative effects on lipid levels of combination therapy with a statin and extended-release niacin or ezetimibe versus a statin alone (the COMPELL study). Atherosclerosis. 2007;192(2):432-7.</w:t>
            </w:r>
          </w:p>
        </w:tc>
      </w:tr>
      <w:tr w:rsidR="00A430EE" w:rsidRPr="00CD6F42" w14:paraId="55B0E147" w14:textId="77777777" w:rsidTr="003523B4">
        <w:trPr>
          <w:trHeight w:val="363"/>
        </w:trPr>
        <w:tc>
          <w:tcPr>
            <w:tcW w:w="9356" w:type="dxa"/>
            <w:gridSpan w:val="2"/>
            <w:vAlign w:val="center"/>
          </w:tcPr>
          <w:p w14:paraId="127961FD" w14:textId="58F32F66" w:rsidR="00A430EE" w:rsidRPr="00C87881" w:rsidRDefault="00A430EE" w:rsidP="00980F6B">
            <w:pPr>
              <w:pStyle w:val="ListParagraph"/>
              <w:spacing w:after="240"/>
              <w:ind w:left="0"/>
              <w:jc w:val="center"/>
              <w:rPr>
                <w:rFonts w:ascii="Arial Narrow" w:hAnsi="Arial Narrow"/>
                <w:b/>
                <w:sz w:val="20"/>
                <w:szCs w:val="20"/>
              </w:rPr>
            </w:pPr>
            <w:r>
              <w:rPr>
                <w:rFonts w:ascii="Arial Narrow" w:hAnsi="Arial Narrow"/>
                <w:b/>
                <w:sz w:val="20"/>
                <w:szCs w:val="20"/>
              </w:rPr>
              <w:t xml:space="preserve">Fixed dose of statin + ezetimibe </w:t>
            </w:r>
            <w:r w:rsidRPr="00C87881">
              <w:rPr>
                <w:rFonts w:ascii="Arial Narrow" w:hAnsi="Arial Narrow"/>
                <w:b/>
                <w:sz w:val="20"/>
                <w:szCs w:val="20"/>
              </w:rPr>
              <w:t xml:space="preserve">vs </w:t>
            </w:r>
            <w:r>
              <w:rPr>
                <w:rFonts w:ascii="Arial Narrow" w:hAnsi="Arial Narrow"/>
                <w:b/>
                <w:sz w:val="20"/>
                <w:szCs w:val="20"/>
              </w:rPr>
              <w:t>up-titrating</w:t>
            </w:r>
            <w:r w:rsidRPr="00C87881">
              <w:rPr>
                <w:rFonts w:ascii="Arial Narrow" w:hAnsi="Arial Narrow"/>
                <w:b/>
                <w:sz w:val="20"/>
                <w:szCs w:val="20"/>
              </w:rPr>
              <w:t xml:space="preserve"> statin</w:t>
            </w:r>
            <w:r w:rsidR="00980F6B">
              <w:rPr>
                <w:rFonts w:ascii="Arial Narrow" w:hAnsi="Arial Narrow"/>
                <w:b/>
                <w:sz w:val="20"/>
                <w:szCs w:val="20"/>
              </w:rPr>
              <w:t xml:space="preserve"> </w:t>
            </w:r>
            <w:r w:rsidR="00980F6B" w:rsidRPr="00980F6B">
              <w:rPr>
                <w:rFonts w:ascii="Arial Narrow" w:hAnsi="Arial Narrow"/>
                <w:b/>
                <w:sz w:val="20"/>
                <w:szCs w:val="20"/>
              </w:rPr>
              <w:t>either in terms of dose or in terms of potency</w:t>
            </w:r>
          </w:p>
        </w:tc>
      </w:tr>
      <w:tr w:rsidR="00A430EE" w:rsidRPr="00EC4F8A" w14:paraId="0044AA44" w14:textId="77777777" w:rsidTr="003523B4">
        <w:tc>
          <w:tcPr>
            <w:tcW w:w="1560" w:type="dxa"/>
          </w:tcPr>
          <w:p w14:paraId="5B262B4B" w14:textId="32204FC3" w:rsidR="00A430EE" w:rsidRDefault="00A430EE" w:rsidP="00A430EE">
            <w:pPr>
              <w:rPr>
                <w:rFonts w:ascii="Arial Narrow" w:eastAsia="Times New Roman" w:hAnsi="Arial Narrow" w:cs="Times New Roman"/>
                <w:color w:val="000000"/>
                <w:sz w:val="20"/>
                <w:szCs w:val="20"/>
                <w:lang w:eastAsia="en-AU"/>
              </w:rPr>
            </w:pPr>
            <w:r w:rsidRPr="00A52459">
              <w:rPr>
                <w:rFonts w:ascii="Arial Narrow" w:eastAsia="Times New Roman" w:hAnsi="Arial Narrow" w:cs="Times New Roman"/>
                <w:color w:val="000000"/>
                <w:sz w:val="20"/>
                <w:szCs w:val="20"/>
                <w:lang w:eastAsia="en-AU"/>
              </w:rPr>
              <w:t>P090</w:t>
            </w:r>
          </w:p>
          <w:p w14:paraId="7DBF4DBC" w14:textId="4480E53C" w:rsidR="00A430EE" w:rsidRPr="00CD6F42" w:rsidRDefault="00A430EE" w:rsidP="00A430EE">
            <w:pPr>
              <w:rPr>
                <w:rFonts w:ascii="Arial Narrow" w:hAnsi="Arial Narrow"/>
                <w:sz w:val="20"/>
                <w:szCs w:val="20"/>
              </w:rPr>
            </w:pPr>
            <w:r w:rsidRPr="00E42240">
              <w:rPr>
                <w:rFonts w:ascii="Arial Narrow" w:eastAsia="Times New Roman" w:hAnsi="Arial Narrow" w:cs="Times New Roman"/>
                <w:color w:val="000000"/>
                <w:sz w:val="20"/>
                <w:szCs w:val="20"/>
                <w:lang w:eastAsia="en-AU"/>
              </w:rPr>
              <w:t>Leiter</w:t>
            </w:r>
            <w:r>
              <w:rPr>
                <w:rFonts w:ascii="Arial Narrow" w:eastAsia="Times New Roman" w:hAnsi="Arial Narrow" w:cs="Times New Roman"/>
                <w:color w:val="000000"/>
                <w:sz w:val="20"/>
                <w:szCs w:val="20"/>
                <w:lang w:eastAsia="en-AU"/>
              </w:rPr>
              <w:t xml:space="preserve"> 2008</w:t>
            </w:r>
          </w:p>
        </w:tc>
        <w:tc>
          <w:tcPr>
            <w:tcW w:w="7796" w:type="dxa"/>
          </w:tcPr>
          <w:p w14:paraId="2F16298C" w14:textId="2D7B3C19" w:rsidR="00A430EE" w:rsidRPr="00EC157E" w:rsidRDefault="00A430EE" w:rsidP="00A430EE">
            <w:pPr>
              <w:rPr>
                <w:rFonts w:ascii="Arial Narrow" w:eastAsia="Times New Roman" w:hAnsi="Arial Narrow" w:cs="Times New Roman"/>
                <w:color w:val="000000"/>
                <w:sz w:val="20"/>
                <w:szCs w:val="20"/>
                <w:lang w:eastAsia="en-AU"/>
              </w:rPr>
            </w:pPr>
            <w:r w:rsidRPr="00E42240">
              <w:rPr>
                <w:rFonts w:ascii="Arial Narrow" w:eastAsia="Times New Roman" w:hAnsi="Arial Narrow" w:cs="Times New Roman"/>
                <w:color w:val="000000"/>
                <w:sz w:val="20"/>
                <w:szCs w:val="20"/>
                <w:lang w:eastAsia="en-AU"/>
              </w:rPr>
              <w:t>Leiter LA, Bays H, Conard S, Bird S, Rubino J, Hanson ME, et al. Efficacy and safety of ezetimibe added on to atorvastatin (40 mg) compared with uptitration of atorvastatin (to 80 mg) in hypercholesterolemic patients at high risk of coronary heart disease. American Journal of Cardiology. 2008;102(11):1495-501. PubMed PMID: 19026303.</w:t>
            </w:r>
          </w:p>
        </w:tc>
      </w:tr>
      <w:tr w:rsidR="00A430EE" w:rsidRPr="00EC4F8A" w14:paraId="544F3B34" w14:textId="77777777" w:rsidTr="003523B4">
        <w:tc>
          <w:tcPr>
            <w:tcW w:w="1560" w:type="dxa"/>
          </w:tcPr>
          <w:p w14:paraId="449CB13D" w14:textId="4240AB41" w:rsidR="00A430EE" w:rsidRPr="00A52459" w:rsidRDefault="00A430EE" w:rsidP="00A430EE">
            <w:pPr>
              <w:rPr>
                <w:rFonts w:ascii="Arial Narrow" w:eastAsia="Times New Roman" w:hAnsi="Arial Narrow" w:cs="Times New Roman"/>
                <w:color w:val="000000"/>
                <w:sz w:val="20"/>
                <w:szCs w:val="20"/>
                <w:lang w:eastAsia="en-AU"/>
              </w:rPr>
            </w:pPr>
            <w:r w:rsidRPr="00C66F1F">
              <w:rPr>
                <w:rFonts w:ascii="Arial Narrow" w:hAnsi="Arial Narrow"/>
                <w:sz w:val="20"/>
                <w:szCs w:val="20"/>
              </w:rPr>
              <w:t>Teramoto</w:t>
            </w:r>
            <w:r>
              <w:rPr>
                <w:rFonts w:ascii="Arial Narrow" w:hAnsi="Arial Narrow"/>
                <w:sz w:val="20"/>
                <w:szCs w:val="20"/>
              </w:rPr>
              <w:t xml:space="preserve"> 2012</w:t>
            </w:r>
            <w:r w:rsidR="00BC604A" w:rsidRPr="00BC604A">
              <w:rPr>
                <w:rFonts w:ascii="Arial Narrow" w:hAnsi="Arial Narrow"/>
                <w:b/>
                <w:sz w:val="20"/>
                <w:szCs w:val="20"/>
              </w:rPr>
              <w:t>*</w:t>
            </w:r>
          </w:p>
        </w:tc>
        <w:tc>
          <w:tcPr>
            <w:tcW w:w="7796" w:type="dxa"/>
          </w:tcPr>
          <w:p w14:paraId="4A485770" w14:textId="55DDB96E" w:rsidR="00A430EE" w:rsidRPr="00E42240" w:rsidRDefault="00A430EE" w:rsidP="00A430EE">
            <w:pPr>
              <w:rPr>
                <w:rFonts w:ascii="Arial Narrow" w:eastAsia="Times New Roman" w:hAnsi="Arial Narrow" w:cs="Times New Roman"/>
                <w:color w:val="000000"/>
                <w:sz w:val="20"/>
                <w:szCs w:val="20"/>
                <w:lang w:eastAsia="en-AU"/>
              </w:rPr>
            </w:pPr>
            <w:r w:rsidRPr="00EC157E">
              <w:rPr>
                <w:rFonts w:ascii="Arial Narrow" w:eastAsia="Times New Roman" w:hAnsi="Arial Narrow" w:cs="Times New Roman"/>
                <w:color w:val="000000"/>
                <w:sz w:val="20"/>
                <w:szCs w:val="20"/>
                <w:lang w:eastAsia="en-AU"/>
              </w:rPr>
              <w:t>Teramoto T, Sawada T, Iwamoto K, Daida H. Clinical Efficacy and Tolerability of Ezetimibe in Combination With Atorvastatin in Japanese Patients With Hypercholesterolemia-Ezetimibe Phase IV Randomized Controlled Trial in Patients With Hypercholesterolemia. Current Therapeutic Research, Clinical &amp; Experimental. 2012;73(1-2):16-40.</w:t>
            </w:r>
          </w:p>
        </w:tc>
      </w:tr>
      <w:tr w:rsidR="00A430EE" w:rsidRPr="00EC4F8A" w14:paraId="552272C7" w14:textId="77777777" w:rsidTr="003523B4">
        <w:tc>
          <w:tcPr>
            <w:tcW w:w="1560" w:type="dxa"/>
          </w:tcPr>
          <w:p w14:paraId="6CEF758D" w14:textId="22B5C3AC" w:rsidR="00A430EE" w:rsidRDefault="00A430EE" w:rsidP="00A430EE">
            <w:pPr>
              <w:rPr>
                <w:rFonts w:ascii="Arial Narrow" w:eastAsia="Times New Roman" w:hAnsi="Arial Narrow" w:cs="Times New Roman"/>
                <w:color w:val="000000"/>
                <w:sz w:val="20"/>
                <w:szCs w:val="20"/>
                <w:lang w:eastAsia="en-AU"/>
              </w:rPr>
            </w:pPr>
            <w:r w:rsidRPr="00A52459">
              <w:rPr>
                <w:rFonts w:ascii="Arial Narrow" w:eastAsia="Times New Roman" w:hAnsi="Arial Narrow" w:cs="Times New Roman"/>
                <w:color w:val="000000"/>
                <w:sz w:val="20"/>
                <w:szCs w:val="20"/>
                <w:lang w:eastAsia="en-AU"/>
              </w:rPr>
              <w:t>P079</w:t>
            </w:r>
          </w:p>
          <w:p w14:paraId="2A54AA13" w14:textId="23ECA000" w:rsidR="00A430EE" w:rsidRPr="00EC4F8A" w:rsidRDefault="00A430EE" w:rsidP="00A430EE">
            <w:pPr>
              <w:rPr>
                <w:rFonts w:ascii="Arial Narrow" w:hAnsi="Arial Narrow"/>
                <w:sz w:val="20"/>
                <w:szCs w:val="20"/>
              </w:rPr>
            </w:pPr>
            <w:r w:rsidRPr="009B51C7">
              <w:rPr>
                <w:rFonts w:ascii="Arial Narrow" w:eastAsia="Times New Roman" w:hAnsi="Arial Narrow" w:cs="Times New Roman"/>
                <w:color w:val="000000"/>
                <w:sz w:val="20"/>
                <w:szCs w:val="20"/>
                <w:lang w:eastAsia="en-AU"/>
              </w:rPr>
              <w:t>Conard</w:t>
            </w:r>
            <w:r>
              <w:rPr>
                <w:rFonts w:ascii="Arial Narrow" w:eastAsia="Times New Roman" w:hAnsi="Arial Narrow" w:cs="Times New Roman"/>
                <w:color w:val="000000"/>
                <w:sz w:val="20"/>
                <w:szCs w:val="20"/>
                <w:lang w:eastAsia="en-AU"/>
              </w:rPr>
              <w:t xml:space="preserve"> 2008</w:t>
            </w:r>
          </w:p>
        </w:tc>
        <w:tc>
          <w:tcPr>
            <w:tcW w:w="7796" w:type="dxa"/>
          </w:tcPr>
          <w:p w14:paraId="0D0D5FD7" w14:textId="3E09AF37" w:rsidR="00A430EE" w:rsidRPr="00041F4F" w:rsidRDefault="00A430EE" w:rsidP="00A430EE">
            <w:pPr>
              <w:rPr>
                <w:rFonts w:ascii="Arial Narrow" w:hAnsi="Arial Narrow"/>
                <w:sz w:val="20"/>
                <w:szCs w:val="20"/>
              </w:rPr>
            </w:pPr>
            <w:r w:rsidRPr="009B51C7">
              <w:rPr>
                <w:rFonts w:ascii="Arial Narrow" w:eastAsia="Times New Roman" w:hAnsi="Arial Narrow" w:cs="Times New Roman"/>
                <w:color w:val="000000"/>
                <w:sz w:val="20"/>
                <w:szCs w:val="20"/>
                <w:lang w:eastAsia="en-AU"/>
              </w:rPr>
              <w:t>Conard SE, Bays HE, Leiter LA, Bird SR, Rubino J, Lowe RS, et al. Efficacy and safety of ezetimibe added on to atorvastatin (20 mg) versus uptitration of atorvastatin (to 40 mg) in hypercholesterolemic patients at moderately high risk for coronary heart disease. American Journal of Cardiology. 2008;102(11):1489-94.</w:t>
            </w:r>
          </w:p>
        </w:tc>
      </w:tr>
      <w:tr w:rsidR="00A430EE" w:rsidRPr="00EC4F8A" w14:paraId="2A0C89FF" w14:textId="77777777" w:rsidTr="003523B4">
        <w:tc>
          <w:tcPr>
            <w:tcW w:w="1560" w:type="dxa"/>
          </w:tcPr>
          <w:p w14:paraId="4B7582ED" w14:textId="45F6B627" w:rsidR="00A430EE" w:rsidRPr="00CD6F42" w:rsidRDefault="00A430EE" w:rsidP="00A430EE">
            <w:pPr>
              <w:rPr>
                <w:rFonts w:ascii="Arial Narrow" w:hAnsi="Arial Narrow"/>
                <w:sz w:val="20"/>
                <w:szCs w:val="20"/>
              </w:rPr>
            </w:pPr>
            <w:r w:rsidRPr="007D3A14">
              <w:rPr>
                <w:rFonts w:ascii="Arial Narrow" w:hAnsi="Arial Narrow" w:cs="Segoe UI"/>
                <w:sz w:val="20"/>
                <w:szCs w:val="20"/>
              </w:rPr>
              <w:t>Pesaro</w:t>
            </w:r>
            <w:r>
              <w:rPr>
                <w:rFonts w:ascii="Arial Narrow" w:hAnsi="Arial Narrow" w:cs="Segoe UI"/>
                <w:sz w:val="20"/>
                <w:szCs w:val="20"/>
              </w:rPr>
              <w:t xml:space="preserve"> 2013</w:t>
            </w:r>
            <w:r w:rsidR="00BC604A" w:rsidRPr="00BC604A">
              <w:rPr>
                <w:rFonts w:ascii="Arial Narrow" w:hAnsi="Arial Narrow"/>
                <w:b/>
                <w:sz w:val="20"/>
                <w:szCs w:val="20"/>
              </w:rPr>
              <w:t>*</w:t>
            </w:r>
          </w:p>
        </w:tc>
        <w:tc>
          <w:tcPr>
            <w:tcW w:w="7796" w:type="dxa"/>
          </w:tcPr>
          <w:p w14:paraId="59CCECED" w14:textId="77777777" w:rsidR="00A430EE" w:rsidRPr="00334273" w:rsidRDefault="00A430EE" w:rsidP="00A430EE">
            <w:pPr>
              <w:autoSpaceDE w:val="0"/>
              <w:autoSpaceDN w:val="0"/>
              <w:adjustRightInd w:val="0"/>
              <w:rPr>
                <w:rFonts w:ascii="Arial Narrow" w:hAnsi="Arial Narrow" w:cs="Segoe UI"/>
                <w:sz w:val="20"/>
                <w:szCs w:val="20"/>
              </w:rPr>
            </w:pPr>
            <w:r w:rsidRPr="007D3A14">
              <w:rPr>
                <w:rFonts w:ascii="Arial Narrow" w:hAnsi="Arial Narrow" w:cs="Segoe UI"/>
                <w:sz w:val="20"/>
                <w:szCs w:val="20"/>
              </w:rPr>
              <w:t xml:space="preserve">Pesaro AE, Serrano CV, Jr., Fernandes JL, Cavalcanti AB, Campos AH, Martins HS, et al. Pleiotropic effects of ezetimibe/simvastatin vs. high dose simvastatin. International Journal of Cardiology. </w:t>
            </w:r>
            <w:r w:rsidRPr="00334273">
              <w:rPr>
                <w:rFonts w:ascii="Arial Narrow" w:hAnsi="Arial Narrow" w:cs="Segoe UI"/>
                <w:sz w:val="20"/>
                <w:szCs w:val="20"/>
              </w:rPr>
              <w:t>2012;158(3):400-4. PubMed PMID: 21334753.</w:t>
            </w:r>
          </w:p>
          <w:p w14:paraId="762CA6EB" w14:textId="25AA374F" w:rsidR="00A430EE" w:rsidRPr="00CD6F42" w:rsidRDefault="00A430EE" w:rsidP="00140129">
            <w:pPr>
              <w:pStyle w:val="ListParagraph"/>
              <w:numPr>
                <w:ilvl w:val="0"/>
                <w:numId w:val="12"/>
              </w:numPr>
              <w:ind w:left="459" w:hanging="284"/>
              <w:rPr>
                <w:rFonts w:ascii="Arial Narrow" w:hAnsi="Arial Narrow"/>
                <w:sz w:val="20"/>
                <w:szCs w:val="20"/>
                <w:lang w:val="nl-NL"/>
              </w:rPr>
            </w:pPr>
            <w:r w:rsidRPr="00DE3450">
              <w:rPr>
                <w:rFonts w:ascii="Arial Narrow" w:eastAsia="Times New Roman" w:hAnsi="Arial Narrow" w:cs="Times New Roman"/>
                <w:color w:val="000000"/>
                <w:sz w:val="20"/>
                <w:szCs w:val="20"/>
                <w:lang w:eastAsia="en-AU"/>
              </w:rPr>
              <w:t xml:space="preserve">Pesaro AE, Serrano CV, Jr., Katz M, Marti L, Fernandes JL, Parra PR, et al. Increasing doses of simvastatin versus combined ezetimibe/simvastatin: effect on circulating endothelial progenitor cells. </w:t>
            </w:r>
            <w:r w:rsidRPr="00041F4F">
              <w:rPr>
                <w:rFonts w:ascii="Arial Narrow" w:eastAsia="Times New Roman" w:hAnsi="Arial Narrow" w:cs="Times New Roman"/>
                <w:color w:val="000000"/>
                <w:sz w:val="20"/>
                <w:szCs w:val="20"/>
                <w:lang w:val="nl-NL" w:eastAsia="en-AU"/>
              </w:rPr>
              <w:t>Journal of Cardiovascular Pharmacology &amp; Therapeutics. 2013;18(5):447-52. PubMed PMID: 23739650.</w:t>
            </w:r>
          </w:p>
        </w:tc>
      </w:tr>
      <w:tr w:rsidR="00A430EE" w:rsidRPr="00EC4F8A" w14:paraId="15F321D8" w14:textId="77777777" w:rsidTr="003523B4">
        <w:tc>
          <w:tcPr>
            <w:tcW w:w="1560" w:type="dxa"/>
          </w:tcPr>
          <w:p w14:paraId="6BE91E2A" w14:textId="52D9D7B6" w:rsidR="00A430EE" w:rsidRDefault="00A430EE" w:rsidP="00A430EE">
            <w:pPr>
              <w:rPr>
                <w:rFonts w:ascii="Arial Narrow" w:hAnsi="Arial Narrow"/>
                <w:sz w:val="20"/>
                <w:szCs w:val="20"/>
              </w:rPr>
            </w:pPr>
            <w:r>
              <w:rPr>
                <w:rFonts w:ascii="Arial Narrow" w:hAnsi="Arial Narrow"/>
                <w:sz w:val="20"/>
                <w:szCs w:val="20"/>
              </w:rPr>
              <w:t>P021</w:t>
            </w:r>
          </w:p>
          <w:p w14:paraId="03C187FF" w14:textId="693731C2" w:rsidR="00A430EE" w:rsidRPr="00CD6F42" w:rsidRDefault="00A430EE" w:rsidP="00A430EE">
            <w:pPr>
              <w:rPr>
                <w:rFonts w:ascii="Arial Narrow" w:hAnsi="Arial Narrow"/>
                <w:sz w:val="20"/>
                <w:szCs w:val="20"/>
              </w:rPr>
            </w:pPr>
            <w:r w:rsidRPr="00EC4F8A">
              <w:rPr>
                <w:rFonts w:ascii="Arial Narrow" w:hAnsi="Arial Narrow"/>
                <w:sz w:val="20"/>
                <w:szCs w:val="20"/>
              </w:rPr>
              <w:t>Gaudiani</w:t>
            </w:r>
            <w:r>
              <w:rPr>
                <w:rFonts w:ascii="Arial Narrow" w:hAnsi="Arial Narrow"/>
                <w:sz w:val="20"/>
                <w:szCs w:val="20"/>
              </w:rPr>
              <w:t xml:space="preserve"> 2005</w:t>
            </w:r>
          </w:p>
        </w:tc>
        <w:tc>
          <w:tcPr>
            <w:tcW w:w="7796" w:type="dxa"/>
          </w:tcPr>
          <w:p w14:paraId="057CCD1A" w14:textId="77777777" w:rsidR="00A430EE" w:rsidRDefault="00A430EE" w:rsidP="00A430EE">
            <w:pPr>
              <w:rPr>
                <w:rFonts w:ascii="Arial Narrow" w:hAnsi="Arial Narrow"/>
                <w:sz w:val="20"/>
                <w:szCs w:val="20"/>
              </w:rPr>
            </w:pPr>
            <w:r w:rsidRPr="0040419E">
              <w:rPr>
                <w:rFonts w:ascii="Arial Narrow" w:hAnsi="Arial Narrow"/>
                <w:sz w:val="20"/>
                <w:szCs w:val="20"/>
              </w:rPr>
              <w:t xml:space="preserve">Gaudiani LM, Lewin A, Meneghini L, Perevozskaya I, Plotkin D, Mitchel Y, et al. Efficacy and safety of ezetimibe co-administered with simvastatin in thiazolidinedione-treated type 2 diabetic patients. Diabetes, Obesity and Metabolism. 2005;7(1):88-97. </w:t>
            </w:r>
          </w:p>
          <w:p w14:paraId="328AE800" w14:textId="1FD507F5" w:rsidR="00A430EE" w:rsidRPr="00CD6F42" w:rsidRDefault="00A430EE" w:rsidP="00140129">
            <w:pPr>
              <w:pStyle w:val="ListParagraph"/>
              <w:numPr>
                <w:ilvl w:val="0"/>
                <w:numId w:val="12"/>
              </w:numPr>
              <w:ind w:left="459" w:hanging="284"/>
              <w:rPr>
                <w:rFonts w:ascii="Arial Narrow" w:hAnsi="Arial Narrow"/>
                <w:sz w:val="20"/>
                <w:szCs w:val="20"/>
              </w:rPr>
            </w:pPr>
            <w:r w:rsidRPr="00DE3450">
              <w:rPr>
                <w:rFonts w:ascii="Arial Narrow" w:eastAsia="Times New Roman" w:hAnsi="Arial Narrow" w:cs="Times New Roman"/>
                <w:color w:val="000000"/>
                <w:sz w:val="20"/>
                <w:szCs w:val="20"/>
                <w:lang w:eastAsia="en-AU"/>
              </w:rPr>
              <w:t>Gaudiani et al. 2004, Journal of the American College of Cardiology 43(5, Suppl A) 479A-479A;</w:t>
            </w:r>
          </w:p>
        </w:tc>
      </w:tr>
      <w:tr w:rsidR="00A430EE" w:rsidRPr="00EC4F8A" w14:paraId="3D57D2B1" w14:textId="77777777" w:rsidTr="003523B4">
        <w:tc>
          <w:tcPr>
            <w:tcW w:w="1560" w:type="dxa"/>
          </w:tcPr>
          <w:p w14:paraId="1B7F4DB8" w14:textId="77777777" w:rsidR="00A430EE" w:rsidRDefault="00A430EE" w:rsidP="00A430EE">
            <w:pPr>
              <w:rPr>
                <w:rFonts w:ascii="Arial Narrow" w:hAnsi="Arial Narrow"/>
                <w:sz w:val="20"/>
                <w:szCs w:val="20"/>
              </w:rPr>
            </w:pPr>
            <w:r>
              <w:rPr>
                <w:rFonts w:ascii="Arial Narrow" w:hAnsi="Arial Narrow"/>
                <w:sz w:val="20"/>
                <w:szCs w:val="20"/>
              </w:rPr>
              <w:t>P700</w:t>
            </w:r>
          </w:p>
          <w:p w14:paraId="6F234105" w14:textId="7C6EB5FB" w:rsidR="00A430EE" w:rsidRPr="00CD6F42" w:rsidRDefault="00A430EE" w:rsidP="00A430EE">
            <w:pPr>
              <w:rPr>
                <w:rFonts w:ascii="Arial Narrow" w:hAnsi="Arial Narrow"/>
                <w:sz w:val="20"/>
                <w:szCs w:val="20"/>
              </w:rPr>
            </w:pPr>
            <w:r>
              <w:rPr>
                <w:rFonts w:ascii="Arial Narrow" w:hAnsi="Arial Narrow"/>
                <w:sz w:val="20"/>
                <w:szCs w:val="20"/>
              </w:rPr>
              <w:t>Dobs 2003</w:t>
            </w:r>
          </w:p>
        </w:tc>
        <w:tc>
          <w:tcPr>
            <w:tcW w:w="7796" w:type="dxa"/>
          </w:tcPr>
          <w:p w14:paraId="1955C904" w14:textId="32C83E5E" w:rsidR="00A430EE" w:rsidRDefault="00A430EE" w:rsidP="00A430EE">
            <w:pPr>
              <w:pStyle w:val="ListParagraph"/>
              <w:spacing w:after="240"/>
              <w:ind w:left="0"/>
              <w:rPr>
                <w:rFonts w:ascii="Arial Narrow" w:hAnsi="Arial Narrow"/>
                <w:sz w:val="20"/>
                <w:szCs w:val="20"/>
              </w:rPr>
            </w:pPr>
            <w:r w:rsidRPr="00173C51">
              <w:rPr>
                <w:rFonts w:ascii="Arial Narrow" w:hAnsi="Arial Narrow"/>
                <w:sz w:val="20"/>
                <w:szCs w:val="20"/>
              </w:rPr>
              <w:t xml:space="preserve">Trial Report (Preliminary Summary) </w:t>
            </w:r>
            <w:r w:rsidR="00ED188B">
              <w:rPr>
                <w:rFonts w:ascii="Arial Narrow" w:hAnsi="Arial Narrow"/>
                <w:sz w:val="20"/>
                <w:szCs w:val="20"/>
              </w:rPr>
              <w:t>–</w:t>
            </w:r>
            <w:r w:rsidRPr="00173C51">
              <w:rPr>
                <w:rFonts w:ascii="Arial Narrow" w:hAnsi="Arial Narrow"/>
                <w:sz w:val="20"/>
                <w:szCs w:val="20"/>
              </w:rPr>
              <w:t xml:space="preserve"> Protocol 700: A phase III double-blind efficacy and safety study of SCH 58235 (10 mg) in addition to simvastatin in subjects with coronary heart disease or multiple risk factors and with primary hypercholesterolemia not controlled by a starting dose  (20 mg) of simvastatin. February 2002.</w:t>
            </w:r>
          </w:p>
          <w:p w14:paraId="36823C80" w14:textId="2A946F51" w:rsidR="00A430EE" w:rsidRPr="00CD6F42" w:rsidRDefault="00A430EE" w:rsidP="00140129">
            <w:pPr>
              <w:pStyle w:val="ListParagraph"/>
              <w:numPr>
                <w:ilvl w:val="0"/>
                <w:numId w:val="12"/>
              </w:numPr>
              <w:ind w:left="459" w:hanging="284"/>
              <w:rPr>
                <w:rFonts w:ascii="Arial Narrow" w:hAnsi="Arial Narrow"/>
                <w:sz w:val="20"/>
                <w:szCs w:val="20"/>
              </w:rPr>
            </w:pPr>
            <w:r w:rsidRPr="00DE3450">
              <w:rPr>
                <w:rFonts w:ascii="Arial Narrow" w:eastAsia="Times New Roman" w:hAnsi="Arial Narrow" w:cs="Times New Roman"/>
                <w:color w:val="000000"/>
                <w:sz w:val="20"/>
                <w:szCs w:val="20"/>
                <w:lang w:eastAsia="en-AU"/>
              </w:rPr>
              <w:t xml:space="preserve">Dobs AS, Guyton JR, McClusky D, Ponsonnet D, Melani L, Lebeaut A, et al. Coadministration of ezetimibe with simvastatin. Journal of the American College of Cardiology. </w:t>
            </w:r>
            <w:r w:rsidRPr="00173C51">
              <w:rPr>
                <w:rFonts w:ascii="Arial Narrow" w:eastAsia="Times New Roman" w:hAnsi="Arial Narrow" w:cs="Times New Roman"/>
                <w:color w:val="000000"/>
                <w:sz w:val="20"/>
                <w:szCs w:val="20"/>
                <w:lang w:val="nl-NL" w:eastAsia="en-AU"/>
              </w:rPr>
              <w:t>2003;41(6):227.</w:t>
            </w:r>
          </w:p>
        </w:tc>
      </w:tr>
      <w:tr w:rsidR="00A430EE" w:rsidRPr="00EC4F8A" w14:paraId="75EE74E9" w14:textId="77777777" w:rsidTr="003523B4">
        <w:tc>
          <w:tcPr>
            <w:tcW w:w="1560" w:type="dxa"/>
          </w:tcPr>
          <w:p w14:paraId="6D3AA21F" w14:textId="24B6D255" w:rsidR="00A430EE" w:rsidRPr="00CD6F42" w:rsidRDefault="00A430EE" w:rsidP="00A430EE">
            <w:pPr>
              <w:rPr>
                <w:rFonts w:ascii="Arial Narrow" w:hAnsi="Arial Narrow"/>
                <w:sz w:val="20"/>
                <w:szCs w:val="20"/>
              </w:rPr>
            </w:pPr>
            <w:r w:rsidRPr="00C66F1F">
              <w:rPr>
                <w:rFonts w:ascii="Arial Narrow" w:hAnsi="Arial Narrow"/>
                <w:sz w:val="20"/>
                <w:szCs w:val="20"/>
              </w:rPr>
              <w:t>Zieve</w:t>
            </w:r>
            <w:r>
              <w:rPr>
                <w:rFonts w:ascii="Arial Narrow" w:hAnsi="Arial Narrow"/>
                <w:sz w:val="20"/>
                <w:szCs w:val="20"/>
              </w:rPr>
              <w:t xml:space="preserve"> 2010</w:t>
            </w:r>
            <w:r w:rsidR="00BC604A" w:rsidRPr="00BC604A">
              <w:rPr>
                <w:rFonts w:ascii="Arial Narrow" w:hAnsi="Arial Narrow"/>
                <w:b/>
                <w:sz w:val="20"/>
                <w:szCs w:val="20"/>
              </w:rPr>
              <w:t>*</w:t>
            </w:r>
          </w:p>
        </w:tc>
        <w:tc>
          <w:tcPr>
            <w:tcW w:w="7796" w:type="dxa"/>
          </w:tcPr>
          <w:p w14:paraId="7D6A6696" w14:textId="4A85E9A9" w:rsidR="00A430EE" w:rsidRPr="00CD6F42" w:rsidRDefault="00A430EE" w:rsidP="00A430EE">
            <w:pPr>
              <w:rPr>
                <w:rFonts w:ascii="Arial Narrow" w:hAnsi="Arial Narrow"/>
                <w:sz w:val="20"/>
                <w:szCs w:val="20"/>
              </w:rPr>
            </w:pPr>
            <w:r w:rsidRPr="00C66F1F">
              <w:rPr>
                <w:rFonts w:ascii="Arial Narrow" w:hAnsi="Arial Narrow"/>
                <w:sz w:val="20"/>
                <w:szCs w:val="20"/>
              </w:rPr>
              <w:t>Zieve F, Wenger NK, Ben-Yehuda O, Constance C, Bird S, Lee R, et al. Safety and Efficacy of Ezetimibe Added to Atorvastatin Versus Up Titration of Atorvastatin to 40 mg in Patients &gt;= 65 Years of Age (from the ZETia in the ELDerly [ZETELD] Study). American Journal of Cardiology.</w:t>
            </w:r>
            <w:r w:rsidRPr="00EC157E">
              <w:rPr>
                <w:rFonts w:ascii="Arial Narrow" w:hAnsi="Arial Narrow"/>
                <w:sz w:val="20"/>
                <w:szCs w:val="20"/>
              </w:rPr>
              <w:t xml:space="preserve"> </w:t>
            </w:r>
            <w:r w:rsidRPr="00C66F1F">
              <w:rPr>
                <w:rFonts w:ascii="Arial Narrow" w:hAnsi="Arial Narrow"/>
                <w:sz w:val="20"/>
                <w:szCs w:val="20"/>
              </w:rPr>
              <w:t>2010;105(5):656-63.</w:t>
            </w:r>
          </w:p>
        </w:tc>
      </w:tr>
      <w:tr w:rsidR="00A430EE" w:rsidRPr="00EC4F8A" w14:paraId="3BA464DB" w14:textId="77777777" w:rsidTr="003523B4">
        <w:tc>
          <w:tcPr>
            <w:tcW w:w="1560" w:type="dxa"/>
          </w:tcPr>
          <w:p w14:paraId="4F60D8C5" w14:textId="72A720CA" w:rsidR="00A430EE" w:rsidRDefault="00A430EE" w:rsidP="00A430EE">
            <w:pPr>
              <w:rPr>
                <w:rFonts w:ascii="Arial Narrow" w:eastAsia="Times New Roman" w:hAnsi="Arial Narrow" w:cs="Times New Roman"/>
                <w:color w:val="000000"/>
                <w:sz w:val="20"/>
                <w:szCs w:val="20"/>
                <w:lang w:eastAsia="en-AU"/>
              </w:rPr>
            </w:pPr>
            <w:r w:rsidRPr="00A52459">
              <w:rPr>
                <w:rFonts w:ascii="Arial Narrow" w:eastAsia="Times New Roman" w:hAnsi="Arial Narrow" w:cs="Times New Roman"/>
                <w:color w:val="000000"/>
                <w:sz w:val="20"/>
                <w:szCs w:val="20"/>
                <w:lang w:eastAsia="en-AU"/>
              </w:rPr>
              <w:t>P809</w:t>
            </w:r>
          </w:p>
          <w:p w14:paraId="3B646B0D" w14:textId="3DAF475E" w:rsidR="00A430EE" w:rsidRPr="00C66F1F" w:rsidRDefault="00A430EE" w:rsidP="00A430EE">
            <w:pPr>
              <w:rPr>
                <w:rFonts w:ascii="Arial Narrow" w:hAnsi="Arial Narrow"/>
                <w:sz w:val="20"/>
                <w:szCs w:val="20"/>
              </w:rPr>
            </w:pPr>
            <w:r>
              <w:rPr>
                <w:rFonts w:ascii="Arial Narrow" w:eastAsia="Times New Roman" w:hAnsi="Arial Narrow" w:cs="Times New Roman"/>
                <w:color w:val="000000"/>
                <w:sz w:val="20"/>
                <w:szCs w:val="20"/>
                <w:lang w:eastAsia="en-AU"/>
              </w:rPr>
              <w:t>Farnier 2009</w:t>
            </w:r>
          </w:p>
        </w:tc>
        <w:tc>
          <w:tcPr>
            <w:tcW w:w="7796" w:type="dxa"/>
          </w:tcPr>
          <w:p w14:paraId="166BABA4" w14:textId="470D6CD9" w:rsidR="00A430EE" w:rsidRPr="00C66F1F" w:rsidRDefault="00A430EE" w:rsidP="00A430EE">
            <w:pPr>
              <w:rPr>
                <w:rFonts w:ascii="Arial Narrow" w:hAnsi="Arial Narrow"/>
                <w:sz w:val="20"/>
                <w:szCs w:val="20"/>
              </w:rPr>
            </w:pPr>
            <w:r w:rsidRPr="00320664">
              <w:rPr>
                <w:rFonts w:ascii="Arial Narrow" w:hAnsi="Arial Narrow"/>
                <w:sz w:val="20"/>
                <w:szCs w:val="20"/>
                <w:lang w:val="nl-NL"/>
              </w:rPr>
              <w:t xml:space="preserve">Farnier M, Averna M, Missault L, Vaverkova H, Viigimaa M, Massaad R, et al. </w:t>
            </w:r>
            <w:r w:rsidRPr="00EC157E">
              <w:rPr>
                <w:rFonts w:ascii="Arial Narrow" w:hAnsi="Arial Narrow"/>
                <w:sz w:val="20"/>
                <w:szCs w:val="20"/>
              </w:rPr>
              <w:t xml:space="preserve">Lipid-altering efficacy of ezetimibe/simvastatin 10/20 mg compared with rosuvastatin 10 mg in high-risk hypercholesterolaemic patients inadequately controlled with prior statin monotherapy </w:t>
            </w:r>
            <w:r w:rsidR="00ED188B">
              <w:rPr>
                <w:rFonts w:ascii="Arial Narrow" w:hAnsi="Arial Narrow"/>
                <w:sz w:val="20"/>
                <w:szCs w:val="20"/>
              </w:rPr>
              <w:t>–</w:t>
            </w:r>
            <w:r w:rsidRPr="00EC157E">
              <w:rPr>
                <w:rFonts w:ascii="Arial Narrow" w:hAnsi="Arial Narrow"/>
                <w:sz w:val="20"/>
                <w:szCs w:val="20"/>
              </w:rPr>
              <w:t xml:space="preserve"> The IN-CROSS study. International Journal of Clinical Practice. 2009;63(4):547-59.</w:t>
            </w:r>
          </w:p>
        </w:tc>
      </w:tr>
      <w:tr w:rsidR="00A430EE" w:rsidRPr="00EC4F8A" w14:paraId="73A186BC" w14:textId="77777777" w:rsidTr="003523B4">
        <w:tc>
          <w:tcPr>
            <w:tcW w:w="1560" w:type="dxa"/>
          </w:tcPr>
          <w:p w14:paraId="12B94E86" w14:textId="10A1D926" w:rsidR="00A430EE" w:rsidRDefault="00A430EE" w:rsidP="00A430EE">
            <w:pPr>
              <w:rPr>
                <w:rFonts w:ascii="Arial Narrow" w:hAnsi="Arial Narrow"/>
                <w:sz w:val="20"/>
                <w:szCs w:val="20"/>
              </w:rPr>
            </w:pPr>
            <w:r w:rsidRPr="00FF45E4">
              <w:rPr>
                <w:rFonts w:ascii="Arial Narrow" w:hAnsi="Arial Narrow"/>
                <w:sz w:val="20"/>
                <w:szCs w:val="20"/>
              </w:rPr>
              <w:t xml:space="preserve">P058 </w:t>
            </w:r>
          </w:p>
          <w:p w14:paraId="3148635E" w14:textId="751E970C" w:rsidR="00A430EE" w:rsidRPr="00FF45E4" w:rsidRDefault="00A430EE" w:rsidP="00A430EE">
            <w:pPr>
              <w:rPr>
                <w:rFonts w:ascii="Arial Narrow" w:hAnsi="Arial Narrow"/>
                <w:sz w:val="20"/>
                <w:szCs w:val="20"/>
              </w:rPr>
            </w:pPr>
            <w:r>
              <w:rPr>
                <w:rFonts w:ascii="Arial Narrow" w:hAnsi="Arial Narrow"/>
                <w:sz w:val="20"/>
                <w:szCs w:val="20"/>
              </w:rPr>
              <w:t>Catapano 2006</w:t>
            </w:r>
          </w:p>
        </w:tc>
        <w:tc>
          <w:tcPr>
            <w:tcW w:w="7796" w:type="dxa"/>
          </w:tcPr>
          <w:p w14:paraId="33994B54" w14:textId="77777777" w:rsidR="00A430EE" w:rsidRDefault="00A430EE" w:rsidP="00A430EE">
            <w:pPr>
              <w:rPr>
                <w:rFonts w:ascii="Arial Narrow" w:eastAsia="Times New Roman" w:hAnsi="Arial Narrow" w:cs="Times New Roman"/>
                <w:color w:val="000000"/>
                <w:sz w:val="20"/>
                <w:szCs w:val="20"/>
                <w:lang w:eastAsia="en-AU"/>
              </w:rPr>
            </w:pPr>
            <w:r w:rsidRPr="00436FA5">
              <w:rPr>
                <w:rFonts w:ascii="Arial Narrow" w:eastAsia="Times New Roman" w:hAnsi="Arial Narrow" w:cs="Times New Roman"/>
                <w:color w:val="000000"/>
                <w:sz w:val="20"/>
                <w:szCs w:val="20"/>
                <w:lang w:eastAsia="en-AU"/>
              </w:rPr>
              <w:t xml:space="preserve">Catapano AL, Davidson MH, Ballantyne CM, Brady WE, Gazzara RA, Tomassini JE, et al. Lipid-altering efficacy of the ezetimibe/simvastatin single tablet versus rosuvastatin in hypercholesterolemic patients. Current Medical Research &amp; Opinion. 2006;22(10):2041-53. </w:t>
            </w:r>
          </w:p>
          <w:p w14:paraId="4118E8A3" w14:textId="0940E4E1" w:rsidR="00A430EE" w:rsidRPr="00C66F1F" w:rsidRDefault="00A430EE" w:rsidP="00140129">
            <w:pPr>
              <w:pStyle w:val="ListParagraph"/>
              <w:numPr>
                <w:ilvl w:val="0"/>
                <w:numId w:val="12"/>
              </w:numPr>
              <w:ind w:left="459" w:hanging="284"/>
              <w:rPr>
                <w:rFonts w:ascii="Arial Narrow" w:hAnsi="Arial Narrow"/>
                <w:sz w:val="20"/>
                <w:szCs w:val="20"/>
              </w:rPr>
            </w:pPr>
            <w:r>
              <w:rPr>
                <w:rFonts w:ascii="Arial Narrow" w:hAnsi="Arial Narrow"/>
                <w:sz w:val="20"/>
                <w:szCs w:val="20"/>
              </w:rPr>
              <w:t xml:space="preserve"> </w:t>
            </w:r>
            <w:r w:rsidRPr="00DE3450">
              <w:rPr>
                <w:rFonts w:ascii="Arial Narrow" w:eastAsia="Times New Roman" w:hAnsi="Arial Narrow" w:cs="Times New Roman"/>
                <w:color w:val="000000"/>
                <w:sz w:val="20"/>
                <w:szCs w:val="20"/>
                <w:lang w:eastAsia="en-AU"/>
              </w:rPr>
              <w:t>Abate et al. 2006, J. Am. Geriatric Society 54(4, Suppl.) S163-S163;</w:t>
            </w:r>
          </w:p>
        </w:tc>
      </w:tr>
      <w:tr w:rsidR="00A430EE" w:rsidRPr="00EC4F8A" w14:paraId="7774FAA0" w14:textId="77777777" w:rsidTr="003523B4">
        <w:tc>
          <w:tcPr>
            <w:tcW w:w="1560" w:type="dxa"/>
          </w:tcPr>
          <w:p w14:paraId="39D37333" w14:textId="2C1452B5" w:rsidR="00A430EE" w:rsidRDefault="00A430EE" w:rsidP="00A430EE">
            <w:pPr>
              <w:rPr>
                <w:rFonts w:ascii="Arial Narrow" w:eastAsia="Times New Roman" w:hAnsi="Arial Narrow" w:cs="Times New Roman"/>
                <w:color w:val="000000"/>
                <w:sz w:val="20"/>
                <w:szCs w:val="20"/>
                <w:lang w:eastAsia="en-AU"/>
              </w:rPr>
            </w:pPr>
            <w:r w:rsidRPr="00A52459">
              <w:rPr>
                <w:rFonts w:ascii="Arial Narrow" w:eastAsia="Times New Roman" w:hAnsi="Arial Narrow" w:cs="Times New Roman"/>
                <w:color w:val="000000"/>
                <w:sz w:val="20"/>
                <w:szCs w:val="20"/>
                <w:lang w:eastAsia="en-AU"/>
              </w:rPr>
              <w:t>P077</w:t>
            </w:r>
          </w:p>
          <w:p w14:paraId="728E103C" w14:textId="7FF74D9B" w:rsidR="00A430EE" w:rsidRPr="00C66F1F" w:rsidRDefault="00A430EE" w:rsidP="00A430EE">
            <w:pPr>
              <w:rPr>
                <w:rFonts w:ascii="Arial Narrow" w:hAnsi="Arial Narrow"/>
                <w:sz w:val="20"/>
                <w:szCs w:val="20"/>
              </w:rPr>
            </w:pPr>
            <w:r>
              <w:rPr>
                <w:rFonts w:ascii="Arial Narrow" w:eastAsia="Times New Roman" w:hAnsi="Arial Narrow" w:cs="Times New Roman"/>
                <w:color w:val="000000"/>
                <w:sz w:val="20"/>
                <w:szCs w:val="20"/>
                <w:lang w:eastAsia="en-AU"/>
              </w:rPr>
              <w:t>Goldberg 2006</w:t>
            </w:r>
          </w:p>
        </w:tc>
        <w:tc>
          <w:tcPr>
            <w:tcW w:w="7796" w:type="dxa"/>
          </w:tcPr>
          <w:p w14:paraId="79630F31" w14:textId="77777777" w:rsidR="00A430EE" w:rsidRPr="00A52459" w:rsidRDefault="00A430EE" w:rsidP="00A430EE">
            <w:pPr>
              <w:rPr>
                <w:rFonts w:ascii="Arial Narrow" w:eastAsia="Times New Roman" w:hAnsi="Arial Narrow" w:cs="Times New Roman"/>
                <w:color w:val="000000"/>
                <w:sz w:val="20"/>
                <w:szCs w:val="20"/>
                <w:lang w:eastAsia="en-AU"/>
              </w:rPr>
            </w:pPr>
            <w:r w:rsidRPr="00283409">
              <w:rPr>
                <w:rFonts w:ascii="Arial Narrow" w:eastAsia="Times New Roman" w:hAnsi="Arial Narrow" w:cs="Times New Roman"/>
                <w:color w:val="000000"/>
                <w:sz w:val="20"/>
                <w:szCs w:val="20"/>
                <w:lang w:eastAsia="en-AU"/>
              </w:rPr>
              <w:t>Goldberg RB, Guyton JR, Mazzone T, Weinstock RS, Polis A, Edwards P, et al. Ezetimibe/simvastatin vs atorvastatin in patients with type 2 diabetes mellitus and hypercholesterolemia: the VYTAL study.[Erratum appears in Mayo Clin Proc. 2007 Mar;82(3):387]. Mayo Clinic Proceedings. 2006;81(12):1579-88.</w:t>
            </w:r>
            <w:r w:rsidRPr="00A52459">
              <w:rPr>
                <w:rFonts w:ascii="Arial Narrow" w:eastAsia="Times New Roman" w:hAnsi="Arial Narrow" w:cs="Times New Roman"/>
                <w:color w:val="000000"/>
                <w:sz w:val="20"/>
                <w:szCs w:val="20"/>
                <w:lang w:eastAsia="en-AU"/>
              </w:rPr>
              <w:t xml:space="preserve">; </w:t>
            </w:r>
          </w:p>
          <w:p w14:paraId="684AD09F" w14:textId="77777777" w:rsidR="00A430EE" w:rsidRPr="00FF45E4" w:rsidRDefault="00A430EE" w:rsidP="00140129">
            <w:pPr>
              <w:pStyle w:val="ListParagraph"/>
              <w:numPr>
                <w:ilvl w:val="0"/>
                <w:numId w:val="12"/>
              </w:numPr>
              <w:ind w:left="459" w:hanging="284"/>
              <w:rPr>
                <w:rFonts w:ascii="Arial Narrow" w:eastAsia="Times New Roman" w:hAnsi="Arial Narrow" w:cs="Times New Roman"/>
                <w:color w:val="000000"/>
                <w:sz w:val="20"/>
                <w:szCs w:val="20"/>
                <w:lang w:val="nl-NL" w:eastAsia="en-AU"/>
              </w:rPr>
            </w:pPr>
            <w:r w:rsidRPr="00DE3450">
              <w:rPr>
                <w:rFonts w:ascii="Arial Narrow" w:eastAsia="Times New Roman" w:hAnsi="Arial Narrow" w:cs="Times New Roman"/>
                <w:color w:val="000000"/>
                <w:sz w:val="20"/>
                <w:szCs w:val="20"/>
                <w:lang w:eastAsia="en-AU"/>
              </w:rPr>
              <w:t xml:space="preserve">Guyton JR, Goldberg RB, Mazzone T, Weinstock RS, Polis A, Rosenberg E, et al. Lipoprotein and apolipoprotein ratios in the VYTAL trial of ezetimibe/simvastatin compared with atorvastatin in type 2 diabetes. </w:t>
            </w:r>
            <w:r w:rsidRPr="00FF45E4">
              <w:rPr>
                <w:rFonts w:ascii="Arial Narrow" w:eastAsia="Times New Roman" w:hAnsi="Arial Narrow" w:cs="Times New Roman"/>
                <w:color w:val="000000"/>
                <w:sz w:val="20"/>
                <w:szCs w:val="20"/>
                <w:lang w:val="nl-NL" w:eastAsia="en-AU"/>
              </w:rPr>
              <w:t xml:space="preserve">Journal of Clinical Lipidology. 2008;2(1):19-24.; </w:t>
            </w:r>
          </w:p>
          <w:p w14:paraId="4F11C30F" w14:textId="19324D7D" w:rsidR="00A430EE" w:rsidRPr="00C66F1F" w:rsidRDefault="00A430EE" w:rsidP="00140129">
            <w:pPr>
              <w:pStyle w:val="ListParagraph"/>
              <w:numPr>
                <w:ilvl w:val="0"/>
                <w:numId w:val="12"/>
              </w:numPr>
              <w:ind w:left="459" w:hanging="284"/>
              <w:rPr>
                <w:rFonts w:ascii="Arial Narrow" w:hAnsi="Arial Narrow"/>
                <w:sz w:val="20"/>
                <w:szCs w:val="20"/>
              </w:rPr>
            </w:pPr>
            <w:r w:rsidRPr="00DE3450">
              <w:rPr>
                <w:rFonts w:ascii="Arial Narrow" w:eastAsia="Times New Roman" w:hAnsi="Arial Narrow" w:cs="Times New Roman"/>
                <w:color w:val="000000"/>
                <w:sz w:val="20"/>
                <w:szCs w:val="20"/>
                <w:lang w:eastAsia="en-AU"/>
              </w:rPr>
              <w:t xml:space="preserve">Weinstock RS, Goldberg RB, Guyton JR, Mazzone T, Polis A, Tomassini JE, et al. Effect of ezetimibe/simvastatin vs atorvastatin on lowering levels of LDL-C and non-HDL-C, ApoB, and hs-CRP in patients with type 2 diabetes. </w:t>
            </w:r>
            <w:r w:rsidRPr="00283409">
              <w:rPr>
                <w:rFonts w:ascii="Arial Narrow" w:eastAsia="Times New Roman" w:hAnsi="Arial Narrow" w:cs="Times New Roman"/>
                <w:color w:val="000000"/>
                <w:sz w:val="20"/>
                <w:szCs w:val="20"/>
                <w:lang w:val="nl-NL" w:eastAsia="en-AU"/>
              </w:rPr>
              <w:t>Journal of Clinical Lipidology. 2008;2(1):25-35.</w:t>
            </w:r>
          </w:p>
        </w:tc>
      </w:tr>
      <w:tr w:rsidR="00A430EE" w:rsidRPr="00EC4F8A" w14:paraId="7880D299" w14:textId="77777777" w:rsidTr="004C485F">
        <w:trPr>
          <w:trHeight w:val="752"/>
        </w:trPr>
        <w:tc>
          <w:tcPr>
            <w:tcW w:w="1560" w:type="dxa"/>
          </w:tcPr>
          <w:p w14:paraId="5350F907" w14:textId="14AFCA64" w:rsidR="00A430EE" w:rsidRPr="00C66F1F" w:rsidRDefault="00A430EE" w:rsidP="00A430EE">
            <w:pPr>
              <w:rPr>
                <w:rFonts w:ascii="Arial Narrow" w:hAnsi="Arial Narrow"/>
                <w:sz w:val="20"/>
                <w:szCs w:val="20"/>
              </w:rPr>
            </w:pPr>
            <w:r>
              <w:rPr>
                <w:rFonts w:ascii="Arial Narrow" w:hAnsi="Arial Narrow"/>
                <w:sz w:val="20"/>
                <w:szCs w:val="20"/>
              </w:rPr>
              <w:lastRenderedPageBreak/>
              <w:t>Lee 2013</w:t>
            </w:r>
            <w:r w:rsidR="00BC604A" w:rsidRPr="00BC604A">
              <w:rPr>
                <w:rFonts w:ascii="Arial Narrow" w:hAnsi="Arial Narrow"/>
                <w:b/>
                <w:sz w:val="20"/>
                <w:szCs w:val="20"/>
              </w:rPr>
              <w:t>*</w:t>
            </w:r>
          </w:p>
        </w:tc>
        <w:tc>
          <w:tcPr>
            <w:tcW w:w="7796" w:type="dxa"/>
          </w:tcPr>
          <w:p w14:paraId="646E5A08" w14:textId="12CAC22C" w:rsidR="00A430EE" w:rsidRPr="004C485F" w:rsidRDefault="00A430EE" w:rsidP="004C485F">
            <w:pPr>
              <w:pStyle w:val="ListParagraph"/>
              <w:spacing w:after="240"/>
              <w:ind w:left="0"/>
              <w:rPr>
                <w:rFonts w:ascii="Arial Narrow" w:hAnsi="Arial Narrow" w:cs="Segoe UI"/>
                <w:sz w:val="20"/>
                <w:szCs w:val="20"/>
              </w:rPr>
            </w:pPr>
            <w:r w:rsidRPr="00A52459">
              <w:rPr>
                <w:rFonts w:ascii="Arial Narrow" w:hAnsi="Arial Narrow" w:cs="Segoe UI"/>
                <w:sz w:val="20"/>
                <w:szCs w:val="20"/>
              </w:rPr>
              <w:t>Lee JH, Kang HJ, Kim HS, Sohn DW, Oh BH, Park YB. Effects of Ezetimibe/Simvastatin 10/20 mg vs. Atorvastatin 20 mg on Apolipoprotein B/Apolipoprotein A1 in Korean Patients with Type 2 Diabetes Mellitus: Results of a Randomized Controlled Trial. Am J Cardiovasc Drug. 2013;13(5):343-51.</w:t>
            </w:r>
          </w:p>
        </w:tc>
      </w:tr>
      <w:tr w:rsidR="00A430EE" w:rsidRPr="00EC4F8A" w14:paraId="14539E6D" w14:textId="77777777" w:rsidTr="003523B4">
        <w:tc>
          <w:tcPr>
            <w:tcW w:w="1560" w:type="dxa"/>
          </w:tcPr>
          <w:p w14:paraId="5B2512EF" w14:textId="36F42B0E" w:rsidR="00A430EE" w:rsidRPr="00C66F1F" w:rsidRDefault="00A430EE" w:rsidP="00A430EE">
            <w:pPr>
              <w:rPr>
                <w:rFonts w:ascii="Arial Narrow" w:hAnsi="Arial Narrow"/>
                <w:sz w:val="20"/>
                <w:szCs w:val="20"/>
              </w:rPr>
            </w:pPr>
            <w:r>
              <w:rPr>
                <w:rFonts w:ascii="Arial Narrow" w:hAnsi="Arial Narrow"/>
                <w:sz w:val="20"/>
                <w:szCs w:val="20"/>
              </w:rPr>
              <w:t>Cho 2011</w:t>
            </w:r>
            <w:r w:rsidR="00BC604A" w:rsidRPr="00BC604A">
              <w:rPr>
                <w:rFonts w:ascii="Arial Narrow" w:hAnsi="Arial Narrow"/>
                <w:b/>
                <w:sz w:val="20"/>
                <w:szCs w:val="20"/>
              </w:rPr>
              <w:t>*</w:t>
            </w:r>
          </w:p>
        </w:tc>
        <w:tc>
          <w:tcPr>
            <w:tcW w:w="7796" w:type="dxa"/>
          </w:tcPr>
          <w:p w14:paraId="385447CF" w14:textId="17C3B205" w:rsidR="00A430EE" w:rsidRPr="009746D3" w:rsidRDefault="00A430EE" w:rsidP="00A430EE">
            <w:pPr>
              <w:rPr>
                <w:rFonts w:ascii="Arial Narrow" w:eastAsia="Times New Roman" w:hAnsi="Arial Narrow" w:cs="Times New Roman"/>
                <w:color w:val="000000"/>
                <w:sz w:val="20"/>
                <w:szCs w:val="20"/>
                <w:lang w:val="nl-NL" w:eastAsia="en-AU"/>
              </w:rPr>
            </w:pPr>
            <w:r w:rsidRPr="00DE3450">
              <w:rPr>
                <w:rFonts w:ascii="Arial Narrow" w:eastAsia="Times New Roman" w:hAnsi="Arial Narrow" w:cs="Times New Roman"/>
                <w:color w:val="000000"/>
                <w:sz w:val="20"/>
                <w:szCs w:val="20"/>
                <w:lang w:eastAsia="en-AU"/>
              </w:rPr>
              <w:t xml:space="preserve">Cho YK, Hur SH, Han CD, Park HS, Yoon HJ, Kim H, et al. Comparison of Ezetimibe/Simvastatin 10/20 mg Versus Atorvastatin 20 mg in Achieving a Target Low Density Lipoprotein-Cholesterol Goal for Patients With Very High Risk. </w:t>
            </w:r>
            <w:r w:rsidRPr="009746D3">
              <w:rPr>
                <w:rFonts w:ascii="Arial Narrow" w:eastAsia="Times New Roman" w:hAnsi="Arial Narrow" w:cs="Times New Roman"/>
                <w:color w:val="000000"/>
                <w:sz w:val="20"/>
                <w:szCs w:val="20"/>
                <w:lang w:val="nl-NL" w:eastAsia="en-AU"/>
              </w:rPr>
              <w:t>Korean Circ J. 2011;41(3):149-53</w:t>
            </w:r>
          </w:p>
        </w:tc>
      </w:tr>
      <w:tr w:rsidR="00A430EE" w:rsidRPr="00EC4F8A" w14:paraId="34A08977" w14:textId="77777777" w:rsidTr="003523B4">
        <w:tc>
          <w:tcPr>
            <w:tcW w:w="1560" w:type="dxa"/>
          </w:tcPr>
          <w:p w14:paraId="637DC668" w14:textId="77777777" w:rsidR="00A430EE" w:rsidRDefault="00A430EE" w:rsidP="00A430EE">
            <w:pPr>
              <w:rPr>
                <w:rFonts w:ascii="Arial Narrow" w:hAnsi="Arial Narrow"/>
                <w:sz w:val="20"/>
                <w:szCs w:val="20"/>
              </w:rPr>
            </w:pPr>
            <w:r w:rsidRPr="00A52459">
              <w:rPr>
                <w:rFonts w:ascii="Arial Narrow" w:hAnsi="Arial Narrow"/>
                <w:sz w:val="20"/>
                <w:szCs w:val="20"/>
              </w:rPr>
              <w:t>Protocol 051</w:t>
            </w:r>
          </w:p>
          <w:p w14:paraId="624892C2" w14:textId="77777777" w:rsidR="00A430EE" w:rsidRDefault="00A430EE" w:rsidP="00A430EE">
            <w:pPr>
              <w:rPr>
                <w:rFonts w:ascii="Arial Narrow" w:hAnsi="Arial Narrow"/>
                <w:sz w:val="20"/>
                <w:szCs w:val="20"/>
              </w:rPr>
            </w:pPr>
            <w:r>
              <w:rPr>
                <w:rFonts w:ascii="Arial Narrow" w:hAnsi="Arial Narrow"/>
                <w:sz w:val="20"/>
                <w:szCs w:val="20"/>
              </w:rPr>
              <w:t>Ballantyne 2005</w:t>
            </w:r>
          </w:p>
          <w:p w14:paraId="00E326A2" w14:textId="1532F652" w:rsidR="00A430EE" w:rsidRPr="00C66F1F" w:rsidRDefault="00A430EE" w:rsidP="00A430EE">
            <w:pPr>
              <w:rPr>
                <w:rFonts w:ascii="Arial Narrow" w:hAnsi="Arial Narrow"/>
                <w:sz w:val="20"/>
                <w:szCs w:val="20"/>
              </w:rPr>
            </w:pPr>
            <w:r>
              <w:rPr>
                <w:rFonts w:ascii="Arial Narrow" w:hAnsi="Arial Narrow"/>
                <w:sz w:val="20"/>
                <w:szCs w:val="20"/>
              </w:rPr>
              <w:t>VYVA study</w:t>
            </w:r>
          </w:p>
        </w:tc>
        <w:tc>
          <w:tcPr>
            <w:tcW w:w="7796" w:type="dxa"/>
          </w:tcPr>
          <w:p w14:paraId="46E5F7EC" w14:textId="77777777" w:rsidR="00A430EE" w:rsidRPr="00A52459" w:rsidRDefault="00A430EE" w:rsidP="00A430EE">
            <w:pPr>
              <w:rPr>
                <w:rFonts w:ascii="Arial Narrow" w:hAnsi="Arial Narrow"/>
                <w:sz w:val="20"/>
                <w:szCs w:val="20"/>
              </w:rPr>
            </w:pPr>
            <w:r w:rsidRPr="00F62A1D">
              <w:rPr>
                <w:rFonts w:ascii="Arial Narrow" w:eastAsia="Times New Roman" w:hAnsi="Arial Narrow" w:cs="Times New Roman"/>
                <w:color w:val="000000"/>
                <w:sz w:val="20"/>
                <w:szCs w:val="20"/>
                <w:lang w:eastAsia="en-AU"/>
              </w:rPr>
              <w:t>Ballantyne CM, Abate N, Yuan Z, King TR, Palmisano J. Dose-comparison study of the combination of ezetimibe and simvastatin (Vytorin) versus atorvastatin in patients with hypercholesterolemia: the Vytorin Versus Atorvastatin (VYVA) study.[Erratum appears in Am Heart J. 2005 May;149(5):882]. American Heart Journal. 2005;149(3):464-73.</w:t>
            </w:r>
          </w:p>
          <w:p w14:paraId="7F64E0E3" w14:textId="77777777" w:rsidR="00A430EE" w:rsidRPr="00A52459" w:rsidRDefault="00A430EE" w:rsidP="00140129">
            <w:pPr>
              <w:pStyle w:val="ListParagraph"/>
              <w:numPr>
                <w:ilvl w:val="0"/>
                <w:numId w:val="13"/>
              </w:numPr>
              <w:ind w:left="459" w:hanging="284"/>
              <w:rPr>
                <w:rFonts w:ascii="Arial Narrow" w:hAnsi="Arial Narrow"/>
                <w:sz w:val="20"/>
                <w:szCs w:val="20"/>
              </w:rPr>
            </w:pPr>
            <w:r w:rsidRPr="00A52459">
              <w:rPr>
                <w:rFonts w:ascii="Arial Narrow" w:eastAsia="Times New Roman" w:hAnsi="Arial Narrow" w:cs="Times New Roman"/>
                <w:color w:val="000000"/>
                <w:sz w:val="20"/>
                <w:szCs w:val="20"/>
                <w:lang w:eastAsia="en-AU"/>
              </w:rPr>
              <w:t xml:space="preserve">Ballantyne et al. 2005, Journal of the American College of Cardiology 45 (3, Suppl. A) 423A-423A; </w:t>
            </w:r>
          </w:p>
          <w:p w14:paraId="5C146198" w14:textId="77777777" w:rsidR="00A430EE" w:rsidRPr="00A52459" w:rsidRDefault="00A430EE" w:rsidP="00140129">
            <w:pPr>
              <w:pStyle w:val="ListParagraph"/>
              <w:numPr>
                <w:ilvl w:val="0"/>
                <w:numId w:val="13"/>
              </w:numPr>
              <w:ind w:left="459" w:hanging="284"/>
              <w:rPr>
                <w:rFonts w:ascii="Arial Narrow" w:hAnsi="Arial Narrow"/>
                <w:sz w:val="20"/>
                <w:szCs w:val="20"/>
              </w:rPr>
            </w:pPr>
            <w:r w:rsidRPr="00A52459">
              <w:rPr>
                <w:rFonts w:ascii="Arial Narrow" w:eastAsia="Times New Roman" w:hAnsi="Arial Narrow" w:cs="Times New Roman"/>
                <w:color w:val="000000"/>
                <w:sz w:val="20"/>
                <w:szCs w:val="20"/>
                <w:lang w:eastAsia="en-AU"/>
              </w:rPr>
              <w:t xml:space="preserve">Ballantyne et al. 2005, Diabetes 54 (Suppl. 1) A235-A235; </w:t>
            </w:r>
          </w:p>
          <w:p w14:paraId="14F0EB40" w14:textId="4B69C971" w:rsidR="00A430EE" w:rsidRPr="00A52459" w:rsidRDefault="00A430EE" w:rsidP="00140129">
            <w:pPr>
              <w:pStyle w:val="ListParagraph"/>
              <w:numPr>
                <w:ilvl w:val="0"/>
                <w:numId w:val="13"/>
              </w:numPr>
              <w:ind w:left="459" w:hanging="284"/>
              <w:rPr>
                <w:rFonts w:ascii="Arial Narrow" w:hAnsi="Arial Narrow"/>
                <w:sz w:val="20"/>
                <w:szCs w:val="20"/>
              </w:rPr>
            </w:pPr>
            <w:r w:rsidRPr="00A52459">
              <w:rPr>
                <w:rFonts w:ascii="Arial Narrow" w:eastAsia="Times New Roman" w:hAnsi="Arial Narrow" w:cs="Times New Roman"/>
                <w:color w:val="000000"/>
                <w:sz w:val="20"/>
                <w:szCs w:val="20"/>
                <w:lang w:eastAsia="en-AU"/>
              </w:rPr>
              <w:t xml:space="preserve">Ballantyne et al. 2004, XV International Symposium on Drugs Affecting Lipid Metabolism, p124; </w:t>
            </w:r>
          </w:p>
          <w:p w14:paraId="254DCC3A" w14:textId="797DA05B" w:rsidR="00A430EE" w:rsidRPr="00C66F1F" w:rsidRDefault="00A430EE" w:rsidP="00140129">
            <w:pPr>
              <w:pStyle w:val="ListParagraph"/>
              <w:numPr>
                <w:ilvl w:val="0"/>
                <w:numId w:val="13"/>
              </w:numPr>
              <w:ind w:left="459" w:hanging="284"/>
              <w:rPr>
                <w:rFonts w:ascii="Arial Narrow" w:hAnsi="Arial Narrow"/>
                <w:sz w:val="20"/>
                <w:szCs w:val="20"/>
              </w:rPr>
            </w:pPr>
            <w:r w:rsidRPr="00A52459">
              <w:rPr>
                <w:rFonts w:ascii="Arial Narrow" w:eastAsia="Times New Roman" w:hAnsi="Arial Narrow" w:cs="Times New Roman"/>
                <w:color w:val="000000"/>
                <w:sz w:val="20"/>
                <w:szCs w:val="20"/>
                <w:lang w:eastAsia="en-AU"/>
              </w:rPr>
              <w:t>Abate et al. 2005, Diabetologia 48 (Suppl. 1) A392-A393</w:t>
            </w:r>
          </w:p>
        </w:tc>
      </w:tr>
      <w:tr w:rsidR="00A430EE" w:rsidRPr="00EC4F8A" w14:paraId="007C03AA" w14:textId="77777777" w:rsidTr="003523B4">
        <w:trPr>
          <w:trHeight w:val="670"/>
        </w:trPr>
        <w:tc>
          <w:tcPr>
            <w:tcW w:w="1560" w:type="dxa"/>
          </w:tcPr>
          <w:p w14:paraId="43C90E8B" w14:textId="77777777" w:rsidR="00A430EE" w:rsidRPr="009746D3" w:rsidRDefault="00A430EE" w:rsidP="00A430EE">
            <w:pPr>
              <w:rPr>
                <w:rFonts w:ascii="Arial Narrow" w:hAnsi="Arial Narrow"/>
                <w:sz w:val="20"/>
                <w:szCs w:val="20"/>
              </w:rPr>
            </w:pPr>
            <w:r w:rsidRPr="009746D3">
              <w:rPr>
                <w:rFonts w:ascii="Arial Narrow" w:hAnsi="Arial Narrow"/>
                <w:sz w:val="20"/>
                <w:szCs w:val="20"/>
              </w:rPr>
              <w:t>P807</w:t>
            </w:r>
          </w:p>
          <w:p w14:paraId="6CD2E4AE" w14:textId="12AC0E47" w:rsidR="00A430EE" w:rsidRPr="00C66F1F" w:rsidRDefault="00A430EE" w:rsidP="00A430EE">
            <w:pPr>
              <w:rPr>
                <w:rFonts w:ascii="Arial Narrow" w:hAnsi="Arial Narrow"/>
                <w:sz w:val="20"/>
                <w:szCs w:val="20"/>
              </w:rPr>
            </w:pPr>
            <w:r w:rsidRPr="009746D3">
              <w:rPr>
                <w:rFonts w:ascii="Arial Narrow" w:hAnsi="Arial Narrow"/>
                <w:sz w:val="20"/>
                <w:szCs w:val="20"/>
              </w:rPr>
              <w:t>Constance 2007</w:t>
            </w:r>
          </w:p>
        </w:tc>
        <w:tc>
          <w:tcPr>
            <w:tcW w:w="7796" w:type="dxa"/>
          </w:tcPr>
          <w:p w14:paraId="719BC907" w14:textId="14E4C1D8" w:rsidR="00A430EE" w:rsidRPr="00D30590" w:rsidRDefault="00A430EE" w:rsidP="00A430EE">
            <w:pPr>
              <w:rPr>
                <w:rFonts w:ascii="Arial Narrow" w:eastAsia="Times New Roman" w:hAnsi="Arial Narrow" w:cs="Times New Roman"/>
                <w:color w:val="000000"/>
                <w:sz w:val="20"/>
                <w:szCs w:val="20"/>
                <w:lang w:val="nl-NL" w:eastAsia="en-AU"/>
              </w:rPr>
            </w:pPr>
            <w:r w:rsidRPr="00DE3450">
              <w:rPr>
                <w:rFonts w:ascii="Arial Narrow" w:eastAsia="Times New Roman" w:hAnsi="Arial Narrow" w:cs="Times New Roman"/>
                <w:color w:val="000000"/>
                <w:sz w:val="20"/>
                <w:szCs w:val="20"/>
                <w:lang w:eastAsia="en-AU"/>
              </w:rPr>
              <w:t xml:space="preserve">Constance C, Westphal S, Chung N, Lund M, Sisk CM, Johnson-Levonas AO, et al. Efficacy of ezetimibe/simvastatin 10/20 and 10/40 mg compared with atorvastatin 20 mg in patients with type 2 diabetes mellitus. </w:t>
            </w:r>
            <w:r w:rsidRPr="00D30590">
              <w:rPr>
                <w:rFonts w:ascii="Arial Narrow" w:eastAsia="Times New Roman" w:hAnsi="Arial Narrow" w:cs="Times New Roman"/>
                <w:color w:val="000000"/>
                <w:sz w:val="20"/>
                <w:szCs w:val="20"/>
                <w:lang w:val="nl-NL" w:eastAsia="en-AU"/>
              </w:rPr>
              <w:t>Diabetes Obes Metab. 2007;9(4):575-84.</w:t>
            </w:r>
          </w:p>
        </w:tc>
      </w:tr>
      <w:tr w:rsidR="00A430EE" w:rsidRPr="00EC4F8A" w14:paraId="76D449F0" w14:textId="77777777" w:rsidTr="003523B4">
        <w:tc>
          <w:tcPr>
            <w:tcW w:w="1560" w:type="dxa"/>
          </w:tcPr>
          <w:p w14:paraId="313DBF5B" w14:textId="77777777" w:rsidR="00A430EE" w:rsidRDefault="00A430EE" w:rsidP="00A430EE">
            <w:pP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P</w:t>
            </w:r>
            <w:r w:rsidRPr="00A52459">
              <w:rPr>
                <w:rFonts w:ascii="Arial Narrow" w:eastAsia="Times New Roman" w:hAnsi="Arial Narrow" w:cs="Times New Roman"/>
                <w:color w:val="000000"/>
                <w:sz w:val="20"/>
                <w:szCs w:val="20"/>
                <w:lang w:eastAsia="en-AU"/>
              </w:rPr>
              <w:t>806</w:t>
            </w:r>
          </w:p>
          <w:p w14:paraId="5D1F5B9A" w14:textId="1FB1EEE3" w:rsidR="00A430EE" w:rsidRPr="00C66F1F" w:rsidRDefault="00A430EE" w:rsidP="00A430EE">
            <w:pPr>
              <w:rPr>
                <w:rFonts w:ascii="Arial Narrow" w:hAnsi="Arial Narrow"/>
                <w:sz w:val="20"/>
                <w:szCs w:val="20"/>
              </w:rPr>
            </w:pPr>
            <w:r w:rsidRPr="001E1A76">
              <w:rPr>
                <w:rFonts w:ascii="Arial Narrow" w:eastAsia="Times New Roman" w:hAnsi="Arial Narrow" w:cs="Times New Roman"/>
                <w:sz w:val="20"/>
                <w:szCs w:val="20"/>
                <w:lang w:eastAsia="en-AU"/>
              </w:rPr>
              <w:t>Barrios</w:t>
            </w:r>
            <w:r>
              <w:rPr>
                <w:rFonts w:ascii="Arial Narrow" w:eastAsia="Times New Roman" w:hAnsi="Arial Narrow" w:cs="Times New Roman"/>
                <w:sz w:val="20"/>
                <w:szCs w:val="20"/>
                <w:lang w:eastAsia="en-AU"/>
              </w:rPr>
              <w:t xml:space="preserve"> 2005</w:t>
            </w:r>
          </w:p>
        </w:tc>
        <w:tc>
          <w:tcPr>
            <w:tcW w:w="7796" w:type="dxa"/>
          </w:tcPr>
          <w:p w14:paraId="170A07A7" w14:textId="65A1AE7E" w:rsidR="00A430EE" w:rsidRPr="00C66F1F" w:rsidRDefault="00A430EE" w:rsidP="00A430EE">
            <w:pPr>
              <w:rPr>
                <w:rFonts w:ascii="Arial Narrow" w:hAnsi="Arial Narrow"/>
                <w:sz w:val="20"/>
                <w:szCs w:val="20"/>
              </w:rPr>
            </w:pPr>
            <w:r w:rsidRPr="00DE3450">
              <w:rPr>
                <w:rFonts w:ascii="Arial Narrow" w:eastAsia="Times New Roman" w:hAnsi="Arial Narrow" w:cs="Times New Roman"/>
                <w:color w:val="000000"/>
                <w:sz w:val="20"/>
                <w:szCs w:val="20"/>
                <w:lang w:eastAsia="en-AU"/>
              </w:rPr>
              <w:t xml:space="preserve">Barrios V, Amabile N, Paganelli F, Chen JW, Allen C, Johnson-Levonas AO, et al. Lipid-altering efficacy of switching from atorvastatin 10 mg/day to ezetimibe/simvastatin 10/20 mg/day compared to doubling the dose of atorvastatin in hypercholesterolaemic patients with atherosclerosis or coronary heart disease. </w:t>
            </w:r>
            <w:r w:rsidRPr="00D30590">
              <w:rPr>
                <w:rFonts w:ascii="Arial Narrow" w:eastAsia="Times New Roman" w:hAnsi="Arial Narrow" w:cs="Times New Roman"/>
                <w:color w:val="000000"/>
                <w:sz w:val="20"/>
                <w:szCs w:val="20"/>
                <w:lang w:val="nl-NL" w:eastAsia="en-AU"/>
              </w:rPr>
              <w:t>International Journal of Clinical Practice. 2005;59(12):1377-86.</w:t>
            </w:r>
          </w:p>
        </w:tc>
      </w:tr>
      <w:tr w:rsidR="00A430EE" w:rsidRPr="00EC4F8A" w14:paraId="612609E7" w14:textId="77777777" w:rsidTr="003523B4">
        <w:tc>
          <w:tcPr>
            <w:tcW w:w="1560" w:type="dxa"/>
          </w:tcPr>
          <w:p w14:paraId="4525AEA1" w14:textId="502491ED" w:rsidR="00A430EE" w:rsidRDefault="00A430EE" w:rsidP="00A430EE">
            <w:pPr>
              <w:rPr>
                <w:rFonts w:ascii="Arial Narrow" w:eastAsia="Times New Roman" w:hAnsi="Arial Narrow" w:cs="Times New Roman"/>
                <w:color w:val="000000"/>
                <w:sz w:val="20"/>
                <w:szCs w:val="20"/>
                <w:lang w:eastAsia="en-AU"/>
              </w:rPr>
            </w:pPr>
            <w:r w:rsidRPr="00AB61B6">
              <w:rPr>
                <w:rFonts w:ascii="Arial Narrow" w:hAnsi="Arial Narrow" w:cs="Segoe UI"/>
                <w:sz w:val="20"/>
                <w:szCs w:val="20"/>
              </w:rPr>
              <w:t>Garcia</w:t>
            </w:r>
            <w:r>
              <w:rPr>
                <w:rFonts w:ascii="Arial Narrow" w:hAnsi="Arial Narrow" w:cs="Segoe UI"/>
                <w:sz w:val="20"/>
                <w:szCs w:val="20"/>
              </w:rPr>
              <w:t xml:space="preserve"> 2016</w:t>
            </w:r>
            <w:r w:rsidR="00BC604A" w:rsidRPr="00BC604A">
              <w:rPr>
                <w:rFonts w:ascii="Arial Narrow" w:hAnsi="Arial Narrow"/>
                <w:b/>
                <w:sz w:val="20"/>
                <w:szCs w:val="20"/>
              </w:rPr>
              <w:t>*</w:t>
            </w:r>
          </w:p>
        </w:tc>
        <w:tc>
          <w:tcPr>
            <w:tcW w:w="7796" w:type="dxa"/>
          </w:tcPr>
          <w:p w14:paraId="51A92610" w14:textId="5E2CD809" w:rsidR="00A430EE" w:rsidRPr="00C7425C" w:rsidRDefault="00A430EE" w:rsidP="00A430EE">
            <w:pPr>
              <w:rPr>
                <w:rFonts w:ascii="Arial Narrow" w:eastAsia="Times New Roman" w:hAnsi="Arial Narrow" w:cs="Times New Roman"/>
                <w:color w:val="000000"/>
                <w:sz w:val="20"/>
                <w:szCs w:val="20"/>
                <w:lang w:val="en-AU" w:eastAsia="en-AU"/>
              </w:rPr>
            </w:pPr>
            <w:r w:rsidRPr="00DE3450">
              <w:rPr>
                <w:rFonts w:ascii="Arial Narrow" w:eastAsia="Times New Roman" w:hAnsi="Arial Narrow" w:cs="Times New Roman"/>
                <w:color w:val="000000"/>
                <w:sz w:val="20"/>
                <w:szCs w:val="20"/>
                <w:lang w:eastAsia="en-AU"/>
              </w:rPr>
              <w:t xml:space="preserve">Garcia MMO, Varela CG, Silva PF, Lima PRP, Góes PM, Rodrigues MG, et al. Endothelial effect of statin therapy at a high dose versus low dose associated with ezetimibe. </w:t>
            </w:r>
            <w:r w:rsidRPr="00C7425C">
              <w:rPr>
                <w:rFonts w:ascii="Arial Narrow" w:eastAsia="Times New Roman" w:hAnsi="Arial Narrow" w:cs="Times New Roman"/>
                <w:color w:val="000000"/>
                <w:sz w:val="20"/>
                <w:szCs w:val="20"/>
                <w:lang w:val="en-AU" w:eastAsia="en-AU"/>
              </w:rPr>
              <w:t>Arquivos Brasileiros de Cardiologia. 2016;106(4):279-88.</w:t>
            </w:r>
          </w:p>
        </w:tc>
      </w:tr>
      <w:tr w:rsidR="00A430EE" w:rsidRPr="00EC4F8A" w14:paraId="4A262B4A" w14:textId="77777777" w:rsidTr="003523B4">
        <w:tc>
          <w:tcPr>
            <w:tcW w:w="1560" w:type="dxa"/>
          </w:tcPr>
          <w:p w14:paraId="66534DB9" w14:textId="25FF02C5" w:rsidR="00A430EE" w:rsidRDefault="00A430EE" w:rsidP="00A430EE">
            <w:pPr>
              <w:rPr>
                <w:rFonts w:ascii="Arial Narrow" w:eastAsia="Times New Roman" w:hAnsi="Arial Narrow" w:cs="Times New Roman"/>
                <w:color w:val="000000"/>
                <w:sz w:val="20"/>
                <w:szCs w:val="20"/>
                <w:lang w:eastAsia="en-AU"/>
              </w:rPr>
            </w:pPr>
            <w:r w:rsidRPr="007D3A14">
              <w:rPr>
                <w:rFonts w:ascii="Arial Narrow" w:hAnsi="Arial Narrow" w:cs="Segoe UI"/>
                <w:sz w:val="20"/>
                <w:szCs w:val="20"/>
                <w:lang w:val="nl-NL"/>
              </w:rPr>
              <w:t>Ostad</w:t>
            </w:r>
            <w:r>
              <w:rPr>
                <w:rFonts w:ascii="Arial Narrow" w:hAnsi="Arial Narrow" w:cs="Segoe UI"/>
                <w:sz w:val="20"/>
                <w:szCs w:val="20"/>
                <w:lang w:val="nl-NL"/>
              </w:rPr>
              <w:t xml:space="preserve"> 2009</w:t>
            </w:r>
            <w:r w:rsidR="00BC604A" w:rsidRPr="00BC604A">
              <w:rPr>
                <w:rFonts w:ascii="Arial Narrow" w:hAnsi="Arial Narrow"/>
                <w:b/>
                <w:sz w:val="20"/>
                <w:szCs w:val="20"/>
              </w:rPr>
              <w:t>*</w:t>
            </w:r>
          </w:p>
        </w:tc>
        <w:tc>
          <w:tcPr>
            <w:tcW w:w="7796" w:type="dxa"/>
          </w:tcPr>
          <w:p w14:paraId="24D99497" w14:textId="58B35EC5" w:rsidR="00A430EE" w:rsidRPr="00D30590" w:rsidRDefault="00A430EE" w:rsidP="00A430EE">
            <w:pPr>
              <w:rPr>
                <w:rFonts w:ascii="Arial Narrow" w:eastAsia="Times New Roman" w:hAnsi="Arial Narrow" w:cs="Times New Roman"/>
                <w:color w:val="000000"/>
                <w:sz w:val="20"/>
                <w:szCs w:val="20"/>
                <w:lang w:val="nl-NL" w:eastAsia="en-AU"/>
              </w:rPr>
            </w:pPr>
            <w:r w:rsidRPr="009715EA">
              <w:rPr>
                <w:rFonts w:ascii="Arial Narrow" w:eastAsia="Times New Roman" w:hAnsi="Arial Narrow" w:cs="Times New Roman"/>
                <w:color w:val="000000"/>
                <w:sz w:val="20"/>
                <w:szCs w:val="20"/>
                <w:lang w:val="nl-NL" w:eastAsia="en-AU"/>
              </w:rPr>
              <w:t xml:space="preserve">Ostad MA, Eggeling S, Tschentscher P, Schwedhelm E, Böger R, Wenzel P, et al. </w:t>
            </w:r>
            <w:r w:rsidRPr="00DE3450">
              <w:rPr>
                <w:rFonts w:ascii="Arial Narrow" w:eastAsia="Times New Roman" w:hAnsi="Arial Narrow" w:cs="Times New Roman"/>
                <w:color w:val="000000"/>
                <w:sz w:val="20"/>
                <w:szCs w:val="20"/>
                <w:lang w:eastAsia="en-AU"/>
              </w:rPr>
              <w:t xml:space="preserve">Flow-mediated dilation in patients with coronary artery disease is enhanced by high dose atorvastatin compared to combined low dose atorvastatin and ezetimibe: Results of the CEZAR study. </w:t>
            </w:r>
            <w:r w:rsidRPr="009715EA">
              <w:rPr>
                <w:rFonts w:ascii="Arial Narrow" w:eastAsia="Times New Roman" w:hAnsi="Arial Narrow" w:cs="Times New Roman"/>
                <w:color w:val="000000"/>
                <w:sz w:val="20"/>
                <w:szCs w:val="20"/>
                <w:lang w:val="nl-NL" w:eastAsia="en-AU"/>
              </w:rPr>
              <w:t>Atherosclerosis. 2009;205(1):227-32.</w:t>
            </w:r>
          </w:p>
        </w:tc>
      </w:tr>
      <w:tr w:rsidR="00327B18" w:rsidRPr="00EC4F8A" w14:paraId="096A138A" w14:textId="77777777" w:rsidTr="0026209D">
        <w:tc>
          <w:tcPr>
            <w:tcW w:w="1560" w:type="dxa"/>
            <w:shd w:val="clear" w:color="auto" w:fill="FFFFFF" w:themeFill="background1"/>
          </w:tcPr>
          <w:p w14:paraId="3F96FFCA" w14:textId="64479F5D" w:rsidR="00327B18" w:rsidRPr="007D3A14" w:rsidRDefault="00C97496" w:rsidP="00A430EE">
            <w:pPr>
              <w:rPr>
                <w:rFonts w:ascii="Arial Narrow" w:hAnsi="Arial Narrow" w:cs="Segoe UI"/>
                <w:sz w:val="20"/>
                <w:szCs w:val="20"/>
                <w:lang w:val="nl-NL"/>
              </w:rPr>
            </w:pPr>
            <w:r>
              <w:rPr>
                <w:rFonts w:ascii="Arial Narrow" w:hAnsi="Arial Narrow" w:cs="Segoe UI"/>
                <w:sz w:val="20"/>
                <w:szCs w:val="20"/>
                <w:lang w:val="nl-NL"/>
              </w:rPr>
              <w:t>McCormack 2010</w:t>
            </w:r>
          </w:p>
        </w:tc>
        <w:tc>
          <w:tcPr>
            <w:tcW w:w="7796" w:type="dxa"/>
            <w:shd w:val="clear" w:color="auto" w:fill="FFFFFF" w:themeFill="background1"/>
          </w:tcPr>
          <w:p w14:paraId="1EDFC3DF" w14:textId="4D6AB998" w:rsidR="00327B18" w:rsidRPr="0026209D" w:rsidRDefault="00C97496" w:rsidP="00A430EE">
            <w:pPr>
              <w:rPr>
                <w:rFonts w:ascii="Arial Narrow" w:hAnsi="Arial Narrow" w:cs="Segoe UI"/>
                <w:sz w:val="20"/>
                <w:szCs w:val="20"/>
                <w:lang w:val="nl-NL"/>
              </w:rPr>
            </w:pPr>
            <w:r w:rsidRPr="00A83BED">
              <w:rPr>
                <w:rFonts w:ascii="Arial Narrow" w:hAnsi="Arial Narrow" w:cs="Segoe UI"/>
                <w:sz w:val="20"/>
                <w:szCs w:val="20"/>
              </w:rPr>
              <w:t xml:space="preserve">McCormack T, Harvey P, Gaunt R, Allgar V, Chipperfield R, Robinson P, et al. Incremental cholesterol reduction with ezetimibe/simvastatin, atorvastatin and rosuvastatin in UK General Practice (IN-PRACTICE): randomised controlled trial of achievement of Joint British Societies (JBS-2) cholesterol targets. </w:t>
            </w:r>
            <w:r w:rsidRPr="0026209D">
              <w:rPr>
                <w:rFonts w:ascii="Arial Narrow" w:hAnsi="Arial Narrow" w:cs="Segoe UI"/>
                <w:sz w:val="20"/>
                <w:szCs w:val="20"/>
                <w:lang w:val="nl-NL"/>
              </w:rPr>
              <w:t>Int J Clin Pract. 2010;64(8):1052-61</w:t>
            </w:r>
          </w:p>
        </w:tc>
      </w:tr>
      <w:tr w:rsidR="00A430EE" w:rsidRPr="00EC4F8A" w14:paraId="33076211" w14:textId="77777777" w:rsidTr="003523B4">
        <w:trPr>
          <w:trHeight w:val="255"/>
        </w:trPr>
        <w:tc>
          <w:tcPr>
            <w:tcW w:w="9356" w:type="dxa"/>
            <w:gridSpan w:val="2"/>
            <w:vAlign w:val="bottom"/>
          </w:tcPr>
          <w:p w14:paraId="1C0626B3" w14:textId="73F319AB" w:rsidR="00A430EE" w:rsidRPr="00C87881" w:rsidRDefault="00A430EE" w:rsidP="00A430EE">
            <w:pPr>
              <w:spacing w:after="240"/>
              <w:jc w:val="center"/>
              <w:rPr>
                <w:rFonts w:ascii="Arial Narrow" w:hAnsi="Arial Narrow"/>
                <w:b/>
                <w:sz w:val="20"/>
                <w:szCs w:val="20"/>
              </w:rPr>
            </w:pPr>
            <w:r>
              <w:rPr>
                <w:rFonts w:ascii="Arial Narrow" w:hAnsi="Arial Narrow"/>
                <w:b/>
                <w:sz w:val="20"/>
                <w:szCs w:val="20"/>
              </w:rPr>
              <w:t>Fixed dose of s</w:t>
            </w:r>
            <w:r w:rsidRPr="00C87881">
              <w:rPr>
                <w:rFonts w:ascii="Arial Narrow" w:hAnsi="Arial Narrow"/>
                <w:b/>
                <w:sz w:val="20"/>
                <w:szCs w:val="20"/>
              </w:rPr>
              <w:t>tatin</w:t>
            </w:r>
            <w:r>
              <w:rPr>
                <w:rFonts w:ascii="Arial Narrow" w:hAnsi="Arial Narrow"/>
                <w:b/>
                <w:sz w:val="20"/>
                <w:szCs w:val="20"/>
              </w:rPr>
              <w:t xml:space="preserve"> + ezetimibe </w:t>
            </w:r>
            <w:r w:rsidRPr="00C87881">
              <w:rPr>
                <w:rFonts w:ascii="Arial Narrow" w:hAnsi="Arial Narrow"/>
                <w:b/>
                <w:sz w:val="20"/>
                <w:szCs w:val="20"/>
              </w:rPr>
              <w:t xml:space="preserve">vs </w:t>
            </w:r>
            <w:r>
              <w:rPr>
                <w:rFonts w:ascii="Arial Narrow" w:hAnsi="Arial Narrow"/>
                <w:b/>
                <w:sz w:val="20"/>
                <w:szCs w:val="20"/>
              </w:rPr>
              <w:t>matching fixed dose of statin</w:t>
            </w:r>
          </w:p>
        </w:tc>
      </w:tr>
      <w:tr w:rsidR="00A430EE" w:rsidRPr="00EC4F8A" w14:paraId="169E5ED3" w14:textId="77777777" w:rsidTr="003523B4">
        <w:tc>
          <w:tcPr>
            <w:tcW w:w="1560" w:type="dxa"/>
          </w:tcPr>
          <w:p w14:paraId="3D27BD0C" w14:textId="29075FC6" w:rsidR="00A430EE" w:rsidRDefault="00A430EE" w:rsidP="00A430EE">
            <w:pPr>
              <w:rPr>
                <w:rFonts w:ascii="Arial Narrow" w:eastAsia="Times New Roman" w:hAnsi="Arial Narrow" w:cs="Times New Roman"/>
                <w:sz w:val="20"/>
                <w:szCs w:val="20"/>
                <w:lang w:eastAsia="en-AU"/>
              </w:rPr>
            </w:pPr>
            <w:r w:rsidRPr="00A52459">
              <w:rPr>
                <w:rFonts w:ascii="Arial Narrow" w:eastAsia="Times New Roman" w:hAnsi="Arial Narrow" w:cs="Times New Roman"/>
                <w:sz w:val="20"/>
                <w:szCs w:val="20"/>
                <w:lang w:eastAsia="en-AU"/>
              </w:rPr>
              <w:t xml:space="preserve">P692 </w:t>
            </w:r>
          </w:p>
          <w:p w14:paraId="636D2372" w14:textId="2814707C" w:rsidR="00A430EE" w:rsidRPr="00A52459" w:rsidRDefault="00A430EE" w:rsidP="00A430EE">
            <w:pPr>
              <w:rPr>
                <w:rFonts w:ascii="Arial Narrow" w:eastAsia="Times New Roman" w:hAnsi="Arial Narrow" w:cs="Times New Roman"/>
                <w:sz w:val="20"/>
                <w:szCs w:val="20"/>
                <w:lang w:eastAsia="en-AU"/>
              </w:rPr>
            </w:pPr>
            <w:r w:rsidRPr="00291EAA">
              <w:rPr>
                <w:rFonts w:ascii="Arial Narrow" w:eastAsia="Times New Roman" w:hAnsi="Arial Narrow" w:cs="Times New Roman"/>
                <w:sz w:val="20"/>
                <w:szCs w:val="20"/>
                <w:lang w:eastAsia="en-AU"/>
              </w:rPr>
              <w:t>Ballantyne</w:t>
            </w:r>
            <w:r>
              <w:rPr>
                <w:rFonts w:ascii="Arial Narrow" w:eastAsia="Times New Roman" w:hAnsi="Arial Narrow" w:cs="Times New Roman"/>
                <w:sz w:val="20"/>
                <w:szCs w:val="20"/>
                <w:lang w:eastAsia="en-AU"/>
              </w:rPr>
              <w:t xml:space="preserve"> 2003</w:t>
            </w:r>
          </w:p>
          <w:p w14:paraId="3D49F321" w14:textId="419063FA" w:rsidR="00A430EE" w:rsidRPr="00C66F1F" w:rsidRDefault="00A430EE" w:rsidP="00A430EE">
            <w:pPr>
              <w:rPr>
                <w:rFonts w:ascii="Arial Narrow" w:hAnsi="Arial Narrow"/>
                <w:sz w:val="20"/>
                <w:szCs w:val="20"/>
              </w:rPr>
            </w:pPr>
          </w:p>
        </w:tc>
        <w:tc>
          <w:tcPr>
            <w:tcW w:w="7796" w:type="dxa"/>
          </w:tcPr>
          <w:p w14:paraId="388C5040" w14:textId="77777777" w:rsidR="00A430EE" w:rsidRDefault="00A430EE" w:rsidP="00A430EE">
            <w:pPr>
              <w:rPr>
                <w:rFonts w:ascii="Arial Narrow" w:eastAsia="Times New Roman" w:hAnsi="Arial Narrow" w:cs="Times New Roman"/>
                <w:sz w:val="20"/>
                <w:szCs w:val="20"/>
                <w:lang w:eastAsia="en-AU"/>
              </w:rPr>
            </w:pPr>
            <w:r w:rsidRPr="00291EAA">
              <w:rPr>
                <w:rFonts w:ascii="Arial Narrow" w:eastAsia="Times New Roman" w:hAnsi="Arial Narrow" w:cs="Times New Roman"/>
                <w:sz w:val="20"/>
                <w:szCs w:val="20"/>
                <w:lang w:eastAsia="en-AU"/>
              </w:rPr>
              <w:t xml:space="preserve">Ballantyne CM, Houri J, Notarbartolo A, Melani L, Lipka LJ, Suresh R, et al. Effect of ezetimibe coadministered with atorvastatin in 628 patients with primary hypercholesterolemia: A prospective, randomized, double-blind trial. Circulation. 2003;107(19):2409-15. </w:t>
            </w:r>
          </w:p>
          <w:p w14:paraId="79EF6763" w14:textId="77777777" w:rsidR="00A430EE" w:rsidRPr="00291EAA" w:rsidRDefault="00A430EE" w:rsidP="00140129">
            <w:pPr>
              <w:pStyle w:val="ListParagraph"/>
              <w:numPr>
                <w:ilvl w:val="0"/>
                <w:numId w:val="14"/>
              </w:numPr>
              <w:ind w:left="459" w:hanging="284"/>
              <w:rPr>
                <w:rFonts w:ascii="Arial Narrow" w:eastAsia="Times New Roman" w:hAnsi="Arial Narrow" w:cs="Times New Roman"/>
                <w:color w:val="000000"/>
                <w:sz w:val="20"/>
                <w:szCs w:val="20"/>
                <w:lang w:eastAsia="en-AU"/>
              </w:rPr>
            </w:pPr>
            <w:r w:rsidRPr="00291EAA">
              <w:rPr>
                <w:rFonts w:ascii="Arial Narrow" w:eastAsia="Times New Roman" w:hAnsi="Arial Narrow" w:cs="Times New Roman"/>
                <w:color w:val="000000"/>
                <w:sz w:val="20"/>
                <w:szCs w:val="20"/>
                <w:lang w:eastAsia="en-AU"/>
              </w:rPr>
              <w:t xml:space="preserve">Ballantyne et al. 2002, J. Am. Coll. Cardiol. 39(9, Suppl. B) 135B-135B; </w:t>
            </w:r>
          </w:p>
          <w:p w14:paraId="5901015E" w14:textId="715B0207" w:rsidR="00A430EE" w:rsidRPr="00C66F1F" w:rsidRDefault="00A430EE" w:rsidP="00140129">
            <w:pPr>
              <w:pStyle w:val="ListParagraph"/>
              <w:numPr>
                <w:ilvl w:val="0"/>
                <w:numId w:val="14"/>
              </w:numPr>
              <w:ind w:left="459" w:hanging="284"/>
              <w:rPr>
                <w:rFonts w:ascii="Arial Narrow" w:hAnsi="Arial Narrow"/>
                <w:sz w:val="20"/>
                <w:szCs w:val="20"/>
              </w:rPr>
            </w:pPr>
            <w:r w:rsidRPr="00A52459">
              <w:rPr>
                <w:rFonts w:ascii="Arial Narrow" w:eastAsia="Times New Roman" w:hAnsi="Arial Narrow" w:cs="Times New Roman"/>
                <w:color w:val="000000"/>
                <w:sz w:val="20"/>
                <w:szCs w:val="20"/>
                <w:lang w:eastAsia="en-AU"/>
              </w:rPr>
              <w:t xml:space="preserve">Ballantyne et al. 2002, J. Am. Coll. Cardiol. </w:t>
            </w:r>
            <w:r>
              <w:rPr>
                <w:rFonts w:ascii="Arial Narrow" w:eastAsia="Times New Roman" w:hAnsi="Arial Narrow" w:cs="Times New Roman"/>
                <w:color w:val="000000"/>
                <w:sz w:val="20"/>
                <w:szCs w:val="20"/>
                <w:lang w:eastAsia="en-AU"/>
              </w:rPr>
              <w:t>39 (9, Suppl. B) 227A-227A</w:t>
            </w:r>
          </w:p>
        </w:tc>
      </w:tr>
      <w:tr w:rsidR="00A430EE" w:rsidRPr="00EC4F8A" w14:paraId="54E3F4CD" w14:textId="77777777" w:rsidTr="003523B4">
        <w:tc>
          <w:tcPr>
            <w:tcW w:w="1560" w:type="dxa"/>
          </w:tcPr>
          <w:p w14:paraId="61327F01" w14:textId="0FB64B3C" w:rsidR="00A430EE" w:rsidRDefault="00A430EE" w:rsidP="00A430EE">
            <w:pPr>
              <w:rPr>
                <w:rFonts w:ascii="Arial Narrow" w:hAnsi="Arial Narrow"/>
                <w:sz w:val="20"/>
                <w:szCs w:val="20"/>
              </w:rPr>
            </w:pPr>
            <w:r>
              <w:rPr>
                <w:rFonts w:ascii="Arial Narrow" w:hAnsi="Arial Narrow"/>
                <w:sz w:val="20"/>
                <w:szCs w:val="20"/>
              </w:rPr>
              <w:t>P</w:t>
            </w:r>
            <w:r w:rsidRPr="00DE26E4">
              <w:rPr>
                <w:rFonts w:ascii="Arial Narrow" w:hAnsi="Arial Narrow"/>
                <w:sz w:val="20"/>
                <w:szCs w:val="20"/>
              </w:rPr>
              <w:t>038</w:t>
            </w:r>
          </w:p>
          <w:p w14:paraId="787F543F" w14:textId="47CFE19C" w:rsidR="00A430EE" w:rsidRPr="00DE26E4" w:rsidRDefault="00A430EE" w:rsidP="00A430EE">
            <w:pPr>
              <w:rPr>
                <w:rFonts w:ascii="Arial Narrow" w:hAnsi="Arial Narrow"/>
                <w:sz w:val="20"/>
                <w:szCs w:val="20"/>
              </w:rPr>
            </w:pPr>
            <w:r>
              <w:rPr>
                <w:rFonts w:ascii="Arial Narrow" w:hAnsi="Arial Narrow"/>
                <w:sz w:val="20"/>
                <w:szCs w:val="20"/>
              </w:rPr>
              <w:t>Bays 2004</w:t>
            </w:r>
          </w:p>
          <w:p w14:paraId="54A878CD" w14:textId="25C7AE88" w:rsidR="00A430EE" w:rsidRPr="00DE26E4" w:rsidRDefault="00A430EE" w:rsidP="00A430EE">
            <w:pPr>
              <w:rPr>
                <w:rFonts w:ascii="Arial Narrow" w:hAnsi="Arial Narrow"/>
                <w:sz w:val="20"/>
                <w:szCs w:val="20"/>
              </w:rPr>
            </w:pPr>
            <w:r w:rsidRPr="00DE26E4">
              <w:rPr>
                <w:rFonts w:ascii="Arial Narrow" w:hAnsi="Arial Narrow"/>
                <w:sz w:val="20"/>
                <w:szCs w:val="20"/>
              </w:rPr>
              <w:t xml:space="preserve"> </w:t>
            </w:r>
          </w:p>
        </w:tc>
        <w:tc>
          <w:tcPr>
            <w:tcW w:w="7796" w:type="dxa"/>
          </w:tcPr>
          <w:p w14:paraId="3AC27F30" w14:textId="77777777" w:rsidR="00A430EE" w:rsidRPr="00697D53" w:rsidRDefault="00A430EE" w:rsidP="00A430EE">
            <w:pPr>
              <w:rPr>
                <w:rFonts w:ascii="Arial Narrow" w:eastAsia="Times New Roman" w:hAnsi="Arial Narrow" w:cs="Times New Roman"/>
                <w:color w:val="000000"/>
                <w:sz w:val="20"/>
                <w:szCs w:val="20"/>
                <w:lang w:eastAsia="en-AU"/>
              </w:rPr>
            </w:pPr>
            <w:r w:rsidRPr="00697D53">
              <w:rPr>
                <w:rFonts w:ascii="Arial Narrow" w:eastAsia="Times New Roman" w:hAnsi="Arial Narrow" w:cs="Times New Roman"/>
                <w:color w:val="000000"/>
                <w:sz w:val="20"/>
                <w:szCs w:val="20"/>
                <w:lang w:eastAsia="en-AU"/>
              </w:rPr>
              <w:t xml:space="preserve">Bays HE, Ose L, Fraser N, Tribble DL, Quinto K, Reyes R, et al. A multicenter, randomized, double-blind, placebo-controlled, factorial design study to evaluate the lipid-altering efficacy and safety profile of the ezetimibe/simvastatin tablet compared with ezetimibe and simvastatin monotherapy in patients with primary hypercholesterolemia. Clinical Therapeutics. 2004;26(11):1758-73. Bays et al. 2004, J Am Coll Cardiol 43 445A-446A; </w:t>
            </w:r>
          </w:p>
          <w:p w14:paraId="52961A6B" w14:textId="77777777" w:rsidR="00A430EE" w:rsidRPr="00A52459" w:rsidRDefault="00A430EE" w:rsidP="00140129">
            <w:pPr>
              <w:pStyle w:val="ListParagraph"/>
              <w:numPr>
                <w:ilvl w:val="0"/>
                <w:numId w:val="15"/>
              </w:numPr>
              <w:ind w:left="459" w:hanging="284"/>
              <w:rPr>
                <w:rFonts w:ascii="Arial Narrow" w:eastAsia="Times New Roman" w:hAnsi="Arial Narrow" w:cs="Times New Roman"/>
                <w:sz w:val="20"/>
                <w:szCs w:val="20"/>
                <w:lang w:eastAsia="en-AU"/>
              </w:rPr>
            </w:pPr>
            <w:r w:rsidRPr="00A52459">
              <w:rPr>
                <w:rFonts w:ascii="Arial Narrow" w:eastAsia="Times New Roman" w:hAnsi="Arial Narrow" w:cs="Times New Roman"/>
                <w:sz w:val="20"/>
                <w:szCs w:val="20"/>
                <w:lang w:eastAsia="en-AU"/>
              </w:rPr>
              <w:t xml:space="preserve">Ose et al. 2004, Atherosclerosis 5(Suppl. 1) p140-140; </w:t>
            </w:r>
          </w:p>
          <w:p w14:paraId="63806DBC" w14:textId="77777777" w:rsidR="00A430EE" w:rsidRPr="00A52459" w:rsidRDefault="00A430EE" w:rsidP="00140129">
            <w:pPr>
              <w:pStyle w:val="ListParagraph"/>
              <w:numPr>
                <w:ilvl w:val="0"/>
                <w:numId w:val="15"/>
              </w:numPr>
              <w:ind w:left="459" w:hanging="284"/>
              <w:rPr>
                <w:rFonts w:ascii="Arial Narrow" w:hAnsi="Arial Narrow"/>
                <w:sz w:val="20"/>
                <w:szCs w:val="20"/>
              </w:rPr>
            </w:pPr>
            <w:r w:rsidRPr="00A52459">
              <w:rPr>
                <w:rFonts w:ascii="Arial Narrow" w:eastAsia="Times New Roman" w:hAnsi="Arial Narrow" w:cs="Times New Roman"/>
                <w:sz w:val="20"/>
                <w:szCs w:val="20"/>
                <w:lang w:eastAsia="en-AU"/>
              </w:rPr>
              <w:t>Ose et al. 2004, Atherosclerosis 5(Suppl. 1) p140-141;</w:t>
            </w:r>
          </w:p>
          <w:p w14:paraId="5E2F3A7F" w14:textId="50FEB098" w:rsidR="00A430EE" w:rsidRPr="00C66F1F" w:rsidRDefault="00A430EE" w:rsidP="00140129">
            <w:pPr>
              <w:pStyle w:val="ListParagraph"/>
              <w:numPr>
                <w:ilvl w:val="0"/>
                <w:numId w:val="15"/>
              </w:numPr>
              <w:ind w:left="459" w:hanging="284"/>
              <w:rPr>
                <w:rFonts w:ascii="Arial Narrow" w:hAnsi="Arial Narrow"/>
                <w:sz w:val="20"/>
                <w:szCs w:val="20"/>
              </w:rPr>
            </w:pPr>
            <w:r w:rsidRPr="00DE26E4">
              <w:rPr>
                <w:rFonts w:ascii="Arial Narrow" w:eastAsia="Times New Roman" w:hAnsi="Arial Narrow" w:cs="Times New Roman"/>
                <w:sz w:val="20"/>
                <w:szCs w:val="20"/>
                <w:lang w:eastAsia="en-AU"/>
              </w:rPr>
              <w:t>Feldman et al. 2005, J. Am. Coll. Cardiol. 45(3, Suppl. A) 392A-392A</w:t>
            </w:r>
          </w:p>
        </w:tc>
      </w:tr>
      <w:tr w:rsidR="00A430EE" w:rsidRPr="00EC4F8A" w14:paraId="0891C1B8" w14:textId="77777777" w:rsidTr="003523B4">
        <w:tc>
          <w:tcPr>
            <w:tcW w:w="1560" w:type="dxa"/>
          </w:tcPr>
          <w:p w14:paraId="48332E12" w14:textId="431A18F5" w:rsidR="00A430EE" w:rsidRPr="00C66F1F" w:rsidRDefault="00A430EE" w:rsidP="00A430EE">
            <w:pPr>
              <w:rPr>
                <w:rFonts w:ascii="Arial Narrow" w:hAnsi="Arial Narrow"/>
                <w:sz w:val="20"/>
                <w:szCs w:val="20"/>
              </w:rPr>
            </w:pPr>
            <w:r w:rsidRPr="00050BDB">
              <w:rPr>
                <w:rFonts w:ascii="Arial Narrow" w:hAnsi="Arial Narrow" w:cs="Segoe UI"/>
                <w:sz w:val="20"/>
                <w:szCs w:val="20"/>
              </w:rPr>
              <w:t>Chirinos</w:t>
            </w:r>
            <w:r>
              <w:rPr>
                <w:rFonts w:ascii="Arial Narrow" w:hAnsi="Arial Narrow" w:cs="Segoe UI"/>
                <w:sz w:val="20"/>
                <w:szCs w:val="20"/>
              </w:rPr>
              <w:t xml:space="preserve"> 2010</w:t>
            </w:r>
            <w:r w:rsidR="00BC604A" w:rsidRPr="00BC604A">
              <w:rPr>
                <w:rFonts w:ascii="Arial Narrow" w:hAnsi="Arial Narrow"/>
                <w:b/>
                <w:sz w:val="20"/>
                <w:szCs w:val="20"/>
              </w:rPr>
              <w:t>*</w:t>
            </w:r>
          </w:p>
        </w:tc>
        <w:tc>
          <w:tcPr>
            <w:tcW w:w="7796" w:type="dxa"/>
          </w:tcPr>
          <w:p w14:paraId="6E7B3AF5" w14:textId="7C45A2FD" w:rsidR="00A430EE" w:rsidRPr="00C66F1F" w:rsidRDefault="00A430EE" w:rsidP="00A430EE">
            <w:pPr>
              <w:rPr>
                <w:rFonts w:ascii="Arial Narrow" w:hAnsi="Arial Narrow"/>
                <w:sz w:val="20"/>
                <w:szCs w:val="20"/>
              </w:rPr>
            </w:pPr>
            <w:r w:rsidRPr="00DE3450">
              <w:rPr>
                <w:rFonts w:ascii="Arial Narrow" w:eastAsia="Times New Roman" w:hAnsi="Arial Narrow" w:cs="Times New Roman"/>
                <w:color w:val="000000"/>
                <w:sz w:val="20"/>
                <w:szCs w:val="20"/>
                <w:lang w:eastAsia="en-AU"/>
              </w:rPr>
              <w:t xml:space="preserve">Chirinos JA, Williams MM, Bregman DB, Ashfaq H, Khayyam U, Iqbal N. Efficacy of cholesterol uptake inhibition added to statin therapy among subjects following a low-carbohydrate diet: A randomized controlled trial. </w:t>
            </w:r>
            <w:r w:rsidRPr="00D30590">
              <w:rPr>
                <w:rFonts w:ascii="Arial Narrow" w:eastAsia="Times New Roman" w:hAnsi="Arial Narrow" w:cs="Times New Roman"/>
                <w:color w:val="000000"/>
                <w:sz w:val="20"/>
                <w:szCs w:val="20"/>
                <w:lang w:val="nl-NL" w:eastAsia="en-AU"/>
              </w:rPr>
              <w:t>American Heart Journal. 2010;159(5):918.e1-.e6.</w:t>
            </w:r>
          </w:p>
        </w:tc>
      </w:tr>
      <w:tr w:rsidR="00A430EE" w:rsidRPr="00EC4F8A" w14:paraId="6032A0B6" w14:textId="77777777" w:rsidTr="003523B4">
        <w:tc>
          <w:tcPr>
            <w:tcW w:w="1560" w:type="dxa"/>
          </w:tcPr>
          <w:p w14:paraId="068E4A55" w14:textId="77777777" w:rsidR="00A430EE" w:rsidRDefault="00A430EE" w:rsidP="00A430EE">
            <w:pPr>
              <w:rPr>
                <w:rFonts w:ascii="Arial Narrow" w:eastAsia="Times New Roman" w:hAnsi="Arial Narrow" w:cs="Times New Roman"/>
                <w:sz w:val="20"/>
                <w:szCs w:val="20"/>
                <w:lang w:eastAsia="en-AU"/>
              </w:rPr>
            </w:pPr>
            <w:r w:rsidRPr="009C1F91">
              <w:rPr>
                <w:rFonts w:ascii="Arial Narrow" w:eastAsia="Times New Roman" w:hAnsi="Arial Narrow" w:cs="Times New Roman"/>
                <w:sz w:val="20"/>
                <w:szCs w:val="20"/>
                <w:lang w:eastAsia="en-AU"/>
              </w:rPr>
              <w:t>Protocol P680</w:t>
            </w:r>
          </w:p>
          <w:p w14:paraId="2195A45C" w14:textId="2091D2E8" w:rsidR="00A430EE" w:rsidRPr="009C1F91" w:rsidRDefault="00A430EE" w:rsidP="00A430EE">
            <w:pP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Davidson 2002</w:t>
            </w:r>
            <w:r w:rsidRPr="009C1F91">
              <w:rPr>
                <w:rFonts w:ascii="Arial Narrow" w:eastAsia="Times New Roman" w:hAnsi="Arial Narrow" w:cs="Times New Roman"/>
                <w:sz w:val="20"/>
                <w:szCs w:val="20"/>
                <w:lang w:eastAsia="en-AU"/>
              </w:rPr>
              <w:t xml:space="preserve"> </w:t>
            </w:r>
          </w:p>
          <w:p w14:paraId="26FB2FC5" w14:textId="77777777" w:rsidR="00A430EE" w:rsidRPr="00C66F1F" w:rsidRDefault="00A430EE" w:rsidP="00A430EE">
            <w:pPr>
              <w:rPr>
                <w:rFonts w:ascii="Arial Narrow" w:hAnsi="Arial Narrow"/>
                <w:sz w:val="20"/>
                <w:szCs w:val="20"/>
              </w:rPr>
            </w:pPr>
          </w:p>
        </w:tc>
        <w:tc>
          <w:tcPr>
            <w:tcW w:w="7796" w:type="dxa"/>
          </w:tcPr>
          <w:p w14:paraId="04CF2DD3" w14:textId="77777777" w:rsidR="00A430EE" w:rsidRPr="00A52459" w:rsidRDefault="00A430EE" w:rsidP="00A430EE">
            <w:pPr>
              <w:rPr>
                <w:rFonts w:ascii="Arial Narrow" w:eastAsia="Times New Roman" w:hAnsi="Arial Narrow" w:cs="Times New Roman"/>
                <w:sz w:val="20"/>
                <w:szCs w:val="20"/>
                <w:lang w:eastAsia="en-AU"/>
              </w:rPr>
            </w:pPr>
            <w:r w:rsidRPr="00291EAA">
              <w:rPr>
                <w:rFonts w:ascii="Arial Narrow" w:eastAsia="Times New Roman" w:hAnsi="Arial Narrow" w:cs="Times New Roman"/>
                <w:sz w:val="20"/>
                <w:szCs w:val="20"/>
                <w:lang w:eastAsia="en-AU"/>
              </w:rPr>
              <w:t>Davidson MH, McGarry T, Bettis R, Melani L, Lipka LJ, LeBeaut AP, et al. Ezetimibe coadministered with simvastatin in patients with primary hypercholesterolemia. Journal of the American College of Cardiology. 2002;40(12):2125-34.</w:t>
            </w:r>
          </w:p>
          <w:p w14:paraId="1B1DA74F" w14:textId="77777777" w:rsidR="00A430EE" w:rsidRPr="00291EAA" w:rsidRDefault="00A430EE" w:rsidP="00140129">
            <w:pPr>
              <w:pStyle w:val="ListParagraph"/>
              <w:numPr>
                <w:ilvl w:val="0"/>
                <w:numId w:val="16"/>
              </w:numPr>
              <w:ind w:left="459" w:hanging="284"/>
              <w:rPr>
                <w:rFonts w:ascii="Arial Narrow" w:hAnsi="Arial Narrow"/>
                <w:sz w:val="20"/>
                <w:szCs w:val="20"/>
              </w:rPr>
            </w:pPr>
            <w:r w:rsidRPr="00291EAA">
              <w:rPr>
                <w:rFonts w:ascii="Arial Narrow" w:hAnsi="Arial Narrow"/>
                <w:sz w:val="20"/>
                <w:szCs w:val="20"/>
              </w:rPr>
              <w:t xml:space="preserve">Sager PT, Melani L, Lipka L, Strony J, Yang B, Suresh R, et al. Effect of coadministration of ezetimibe and simvastatin on high-sensitivity C-reactive protein. American Journal of Cardiology. 2003;92(12):1414-8. </w:t>
            </w:r>
          </w:p>
          <w:p w14:paraId="5BA84941" w14:textId="77777777" w:rsidR="00A430EE" w:rsidRPr="00A52459" w:rsidRDefault="00A430EE" w:rsidP="00140129">
            <w:pPr>
              <w:pStyle w:val="ListParagraph"/>
              <w:numPr>
                <w:ilvl w:val="0"/>
                <w:numId w:val="16"/>
              </w:numPr>
              <w:ind w:left="459" w:hanging="284"/>
              <w:rPr>
                <w:rFonts w:ascii="Arial Narrow" w:hAnsi="Arial Narrow"/>
                <w:sz w:val="20"/>
                <w:szCs w:val="20"/>
              </w:rPr>
            </w:pPr>
            <w:r w:rsidRPr="00A52459">
              <w:rPr>
                <w:rFonts w:ascii="Arial Narrow" w:hAnsi="Arial Narrow"/>
                <w:sz w:val="20"/>
                <w:szCs w:val="20"/>
              </w:rPr>
              <w:t xml:space="preserve">Sager et al. 2004, Atherosclerosis 5 (Suppl. 1) p148-148; </w:t>
            </w:r>
          </w:p>
          <w:p w14:paraId="620F2E5C" w14:textId="77777777" w:rsidR="00A430EE" w:rsidRPr="00A52459" w:rsidRDefault="00A430EE" w:rsidP="00140129">
            <w:pPr>
              <w:pStyle w:val="ListParagraph"/>
              <w:numPr>
                <w:ilvl w:val="0"/>
                <w:numId w:val="16"/>
              </w:numPr>
              <w:ind w:left="459" w:hanging="284"/>
              <w:rPr>
                <w:rFonts w:ascii="Arial Narrow" w:hAnsi="Arial Narrow"/>
                <w:sz w:val="20"/>
                <w:szCs w:val="20"/>
              </w:rPr>
            </w:pPr>
            <w:r w:rsidRPr="00A52459">
              <w:rPr>
                <w:rFonts w:ascii="Arial Narrow" w:hAnsi="Arial Narrow"/>
                <w:sz w:val="20"/>
                <w:szCs w:val="20"/>
              </w:rPr>
              <w:t xml:space="preserve">Davidson et al. 2002, J. Am. Coll. Cardiol. 39(9, Suppl. B) 135B-135B; Davidson et al. 2002, J. </w:t>
            </w:r>
            <w:r w:rsidRPr="00A52459">
              <w:rPr>
                <w:rFonts w:ascii="Arial Narrow" w:hAnsi="Arial Narrow"/>
                <w:sz w:val="20"/>
                <w:szCs w:val="20"/>
              </w:rPr>
              <w:lastRenderedPageBreak/>
              <w:t xml:space="preserve">Am. Coll. Cardiol. 39(9, Suppl. A) 226A-226A; </w:t>
            </w:r>
          </w:p>
          <w:p w14:paraId="7B7260E6" w14:textId="77777777" w:rsidR="00A430EE" w:rsidRPr="00A52459" w:rsidRDefault="00A430EE" w:rsidP="00140129">
            <w:pPr>
              <w:pStyle w:val="ListParagraph"/>
              <w:numPr>
                <w:ilvl w:val="0"/>
                <w:numId w:val="16"/>
              </w:numPr>
              <w:ind w:left="459" w:hanging="284"/>
              <w:rPr>
                <w:rFonts w:ascii="Arial Narrow" w:hAnsi="Arial Narrow"/>
                <w:sz w:val="20"/>
                <w:szCs w:val="20"/>
              </w:rPr>
            </w:pPr>
            <w:r w:rsidRPr="00A52459">
              <w:rPr>
                <w:rFonts w:ascii="Arial Narrow" w:hAnsi="Arial Narrow"/>
                <w:sz w:val="20"/>
                <w:szCs w:val="20"/>
              </w:rPr>
              <w:t xml:space="preserve">Sager et al. 2003, Eur. Heart J. 24 (Abstract Suppl.) p690-690; </w:t>
            </w:r>
          </w:p>
          <w:p w14:paraId="0D646991" w14:textId="594B791C" w:rsidR="00A430EE" w:rsidRPr="00C66F1F" w:rsidRDefault="00A430EE" w:rsidP="00140129">
            <w:pPr>
              <w:pStyle w:val="ListParagraph"/>
              <w:numPr>
                <w:ilvl w:val="0"/>
                <w:numId w:val="16"/>
              </w:numPr>
              <w:ind w:left="459" w:hanging="284"/>
              <w:rPr>
                <w:rFonts w:ascii="Arial Narrow" w:hAnsi="Arial Narrow"/>
                <w:sz w:val="20"/>
                <w:szCs w:val="20"/>
              </w:rPr>
            </w:pPr>
            <w:r w:rsidRPr="00A52459">
              <w:rPr>
                <w:rFonts w:ascii="Arial Narrow" w:hAnsi="Arial Narrow"/>
                <w:sz w:val="20"/>
                <w:szCs w:val="20"/>
              </w:rPr>
              <w:t>Sager et al. 2003, J. Am. Coll. Cardio</w:t>
            </w:r>
            <w:r>
              <w:rPr>
                <w:rFonts w:ascii="Arial Narrow" w:hAnsi="Arial Narrow"/>
                <w:sz w:val="20"/>
                <w:szCs w:val="20"/>
              </w:rPr>
              <w:t>logy 41 (6, Suppl. A) 316A-317A</w:t>
            </w:r>
          </w:p>
        </w:tc>
      </w:tr>
      <w:tr w:rsidR="00A430EE" w:rsidRPr="00EC4F8A" w14:paraId="4A8598F2" w14:textId="77777777" w:rsidTr="003523B4">
        <w:tc>
          <w:tcPr>
            <w:tcW w:w="1560" w:type="dxa"/>
          </w:tcPr>
          <w:p w14:paraId="73F7DF79" w14:textId="77777777" w:rsidR="00A430EE" w:rsidRDefault="00A430EE" w:rsidP="00A430EE">
            <w:pPr>
              <w:rPr>
                <w:rFonts w:ascii="Arial Narrow" w:hAnsi="Arial Narrow"/>
                <w:sz w:val="20"/>
                <w:szCs w:val="20"/>
              </w:rPr>
            </w:pPr>
            <w:r>
              <w:rPr>
                <w:rFonts w:ascii="Arial Narrow" w:hAnsi="Arial Narrow"/>
                <w:sz w:val="20"/>
                <w:szCs w:val="20"/>
              </w:rPr>
              <w:lastRenderedPageBreak/>
              <w:t>P</w:t>
            </w:r>
            <w:r w:rsidRPr="00A52459">
              <w:rPr>
                <w:rFonts w:ascii="Arial Narrow" w:hAnsi="Arial Narrow"/>
                <w:sz w:val="20"/>
                <w:szCs w:val="20"/>
              </w:rPr>
              <w:t>005</w:t>
            </w:r>
          </w:p>
          <w:p w14:paraId="353FB15C" w14:textId="02FFE406" w:rsidR="00A430EE" w:rsidRPr="00C66F1F" w:rsidRDefault="00A430EE" w:rsidP="00A430EE">
            <w:pPr>
              <w:rPr>
                <w:rFonts w:ascii="Arial Narrow" w:hAnsi="Arial Narrow"/>
                <w:sz w:val="20"/>
                <w:szCs w:val="20"/>
              </w:rPr>
            </w:pPr>
            <w:r w:rsidRPr="008420E4">
              <w:rPr>
                <w:rFonts w:ascii="Arial Narrow" w:hAnsi="Arial Narrow"/>
                <w:sz w:val="20"/>
                <w:szCs w:val="20"/>
              </w:rPr>
              <w:t>Goldberg</w:t>
            </w:r>
            <w:r>
              <w:rPr>
                <w:rFonts w:ascii="Arial Narrow" w:hAnsi="Arial Narrow"/>
                <w:sz w:val="20"/>
                <w:szCs w:val="20"/>
              </w:rPr>
              <w:t xml:space="preserve"> 2004</w:t>
            </w:r>
          </w:p>
        </w:tc>
        <w:tc>
          <w:tcPr>
            <w:tcW w:w="7796" w:type="dxa"/>
          </w:tcPr>
          <w:p w14:paraId="2A180DD8" w14:textId="77777777" w:rsidR="00A430EE" w:rsidRDefault="00A430EE" w:rsidP="00A430EE">
            <w:pPr>
              <w:rPr>
                <w:rFonts w:ascii="Arial Narrow" w:hAnsi="Arial Narrow"/>
                <w:sz w:val="20"/>
                <w:szCs w:val="20"/>
              </w:rPr>
            </w:pPr>
            <w:r w:rsidRPr="008420E4">
              <w:rPr>
                <w:rFonts w:ascii="Arial Narrow" w:hAnsi="Arial Narrow"/>
                <w:sz w:val="20"/>
                <w:szCs w:val="20"/>
              </w:rPr>
              <w:t xml:space="preserve">Goldberg AC, Sapre A, Liu J, Capece R, Mitchel YB. Efficacy and Safety of Ezetimibe Coadministered with Simvastatin in Patients with Primary Hypercholesterolemia: A Randomized, Double-Blind, Placebo-Controlled Trial. Mayo Clinic Proceedings. 2004;79(5):620-9 </w:t>
            </w:r>
          </w:p>
          <w:p w14:paraId="6783E8C4" w14:textId="77D7DA01" w:rsidR="00A430EE" w:rsidRPr="00C66F1F" w:rsidRDefault="00A430EE" w:rsidP="00140129">
            <w:pPr>
              <w:pStyle w:val="ListParagraph"/>
              <w:numPr>
                <w:ilvl w:val="0"/>
                <w:numId w:val="16"/>
              </w:numPr>
              <w:ind w:left="459" w:hanging="284"/>
              <w:rPr>
                <w:rFonts w:ascii="Arial Narrow" w:hAnsi="Arial Narrow"/>
                <w:sz w:val="20"/>
                <w:szCs w:val="20"/>
              </w:rPr>
            </w:pPr>
            <w:r w:rsidRPr="00E32240">
              <w:rPr>
                <w:rFonts w:ascii="Arial Narrow" w:hAnsi="Arial Narrow"/>
                <w:sz w:val="20"/>
                <w:szCs w:val="20"/>
              </w:rPr>
              <w:t>Goldberg et al. 2004, J Am Coll Cardiol 43 480A-480A;</w:t>
            </w:r>
            <w:r w:rsidRPr="008420E4">
              <w:rPr>
                <w:rFonts w:ascii="Arial Narrow" w:eastAsia="Times New Roman" w:hAnsi="Arial Narrow" w:cs="Times New Roman"/>
                <w:color w:val="000000"/>
                <w:sz w:val="20"/>
                <w:szCs w:val="20"/>
                <w:lang w:eastAsia="en-AU"/>
              </w:rPr>
              <w:t xml:space="preserve"> </w:t>
            </w:r>
          </w:p>
        </w:tc>
      </w:tr>
      <w:tr w:rsidR="00A430EE" w:rsidRPr="00EC4F8A" w14:paraId="211257A4" w14:textId="77777777" w:rsidTr="003523B4">
        <w:tc>
          <w:tcPr>
            <w:tcW w:w="1560" w:type="dxa"/>
          </w:tcPr>
          <w:p w14:paraId="13C24981" w14:textId="3A9A27D0" w:rsidR="00A430EE" w:rsidRPr="00C66F1F" w:rsidRDefault="00A430EE" w:rsidP="00A430EE">
            <w:pPr>
              <w:rPr>
                <w:rFonts w:ascii="Arial Narrow" w:hAnsi="Arial Narrow"/>
                <w:sz w:val="20"/>
                <w:szCs w:val="20"/>
              </w:rPr>
            </w:pPr>
            <w:r w:rsidRPr="00A52459">
              <w:rPr>
                <w:rFonts w:ascii="Arial Narrow" w:hAnsi="Arial Narrow" w:cs="Segoe UI"/>
                <w:sz w:val="20"/>
                <w:szCs w:val="20"/>
                <w:lang w:val="nl-NL"/>
              </w:rPr>
              <w:t>Kastelein</w:t>
            </w:r>
            <w:r>
              <w:rPr>
                <w:rFonts w:ascii="Arial Narrow" w:hAnsi="Arial Narrow" w:cs="Segoe UI"/>
                <w:sz w:val="20"/>
                <w:szCs w:val="20"/>
                <w:lang w:val="nl-NL"/>
              </w:rPr>
              <w:t xml:space="preserve"> 2008</w:t>
            </w:r>
            <w:r w:rsidR="00715136" w:rsidRPr="00BC604A">
              <w:rPr>
                <w:rFonts w:ascii="Arial Narrow" w:hAnsi="Arial Narrow"/>
                <w:b/>
                <w:sz w:val="20"/>
                <w:szCs w:val="20"/>
              </w:rPr>
              <w:t>*</w:t>
            </w:r>
          </w:p>
        </w:tc>
        <w:tc>
          <w:tcPr>
            <w:tcW w:w="7796" w:type="dxa"/>
          </w:tcPr>
          <w:p w14:paraId="1F8A8B65" w14:textId="22331626" w:rsidR="00A430EE" w:rsidRPr="00C66F1F" w:rsidRDefault="00A430EE" w:rsidP="00A430EE">
            <w:pPr>
              <w:rPr>
                <w:rFonts w:ascii="Arial Narrow" w:hAnsi="Arial Narrow"/>
                <w:sz w:val="20"/>
                <w:szCs w:val="20"/>
              </w:rPr>
            </w:pPr>
            <w:r w:rsidRPr="009715EA">
              <w:rPr>
                <w:rFonts w:ascii="Arial Narrow" w:eastAsia="Times New Roman" w:hAnsi="Arial Narrow" w:cs="Times New Roman"/>
                <w:color w:val="000000"/>
                <w:sz w:val="20"/>
                <w:szCs w:val="20"/>
                <w:lang w:val="nl-NL" w:eastAsia="en-AU"/>
              </w:rPr>
              <w:t xml:space="preserve">Kastelein JJ, Akdim F, Stroes ES, Zwinderman AH, Bots ML, Stalenhoef AF, et al. </w:t>
            </w:r>
            <w:r w:rsidRPr="00DE3450">
              <w:rPr>
                <w:rFonts w:ascii="Arial Narrow" w:eastAsia="Times New Roman" w:hAnsi="Arial Narrow" w:cs="Times New Roman"/>
                <w:color w:val="000000"/>
                <w:sz w:val="20"/>
                <w:szCs w:val="20"/>
                <w:lang w:eastAsia="en-AU"/>
              </w:rPr>
              <w:t xml:space="preserve">Simvastatin with or without ezetimibe in familial hypercholesterolemia. N Engl J Med. 2008;358(14):1431-43. </w:t>
            </w:r>
            <w:r w:rsidRPr="009715EA">
              <w:rPr>
                <w:rFonts w:ascii="Arial Narrow" w:eastAsia="Times New Roman" w:hAnsi="Arial Narrow" w:cs="Times New Roman"/>
                <w:color w:val="000000"/>
                <w:sz w:val="20"/>
                <w:szCs w:val="20"/>
                <w:lang w:val="nl-NL" w:eastAsia="en-AU"/>
              </w:rPr>
              <w:t>Epub 2008/04/01</w:t>
            </w:r>
          </w:p>
        </w:tc>
      </w:tr>
      <w:tr w:rsidR="00A430EE" w:rsidRPr="00EC4F8A" w14:paraId="154BE1AD" w14:textId="77777777" w:rsidTr="003523B4">
        <w:tc>
          <w:tcPr>
            <w:tcW w:w="1560" w:type="dxa"/>
          </w:tcPr>
          <w:p w14:paraId="7159D421" w14:textId="46F61B59" w:rsidR="00A430EE" w:rsidRPr="00C66F1F" w:rsidRDefault="00A430EE" w:rsidP="00A430EE">
            <w:pPr>
              <w:rPr>
                <w:rFonts w:ascii="Arial Narrow" w:hAnsi="Arial Narrow"/>
                <w:sz w:val="20"/>
                <w:szCs w:val="20"/>
              </w:rPr>
            </w:pPr>
            <w:r w:rsidRPr="00FA51CB">
              <w:rPr>
                <w:rFonts w:ascii="Arial Narrow" w:hAnsi="Arial Narrow" w:cs="Segoe UI"/>
                <w:sz w:val="20"/>
                <w:szCs w:val="20"/>
              </w:rPr>
              <w:t>Shankar</w:t>
            </w:r>
            <w:r>
              <w:rPr>
                <w:rFonts w:ascii="Arial Narrow" w:hAnsi="Arial Narrow" w:cs="Segoe UI"/>
                <w:sz w:val="20"/>
                <w:szCs w:val="20"/>
              </w:rPr>
              <w:t xml:space="preserve"> 2007</w:t>
            </w:r>
            <w:r w:rsidR="00715136" w:rsidRPr="00BC604A">
              <w:rPr>
                <w:rFonts w:ascii="Arial Narrow" w:hAnsi="Arial Narrow"/>
                <w:b/>
                <w:sz w:val="20"/>
                <w:szCs w:val="20"/>
              </w:rPr>
              <w:t>*</w:t>
            </w:r>
          </w:p>
        </w:tc>
        <w:tc>
          <w:tcPr>
            <w:tcW w:w="7796" w:type="dxa"/>
          </w:tcPr>
          <w:p w14:paraId="1E2BE70F" w14:textId="591959FD" w:rsidR="00A430EE" w:rsidRPr="00C66F1F" w:rsidRDefault="00A430EE" w:rsidP="00A430EE">
            <w:pPr>
              <w:rPr>
                <w:rFonts w:ascii="Arial Narrow" w:hAnsi="Arial Narrow"/>
                <w:sz w:val="20"/>
                <w:szCs w:val="20"/>
              </w:rPr>
            </w:pPr>
            <w:r w:rsidRPr="00DE3450">
              <w:rPr>
                <w:rFonts w:ascii="Arial Narrow" w:eastAsia="Times New Roman" w:hAnsi="Arial Narrow" w:cs="Times New Roman"/>
                <w:color w:val="000000"/>
                <w:sz w:val="20"/>
                <w:szCs w:val="20"/>
                <w:lang w:eastAsia="en-AU"/>
              </w:rPr>
              <w:t xml:space="preserve">Shankar PK, Bhat R, Prabhu M, Reddy BP, Reddy MS, Reddy M. Efficacy and tolerability of fixed-dose combination of simvastatin plus ezetimibe in patients with primary hypercholesterolemia: Results of a multicentric trial from India. </w:t>
            </w:r>
            <w:r w:rsidRPr="009715EA">
              <w:rPr>
                <w:rFonts w:ascii="Arial Narrow" w:eastAsia="Times New Roman" w:hAnsi="Arial Narrow" w:cs="Times New Roman"/>
                <w:color w:val="000000"/>
                <w:sz w:val="20"/>
                <w:szCs w:val="20"/>
                <w:lang w:val="nl-NL" w:eastAsia="en-AU"/>
              </w:rPr>
              <w:t>Journal of Clinical Lipidology. 2007;1(4):264-70</w:t>
            </w:r>
          </w:p>
        </w:tc>
      </w:tr>
      <w:tr w:rsidR="00A430EE" w:rsidRPr="00EC4F8A" w14:paraId="5D5DA73F" w14:textId="77777777" w:rsidTr="003523B4">
        <w:tc>
          <w:tcPr>
            <w:tcW w:w="1560" w:type="dxa"/>
          </w:tcPr>
          <w:p w14:paraId="679D09CD" w14:textId="77777777" w:rsidR="00A430EE" w:rsidRDefault="00A430EE" w:rsidP="00A430EE">
            <w:pPr>
              <w:rPr>
                <w:rFonts w:ascii="Arial Narrow" w:hAnsi="Arial Narrow"/>
                <w:sz w:val="20"/>
                <w:szCs w:val="20"/>
              </w:rPr>
            </w:pPr>
            <w:r>
              <w:rPr>
                <w:rFonts w:ascii="Arial Narrow" w:hAnsi="Arial Narrow"/>
                <w:sz w:val="20"/>
                <w:szCs w:val="20"/>
              </w:rPr>
              <w:t>P</w:t>
            </w:r>
            <w:r w:rsidRPr="00A52459">
              <w:rPr>
                <w:rFonts w:ascii="Arial Narrow" w:hAnsi="Arial Narrow"/>
                <w:sz w:val="20"/>
                <w:szCs w:val="20"/>
              </w:rPr>
              <w:t xml:space="preserve">023 </w:t>
            </w:r>
          </w:p>
          <w:p w14:paraId="5AC154EF" w14:textId="77A5CEE3" w:rsidR="00A430EE" w:rsidRPr="00C66F1F" w:rsidRDefault="00A430EE" w:rsidP="00A430EE">
            <w:pPr>
              <w:rPr>
                <w:rFonts w:ascii="Arial Narrow" w:hAnsi="Arial Narrow"/>
                <w:sz w:val="20"/>
                <w:szCs w:val="20"/>
              </w:rPr>
            </w:pPr>
            <w:r w:rsidRPr="00E60B61">
              <w:rPr>
                <w:rFonts w:ascii="Arial Narrow" w:hAnsi="Arial Narrow"/>
                <w:sz w:val="20"/>
                <w:szCs w:val="20"/>
              </w:rPr>
              <w:t>Feldman</w:t>
            </w:r>
            <w:r>
              <w:rPr>
                <w:rFonts w:ascii="Arial Narrow" w:hAnsi="Arial Narrow"/>
                <w:sz w:val="20"/>
                <w:szCs w:val="20"/>
              </w:rPr>
              <w:t xml:space="preserve"> 2004</w:t>
            </w:r>
          </w:p>
        </w:tc>
        <w:tc>
          <w:tcPr>
            <w:tcW w:w="7796" w:type="dxa"/>
          </w:tcPr>
          <w:p w14:paraId="342C33BC" w14:textId="77777777" w:rsidR="00A430EE" w:rsidRDefault="00A430EE" w:rsidP="00A430EE">
            <w:pPr>
              <w:rPr>
                <w:rFonts w:ascii="Arial Narrow" w:hAnsi="Arial Narrow"/>
                <w:sz w:val="20"/>
                <w:szCs w:val="20"/>
              </w:rPr>
            </w:pPr>
            <w:r w:rsidRPr="00E60B61">
              <w:rPr>
                <w:rFonts w:ascii="Arial Narrow" w:hAnsi="Arial Narrow"/>
                <w:sz w:val="20"/>
                <w:szCs w:val="20"/>
              </w:rPr>
              <w:t xml:space="preserve">Feldman T, Koren M, Insull Jr W, McKenney J, Schrott H, Lewin A, et al. Treatment of high-risk patients with ezetimibe plus simvastatin co-administration versus simvastatin alone to attain National Cholesterol Education Program Adult Treatment Panel III Low-Density lipoprotein cholesterol goals. American Journal of Cardiology. 2004;93(12):1481-6. </w:t>
            </w:r>
          </w:p>
          <w:p w14:paraId="1EC9899E" w14:textId="77777777" w:rsidR="00A430EE" w:rsidRPr="00E60B61" w:rsidRDefault="00A430EE" w:rsidP="00140129">
            <w:pPr>
              <w:pStyle w:val="ListParagraph"/>
              <w:numPr>
                <w:ilvl w:val="0"/>
                <w:numId w:val="17"/>
              </w:numPr>
              <w:ind w:left="459" w:hanging="284"/>
              <w:rPr>
                <w:rFonts w:ascii="Arial Narrow" w:hAnsi="Arial Narrow"/>
                <w:sz w:val="20"/>
                <w:szCs w:val="20"/>
              </w:rPr>
            </w:pPr>
            <w:r w:rsidRPr="00E60B61">
              <w:rPr>
                <w:rFonts w:ascii="Arial Narrow" w:hAnsi="Arial Narrow"/>
                <w:sz w:val="20"/>
                <w:szCs w:val="20"/>
              </w:rPr>
              <w:t>Feldman et al. 2004, Atherosclerosis 5(Suppl. 1) p118-118;</w:t>
            </w:r>
          </w:p>
          <w:p w14:paraId="45E42B4B" w14:textId="34B12F77" w:rsidR="00A430EE" w:rsidRPr="00C66F1F" w:rsidRDefault="00A430EE" w:rsidP="00140129">
            <w:pPr>
              <w:pStyle w:val="ListParagraph"/>
              <w:numPr>
                <w:ilvl w:val="0"/>
                <w:numId w:val="17"/>
              </w:numPr>
              <w:ind w:left="459" w:hanging="284"/>
              <w:rPr>
                <w:rFonts w:ascii="Arial Narrow" w:hAnsi="Arial Narrow"/>
                <w:sz w:val="20"/>
                <w:szCs w:val="20"/>
              </w:rPr>
            </w:pPr>
            <w:r w:rsidRPr="00DB1BB9">
              <w:rPr>
                <w:rFonts w:ascii="Arial Narrow" w:hAnsi="Arial Narrow"/>
                <w:sz w:val="20"/>
                <w:szCs w:val="20"/>
              </w:rPr>
              <w:t>McKenney et al. 2004, Diabetologia 47(Suppl. 1) A409-409</w:t>
            </w:r>
          </w:p>
        </w:tc>
      </w:tr>
    </w:tbl>
    <w:p w14:paraId="6A25D646" w14:textId="35BCBAC6" w:rsidR="000B272C" w:rsidRDefault="000B272C" w:rsidP="00787875">
      <w:pPr>
        <w:pStyle w:val="ListParagraph"/>
        <w:ind w:left="0"/>
        <w:rPr>
          <w:b/>
          <w:color w:val="FF0000"/>
        </w:rPr>
      </w:pPr>
    </w:p>
    <w:p w14:paraId="587924E4" w14:textId="7213E392" w:rsidR="006358D5" w:rsidRDefault="006358D5" w:rsidP="006358D5">
      <w:pPr>
        <w:jc w:val="both"/>
      </w:pPr>
      <w:r>
        <w:t xml:space="preserve">The master list of all included trials of ezetimibe as a </w:t>
      </w:r>
      <w:r w:rsidR="00D05EC7">
        <w:t>monotherapy</w:t>
      </w:r>
      <w:r>
        <w:t xml:space="preserve"> that meet the selection criteria are shown in </w:t>
      </w:r>
      <w:r w:rsidRPr="00912F4E">
        <w:t>Table 2.2.4</w:t>
      </w:r>
      <w:r w:rsidR="00AE3EA8">
        <w:t>.3</w:t>
      </w:r>
      <w:r w:rsidRPr="00912F4E">
        <w:t xml:space="preserve">. </w:t>
      </w:r>
      <w:r w:rsidR="007D7D53">
        <w:t xml:space="preserve"> Some of these trials are also included in Table 2.2.4.2. The list of ezetimibe monotherapy studies includes nine trials, eight of which were included in the comprehensive meta-analysis by Pandor (2009)</w:t>
      </w:r>
      <w:r w:rsidR="007D7D53">
        <w:fldChar w:fldCharType="begin"/>
      </w:r>
      <w:r w:rsidR="007D7D53">
        <w:instrText xml:space="preserve"> NOTEREF _Ref460681521 \f \h </w:instrText>
      </w:r>
      <w:r w:rsidR="007D7D53">
        <w:fldChar w:fldCharType="separate"/>
      </w:r>
      <w:r w:rsidR="00CA6F76" w:rsidRPr="00CA6F76">
        <w:rPr>
          <w:rStyle w:val="EndnoteReference"/>
        </w:rPr>
        <w:t>35</w:t>
      </w:r>
      <w:r w:rsidR="007D7D53">
        <w:fldChar w:fldCharType="end"/>
      </w:r>
      <w:r w:rsidR="007D7D53">
        <w:t>. We have identified one additional study by Farnier (2009)</w:t>
      </w:r>
      <w:bookmarkStart w:id="54" w:name="_Ref460686402"/>
      <w:r w:rsidR="007D7D53">
        <w:rPr>
          <w:rStyle w:val="EndnoteReference"/>
        </w:rPr>
        <w:endnoteReference w:id="82"/>
      </w:r>
      <w:bookmarkEnd w:id="54"/>
      <w:r w:rsidR="007D7D53">
        <w:t>, that was not published at the time of writing the systematic review by Pandor (2009)</w:t>
      </w:r>
      <w:r w:rsidR="007D7D53">
        <w:fldChar w:fldCharType="begin"/>
      </w:r>
      <w:r w:rsidR="007D7D53">
        <w:instrText xml:space="preserve"> NOTEREF _Ref460681521 \f \h </w:instrText>
      </w:r>
      <w:r w:rsidR="007D7D53">
        <w:fldChar w:fldCharType="separate"/>
      </w:r>
      <w:r w:rsidR="00CA6F76" w:rsidRPr="00CA6F76">
        <w:rPr>
          <w:rStyle w:val="EndnoteReference"/>
        </w:rPr>
        <w:t>35</w:t>
      </w:r>
      <w:r w:rsidR="007D7D53">
        <w:fldChar w:fldCharType="end"/>
      </w:r>
      <w:r w:rsidR="007D7D53">
        <w:t xml:space="preserve">.  </w:t>
      </w:r>
    </w:p>
    <w:p w14:paraId="4AB3CF86" w14:textId="643E454F" w:rsidR="005A2F35" w:rsidRPr="0083333B" w:rsidRDefault="005A2F35" w:rsidP="005A2F35">
      <w:pPr>
        <w:pStyle w:val="Caption"/>
        <w:ind w:left="0"/>
        <w:rPr>
          <w:sz w:val="22"/>
          <w:szCs w:val="22"/>
        </w:rPr>
      </w:pPr>
      <w:r w:rsidRPr="0083333B">
        <w:rPr>
          <w:sz w:val="22"/>
          <w:szCs w:val="22"/>
        </w:rPr>
        <w:t>Tab</w:t>
      </w:r>
      <w:r w:rsidR="003523B4" w:rsidRPr="0083333B">
        <w:rPr>
          <w:sz w:val="22"/>
          <w:szCs w:val="22"/>
        </w:rPr>
        <w:t>le 2.2.4.3</w:t>
      </w:r>
      <w:r w:rsidRPr="0083333B">
        <w:rPr>
          <w:sz w:val="22"/>
          <w:szCs w:val="22"/>
        </w:rPr>
        <w:t xml:space="preserve"> Reports of the RCTs of ezetimibe as a monotherapy </w:t>
      </w:r>
    </w:p>
    <w:tbl>
      <w:tblPr>
        <w:tblStyle w:val="TableGrid"/>
        <w:tblW w:w="9356" w:type="dxa"/>
        <w:tblInd w:w="-5" w:type="dxa"/>
        <w:tblLook w:val="04A0" w:firstRow="1" w:lastRow="0" w:firstColumn="1" w:lastColumn="0" w:noHBand="0" w:noVBand="1"/>
      </w:tblPr>
      <w:tblGrid>
        <w:gridCol w:w="1560"/>
        <w:gridCol w:w="7796"/>
      </w:tblGrid>
      <w:tr w:rsidR="005A2F35" w:rsidRPr="00CD6F42" w14:paraId="11884C02" w14:textId="77777777" w:rsidTr="003523B4">
        <w:trPr>
          <w:cnfStyle w:val="100000000000" w:firstRow="1" w:lastRow="0" w:firstColumn="0" w:lastColumn="0" w:oddVBand="0" w:evenVBand="0" w:oddHBand="0" w:evenHBand="0" w:firstRowFirstColumn="0" w:firstRowLastColumn="0" w:lastRowFirstColumn="0" w:lastRowLastColumn="0"/>
          <w:tblHeader/>
        </w:trPr>
        <w:tc>
          <w:tcPr>
            <w:tcW w:w="1560" w:type="dxa"/>
          </w:tcPr>
          <w:p w14:paraId="6F2D136E" w14:textId="77777777" w:rsidR="005A2F35" w:rsidRPr="00CD6F42" w:rsidRDefault="005A2F35" w:rsidP="005A2F35">
            <w:pPr>
              <w:rPr>
                <w:rFonts w:ascii="Arial Narrow" w:hAnsi="Arial Narrow"/>
                <w:sz w:val="20"/>
                <w:szCs w:val="20"/>
              </w:rPr>
            </w:pPr>
            <w:r w:rsidRPr="00CD6F42">
              <w:rPr>
                <w:rFonts w:ascii="Arial Narrow" w:hAnsi="Arial Narrow"/>
                <w:sz w:val="20"/>
                <w:szCs w:val="20"/>
              </w:rPr>
              <w:t>Trial</w:t>
            </w:r>
          </w:p>
        </w:tc>
        <w:tc>
          <w:tcPr>
            <w:tcW w:w="7796" w:type="dxa"/>
          </w:tcPr>
          <w:p w14:paraId="2F4F554E" w14:textId="77777777" w:rsidR="005A2F35" w:rsidRPr="00CD6F42" w:rsidRDefault="005A2F35" w:rsidP="005A2F35">
            <w:pPr>
              <w:rPr>
                <w:rFonts w:ascii="Arial Narrow" w:hAnsi="Arial Narrow"/>
                <w:sz w:val="20"/>
                <w:szCs w:val="20"/>
              </w:rPr>
            </w:pPr>
            <w:r w:rsidRPr="00CD6F42">
              <w:rPr>
                <w:rFonts w:ascii="Arial Narrow" w:hAnsi="Arial Narrow"/>
                <w:sz w:val="20"/>
                <w:szCs w:val="20"/>
              </w:rPr>
              <w:t>Reports</w:t>
            </w:r>
          </w:p>
        </w:tc>
      </w:tr>
      <w:tr w:rsidR="006358D5" w:rsidRPr="00CD6F42" w14:paraId="2DF3B7D4" w14:textId="77777777" w:rsidTr="003523B4">
        <w:tc>
          <w:tcPr>
            <w:tcW w:w="1560" w:type="dxa"/>
          </w:tcPr>
          <w:p w14:paraId="1BD9CEE2" w14:textId="77777777" w:rsidR="006358D5" w:rsidRDefault="006358D5" w:rsidP="006358D5">
            <w:pPr>
              <w:rPr>
                <w:rFonts w:ascii="Arial Narrow" w:eastAsia="Times New Roman" w:hAnsi="Arial Narrow" w:cs="Times New Roman"/>
                <w:sz w:val="20"/>
                <w:szCs w:val="20"/>
                <w:lang w:eastAsia="en-AU"/>
              </w:rPr>
            </w:pPr>
            <w:r w:rsidRPr="00A52459">
              <w:rPr>
                <w:rFonts w:ascii="Arial Narrow" w:eastAsia="Times New Roman" w:hAnsi="Arial Narrow" w:cs="Times New Roman"/>
                <w:sz w:val="20"/>
                <w:szCs w:val="20"/>
                <w:lang w:eastAsia="en-AU"/>
              </w:rPr>
              <w:t xml:space="preserve">P692 </w:t>
            </w:r>
          </w:p>
          <w:p w14:paraId="0DE27A9D" w14:textId="77777777" w:rsidR="006358D5" w:rsidRPr="00A52459" w:rsidRDefault="006358D5" w:rsidP="006358D5">
            <w:pPr>
              <w:rPr>
                <w:rFonts w:ascii="Arial Narrow" w:eastAsia="Times New Roman" w:hAnsi="Arial Narrow" w:cs="Times New Roman"/>
                <w:sz w:val="20"/>
                <w:szCs w:val="20"/>
                <w:lang w:eastAsia="en-AU"/>
              </w:rPr>
            </w:pPr>
            <w:r w:rsidRPr="00291EAA">
              <w:rPr>
                <w:rFonts w:ascii="Arial Narrow" w:eastAsia="Times New Roman" w:hAnsi="Arial Narrow" w:cs="Times New Roman"/>
                <w:sz w:val="20"/>
                <w:szCs w:val="20"/>
                <w:lang w:eastAsia="en-AU"/>
              </w:rPr>
              <w:t>Ballantyne</w:t>
            </w:r>
            <w:r>
              <w:rPr>
                <w:rFonts w:ascii="Arial Narrow" w:eastAsia="Times New Roman" w:hAnsi="Arial Narrow" w:cs="Times New Roman"/>
                <w:sz w:val="20"/>
                <w:szCs w:val="20"/>
                <w:lang w:eastAsia="en-AU"/>
              </w:rPr>
              <w:t xml:space="preserve"> 2003</w:t>
            </w:r>
          </w:p>
          <w:p w14:paraId="4294EFEF" w14:textId="2D769AFA" w:rsidR="006358D5" w:rsidRPr="00CD6F42" w:rsidRDefault="006358D5" w:rsidP="006358D5">
            <w:pPr>
              <w:rPr>
                <w:rFonts w:ascii="Arial Narrow" w:hAnsi="Arial Narrow"/>
                <w:sz w:val="20"/>
                <w:szCs w:val="20"/>
              </w:rPr>
            </w:pPr>
          </w:p>
        </w:tc>
        <w:tc>
          <w:tcPr>
            <w:tcW w:w="7796" w:type="dxa"/>
          </w:tcPr>
          <w:p w14:paraId="44868997" w14:textId="77777777" w:rsidR="006358D5" w:rsidRDefault="006358D5" w:rsidP="006358D5">
            <w:pPr>
              <w:rPr>
                <w:rFonts w:ascii="Arial Narrow" w:eastAsia="Times New Roman" w:hAnsi="Arial Narrow" w:cs="Times New Roman"/>
                <w:sz w:val="20"/>
                <w:szCs w:val="20"/>
                <w:lang w:eastAsia="en-AU"/>
              </w:rPr>
            </w:pPr>
            <w:r w:rsidRPr="00291EAA">
              <w:rPr>
                <w:rFonts w:ascii="Arial Narrow" w:eastAsia="Times New Roman" w:hAnsi="Arial Narrow" w:cs="Times New Roman"/>
                <w:sz w:val="20"/>
                <w:szCs w:val="20"/>
                <w:lang w:eastAsia="en-AU"/>
              </w:rPr>
              <w:t xml:space="preserve">Ballantyne CM, Houri J, Notarbartolo A, Melani L, Lipka LJ, Suresh R, et al. Effect of ezetimibe coadministered with atorvastatin in 628 patients with primary hypercholesterolemia: A prospective, randomized, double-blind trial. Circulation. 2003;107(19):2409-15. </w:t>
            </w:r>
          </w:p>
          <w:p w14:paraId="7859344D" w14:textId="77777777" w:rsidR="006358D5" w:rsidRPr="00291EAA" w:rsidRDefault="006358D5" w:rsidP="00140129">
            <w:pPr>
              <w:pStyle w:val="ListParagraph"/>
              <w:numPr>
                <w:ilvl w:val="0"/>
                <w:numId w:val="14"/>
              </w:numPr>
              <w:ind w:left="459" w:hanging="284"/>
              <w:rPr>
                <w:rFonts w:ascii="Arial Narrow" w:eastAsia="Times New Roman" w:hAnsi="Arial Narrow" w:cs="Times New Roman"/>
                <w:color w:val="000000"/>
                <w:sz w:val="20"/>
                <w:szCs w:val="20"/>
                <w:lang w:eastAsia="en-AU"/>
              </w:rPr>
            </w:pPr>
            <w:r w:rsidRPr="00291EAA">
              <w:rPr>
                <w:rFonts w:ascii="Arial Narrow" w:eastAsia="Times New Roman" w:hAnsi="Arial Narrow" w:cs="Times New Roman"/>
                <w:color w:val="000000"/>
                <w:sz w:val="20"/>
                <w:szCs w:val="20"/>
                <w:lang w:eastAsia="en-AU"/>
              </w:rPr>
              <w:t xml:space="preserve">Ballantyne et al. 2002, J. Am. Coll. Cardiol. 39(9, Suppl. B) 135B-135B; </w:t>
            </w:r>
          </w:p>
          <w:p w14:paraId="353ADB16" w14:textId="113874FF" w:rsidR="006358D5" w:rsidRPr="006358D5" w:rsidRDefault="006358D5" w:rsidP="00140129">
            <w:pPr>
              <w:pStyle w:val="ListParagraph"/>
              <w:numPr>
                <w:ilvl w:val="0"/>
                <w:numId w:val="14"/>
              </w:numPr>
              <w:ind w:left="459" w:hanging="284"/>
              <w:rPr>
                <w:rFonts w:ascii="Arial Narrow" w:hAnsi="Arial Narrow"/>
                <w:sz w:val="20"/>
                <w:szCs w:val="20"/>
              </w:rPr>
            </w:pPr>
            <w:r w:rsidRPr="00A52459">
              <w:rPr>
                <w:rFonts w:ascii="Arial Narrow" w:eastAsia="Times New Roman" w:hAnsi="Arial Narrow" w:cs="Times New Roman"/>
                <w:color w:val="000000"/>
                <w:sz w:val="20"/>
                <w:szCs w:val="20"/>
                <w:lang w:eastAsia="en-AU"/>
              </w:rPr>
              <w:t xml:space="preserve">Ballantyne et al. 2002, J. Am. Coll. Cardiol. </w:t>
            </w:r>
            <w:r>
              <w:rPr>
                <w:rFonts w:ascii="Arial Narrow" w:eastAsia="Times New Roman" w:hAnsi="Arial Narrow" w:cs="Times New Roman"/>
                <w:color w:val="000000"/>
                <w:sz w:val="20"/>
                <w:szCs w:val="20"/>
                <w:lang w:eastAsia="en-AU"/>
              </w:rPr>
              <w:t>39 (9, Suppl. B) 227A-227A</w:t>
            </w:r>
          </w:p>
        </w:tc>
      </w:tr>
      <w:tr w:rsidR="00D05EC7" w:rsidRPr="00CD6F42" w14:paraId="34DA6134" w14:textId="77777777" w:rsidTr="003523B4">
        <w:tc>
          <w:tcPr>
            <w:tcW w:w="1560" w:type="dxa"/>
          </w:tcPr>
          <w:p w14:paraId="585DCBBD" w14:textId="77777777" w:rsidR="00D05EC7" w:rsidRDefault="00D05EC7" w:rsidP="00D05EC7">
            <w:pPr>
              <w:rPr>
                <w:rFonts w:ascii="Arial Narrow" w:hAnsi="Arial Narrow"/>
                <w:sz w:val="20"/>
                <w:szCs w:val="20"/>
              </w:rPr>
            </w:pPr>
            <w:r>
              <w:rPr>
                <w:rFonts w:ascii="Arial Narrow" w:hAnsi="Arial Narrow"/>
                <w:sz w:val="20"/>
                <w:szCs w:val="20"/>
              </w:rPr>
              <w:t>P</w:t>
            </w:r>
            <w:r w:rsidRPr="00A52459">
              <w:rPr>
                <w:rFonts w:ascii="Arial Narrow" w:hAnsi="Arial Narrow"/>
                <w:sz w:val="20"/>
                <w:szCs w:val="20"/>
              </w:rPr>
              <w:t>005</w:t>
            </w:r>
          </w:p>
          <w:p w14:paraId="259A54BE" w14:textId="215DEDE6" w:rsidR="00D05EC7" w:rsidRPr="00CD6F42" w:rsidRDefault="00D05EC7" w:rsidP="00D05EC7">
            <w:pPr>
              <w:rPr>
                <w:rFonts w:ascii="Arial Narrow" w:hAnsi="Arial Narrow"/>
                <w:sz w:val="20"/>
                <w:szCs w:val="20"/>
              </w:rPr>
            </w:pPr>
            <w:r w:rsidRPr="008420E4">
              <w:rPr>
                <w:rFonts w:ascii="Arial Narrow" w:hAnsi="Arial Narrow"/>
                <w:sz w:val="20"/>
                <w:szCs w:val="20"/>
              </w:rPr>
              <w:t>Goldberg</w:t>
            </w:r>
            <w:r>
              <w:rPr>
                <w:rFonts w:ascii="Arial Narrow" w:hAnsi="Arial Narrow"/>
                <w:sz w:val="20"/>
                <w:szCs w:val="20"/>
              </w:rPr>
              <w:t xml:space="preserve"> 2004</w:t>
            </w:r>
          </w:p>
        </w:tc>
        <w:tc>
          <w:tcPr>
            <w:tcW w:w="7796" w:type="dxa"/>
          </w:tcPr>
          <w:p w14:paraId="2B7C5B09" w14:textId="77777777" w:rsidR="00D05EC7" w:rsidRDefault="00D05EC7" w:rsidP="00D05EC7">
            <w:pPr>
              <w:rPr>
                <w:rFonts w:ascii="Arial Narrow" w:hAnsi="Arial Narrow"/>
                <w:sz w:val="20"/>
                <w:szCs w:val="20"/>
              </w:rPr>
            </w:pPr>
            <w:r w:rsidRPr="008420E4">
              <w:rPr>
                <w:rFonts w:ascii="Arial Narrow" w:hAnsi="Arial Narrow"/>
                <w:sz w:val="20"/>
                <w:szCs w:val="20"/>
              </w:rPr>
              <w:t xml:space="preserve">Goldberg AC, Sapre A, Liu J, Capece R, Mitchel YB. Efficacy and Safety of Ezetimibe Coadministered with Simvastatin in Patients with Primary Hypercholesterolemia: A Randomized, Double-Blind, Placebo-Controlled Trial. Mayo Clinic Proceedings. 2004;79(5):620-9 </w:t>
            </w:r>
          </w:p>
          <w:p w14:paraId="1C4F9A2D" w14:textId="5CBD30E0" w:rsidR="00D05EC7" w:rsidRPr="006358D5" w:rsidRDefault="00D05EC7" w:rsidP="00140129">
            <w:pPr>
              <w:pStyle w:val="ListParagraph"/>
              <w:numPr>
                <w:ilvl w:val="0"/>
                <w:numId w:val="14"/>
              </w:numPr>
              <w:ind w:left="459" w:hanging="284"/>
              <w:rPr>
                <w:rFonts w:ascii="Arial Narrow" w:eastAsia="Times New Roman" w:hAnsi="Arial Narrow" w:cs="Times New Roman"/>
                <w:color w:val="000000"/>
                <w:sz w:val="20"/>
                <w:szCs w:val="20"/>
                <w:lang w:eastAsia="en-AU"/>
              </w:rPr>
            </w:pPr>
            <w:r w:rsidRPr="0004126C">
              <w:rPr>
                <w:rFonts w:ascii="Arial Narrow" w:eastAsia="Times New Roman" w:hAnsi="Arial Narrow" w:cs="Times New Roman"/>
                <w:color w:val="000000"/>
                <w:sz w:val="20"/>
                <w:szCs w:val="20"/>
                <w:lang w:eastAsia="en-AU"/>
              </w:rPr>
              <w:t>Goldberg et al. 2004, J Am Coll Cardiol 43 480A-480A;</w:t>
            </w:r>
            <w:r w:rsidRPr="008420E4">
              <w:rPr>
                <w:rFonts w:ascii="Arial Narrow" w:eastAsia="Times New Roman" w:hAnsi="Arial Narrow" w:cs="Times New Roman"/>
                <w:color w:val="000000"/>
                <w:sz w:val="20"/>
                <w:szCs w:val="20"/>
                <w:lang w:eastAsia="en-AU"/>
              </w:rPr>
              <w:t xml:space="preserve"> </w:t>
            </w:r>
          </w:p>
        </w:tc>
      </w:tr>
      <w:tr w:rsidR="00D05EC7" w:rsidRPr="00CD6F42" w14:paraId="2DBA4914" w14:textId="77777777" w:rsidTr="003523B4">
        <w:tc>
          <w:tcPr>
            <w:tcW w:w="1560" w:type="dxa"/>
          </w:tcPr>
          <w:p w14:paraId="77C1CF6D" w14:textId="77777777" w:rsidR="00D05EC7" w:rsidRDefault="00D05EC7" w:rsidP="00D05EC7">
            <w:pPr>
              <w:rPr>
                <w:rFonts w:ascii="Arial Narrow" w:hAnsi="Arial Narrow"/>
                <w:sz w:val="20"/>
                <w:szCs w:val="20"/>
              </w:rPr>
            </w:pPr>
            <w:r>
              <w:rPr>
                <w:rFonts w:ascii="Arial Narrow" w:hAnsi="Arial Narrow"/>
                <w:sz w:val="20"/>
                <w:szCs w:val="20"/>
              </w:rPr>
              <w:t>P</w:t>
            </w:r>
            <w:r w:rsidRPr="00DE26E4">
              <w:rPr>
                <w:rFonts w:ascii="Arial Narrow" w:hAnsi="Arial Narrow"/>
                <w:sz w:val="20"/>
                <w:szCs w:val="20"/>
              </w:rPr>
              <w:t>038</w:t>
            </w:r>
          </w:p>
          <w:p w14:paraId="613F9310" w14:textId="77777777" w:rsidR="00D05EC7" w:rsidRPr="00DE26E4" w:rsidRDefault="00D05EC7" w:rsidP="00D05EC7">
            <w:pPr>
              <w:rPr>
                <w:rFonts w:ascii="Arial Narrow" w:hAnsi="Arial Narrow"/>
                <w:sz w:val="20"/>
                <w:szCs w:val="20"/>
              </w:rPr>
            </w:pPr>
            <w:r>
              <w:rPr>
                <w:rFonts w:ascii="Arial Narrow" w:hAnsi="Arial Narrow"/>
                <w:sz w:val="20"/>
                <w:szCs w:val="20"/>
              </w:rPr>
              <w:t>Bays 2004</w:t>
            </w:r>
          </w:p>
          <w:p w14:paraId="1F5C2268" w14:textId="5EF9C06D" w:rsidR="00D05EC7" w:rsidRDefault="00D05EC7" w:rsidP="00D05EC7">
            <w:pPr>
              <w:rPr>
                <w:rFonts w:ascii="Arial Narrow" w:hAnsi="Arial Narrow"/>
                <w:sz w:val="20"/>
                <w:szCs w:val="20"/>
              </w:rPr>
            </w:pPr>
            <w:r w:rsidRPr="00DE26E4">
              <w:rPr>
                <w:rFonts w:ascii="Arial Narrow" w:hAnsi="Arial Narrow"/>
                <w:sz w:val="20"/>
                <w:szCs w:val="20"/>
              </w:rPr>
              <w:t xml:space="preserve"> </w:t>
            </w:r>
          </w:p>
        </w:tc>
        <w:tc>
          <w:tcPr>
            <w:tcW w:w="7796" w:type="dxa"/>
          </w:tcPr>
          <w:p w14:paraId="2E57F9DA" w14:textId="77777777" w:rsidR="00D05EC7" w:rsidRPr="00697D53" w:rsidRDefault="00D05EC7" w:rsidP="00D05EC7">
            <w:pPr>
              <w:rPr>
                <w:rFonts w:ascii="Arial Narrow" w:eastAsia="Times New Roman" w:hAnsi="Arial Narrow" w:cs="Times New Roman"/>
                <w:color w:val="000000"/>
                <w:sz w:val="20"/>
                <w:szCs w:val="20"/>
                <w:lang w:eastAsia="en-AU"/>
              </w:rPr>
            </w:pPr>
            <w:r w:rsidRPr="00697D53">
              <w:rPr>
                <w:rFonts w:ascii="Arial Narrow" w:eastAsia="Times New Roman" w:hAnsi="Arial Narrow" w:cs="Times New Roman"/>
                <w:color w:val="000000"/>
                <w:sz w:val="20"/>
                <w:szCs w:val="20"/>
                <w:lang w:eastAsia="en-AU"/>
              </w:rPr>
              <w:t xml:space="preserve">Bays HE, Ose L, Fraser N, Tribble DL, Quinto K, Reyes R, et al. A multicenter, randomized, double-blind, placebo-controlled, factorial design study to evaluate the lipid-altering efficacy and safety profile of the ezetimibe/simvastatin tablet compared with ezetimibe and simvastatin monotherapy in patients with primary hypercholesterolemia. Clinical Therapeutics. 2004;26(11):1758-73. Bays et al. 2004, J Am Coll Cardiol 43 445A-446A; </w:t>
            </w:r>
          </w:p>
          <w:p w14:paraId="0018FB63" w14:textId="77777777" w:rsidR="00D05EC7" w:rsidRPr="00A52459" w:rsidRDefault="00D05EC7" w:rsidP="00140129">
            <w:pPr>
              <w:pStyle w:val="ListParagraph"/>
              <w:numPr>
                <w:ilvl w:val="0"/>
                <w:numId w:val="15"/>
              </w:numPr>
              <w:ind w:left="459" w:hanging="284"/>
              <w:rPr>
                <w:rFonts w:ascii="Arial Narrow" w:eastAsia="Times New Roman" w:hAnsi="Arial Narrow" w:cs="Times New Roman"/>
                <w:sz w:val="20"/>
                <w:szCs w:val="20"/>
                <w:lang w:eastAsia="en-AU"/>
              </w:rPr>
            </w:pPr>
            <w:r w:rsidRPr="00A52459">
              <w:rPr>
                <w:rFonts w:ascii="Arial Narrow" w:eastAsia="Times New Roman" w:hAnsi="Arial Narrow" w:cs="Times New Roman"/>
                <w:sz w:val="20"/>
                <w:szCs w:val="20"/>
                <w:lang w:eastAsia="en-AU"/>
              </w:rPr>
              <w:t xml:space="preserve">Ose et al. 2004, Atherosclerosis 5(Suppl. 1) p140-140; </w:t>
            </w:r>
          </w:p>
          <w:p w14:paraId="5970BA9D" w14:textId="77777777" w:rsidR="00D05EC7" w:rsidRPr="00A52459" w:rsidRDefault="00D05EC7" w:rsidP="00140129">
            <w:pPr>
              <w:pStyle w:val="ListParagraph"/>
              <w:numPr>
                <w:ilvl w:val="0"/>
                <w:numId w:val="15"/>
              </w:numPr>
              <w:ind w:left="459" w:hanging="284"/>
              <w:rPr>
                <w:rFonts w:ascii="Arial Narrow" w:hAnsi="Arial Narrow"/>
                <w:sz w:val="20"/>
                <w:szCs w:val="20"/>
              </w:rPr>
            </w:pPr>
            <w:r w:rsidRPr="00A52459">
              <w:rPr>
                <w:rFonts w:ascii="Arial Narrow" w:eastAsia="Times New Roman" w:hAnsi="Arial Narrow" w:cs="Times New Roman"/>
                <w:sz w:val="20"/>
                <w:szCs w:val="20"/>
                <w:lang w:eastAsia="en-AU"/>
              </w:rPr>
              <w:t>Ose et al. 2004, Atherosclerosis 5(Suppl. 1) p140-141;</w:t>
            </w:r>
          </w:p>
          <w:p w14:paraId="2CA0BE89" w14:textId="54B3F4F9" w:rsidR="00D05EC7" w:rsidRPr="00DE3450" w:rsidRDefault="00D05EC7" w:rsidP="00140129">
            <w:pPr>
              <w:pStyle w:val="ListParagraph"/>
              <w:numPr>
                <w:ilvl w:val="0"/>
                <w:numId w:val="15"/>
              </w:numPr>
              <w:ind w:left="459" w:hanging="284"/>
              <w:rPr>
                <w:rFonts w:ascii="Arial Narrow" w:eastAsia="Times New Roman" w:hAnsi="Arial Narrow" w:cs="Times New Roman"/>
                <w:color w:val="000000"/>
                <w:sz w:val="20"/>
                <w:szCs w:val="20"/>
                <w:lang w:eastAsia="en-AU"/>
              </w:rPr>
            </w:pPr>
            <w:r w:rsidRPr="00DE26E4">
              <w:rPr>
                <w:rFonts w:ascii="Arial Narrow" w:eastAsia="Times New Roman" w:hAnsi="Arial Narrow" w:cs="Times New Roman"/>
                <w:sz w:val="20"/>
                <w:szCs w:val="20"/>
                <w:lang w:eastAsia="en-AU"/>
              </w:rPr>
              <w:t>Feldman et al. 2005, J. Am. Coll. Cardiol. 45(3, Suppl. A) 392A-392A</w:t>
            </w:r>
          </w:p>
        </w:tc>
      </w:tr>
      <w:tr w:rsidR="00CE0418" w:rsidRPr="00CD6F42" w14:paraId="2921BB1C" w14:textId="77777777" w:rsidTr="003523B4">
        <w:tc>
          <w:tcPr>
            <w:tcW w:w="1560" w:type="dxa"/>
          </w:tcPr>
          <w:p w14:paraId="42836066" w14:textId="77777777" w:rsidR="00CE0418" w:rsidRDefault="00CE0418" w:rsidP="00CE0418">
            <w:pPr>
              <w:rPr>
                <w:rFonts w:ascii="Arial Narrow" w:eastAsia="Times New Roman" w:hAnsi="Arial Narrow" w:cs="Times New Roman"/>
                <w:sz w:val="20"/>
                <w:szCs w:val="20"/>
                <w:lang w:eastAsia="en-AU"/>
              </w:rPr>
            </w:pPr>
            <w:r w:rsidRPr="009C1F91">
              <w:rPr>
                <w:rFonts w:ascii="Arial Narrow" w:eastAsia="Times New Roman" w:hAnsi="Arial Narrow" w:cs="Times New Roman"/>
                <w:sz w:val="20"/>
                <w:szCs w:val="20"/>
                <w:lang w:eastAsia="en-AU"/>
              </w:rPr>
              <w:t>Protocol P680</w:t>
            </w:r>
          </w:p>
          <w:p w14:paraId="4515F1BC" w14:textId="77777777" w:rsidR="00CE0418" w:rsidRPr="009C1F91" w:rsidRDefault="00CE0418" w:rsidP="00CE0418">
            <w:pP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Davidson 2002</w:t>
            </w:r>
            <w:r w:rsidRPr="009C1F91">
              <w:rPr>
                <w:rFonts w:ascii="Arial Narrow" w:eastAsia="Times New Roman" w:hAnsi="Arial Narrow" w:cs="Times New Roman"/>
                <w:sz w:val="20"/>
                <w:szCs w:val="20"/>
                <w:lang w:eastAsia="en-AU"/>
              </w:rPr>
              <w:t xml:space="preserve"> </w:t>
            </w:r>
          </w:p>
          <w:p w14:paraId="115D76FC" w14:textId="77777777" w:rsidR="00CE0418" w:rsidRDefault="00CE0418" w:rsidP="00CE0418">
            <w:pPr>
              <w:rPr>
                <w:rFonts w:ascii="Arial Narrow" w:hAnsi="Arial Narrow"/>
                <w:sz w:val="20"/>
                <w:szCs w:val="20"/>
              </w:rPr>
            </w:pPr>
          </w:p>
        </w:tc>
        <w:tc>
          <w:tcPr>
            <w:tcW w:w="7796" w:type="dxa"/>
          </w:tcPr>
          <w:p w14:paraId="75E79A7A" w14:textId="77777777" w:rsidR="00CE0418" w:rsidRPr="00A52459" w:rsidRDefault="00CE0418" w:rsidP="00CE0418">
            <w:pPr>
              <w:rPr>
                <w:rFonts w:ascii="Arial Narrow" w:eastAsia="Times New Roman" w:hAnsi="Arial Narrow" w:cs="Times New Roman"/>
                <w:sz w:val="20"/>
                <w:szCs w:val="20"/>
                <w:lang w:eastAsia="en-AU"/>
              </w:rPr>
            </w:pPr>
            <w:r w:rsidRPr="00291EAA">
              <w:rPr>
                <w:rFonts w:ascii="Arial Narrow" w:eastAsia="Times New Roman" w:hAnsi="Arial Narrow" w:cs="Times New Roman"/>
                <w:sz w:val="20"/>
                <w:szCs w:val="20"/>
                <w:lang w:eastAsia="en-AU"/>
              </w:rPr>
              <w:t>Davidson MH, McGarry T, Bettis R, Melani L, Lipka LJ, LeBeaut AP, et al. Ezetimibe coadministered with simvastatin in patients with primary hypercholesterolemia. Journal of the American College of Cardiology. 2002;40(12):2125-34.</w:t>
            </w:r>
          </w:p>
          <w:p w14:paraId="511E2AB6" w14:textId="77777777" w:rsidR="00CE0418" w:rsidRPr="00291EAA" w:rsidRDefault="00CE0418" w:rsidP="00140129">
            <w:pPr>
              <w:pStyle w:val="ListParagraph"/>
              <w:numPr>
                <w:ilvl w:val="0"/>
                <w:numId w:val="16"/>
              </w:numPr>
              <w:ind w:left="459" w:hanging="284"/>
              <w:rPr>
                <w:rFonts w:ascii="Arial Narrow" w:hAnsi="Arial Narrow"/>
                <w:sz w:val="20"/>
                <w:szCs w:val="20"/>
              </w:rPr>
            </w:pPr>
            <w:r w:rsidRPr="00291EAA">
              <w:rPr>
                <w:rFonts w:ascii="Arial Narrow" w:hAnsi="Arial Narrow"/>
                <w:sz w:val="20"/>
                <w:szCs w:val="20"/>
              </w:rPr>
              <w:t xml:space="preserve">Sager PT, Melani L, Lipka L, Strony J, Yang B, Suresh R, et al. Effect of coadministration of ezetimibe and simvastatin on high-sensitivity C-reactive protein. American Journal of Cardiology. 2003;92(12):1414-8. </w:t>
            </w:r>
          </w:p>
          <w:p w14:paraId="0D5973A5" w14:textId="77777777" w:rsidR="00CE0418" w:rsidRPr="00A52459" w:rsidRDefault="00CE0418" w:rsidP="00140129">
            <w:pPr>
              <w:pStyle w:val="ListParagraph"/>
              <w:numPr>
                <w:ilvl w:val="0"/>
                <w:numId w:val="16"/>
              </w:numPr>
              <w:ind w:left="459" w:hanging="284"/>
              <w:rPr>
                <w:rFonts w:ascii="Arial Narrow" w:hAnsi="Arial Narrow"/>
                <w:sz w:val="20"/>
                <w:szCs w:val="20"/>
              </w:rPr>
            </w:pPr>
            <w:r w:rsidRPr="00A52459">
              <w:rPr>
                <w:rFonts w:ascii="Arial Narrow" w:hAnsi="Arial Narrow"/>
                <w:sz w:val="20"/>
                <w:szCs w:val="20"/>
              </w:rPr>
              <w:t xml:space="preserve">Sager et al. 2004, Atherosclerosis 5 (Suppl. 1) p148-148; </w:t>
            </w:r>
          </w:p>
          <w:p w14:paraId="3BB62728" w14:textId="77777777" w:rsidR="00CE0418" w:rsidRPr="00A52459" w:rsidRDefault="00CE0418" w:rsidP="00140129">
            <w:pPr>
              <w:pStyle w:val="ListParagraph"/>
              <w:numPr>
                <w:ilvl w:val="0"/>
                <w:numId w:val="16"/>
              </w:numPr>
              <w:ind w:left="459" w:hanging="284"/>
              <w:rPr>
                <w:rFonts w:ascii="Arial Narrow" w:hAnsi="Arial Narrow"/>
                <w:sz w:val="20"/>
                <w:szCs w:val="20"/>
              </w:rPr>
            </w:pPr>
            <w:r w:rsidRPr="00A52459">
              <w:rPr>
                <w:rFonts w:ascii="Arial Narrow" w:hAnsi="Arial Narrow"/>
                <w:sz w:val="20"/>
                <w:szCs w:val="20"/>
              </w:rPr>
              <w:t xml:space="preserve">Davidson et al. 2002, J. Am. Coll. Cardiol. 39(9, Suppl. B) 135B-135B; Davidson et al. 2002, J. Am. Coll. Cardiol. 39(9, Suppl. A) 226A-226A; </w:t>
            </w:r>
          </w:p>
          <w:p w14:paraId="5608F56F" w14:textId="77777777" w:rsidR="00CE0418" w:rsidRPr="00A52459" w:rsidRDefault="00CE0418" w:rsidP="00140129">
            <w:pPr>
              <w:pStyle w:val="ListParagraph"/>
              <w:numPr>
                <w:ilvl w:val="0"/>
                <w:numId w:val="16"/>
              </w:numPr>
              <w:ind w:left="459" w:hanging="284"/>
              <w:rPr>
                <w:rFonts w:ascii="Arial Narrow" w:hAnsi="Arial Narrow"/>
                <w:sz w:val="20"/>
                <w:szCs w:val="20"/>
              </w:rPr>
            </w:pPr>
            <w:r w:rsidRPr="00A52459">
              <w:rPr>
                <w:rFonts w:ascii="Arial Narrow" w:hAnsi="Arial Narrow"/>
                <w:sz w:val="20"/>
                <w:szCs w:val="20"/>
              </w:rPr>
              <w:t xml:space="preserve">Sager et al. 2003, Eur. Heart J. 24 (Abstract Suppl.) p690-690; </w:t>
            </w:r>
          </w:p>
          <w:p w14:paraId="49AA6641" w14:textId="30BC7D3D" w:rsidR="00CE0418" w:rsidRPr="00DE3450" w:rsidRDefault="00CE0418" w:rsidP="00140129">
            <w:pPr>
              <w:pStyle w:val="ListParagraph"/>
              <w:numPr>
                <w:ilvl w:val="0"/>
                <w:numId w:val="16"/>
              </w:numPr>
              <w:ind w:left="459" w:hanging="284"/>
              <w:rPr>
                <w:rFonts w:ascii="Arial Narrow" w:eastAsia="Times New Roman" w:hAnsi="Arial Narrow" w:cs="Times New Roman"/>
                <w:color w:val="000000"/>
                <w:sz w:val="20"/>
                <w:szCs w:val="20"/>
                <w:lang w:eastAsia="en-AU"/>
              </w:rPr>
            </w:pPr>
            <w:r w:rsidRPr="00A52459">
              <w:rPr>
                <w:rFonts w:ascii="Arial Narrow" w:hAnsi="Arial Narrow"/>
                <w:sz w:val="20"/>
                <w:szCs w:val="20"/>
              </w:rPr>
              <w:t>Sager et al. 2003, J. Am. Coll. Cardio</w:t>
            </w:r>
            <w:r>
              <w:rPr>
                <w:rFonts w:ascii="Arial Narrow" w:hAnsi="Arial Narrow"/>
                <w:sz w:val="20"/>
                <w:szCs w:val="20"/>
              </w:rPr>
              <w:t>logy 41 (6, Suppl. A) 316A-317A</w:t>
            </w:r>
          </w:p>
        </w:tc>
      </w:tr>
      <w:tr w:rsidR="00CE0418" w:rsidRPr="00CD6F42" w14:paraId="4B4CD95B" w14:textId="77777777" w:rsidTr="003523B4">
        <w:tc>
          <w:tcPr>
            <w:tcW w:w="1560" w:type="dxa"/>
          </w:tcPr>
          <w:p w14:paraId="1CAB6792" w14:textId="77777777" w:rsidR="00CE0418" w:rsidRDefault="00CE0418" w:rsidP="00CE0418">
            <w:pPr>
              <w:rPr>
                <w:rFonts w:ascii="Arial Narrow" w:eastAsia="Times New Roman" w:hAnsi="Arial Narrow" w:cs="Times New Roman"/>
                <w:color w:val="000000"/>
                <w:sz w:val="20"/>
                <w:szCs w:val="20"/>
                <w:lang w:eastAsia="en-AU"/>
              </w:rPr>
            </w:pPr>
            <w:r w:rsidRPr="00A52459">
              <w:rPr>
                <w:rFonts w:ascii="Arial Narrow" w:eastAsia="Times New Roman" w:hAnsi="Arial Narrow" w:cs="Times New Roman"/>
                <w:color w:val="000000"/>
                <w:sz w:val="20"/>
                <w:szCs w:val="20"/>
                <w:lang w:eastAsia="en-AU"/>
              </w:rPr>
              <w:t>Protocol 809</w:t>
            </w:r>
          </w:p>
          <w:p w14:paraId="74DAA176" w14:textId="0177C369" w:rsidR="0004126C" w:rsidRDefault="0004126C" w:rsidP="00CE0418">
            <w:pPr>
              <w:rPr>
                <w:rFonts w:ascii="Arial Narrow" w:hAnsi="Arial Narrow"/>
                <w:sz w:val="20"/>
                <w:szCs w:val="20"/>
              </w:rPr>
            </w:pPr>
            <w:r w:rsidRPr="00A52459">
              <w:rPr>
                <w:rFonts w:ascii="Arial Narrow" w:hAnsi="Arial Narrow" w:cs="Segoe UI"/>
                <w:sz w:val="20"/>
                <w:szCs w:val="20"/>
                <w:lang w:val="nl-NL"/>
              </w:rPr>
              <w:lastRenderedPageBreak/>
              <w:t>Farnier</w:t>
            </w:r>
            <w:r>
              <w:rPr>
                <w:rFonts w:ascii="Arial Narrow" w:hAnsi="Arial Narrow" w:cs="Segoe UI"/>
                <w:sz w:val="20"/>
                <w:szCs w:val="20"/>
                <w:lang w:val="nl-NL"/>
              </w:rPr>
              <w:t xml:space="preserve"> 2009</w:t>
            </w:r>
          </w:p>
        </w:tc>
        <w:tc>
          <w:tcPr>
            <w:tcW w:w="7796" w:type="dxa"/>
          </w:tcPr>
          <w:p w14:paraId="0271300B" w14:textId="7694DB82" w:rsidR="00CE0418" w:rsidRPr="00AE3EA8" w:rsidRDefault="00CE0418" w:rsidP="00CE0418">
            <w:pPr>
              <w:rPr>
                <w:rFonts w:ascii="Arial Narrow" w:eastAsia="Times New Roman" w:hAnsi="Arial Narrow" w:cs="Times New Roman"/>
                <w:color w:val="000000"/>
                <w:sz w:val="20"/>
                <w:szCs w:val="20"/>
                <w:lang w:eastAsia="en-AU"/>
              </w:rPr>
            </w:pPr>
            <w:r w:rsidRPr="00A52459">
              <w:rPr>
                <w:rFonts w:ascii="Arial Narrow" w:hAnsi="Arial Narrow" w:cs="Segoe UI"/>
                <w:sz w:val="20"/>
                <w:szCs w:val="20"/>
                <w:lang w:val="nl-NL"/>
              </w:rPr>
              <w:lastRenderedPageBreak/>
              <w:t xml:space="preserve">Farnier M, Averna M, Missault L, Vaverkova H, Viigimaa M, Massaad R, et al. </w:t>
            </w:r>
            <w:r w:rsidRPr="00A52459">
              <w:rPr>
                <w:rFonts w:ascii="Arial Narrow" w:hAnsi="Arial Narrow" w:cs="Segoe UI"/>
                <w:sz w:val="20"/>
                <w:szCs w:val="20"/>
              </w:rPr>
              <w:t xml:space="preserve">Lipid-altering efficacy of </w:t>
            </w:r>
            <w:r w:rsidRPr="00A52459">
              <w:rPr>
                <w:rFonts w:ascii="Arial Narrow" w:hAnsi="Arial Narrow" w:cs="Segoe UI"/>
                <w:sz w:val="20"/>
                <w:szCs w:val="20"/>
              </w:rPr>
              <w:lastRenderedPageBreak/>
              <w:t xml:space="preserve">ezetimibe/simvastatin 10/20 mg compared with rosuvastatin 10 mg in high-risk hypercholesterolaemic patients inadequately controlled with prior statin monotherapy </w:t>
            </w:r>
            <w:r w:rsidR="00ED188B">
              <w:rPr>
                <w:rFonts w:ascii="Arial Narrow" w:hAnsi="Arial Narrow" w:cs="Segoe UI"/>
                <w:sz w:val="20"/>
                <w:szCs w:val="20"/>
              </w:rPr>
              <w:t>–</w:t>
            </w:r>
            <w:r w:rsidRPr="00A52459">
              <w:rPr>
                <w:rFonts w:ascii="Arial Narrow" w:hAnsi="Arial Narrow" w:cs="Segoe UI"/>
                <w:sz w:val="20"/>
                <w:szCs w:val="20"/>
              </w:rPr>
              <w:t xml:space="preserve"> The IN-CROSS study. International Journal of Clinical Practice. 2009;63(4):547-59.</w:t>
            </w:r>
          </w:p>
        </w:tc>
      </w:tr>
      <w:tr w:rsidR="00CE0418" w:rsidRPr="00CD6F42" w14:paraId="09D8EC71" w14:textId="77777777" w:rsidTr="003523B4">
        <w:tc>
          <w:tcPr>
            <w:tcW w:w="1560" w:type="dxa"/>
          </w:tcPr>
          <w:p w14:paraId="37A934DA" w14:textId="77777777" w:rsidR="00CE0418" w:rsidRDefault="00CE0418" w:rsidP="00CE0418">
            <w:pPr>
              <w:rPr>
                <w:rFonts w:ascii="Arial Narrow" w:eastAsia="Times New Roman" w:hAnsi="Arial Narrow" w:cs="Times New Roman"/>
                <w:color w:val="000000"/>
                <w:sz w:val="20"/>
                <w:szCs w:val="20"/>
                <w:lang w:eastAsia="en-AU"/>
              </w:rPr>
            </w:pPr>
            <w:r w:rsidRPr="00A52459">
              <w:rPr>
                <w:rFonts w:ascii="Arial Narrow" w:eastAsia="Times New Roman" w:hAnsi="Arial Narrow" w:cs="Times New Roman"/>
                <w:color w:val="000000"/>
                <w:sz w:val="20"/>
                <w:szCs w:val="20"/>
                <w:lang w:eastAsia="en-AU"/>
              </w:rPr>
              <w:lastRenderedPageBreak/>
              <w:t>Protocol 475</w:t>
            </w:r>
          </w:p>
          <w:p w14:paraId="3017122D" w14:textId="112C687E" w:rsidR="0004126C" w:rsidRDefault="0004126C" w:rsidP="00CE0418">
            <w:pPr>
              <w:rPr>
                <w:rFonts w:ascii="Arial Narrow" w:eastAsia="Times New Roman" w:hAnsi="Arial Narrow" w:cs="Times New Roman"/>
                <w:color w:val="000000"/>
                <w:sz w:val="20"/>
                <w:szCs w:val="20"/>
                <w:lang w:eastAsia="en-AU"/>
              </w:rPr>
            </w:pPr>
            <w:r w:rsidRPr="009B51C7">
              <w:rPr>
                <w:rFonts w:ascii="Arial Narrow" w:eastAsia="Times New Roman" w:hAnsi="Arial Narrow" w:cs="Times New Roman"/>
                <w:color w:val="000000"/>
                <w:sz w:val="20"/>
                <w:szCs w:val="20"/>
                <w:lang w:eastAsia="en-AU"/>
              </w:rPr>
              <w:t>Dujovne</w:t>
            </w:r>
            <w:r>
              <w:rPr>
                <w:rFonts w:ascii="Arial Narrow" w:eastAsia="Times New Roman" w:hAnsi="Arial Narrow" w:cs="Times New Roman"/>
                <w:color w:val="000000"/>
                <w:sz w:val="20"/>
                <w:szCs w:val="20"/>
                <w:lang w:eastAsia="en-AU"/>
              </w:rPr>
              <w:t xml:space="preserve"> 2002</w:t>
            </w:r>
          </w:p>
          <w:p w14:paraId="4573963F" w14:textId="3FBE5064" w:rsidR="00CE0418" w:rsidRDefault="00CE0418" w:rsidP="00CE0418">
            <w:pPr>
              <w:rPr>
                <w:rFonts w:ascii="Arial Narrow" w:hAnsi="Arial Narrow"/>
                <w:sz w:val="20"/>
                <w:szCs w:val="20"/>
              </w:rPr>
            </w:pPr>
          </w:p>
        </w:tc>
        <w:tc>
          <w:tcPr>
            <w:tcW w:w="7796" w:type="dxa"/>
          </w:tcPr>
          <w:p w14:paraId="7E57D024" w14:textId="24CD4FE3" w:rsidR="00CE0418" w:rsidRPr="00B9764D" w:rsidRDefault="00CE0418" w:rsidP="00CE0418">
            <w:pPr>
              <w:rPr>
                <w:rFonts w:ascii="Arial Narrow" w:eastAsia="Times New Roman" w:hAnsi="Arial Narrow" w:cs="Times New Roman"/>
                <w:color w:val="000000"/>
                <w:sz w:val="20"/>
                <w:szCs w:val="20"/>
                <w:lang w:val="nl-NL" w:eastAsia="en-AU"/>
              </w:rPr>
            </w:pPr>
            <w:r w:rsidRPr="009B51C7">
              <w:rPr>
                <w:rFonts w:ascii="Arial Narrow" w:eastAsia="Times New Roman" w:hAnsi="Arial Narrow" w:cs="Times New Roman"/>
                <w:color w:val="000000"/>
                <w:sz w:val="20"/>
                <w:szCs w:val="20"/>
                <w:lang w:eastAsia="en-AU"/>
              </w:rPr>
              <w:t>Dujovne CA, Ettinger MP, McNeer JF, Lipka LJ, LeBeaut AP, Suresh R, et al. Efficacy and safety of a potent new selective cholesterol absorption inhibitor, ezetimibe, in patients with primary hypercholesterolemia.[Erratum appears in Am J Cardiol. 2003 Jun 1;91(11):1399]. American Journal of Cardiology. 2002;90(10):1092-7.</w:t>
            </w:r>
          </w:p>
        </w:tc>
      </w:tr>
      <w:tr w:rsidR="00CE0418" w:rsidRPr="00CD6F42" w14:paraId="299E24C4" w14:textId="77777777" w:rsidTr="003523B4">
        <w:tc>
          <w:tcPr>
            <w:tcW w:w="1560" w:type="dxa"/>
          </w:tcPr>
          <w:p w14:paraId="737E7F05" w14:textId="77777777" w:rsidR="00CE0418" w:rsidRDefault="00CE0418" w:rsidP="00CE0418">
            <w:pPr>
              <w:rPr>
                <w:rFonts w:ascii="Arial Narrow" w:eastAsia="Times New Roman" w:hAnsi="Arial Narrow" w:cs="Times New Roman"/>
                <w:color w:val="000000"/>
                <w:sz w:val="20"/>
                <w:szCs w:val="20"/>
                <w:lang w:eastAsia="en-AU"/>
              </w:rPr>
            </w:pPr>
            <w:r w:rsidRPr="00A52459">
              <w:rPr>
                <w:rFonts w:ascii="Arial Narrow" w:eastAsia="Times New Roman" w:hAnsi="Arial Narrow" w:cs="Times New Roman"/>
                <w:color w:val="000000"/>
                <w:sz w:val="20"/>
                <w:szCs w:val="20"/>
                <w:lang w:eastAsia="en-AU"/>
              </w:rPr>
              <w:t>Protocol 474</w:t>
            </w:r>
          </w:p>
          <w:p w14:paraId="28FFAEB6" w14:textId="30E56896" w:rsidR="0004126C" w:rsidRDefault="0004126C" w:rsidP="00CE0418">
            <w:pPr>
              <w:rPr>
                <w:rFonts w:ascii="Arial Narrow" w:eastAsia="Times New Roman" w:hAnsi="Arial Narrow" w:cs="Times New Roman"/>
                <w:color w:val="000000"/>
                <w:sz w:val="20"/>
                <w:szCs w:val="20"/>
                <w:lang w:eastAsia="en-AU"/>
              </w:rPr>
            </w:pPr>
            <w:r w:rsidRPr="009B51C7">
              <w:rPr>
                <w:rFonts w:ascii="Arial Narrow" w:eastAsia="Times New Roman" w:hAnsi="Arial Narrow" w:cs="Times New Roman"/>
                <w:color w:val="000000"/>
                <w:sz w:val="20"/>
                <w:szCs w:val="20"/>
                <w:lang w:eastAsia="en-AU"/>
              </w:rPr>
              <w:t>Knopp</w:t>
            </w:r>
            <w:r>
              <w:rPr>
                <w:rFonts w:ascii="Arial Narrow" w:eastAsia="Times New Roman" w:hAnsi="Arial Narrow" w:cs="Times New Roman"/>
                <w:color w:val="000000"/>
                <w:sz w:val="20"/>
                <w:szCs w:val="20"/>
                <w:lang w:eastAsia="en-AU"/>
              </w:rPr>
              <w:t xml:space="preserve"> 2003</w:t>
            </w:r>
          </w:p>
          <w:p w14:paraId="6B5A4AA3" w14:textId="031EDF21" w:rsidR="00CE0418" w:rsidRDefault="00CE0418" w:rsidP="00CE0418">
            <w:pPr>
              <w:rPr>
                <w:rFonts w:ascii="Arial Narrow" w:hAnsi="Arial Narrow"/>
                <w:sz w:val="20"/>
                <w:szCs w:val="20"/>
              </w:rPr>
            </w:pPr>
          </w:p>
        </w:tc>
        <w:tc>
          <w:tcPr>
            <w:tcW w:w="7796" w:type="dxa"/>
          </w:tcPr>
          <w:p w14:paraId="01EE2F6D" w14:textId="46F2732F" w:rsidR="00172B35" w:rsidRPr="00172B35" w:rsidRDefault="00CE0418" w:rsidP="00CE0418">
            <w:pPr>
              <w:rPr>
                <w:rFonts w:ascii="Arial Narrow" w:eastAsia="Times New Roman" w:hAnsi="Arial Narrow" w:cs="Times New Roman"/>
                <w:color w:val="000000"/>
                <w:sz w:val="20"/>
                <w:szCs w:val="20"/>
                <w:lang w:eastAsia="en-AU"/>
              </w:rPr>
            </w:pPr>
            <w:r w:rsidRPr="009B51C7">
              <w:rPr>
                <w:rFonts w:ascii="Arial Narrow" w:eastAsia="Times New Roman" w:hAnsi="Arial Narrow" w:cs="Times New Roman"/>
                <w:color w:val="000000"/>
                <w:sz w:val="20"/>
                <w:szCs w:val="20"/>
                <w:lang w:eastAsia="en-AU"/>
              </w:rPr>
              <w:t>Knopp RH, Gitter H, Truitt T, Bays H, Manion CV, Lipka LJ, et al. Effects of ezetimibe, a new cholesterol absorption inhibitor, on plasma lipids in patients with primary hypercholesterolemia. European Heart Journal. 2003;24(8):729-41.</w:t>
            </w:r>
          </w:p>
        </w:tc>
      </w:tr>
      <w:tr w:rsidR="00172B35" w:rsidRPr="00CD6F42" w14:paraId="26559E21" w14:textId="77777777" w:rsidTr="003523B4">
        <w:tc>
          <w:tcPr>
            <w:tcW w:w="1560" w:type="dxa"/>
          </w:tcPr>
          <w:p w14:paraId="07586B57" w14:textId="1EB6A293" w:rsidR="00172B35" w:rsidRPr="00A52459" w:rsidRDefault="00172B35" w:rsidP="00CE0418">
            <w:pPr>
              <w:rPr>
                <w:rFonts w:ascii="Arial Narrow" w:eastAsia="Times New Roman" w:hAnsi="Arial Narrow" w:cs="Times New Roman"/>
                <w:color w:val="000000"/>
                <w:sz w:val="20"/>
                <w:szCs w:val="20"/>
                <w:lang w:eastAsia="en-AU"/>
              </w:rPr>
            </w:pPr>
            <w:r w:rsidRPr="00172B35">
              <w:rPr>
                <w:rFonts w:ascii="Arial Narrow" w:eastAsia="Times New Roman" w:hAnsi="Arial Narrow" w:cs="Times New Roman"/>
                <w:color w:val="000000"/>
                <w:sz w:val="20"/>
                <w:szCs w:val="20"/>
                <w:lang w:eastAsia="en-AU"/>
              </w:rPr>
              <w:t>Kerzner</w:t>
            </w:r>
            <w:r>
              <w:rPr>
                <w:rFonts w:ascii="Arial Narrow" w:eastAsia="Times New Roman" w:hAnsi="Arial Narrow" w:cs="Times New Roman"/>
                <w:color w:val="000000"/>
                <w:sz w:val="20"/>
                <w:szCs w:val="20"/>
                <w:lang w:eastAsia="en-AU"/>
              </w:rPr>
              <w:t xml:space="preserve"> 2003</w:t>
            </w:r>
          </w:p>
        </w:tc>
        <w:tc>
          <w:tcPr>
            <w:tcW w:w="7796" w:type="dxa"/>
          </w:tcPr>
          <w:p w14:paraId="661A9F14" w14:textId="7AAC0788" w:rsidR="00172B35" w:rsidRPr="009B51C7" w:rsidRDefault="00172B35" w:rsidP="00172B35">
            <w:pPr>
              <w:rPr>
                <w:rFonts w:ascii="Arial Narrow" w:eastAsia="Times New Roman" w:hAnsi="Arial Narrow" w:cs="Times New Roman"/>
                <w:color w:val="000000"/>
                <w:sz w:val="20"/>
                <w:szCs w:val="20"/>
                <w:lang w:eastAsia="en-AU"/>
              </w:rPr>
            </w:pPr>
            <w:r w:rsidRPr="00A83BED">
              <w:rPr>
                <w:rFonts w:ascii="Arial Narrow" w:eastAsia="Times New Roman" w:hAnsi="Arial Narrow" w:cs="Times New Roman"/>
                <w:color w:val="000000"/>
                <w:sz w:val="20"/>
                <w:szCs w:val="20"/>
                <w:lang w:val="nl-NL" w:eastAsia="en-AU"/>
              </w:rPr>
              <w:t xml:space="preserve">Kerzner B, Corbelli J, Sharp S et al. </w:t>
            </w:r>
            <w:r w:rsidRPr="00172B35">
              <w:rPr>
                <w:rFonts w:ascii="Arial Narrow" w:eastAsia="Times New Roman" w:hAnsi="Arial Narrow" w:cs="Times New Roman"/>
                <w:color w:val="000000"/>
                <w:sz w:val="20"/>
                <w:szCs w:val="20"/>
                <w:lang w:eastAsia="en-AU"/>
              </w:rPr>
              <w:t>Efficacy and safety of ezetimibe coadministered with lovastatin in primary hypercholesterole</w:t>
            </w:r>
            <w:r>
              <w:rPr>
                <w:rFonts w:ascii="Arial Narrow" w:eastAsia="Times New Roman" w:hAnsi="Arial Narrow" w:cs="Times New Roman"/>
                <w:color w:val="000000"/>
                <w:sz w:val="20"/>
                <w:szCs w:val="20"/>
                <w:lang w:eastAsia="en-AU"/>
              </w:rPr>
              <w:t xml:space="preserve">mia. </w:t>
            </w:r>
            <w:r w:rsidRPr="00172B35">
              <w:rPr>
                <w:rFonts w:ascii="Arial Narrow" w:eastAsia="Times New Roman" w:hAnsi="Arial Narrow" w:cs="Times New Roman"/>
                <w:color w:val="000000"/>
                <w:sz w:val="20"/>
                <w:szCs w:val="20"/>
                <w:lang w:eastAsia="en-AU"/>
              </w:rPr>
              <w:t>Am J Cardiol 2003; 91: 418–24.</w:t>
            </w:r>
          </w:p>
        </w:tc>
      </w:tr>
      <w:tr w:rsidR="00172B35" w:rsidRPr="00CD6F42" w14:paraId="51645C79" w14:textId="77777777" w:rsidTr="003523B4">
        <w:tc>
          <w:tcPr>
            <w:tcW w:w="1560" w:type="dxa"/>
          </w:tcPr>
          <w:p w14:paraId="3F1BD59A" w14:textId="1863CC98" w:rsidR="00172B35" w:rsidRPr="00A52459" w:rsidRDefault="00172B35" w:rsidP="00CE0418">
            <w:pPr>
              <w:rPr>
                <w:rFonts w:ascii="Arial Narrow" w:eastAsia="Times New Roman" w:hAnsi="Arial Narrow" w:cs="Times New Roman"/>
                <w:color w:val="000000"/>
                <w:sz w:val="20"/>
                <w:szCs w:val="20"/>
                <w:lang w:eastAsia="en-AU"/>
              </w:rPr>
            </w:pPr>
            <w:r w:rsidRPr="00172B35">
              <w:rPr>
                <w:rFonts w:ascii="Arial Narrow" w:eastAsia="Times New Roman" w:hAnsi="Arial Narrow" w:cs="Times New Roman"/>
                <w:color w:val="000000"/>
                <w:sz w:val="20"/>
                <w:szCs w:val="20"/>
                <w:lang w:eastAsia="en-AU"/>
              </w:rPr>
              <w:t>Melani</w:t>
            </w:r>
            <w:r>
              <w:rPr>
                <w:rFonts w:ascii="Arial Narrow" w:eastAsia="Times New Roman" w:hAnsi="Arial Narrow" w:cs="Times New Roman"/>
                <w:color w:val="000000"/>
                <w:sz w:val="20"/>
                <w:szCs w:val="20"/>
                <w:lang w:eastAsia="en-AU"/>
              </w:rPr>
              <w:t xml:space="preserve"> 2003</w:t>
            </w:r>
          </w:p>
        </w:tc>
        <w:tc>
          <w:tcPr>
            <w:tcW w:w="7796" w:type="dxa"/>
          </w:tcPr>
          <w:p w14:paraId="0D239B99" w14:textId="77777777" w:rsidR="00172B35" w:rsidRPr="00172B35" w:rsidRDefault="00172B35" w:rsidP="00172B35">
            <w:pPr>
              <w:rPr>
                <w:rFonts w:ascii="Arial Narrow" w:eastAsia="Times New Roman" w:hAnsi="Arial Narrow" w:cs="Times New Roman"/>
                <w:color w:val="000000"/>
                <w:sz w:val="20"/>
                <w:szCs w:val="20"/>
                <w:lang w:eastAsia="en-AU"/>
              </w:rPr>
            </w:pPr>
            <w:r w:rsidRPr="00172B35">
              <w:rPr>
                <w:rFonts w:ascii="Arial Narrow" w:eastAsia="Times New Roman" w:hAnsi="Arial Narrow" w:cs="Times New Roman"/>
                <w:color w:val="000000"/>
                <w:sz w:val="20"/>
                <w:szCs w:val="20"/>
                <w:lang w:eastAsia="en-AU"/>
              </w:rPr>
              <w:t>Melani L, Mills R, Hassman D et al. Efficacy and safety of ezetimibe</w:t>
            </w:r>
          </w:p>
          <w:p w14:paraId="29DE54B5" w14:textId="2A14E1E6" w:rsidR="00172B35" w:rsidRPr="009B51C7" w:rsidRDefault="00172B35" w:rsidP="00172B35">
            <w:pPr>
              <w:rPr>
                <w:rFonts w:ascii="Arial Narrow" w:eastAsia="Times New Roman" w:hAnsi="Arial Narrow" w:cs="Times New Roman"/>
                <w:color w:val="000000"/>
                <w:sz w:val="20"/>
                <w:szCs w:val="20"/>
                <w:lang w:eastAsia="en-AU"/>
              </w:rPr>
            </w:pPr>
            <w:r w:rsidRPr="00172B35">
              <w:rPr>
                <w:rFonts w:ascii="Arial Narrow" w:eastAsia="Times New Roman" w:hAnsi="Arial Narrow" w:cs="Times New Roman"/>
                <w:color w:val="000000"/>
                <w:sz w:val="20"/>
                <w:szCs w:val="20"/>
                <w:lang w:eastAsia="en-AU"/>
              </w:rPr>
              <w:t>coadministered with pravastatin in patients with primary hypercholesterolemia: a prospective, randomized, double-blind trial. Eur Heart J 2003; 24: 717–28</w:t>
            </w:r>
          </w:p>
        </w:tc>
      </w:tr>
    </w:tbl>
    <w:p w14:paraId="1A9BB0C8" w14:textId="77777777" w:rsidR="00AE3EA8" w:rsidRDefault="00AE3EA8" w:rsidP="00E41D63">
      <w:pPr>
        <w:pStyle w:val="Heading2"/>
      </w:pPr>
    </w:p>
    <w:p w14:paraId="61D9AB7E" w14:textId="77777777" w:rsidR="00AE3EA8" w:rsidRDefault="00AE3EA8" w:rsidP="00E41D63">
      <w:pPr>
        <w:pStyle w:val="Heading2"/>
      </w:pPr>
    </w:p>
    <w:p w14:paraId="0129148B" w14:textId="7CCD7782" w:rsidR="00E41D63" w:rsidRDefault="00912F4E" w:rsidP="00E41D63">
      <w:pPr>
        <w:pStyle w:val="Heading2"/>
      </w:pPr>
      <w:bookmarkStart w:id="55" w:name="_Toc467857753"/>
      <w:r>
        <w:t>2.2.5</w:t>
      </w:r>
      <w:r w:rsidR="00E41D63">
        <w:t xml:space="preserve">. Approach taken to </w:t>
      </w:r>
      <w:r w:rsidR="00530388">
        <w:t>assess ezetimibe in combination with statins or as a monotherapy</w:t>
      </w:r>
      <w:bookmarkEnd w:id="55"/>
      <w:r w:rsidR="00530388">
        <w:t xml:space="preserve"> </w:t>
      </w:r>
    </w:p>
    <w:p w14:paraId="2005CF7F" w14:textId="77777777" w:rsidR="00E41D63" w:rsidRDefault="00E41D63" w:rsidP="00E41D63"/>
    <w:p w14:paraId="7F25E888" w14:textId="7BF0226F" w:rsidR="00DB4514" w:rsidRDefault="00530388" w:rsidP="00DB4514">
      <w:pPr>
        <w:jc w:val="both"/>
      </w:pPr>
      <w:r>
        <w:t xml:space="preserve">No RCT was identified that would </w:t>
      </w:r>
      <w:r w:rsidR="006876CC">
        <w:t>assess</w:t>
      </w:r>
      <w:r>
        <w:t xml:space="preserve"> ezetimibe in the target population with inadequately controlled hypercholesterolemia managed with the maximum tolerated dose of statin</w:t>
      </w:r>
      <w:r w:rsidRPr="00B265C0">
        <w:t xml:space="preserve"> </w:t>
      </w:r>
      <w:r>
        <w:t xml:space="preserve">(if statin is not contraindicated). </w:t>
      </w:r>
      <w:r w:rsidR="00DB4514">
        <w:t>Patients enrolled in ezetimibe monotherapy trials were not required to demonstrate intolerance to statin or have some contraindications.  Therefore the best available evidence for this review consists of the RCTs that employed one of the following designs:</w:t>
      </w:r>
    </w:p>
    <w:p w14:paraId="5E4E4705" w14:textId="575BEA26" w:rsidR="00687DFC" w:rsidRDefault="00687DFC" w:rsidP="00140129">
      <w:pPr>
        <w:pStyle w:val="ListParagraph"/>
        <w:numPr>
          <w:ilvl w:val="0"/>
          <w:numId w:val="18"/>
        </w:numPr>
        <w:jc w:val="both"/>
      </w:pPr>
      <w:r>
        <w:t xml:space="preserve">Ezetimibe as a monotherapy compared to placebo (no treatment) </w:t>
      </w:r>
      <w:r w:rsidRPr="00227002">
        <w:t>(N=</w:t>
      </w:r>
      <w:r w:rsidR="004A084E">
        <w:t>9</w:t>
      </w:r>
      <w:r w:rsidRPr="00227002">
        <w:t>)</w:t>
      </w:r>
      <w:r w:rsidR="00AA533A">
        <w:rPr>
          <w:rStyle w:val="FootnoteReference"/>
        </w:rPr>
        <w:footnoteReference w:id="4"/>
      </w:r>
      <w:r w:rsidRPr="00227002">
        <w:t>.</w:t>
      </w:r>
    </w:p>
    <w:p w14:paraId="6C569D78" w14:textId="0E605D52" w:rsidR="00DB4514" w:rsidRDefault="00DB4514" w:rsidP="00140129">
      <w:pPr>
        <w:pStyle w:val="ListParagraph"/>
        <w:numPr>
          <w:ilvl w:val="0"/>
          <w:numId w:val="18"/>
        </w:numPr>
        <w:jc w:val="both"/>
      </w:pPr>
      <w:r>
        <w:t>Up-titration</w:t>
      </w:r>
      <w:r w:rsidRPr="00C81C1E">
        <w:t xml:space="preserve"> </w:t>
      </w:r>
      <w:r>
        <w:t>of a dose of statin added to ezetimibe vs up-titration</w:t>
      </w:r>
      <w:r w:rsidRPr="00C81C1E">
        <w:t xml:space="preserve"> </w:t>
      </w:r>
      <w:r>
        <w:t xml:space="preserve">of statin in the comparator arm </w:t>
      </w:r>
      <w:r w:rsidRPr="00146FB3">
        <w:t>(N=4)</w:t>
      </w:r>
      <w:r w:rsidR="004A084E">
        <w:rPr>
          <w:rStyle w:val="FootnoteReference"/>
        </w:rPr>
        <w:footnoteReference w:id="5"/>
      </w:r>
      <w:r w:rsidRPr="00146FB3">
        <w:t>.</w:t>
      </w:r>
      <w:r>
        <w:t xml:space="preserve"> </w:t>
      </w:r>
    </w:p>
    <w:p w14:paraId="51E3EC5E" w14:textId="6465EDFD" w:rsidR="00DB4514" w:rsidRDefault="00DB4514" w:rsidP="00140129">
      <w:pPr>
        <w:pStyle w:val="ListParagraph"/>
        <w:numPr>
          <w:ilvl w:val="0"/>
          <w:numId w:val="18"/>
        </w:numPr>
        <w:jc w:val="both"/>
      </w:pPr>
      <w:r>
        <w:t>Addition of ezetimibe to the fixed dose of statin (background therapy) vs up-titration</w:t>
      </w:r>
      <w:r w:rsidRPr="00C81C1E">
        <w:t xml:space="preserve"> </w:t>
      </w:r>
      <w:r>
        <w:t>of a statin in the control arm (either in terms of dose or in terms of potency) (N=</w:t>
      </w:r>
      <w:r w:rsidR="000E4DA5">
        <w:t>19</w:t>
      </w:r>
      <w:r w:rsidR="00146FB3">
        <w:t>)</w:t>
      </w:r>
      <w:r>
        <w:t xml:space="preserve"> </w:t>
      </w:r>
    </w:p>
    <w:p w14:paraId="2FEFC205" w14:textId="65EE938F" w:rsidR="00DB4514" w:rsidRDefault="00DB4514" w:rsidP="00140129">
      <w:pPr>
        <w:pStyle w:val="ListParagraph"/>
        <w:numPr>
          <w:ilvl w:val="0"/>
          <w:numId w:val="18"/>
        </w:numPr>
        <w:jc w:val="both"/>
      </w:pPr>
      <w:r>
        <w:t xml:space="preserve">Addition of ezetimibe to </w:t>
      </w:r>
      <w:r w:rsidR="00146FB3">
        <w:t xml:space="preserve">the </w:t>
      </w:r>
      <w:r>
        <w:t>various fixed dose of statin compared to place</w:t>
      </w:r>
      <w:r w:rsidR="00146FB3">
        <w:t>bo added to the same fixed dose</w:t>
      </w:r>
      <w:r>
        <w:t xml:space="preserve"> of statin</w:t>
      </w:r>
      <w:r w:rsidR="00146FB3">
        <w:t xml:space="preserve"> (N=8)</w:t>
      </w:r>
    </w:p>
    <w:p w14:paraId="33EF771E" w14:textId="5797B583" w:rsidR="000E4DA5" w:rsidRDefault="000E4DA5" w:rsidP="000E4DA5">
      <w:pPr>
        <w:jc w:val="both"/>
      </w:pPr>
      <w:r w:rsidRPr="000E4DA5">
        <w:rPr>
          <w:i/>
        </w:rPr>
        <w:t>Note: Some of the trials fall into more than one category</w:t>
      </w:r>
      <w:r>
        <w:t>.</w:t>
      </w:r>
    </w:p>
    <w:p w14:paraId="7AC4338B" w14:textId="77777777" w:rsidR="000E4DA5" w:rsidRDefault="000E4DA5" w:rsidP="000E4DA5">
      <w:pPr>
        <w:jc w:val="both"/>
      </w:pPr>
    </w:p>
    <w:p w14:paraId="25CB0637" w14:textId="77777777" w:rsidR="00CD340A" w:rsidRDefault="00CD340A" w:rsidP="003F5E94">
      <w:pPr>
        <w:pStyle w:val="Heading1"/>
        <w:spacing w:before="0" w:afterLines="160" w:after="384"/>
      </w:pPr>
      <w:bookmarkStart w:id="56" w:name="_Toc467857754"/>
      <w:r>
        <w:lastRenderedPageBreak/>
        <w:t>2.3. Trial design and execution</w:t>
      </w:r>
      <w:bookmarkEnd w:id="56"/>
    </w:p>
    <w:p w14:paraId="78BA3E06" w14:textId="77777777" w:rsidR="00B24687" w:rsidRPr="00B24687" w:rsidRDefault="00CD340A" w:rsidP="003F5E94">
      <w:pPr>
        <w:pStyle w:val="Heading2"/>
        <w:spacing w:before="0" w:afterLines="160" w:after="384"/>
      </w:pPr>
      <w:bookmarkStart w:id="57" w:name="_Toc467857755"/>
      <w:r>
        <w:t xml:space="preserve">2.3.1. </w:t>
      </w:r>
      <w:r w:rsidR="00B24687">
        <w:t>Appraisal of evidence</w:t>
      </w:r>
      <w:bookmarkEnd w:id="57"/>
    </w:p>
    <w:p w14:paraId="1BEA686A" w14:textId="77777777" w:rsidR="00D3164D" w:rsidRDefault="00D3164D" w:rsidP="003F5E94">
      <w:r>
        <w:t>Appraisal of the quality of the evidence was conducted alongside the following dimensions</w:t>
      </w:r>
      <w:r w:rsidR="003F5E94">
        <w:t xml:space="preserve"> which is based on the Cochrane Handbook for Systematic Reviews of Intervention</w:t>
      </w:r>
      <w:r>
        <w:t>:</w:t>
      </w:r>
    </w:p>
    <w:p w14:paraId="0AB46448" w14:textId="77777777" w:rsidR="003F5E94" w:rsidRDefault="00D3164D" w:rsidP="00140129">
      <w:pPr>
        <w:pStyle w:val="ListParagraph"/>
        <w:numPr>
          <w:ilvl w:val="0"/>
          <w:numId w:val="4"/>
        </w:numPr>
      </w:pPr>
      <w:r>
        <w:t>study design (randomisation, concealment of allocation) to ass</w:t>
      </w:r>
      <w:r w:rsidR="003F5E94">
        <w:t>ess the risk of selection bias;</w:t>
      </w:r>
    </w:p>
    <w:p w14:paraId="4577D35B" w14:textId="77777777" w:rsidR="00D3164D" w:rsidRDefault="00D3164D" w:rsidP="00140129">
      <w:pPr>
        <w:pStyle w:val="ListParagraph"/>
        <w:numPr>
          <w:ilvl w:val="0"/>
          <w:numId w:val="4"/>
        </w:numPr>
      </w:pPr>
      <w:r>
        <w:t>blinding of participants and personnel to the knowledge of the allocated interventions (to assess the risk of performance bias)</w:t>
      </w:r>
    </w:p>
    <w:p w14:paraId="20F4228D" w14:textId="77777777" w:rsidR="003F5E94" w:rsidRDefault="00D3164D" w:rsidP="00140129">
      <w:pPr>
        <w:pStyle w:val="ListParagraph"/>
        <w:numPr>
          <w:ilvl w:val="0"/>
          <w:numId w:val="4"/>
        </w:numPr>
      </w:pPr>
      <w:r>
        <w:t>blinding of the outcome assessor (to ass</w:t>
      </w:r>
      <w:r w:rsidR="003F5E94">
        <w:t>ess the risk of detection bias)</w:t>
      </w:r>
    </w:p>
    <w:p w14:paraId="50DE428E" w14:textId="77777777" w:rsidR="00D3164D" w:rsidRDefault="00D3164D" w:rsidP="00140129">
      <w:pPr>
        <w:pStyle w:val="ListParagraph"/>
        <w:numPr>
          <w:ilvl w:val="0"/>
          <w:numId w:val="4"/>
        </w:numPr>
      </w:pPr>
      <w:r>
        <w:t xml:space="preserve">adequate description of the flow of the patients </w:t>
      </w:r>
    </w:p>
    <w:p w14:paraId="79AC186D" w14:textId="77777777" w:rsidR="00D3164D" w:rsidRDefault="00D3164D" w:rsidP="00140129">
      <w:pPr>
        <w:pStyle w:val="ListParagraph"/>
        <w:numPr>
          <w:ilvl w:val="0"/>
          <w:numId w:val="4"/>
        </w:numPr>
      </w:pPr>
      <w:r>
        <w:t>incomplete outcome data (to assess the risk of attrition bias)</w:t>
      </w:r>
    </w:p>
    <w:p w14:paraId="5A31FB71" w14:textId="77777777" w:rsidR="00D3164D" w:rsidRDefault="00D3164D" w:rsidP="00140129">
      <w:pPr>
        <w:pStyle w:val="ListParagraph"/>
        <w:numPr>
          <w:ilvl w:val="0"/>
          <w:numId w:val="4"/>
        </w:numPr>
      </w:pPr>
      <w:r>
        <w:t>selective/ incomplete and inconsistent reporting of outcomes (to assess the risk of reporting bias)</w:t>
      </w:r>
    </w:p>
    <w:p w14:paraId="4A8802FB" w14:textId="77777777" w:rsidR="00D3164D" w:rsidRDefault="00D3164D" w:rsidP="00140129">
      <w:pPr>
        <w:pStyle w:val="ListParagraph"/>
        <w:numPr>
          <w:ilvl w:val="0"/>
          <w:numId w:val="4"/>
        </w:numPr>
      </w:pPr>
      <w:r>
        <w:t>basis for data analysis (ITT, per-protocol, or as treated)</w:t>
      </w:r>
    </w:p>
    <w:p w14:paraId="5EE7245C" w14:textId="77777777" w:rsidR="003F5E94" w:rsidRDefault="003F5E94" w:rsidP="003F5E94">
      <w:pPr>
        <w:pStyle w:val="ListParagraph"/>
        <w:ind w:left="0"/>
      </w:pPr>
    </w:p>
    <w:p w14:paraId="6601BB1E" w14:textId="2F64EF9C" w:rsidR="00AE3EA8" w:rsidRDefault="00AE3EA8" w:rsidP="00AE3EA8">
      <w:pPr>
        <w:pStyle w:val="ListParagraph"/>
        <w:ind w:left="0"/>
      </w:pPr>
      <w:r>
        <w:t>Table 2.3.1</w:t>
      </w:r>
      <w:r w:rsidRPr="006B45CB">
        <w:t xml:space="preserve"> summarises</w:t>
      </w:r>
      <w:r>
        <w:t xml:space="preserve"> the methodological quality of RCTs in </w:t>
      </w:r>
      <w:r w:rsidRPr="00D932CA">
        <w:t xml:space="preserve">ezetimibe </w:t>
      </w:r>
      <w:r>
        <w:t>as monotherapy.</w:t>
      </w:r>
    </w:p>
    <w:p w14:paraId="6B7458BE" w14:textId="4FE9E2F0" w:rsidR="00AE3EA8" w:rsidRPr="0083333B" w:rsidRDefault="00AE3EA8" w:rsidP="00AE3EA8">
      <w:pPr>
        <w:pStyle w:val="Caption"/>
        <w:ind w:hanging="720"/>
        <w:rPr>
          <w:sz w:val="22"/>
          <w:szCs w:val="22"/>
        </w:rPr>
      </w:pPr>
      <w:r w:rsidRPr="0083333B">
        <w:rPr>
          <w:sz w:val="22"/>
          <w:szCs w:val="22"/>
        </w:rPr>
        <w:t xml:space="preserve">Table 2.3.1: Methodological quality of included studies in ezetimibe </w:t>
      </w:r>
      <w:r w:rsidR="00172B35" w:rsidRPr="0083333B">
        <w:rPr>
          <w:sz w:val="22"/>
          <w:szCs w:val="22"/>
        </w:rPr>
        <w:t>as monotherapy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11: Methodological quality of included studies"/>
        <w:tblDescription w:val="This table provides a summary of the methodological quality of the included studies.  The top row (in which the text is at a right angles) includes the criterion of concealment of randomisation, blinding of participants, blinding of investigator, blinding of outcome assessor, bias of analysis is ITT, consistent, comprehensive reporting of primary outcomes, level of evidence, risk of bias, appropriate comparison, overall quality of study.  A tick is positive, a cross negative and a question mark means it is not clear from the study article. "/>
      </w:tblPr>
      <w:tblGrid>
        <w:gridCol w:w="2405"/>
        <w:gridCol w:w="708"/>
        <w:gridCol w:w="567"/>
        <w:gridCol w:w="546"/>
        <w:gridCol w:w="545"/>
        <w:gridCol w:w="720"/>
        <w:gridCol w:w="741"/>
        <w:gridCol w:w="567"/>
        <w:gridCol w:w="546"/>
        <w:gridCol w:w="546"/>
        <w:gridCol w:w="546"/>
      </w:tblGrid>
      <w:tr w:rsidR="00AE3EA8" w:rsidRPr="008F7393" w14:paraId="5B17353C" w14:textId="77777777" w:rsidTr="00DA70FF">
        <w:trPr>
          <w:cantSplit/>
          <w:trHeight w:val="2214"/>
        </w:trPr>
        <w:tc>
          <w:tcPr>
            <w:tcW w:w="2405" w:type="dxa"/>
            <w:textDirection w:val="btLr"/>
          </w:tcPr>
          <w:p w14:paraId="697D71F9" w14:textId="77777777" w:rsidR="00AE3EA8" w:rsidRPr="008F7393" w:rsidRDefault="00AE3EA8" w:rsidP="00DA70FF">
            <w:pPr>
              <w:keepNext/>
              <w:spacing w:before="40" w:after="40" w:line="240" w:lineRule="auto"/>
              <w:rPr>
                <w:rFonts w:ascii="Arial Narrow" w:eastAsia="Times New Roman" w:hAnsi="Arial Narrow" w:cs="Times New Roman"/>
                <w:sz w:val="18"/>
                <w:szCs w:val="20"/>
                <w:lang w:eastAsia="en-US"/>
              </w:rPr>
            </w:pPr>
          </w:p>
        </w:tc>
        <w:tc>
          <w:tcPr>
            <w:tcW w:w="708" w:type="dxa"/>
            <w:textDirection w:val="btLr"/>
            <w:vAlign w:val="center"/>
          </w:tcPr>
          <w:p w14:paraId="0C8A4E87"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Concealment of randomisation</w:t>
            </w:r>
          </w:p>
          <w:p w14:paraId="30F34831"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p>
        </w:tc>
        <w:tc>
          <w:tcPr>
            <w:tcW w:w="567" w:type="dxa"/>
            <w:textDirection w:val="btLr"/>
            <w:vAlign w:val="center"/>
          </w:tcPr>
          <w:p w14:paraId="00254DA8"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Blinding of participant</w:t>
            </w:r>
          </w:p>
        </w:tc>
        <w:tc>
          <w:tcPr>
            <w:tcW w:w="546" w:type="dxa"/>
            <w:textDirection w:val="btLr"/>
            <w:vAlign w:val="center"/>
          </w:tcPr>
          <w:p w14:paraId="3220CEF1"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Blinding of investigator</w:t>
            </w:r>
          </w:p>
        </w:tc>
        <w:tc>
          <w:tcPr>
            <w:tcW w:w="545" w:type="dxa"/>
            <w:textDirection w:val="btLr"/>
            <w:vAlign w:val="center"/>
          </w:tcPr>
          <w:p w14:paraId="2FAFD423"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Blinding of outcome assessor</w:t>
            </w:r>
          </w:p>
        </w:tc>
        <w:tc>
          <w:tcPr>
            <w:tcW w:w="720" w:type="dxa"/>
            <w:textDirection w:val="btLr"/>
            <w:vAlign w:val="center"/>
          </w:tcPr>
          <w:p w14:paraId="076A09C0"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Basis of analysis is ITT</w:t>
            </w:r>
          </w:p>
        </w:tc>
        <w:tc>
          <w:tcPr>
            <w:tcW w:w="74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A04C5B9"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Consistent, comprehensive reporting of primary outcomes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421FBCF"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Level of evidence</w:t>
            </w:r>
          </w:p>
        </w:tc>
        <w:tc>
          <w:tcPr>
            <w:tcW w:w="546" w:type="dxa"/>
            <w:tcBorders>
              <w:top w:val="single" w:sz="4" w:space="0" w:color="auto"/>
              <w:left w:val="single" w:sz="4" w:space="0" w:color="auto"/>
              <w:bottom w:val="single" w:sz="4" w:space="0" w:color="auto"/>
              <w:right w:val="single" w:sz="4" w:space="0" w:color="auto"/>
            </w:tcBorders>
            <w:textDirection w:val="btLr"/>
          </w:tcPr>
          <w:p w14:paraId="56C6177A"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Risk of Bias‡</w:t>
            </w:r>
          </w:p>
        </w:tc>
        <w:tc>
          <w:tcPr>
            <w:tcW w:w="546" w:type="dxa"/>
            <w:tcBorders>
              <w:top w:val="single" w:sz="4" w:space="0" w:color="auto"/>
              <w:left w:val="single" w:sz="4" w:space="0" w:color="auto"/>
              <w:bottom w:val="single" w:sz="4" w:space="0" w:color="auto"/>
              <w:right w:val="single" w:sz="4" w:space="0" w:color="auto"/>
            </w:tcBorders>
            <w:textDirection w:val="btLr"/>
            <w:vAlign w:val="center"/>
          </w:tcPr>
          <w:p w14:paraId="087F9717"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Appropriate comparison</w:t>
            </w:r>
          </w:p>
        </w:tc>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1D3F2D2"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Overall quality of study</w:t>
            </w:r>
          </w:p>
        </w:tc>
      </w:tr>
      <w:tr w:rsidR="00AE3EA8" w:rsidRPr="008F7393" w14:paraId="57B61C3B" w14:textId="77777777" w:rsidTr="00DA70FF">
        <w:trPr>
          <w:trHeight w:val="382"/>
        </w:trPr>
        <w:tc>
          <w:tcPr>
            <w:tcW w:w="2405" w:type="dxa"/>
          </w:tcPr>
          <w:p w14:paraId="24621B8F" w14:textId="77777777" w:rsidR="00AE3EA8" w:rsidRPr="009A02D8" w:rsidRDefault="00AE3EA8" w:rsidP="00DA70FF">
            <w:pPr>
              <w:keepNext/>
              <w:spacing w:before="40" w:after="40" w:line="240" w:lineRule="auto"/>
              <w:rPr>
                <w:rFonts w:ascii="Arial Narrow" w:eastAsia="Times New Roman" w:hAnsi="Arial Narrow" w:cs="Calibri"/>
                <w:spacing w:val="-1"/>
                <w:sz w:val="18"/>
                <w:szCs w:val="18"/>
                <w:lang w:eastAsia="en-US"/>
              </w:rPr>
            </w:pPr>
            <w:r w:rsidRPr="009A02D8">
              <w:rPr>
                <w:rFonts w:ascii="Arial Narrow" w:eastAsia="Times New Roman" w:hAnsi="Arial Narrow" w:cs="Calibri"/>
                <w:spacing w:val="-1"/>
                <w:sz w:val="18"/>
                <w:szCs w:val="18"/>
                <w:lang w:eastAsia="en-US"/>
              </w:rPr>
              <w:t xml:space="preserve">P692 Ballantyne 2003  </w:t>
            </w:r>
          </w:p>
        </w:tc>
        <w:tc>
          <w:tcPr>
            <w:tcW w:w="708" w:type="dxa"/>
          </w:tcPr>
          <w:p w14:paraId="62C811D7"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30615D97"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6" w:type="dxa"/>
          </w:tcPr>
          <w:p w14:paraId="225046B2"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5" w:type="dxa"/>
          </w:tcPr>
          <w:p w14:paraId="7CB4D029"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720" w:type="dxa"/>
          </w:tcPr>
          <w:p w14:paraId="3FA2A942"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741" w:type="dxa"/>
          </w:tcPr>
          <w:p w14:paraId="5E442643"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777CB7A5"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II</w:t>
            </w:r>
          </w:p>
        </w:tc>
        <w:tc>
          <w:tcPr>
            <w:tcW w:w="546" w:type="dxa"/>
          </w:tcPr>
          <w:p w14:paraId="069E36F2"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A</w:t>
            </w:r>
          </w:p>
        </w:tc>
        <w:tc>
          <w:tcPr>
            <w:tcW w:w="546" w:type="dxa"/>
          </w:tcPr>
          <w:p w14:paraId="7EAE9B15"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C1</w:t>
            </w:r>
          </w:p>
        </w:tc>
        <w:tc>
          <w:tcPr>
            <w:tcW w:w="546" w:type="dxa"/>
          </w:tcPr>
          <w:p w14:paraId="0B80652D" w14:textId="25762B35" w:rsidR="00AE3EA8" w:rsidRPr="008F7393" w:rsidRDefault="005B78E5"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Q1</w:t>
            </w:r>
          </w:p>
        </w:tc>
      </w:tr>
      <w:tr w:rsidR="00AE3EA8" w:rsidRPr="008F7393" w14:paraId="20B9A49C" w14:textId="77777777" w:rsidTr="00DA70FF">
        <w:trPr>
          <w:trHeight w:val="382"/>
        </w:trPr>
        <w:tc>
          <w:tcPr>
            <w:tcW w:w="2405" w:type="dxa"/>
          </w:tcPr>
          <w:p w14:paraId="0065D5B6" w14:textId="77777777" w:rsidR="00AE3EA8" w:rsidRPr="009A02D8" w:rsidRDefault="00AE3EA8" w:rsidP="00DA70FF">
            <w:pPr>
              <w:keepNext/>
              <w:spacing w:before="40" w:after="40" w:line="240" w:lineRule="auto"/>
              <w:rPr>
                <w:rFonts w:ascii="Arial Narrow" w:eastAsia="Times New Roman" w:hAnsi="Arial Narrow" w:cs="Calibri"/>
                <w:spacing w:val="-1"/>
                <w:sz w:val="18"/>
                <w:szCs w:val="18"/>
                <w:lang w:eastAsia="en-US"/>
              </w:rPr>
            </w:pPr>
            <w:r>
              <w:rPr>
                <w:rFonts w:ascii="Arial Narrow" w:eastAsia="Times New Roman" w:hAnsi="Arial Narrow" w:cs="Calibri"/>
                <w:spacing w:val="-1"/>
                <w:sz w:val="18"/>
                <w:szCs w:val="18"/>
                <w:lang w:eastAsia="en-US"/>
              </w:rPr>
              <w:t>P005 Goldberg 2004</w:t>
            </w:r>
          </w:p>
        </w:tc>
        <w:tc>
          <w:tcPr>
            <w:tcW w:w="708" w:type="dxa"/>
          </w:tcPr>
          <w:p w14:paraId="5DC44529"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4D9E2FE1"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6" w:type="dxa"/>
          </w:tcPr>
          <w:p w14:paraId="489FA7E0"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5" w:type="dxa"/>
          </w:tcPr>
          <w:p w14:paraId="2FF80DC0"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720" w:type="dxa"/>
          </w:tcPr>
          <w:p w14:paraId="5A343C44"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741" w:type="dxa"/>
          </w:tcPr>
          <w:p w14:paraId="20F8DB6A"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06063BC4"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II</w:t>
            </w:r>
          </w:p>
        </w:tc>
        <w:tc>
          <w:tcPr>
            <w:tcW w:w="546" w:type="dxa"/>
          </w:tcPr>
          <w:p w14:paraId="382F81E8"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A</w:t>
            </w:r>
          </w:p>
        </w:tc>
        <w:tc>
          <w:tcPr>
            <w:tcW w:w="546" w:type="dxa"/>
          </w:tcPr>
          <w:p w14:paraId="1197617F"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C1</w:t>
            </w:r>
          </w:p>
        </w:tc>
        <w:tc>
          <w:tcPr>
            <w:tcW w:w="546" w:type="dxa"/>
          </w:tcPr>
          <w:p w14:paraId="77841229"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Q1</w:t>
            </w:r>
          </w:p>
        </w:tc>
      </w:tr>
      <w:tr w:rsidR="00AE3EA8" w:rsidRPr="008F7393" w14:paraId="09B0EB06" w14:textId="77777777" w:rsidTr="00DA70FF">
        <w:trPr>
          <w:trHeight w:val="382"/>
        </w:trPr>
        <w:tc>
          <w:tcPr>
            <w:tcW w:w="2405" w:type="dxa"/>
          </w:tcPr>
          <w:p w14:paraId="0CECB5F0" w14:textId="77777777" w:rsidR="00AE3EA8" w:rsidRPr="009A02D8" w:rsidRDefault="00AE3EA8" w:rsidP="00DA70FF">
            <w:pPr>
              <w:keepNext/>
              <w:spacing w:before="40" w:after="40" w:line="240" w:lineRule="auto"/>
              <w:rPr>
                <w:rFonts w:ascii="Arial Narrow" w:eastAsia="Times New Roman" w:hAnsi="Arial Narrow" w:cs="Times New Roman"/>
                <w:sz w:val="18"/>
                <w:szCs w:val="18"/>
                <w:lang w:eastAsia="en-US"/>
              </w:rPr>
            </w:pPr>
            <w:r w:rsidRPr="009A02D8">
              <w:rPr>
                <w:rFonts w:ascii="Arial Narrow" w:eastAsiaTheme="minorHAnsi" w:hAnsi="Arial Narrow" w:cs="Calibri"/>
                <w:spacing w:val="-1"/>
                <w:sz w:val="18"/>
                <w:szCs w:val="18"/>
                <w:lang w:eastAsia="en-US"/>
              </w:rPr>
              <w:t xml:space="preserve">P038 Bays 2004 </w:t>
            </w:r>
          </w:p>
        </w:tc>
        <w:tc>
          <w:tcPr>
            <w:tcW w:w="708" w:type="dxa"/>
          </w:tcPr>
          <w:p w14:paraId="700C73AE"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highlight w:val="yellow"/>
                <w:lang w:eastAsia="en-US"/>
              </w:rPr>
            </w:pPr>
            <w:r w:rsidRPr="008F7393">
              <w:rPr>
                <w:rFonts w:ascii="Arial Narrow" w:eastAsia="Times New Roman" w:hAnsi="Arial Narrow" w:cs="Times New Roman"/>
                <w:sz w:val="18"/>
                <w:szCs w:val="20"/>
                <w:lang w:eastAsia="en-US"/>
              </w:rPr>
              <w:t>√</w:t>
            </w:r>
          </w:p>
        </w:tc>
        <w:tc>
          <w:tcPr>
            <w:tcW w:w="567" w:type="dxa"/>
          </w:tcPr>
          <w:p w14:paraId="28BEBC98"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highlight w:val="yellow"/>
                <w:lang w:eastAsia="en-US"/>
              </w:rPr>
            </w:pPr>
            <w:r w:rsidRPr="008F7393">
              <w:rPr>
                <w:rFonts w:ascii="Arial Narrow" w:eastAsia="Times New Roman" w:hAnsi="Arial Narrow" w:cs="Times New Roman"/>
                <w:sz w:val="18"/>
                <w:szCs w:val="20"/>
                <w:lang w:eastAsia="en-US"/>
              </w:rPr>
              <w:t>√</w:t>
            </w:r>
          </w:p>
        </w:tc>
        <w:tc>
          <w:tcPr>
            <w:tcW w:w="546" w:type="dxa"/>
          </w:tcPr>
          <w:p w14:paraId="3855D9BA"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highlight w:val="yellow"/>
                <w:lang w:eastAsia="en-US"/>
              </w:rPr>
            </w:pPr>
            <w:r w:rsidRPr="008F7393">
              <w:rPr>
                <w:rFonts w:ascii="Arial Narrow" w:eastAsia="Times New Roman" w:hAnsi="Arial Narrow" w:cs="Times New Roman"/>
                <w:sz w:val="18"/>
                <w:szCs w:val="20"/>
                <w:lang w:eastAsia="en-US"/>
              </w:rPr>
              <w:t>√</w:t>
            </w:r>
          </w:p>
        </w:tc>
        <w:tc>
          <w:tcPr>
            <w:tcW w:w="545" w:type="dxa"/>
          </w:tcPr>
          <w:p w14:paraId="508E8B7D"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highlight w:val="yellow"/>
                <w:lang w:eastAsia="en-US"/>
              </w:rPr>
            </w:pPr>
            <w:r w:rsidRPr="008F7393">
              <w:rPr>
                <w:rFonts w:ascii="Arial Narrow" w:eastAsia="Times New Roman" w:hAnsi="Arial Narrow" w:cs="Times New Roman"/>
                <w:sz w:val="18"/>
                <w:szCs w:val="20"/>
                <w:lang w:eastAsia="en-US"/>
              </w:rPr>
              <w:t>√</w:t>
            </w:r>
          </w:p>
        </w:tc>
        <w:tc>
          <w:tcPr>
            <w:tcW w:w="720" w:type="dxa"/>
          </w:tcPr>
          <w:p w14:paraId="078A08DD" w14:textId="4129CF8F"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r w:rsidR="005B78E5">
              <w:rPr>
                <w:rFonts w:ascii="Arial Narrow" w:eastAsia="Times New Roman" w:hAnsi="Arial Narrow" w:cs="Times New Roman"/>
                <w:sz w:val="18"/>
                <w:szCs w:val="20"/>
                <w:lang w:eastAsia="en-US"/>
              </w:rPr>
              <w:t>*</w:t>
            </w:r>
          </w:p>
        </w:tc>
        <w:tc>
          <w:tcPr>
            <w:tcW w:w="741" w:type="dxa"/>
          </w:tcPr>
          <w:p w14:paraId="5582C094"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1422D3BF"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II</w:t>
            </w:r>
          </w:p>
        </w:tc>
        <w:tc>
          <w:tcPr>
            <w:tcW w:w="546" w:type="dxa"/>
          </w:tcPr>
          <w:p w14:paraId="17220208"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A</w:t>
            </w:r>
          </w:p>
        </w:tc>
        <w:tc>
          <w:tcPr>
            <w:tcW w:w="546" w:type="dxa"/>
          </w:tcPr>
          <w:p w14:paraId="0EB4B6DD"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C1</w:t>
            </w:r>
          </w:p>
        </w:tc>
        <w:tc>
          <w:tcPr>
            <w:tcW w:w="546" w:type="dxa"/>
          </w:tcPr>
          <w:p w14:paraId="45D7FA7A"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Q1</w:t>
            </w:r>
          </w:p>
        </w:tc>
      </w:tr>
      <w:tr w:rsidR="00AE3EA8" w:rsidRPr="008F7393" w14:paraId="5DB24009" w14:textId="77777777" w:rsidTr="00DA70FF">
        <w:trPr>
          <w:trHeight w:val="382"/>
        </w:trPr>
        <w:tc>
          <w:tcPr>
            <w:tcW w:w="2405" w:type="dxa"/>
          </w:tcPr>
          <w:p w14:paraId="6334EA58" w14:textId="77777777" w:rsidR="00AE3EA8" w:rsidRPr="009A02D8" w:rsidRDefault="00AE3EA8" w:rsidP="00DA70FF">
            <w:pPr>
              <w:keepNext/>
              <w:spacing w:before="40" w:after="40" w:line="240" w:lineRule="auto"/>
              <w:rPr>
                <w:rFonts w:ascii="Arial Narrow" w:eastAsia="Times New Roman" w:hAnsi="Arial Narrow" w:cs="Times New Roman"/>
                <w:sz w:val="18"/>
                <w:szCs w:val="18"/>
                <w:lang w:eastAsia="en-US"/>
              </w:rPr>
            </w:pPr>
            <w:r w:rsidRPr="009A02D8">
              <w:rPr>
                <w:rFonts w:ascii="Arial Narrow" w:eastAsia="Times New Roman" w:hAnsi="Arial Narrow" w:cs="Calibri"/>
                <w:spacing w:val="-1"/>
                <w:sz w:val="18"/>
                <w:szCs w:val="18"/>
                <w:lang w:eastAsia="en-US"/>
              </w:rPr>
              <w:t xml:space="preserve">P680 Davidson 2002 </w:t>
            </w:r>
          </w:p>
        </w:tc>
        <w:tc>
          <w:tcPr>
            <w:tcW w:w="708" w:type="dxa"/>
          </w:tcPr>
          <w:p w14:paraId="000F0F69"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5CCECFA9"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6" w:type="dxa"/>
          </w:tcPr>
          <w:p w14:paraId="05018029" w14:textId="26244F2B" w:rsidR="00AE3EA8" w:rsidRPr="008F7393" w:rsidRDefault="00EB7238"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545" w:type="dxa"/>
          </w:tcPr>
          <w:p w14:paraId="259E4604"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720" w:type="dxa"/>
          </w:tcPr>
          <w:p w14:paraId="43F0C5DE" w14:textId="771631A9" w:rsidR="00AE3EA8" w:rsidRPr="008F7393" w:rsidRDefault="005B78E5"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741" w:type="dxa"/>
          </w:tcPr>
          <w:p w14:paraId="06E3BB41"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69936BC7"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II</w:t>
            </w:r>
          </w:p>
        </w:tc>
        <w:tc>
          <w:tcPr>
            <w:tcW w:w="546" w:type="dxa"/>
          </w:tcPr>
          <w:p w14:paraId="579A8FDA"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A</w:t>
            </w:r>
          </w:p>
        </w:tc>
        <w:tc>
          <w:tcPr>
            <w:tcW w:w="546" w:type="dxa"/>
          </w:tcPr>
          <w:p w14:paraId="5F8D80E0"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C1</w:t>
            </w:r>
          </w:p>
        </w:tc>
        <w:tc>
          <w:tcPr>
            <w:tcW w:w="546" w:type="dxa"/>
          </w:tcPr>
          <w:p w14:paraId="5295F3AE"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Q1</w:t>
            </w:r>
          </w:p>
        </w:tc>
      </w:tr>
      <w:tr w:rsidR="00AE3EA8" w:rsidRPr="008F7393" w14:paraId="0E428BE8" w14:textId="77777777" w:rsidTr="00DA70FF">
        <w:trPr>
          <w:trHeight w:val="382"/>
        </w:trPr>
        <w:tc>
          <w:tcPr>
            <w:tcW w:w="2405" w:type="dxa"/>
          </w:tcPr>
          <w:p w14:paraId="1A4F93B4" w14:textId="77777777" w:rsidR="00AE3EA8" w:rsidRPr="009A02D8" w:rsidRDefault="00AE3EA8" w:rsidP="00DA70FF">
            <w:pPr>
              <w:keepNext/>
              <w:spacing w:before="40" w:after="40" w:line="240" w:lineRule="auto"/>
              <w:rPr>
                <w:rFonts w:ascii="Arial Narrow" w:eastAsia="Times New Roman" w:hAnsi="Arial Narrow" w:cs="Calibri"/>
                <w:spacing w:val="-1"/>
                <w:sz w:val="18"/>
                <w:szCs w:val="18"/>
                <w:lang w:eastAsia="en-US"/>
              </w:rPr>
            </w:pPr>
            <w:r>
              <w:rPr>
                <w:rFonts w:ascii="Arial Narrow" w:eastAsia="Times New Roman" w:hAnsi="Arial Narrow" w:cs="Calibri"/>
                <w:spacing w:val="-1"/>
                <w:sz w:val="18"/>
                <w:szCs w:val="18"/>
                <w:lang w:eastAsia="en-US"/>
              </w:rPr>
              <w:t>Farnier 2005</w:t>
            </w:r>
          </w:p>
        </w:tc>
        <w:tc>
          <w:tcPr>
            <w:tcW w:w="708" w:type="dxa"/>
          </w:tcPr>
          <w:p w14:paraId="79E23295"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75BB884B"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6" w:type="dxa"/>
          </w:tcPr>
          <w:p w14:paraId="3668A35A"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5" w:type="dxa"/>
          </w:tcPr>
          <w:p w14:paraId="674F8225"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720" w:type="dxa"/>
          </w:tcPr>
          <w:p w14:paraId="7040A619"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741" w:type="dxa"/>
          </w:tcPr>
          <w:p w14:paraId="7B30F30E"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1FE96888"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II</w:t>
            </w:r>
          </w:p>
        </w:tc>
        <w:tc>
          <w:tcPr>
            <w:tcW w:w="546" w:type="dxa"/>
          </w:tcPr>
          <w:p w14:paraId="585BFA67"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B</w:t>
            </w:r>
          </w:p>
        </w:tc>
        <w:tc>
          <w:tcPr>
            <w:tcW w:w="546" w:type="dxa"/>
          </w:tcPr>
          <w:p w14:paraId="5BA228D1"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C1</w:t>
            </w:r>
          </w:p>
        </w:tc>
        <w:tc>
          <w:tcPr>
            <w:tcW w:w="546" w:type="dxa"/>
          </w:tcPr>
          <w:p w14:paraId="7704CD3D"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Q2</w:t>
            </w:r>
          </w:p>
        </w:tc>
      </w:tr>
      <w:tr w:rsidR="00AE3EA8" w:rsidRPr="008F7393" w14:paraId="67F66993" w14:textId="77777777" w:rsidTr="00DA70FF">
        <w:trPr>
          <w:trHeight w:val="382"/>
        </w:trPr>
        <w:tc>
          <w:tcPr>
            <w:tcW w:w="2405" w:type="dxa"/>
          </w:tcPr>
          <w:p w14:paraId="29FE08BE" w14:textId="77777777" w:rsidR="00AE3EA8" w:rsidRDefault="00AE3EA8" w:rsidP="00DA70FF">
            <w:pPr>
              <w:keepNext/>
              <w:spacing w:before="40" w:after="40" w:line="240" w:lineRule="auto"/>
              <w:rPr>
                <w:rFonts w:ascii="Arial Narrow" w:eastAsia="Times New Roman" w:hAnsi="Arial Narrow" w:cs="Calibri"/>
                <w:spacing w:val="-1"/>
                <w:sz w:val="18"/>
                <w:szCs w:val="18"/>
                <w:lang w:eastAsia="en-US"/>
              </w:rPr>
            </w:pPr>
            <w:r w:rsidRPr="005A4CB3">
              <w:rPr>
                <w:rFonts w:ascii="Arial Narrow" w:eastAsia="Times New Roman" w:hAnsi="Arial Narrow" w:cs="Calibri"/>
                <w:spacing w:val="-1"/>
                <w:sz w:val="18"/>
                <w:szCs w:val="18"/>
                <w:lang w:eastAsia="en-US"/>
              </w:rPr>
              <w:t>P474 Dujovne 2002</w:t>
            </w:r>
          </w:p>
        </w:tc>
        <w:tc>
          <w:tcPr>
            <w:tcW w:w="708" w:type="dxa"/>
          </w:tcPr>
          <w:p w14:paraId="11A2231D"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567" w:type="dxa"/>
          </w:tcPr>
          <w:p w14:paraId="1429CAF5"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6" w:type="dxa"/>
          </w:tcPr>
          <w:p w14:paraId="225BCE0E" w14:textId="7D6305B4" w:rsidR="00AE3EA8" w:rsidRPr="008F7393" w:rsidRDefault="00EB7238"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545" w:type="dxa"/>
          </w:tcPr>
          <w:p w14:paraId="36FCB9A4" w14:textId="26BFAB11" w:rsidR="00AE3EA8" w:rsidRPr="008F7393" w:rsidRDefault="00EB723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720" w:type="dxa"/>
          </w:tcPr>
          <w:p w14:paraId="186A9828"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741" w:type="dxa"/>
          </w:tcPr>
          <w:p w14:paraId="4C5BE643"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7C9D66DC"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II</w:t>
            </w:r>
          </w:p>
        </w:tc>
        <w:tc>
          <w:tcPr>
            <w:tcW w:w="546" w:type="dxa"/>
          </w:tcPr>
          <w:p w14:paraId="3D8013E9"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B</w:t>
            </w:r>
          </w:p>
        </w:tc>
        <w:tc>
          <w:tcPr>
            <w:tcW w:w="546" w:type="dxa"/>
          </w:tcPr>
          <w:p w14:paraId="7588B393"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C1</w:t>
            </w:r>
          </w:p>
        </w:tc>
        <w:tc>
          <w:tcPr>
            <w:tcW w:w="546" w:type="dxa"/>
          </w:tcPr>
          <w:p w14:paraId="185DF7C1"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Q2</w:t>
            </w:r>
          </w:p>
        </w:tc>
      </w:tr>
      <w:tr w:rsidR="00AE3EA8" w:rsidRPr="008F7393" w14:paraId="05344453" w14:textId="77777777" w:rsidTr="00DA70FF">
        <w:trPr>
          <w:trHeight w:val="382"/>
        </w:trPr>
        <w:tc>
          <w:tcPr>
            <w:tcW w:w="2405" w:type="dxa"/>
          </w:tcPr>
          <w:p w14:paraId="733D0AA9" w14:textId="77777777" w:rsidR="00AE3EA8" w:rsidRPr="005A4CB3" w:rsidRDefault="00AE3EA8" w:rsidP="00DA70FF">
            <w:pPr>
              <w:keepNext/>
              <w:spacing w:before="40" w:after="40" w:line="240" w:lineRule="auto"/>
              <w:rPr>
                <w:rFonts w:ascii="Arial Narrow" w:eastAsia="Times New Roman" w:hAnsi="Arial Narrow" w:cs="Calibri"/>
                <w:spacing w:val="-1"/>
                <w:sz w:val="18"/>
                <w:szCs w:val="18"/>
                <w:lang w:eastAsia="en-US"/>
              </w:rPr>
            </w:pPr>
            <w:r w:rsidRPr="005A4CB3">
              <w:rPr>
                <w:rFonts w:ascii="Arial Narrow" w:eastAsia="Times New Roman" w:hAnsi="Arial Narrow" w:cs="Calibri"/>
                <w:spacing w:val="-1"/>
                <w:sz w:val="18"/>
                <w:szCs w:val="18"/>
                <w:lang w:eastAsia="en-US"/>
              </w:rPr>
              <w:t>P475 Knopp 2003</w:t>
            </w:r>
          </w:p>
        </w:tc>
        <w:tc>
          <w:tcPr>
            <w:tcW w:w="708" w:type="dxa"/>
          </w:tcPr>
          <w:p w14:paraId="07CEE292"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26D6A12E"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6" w:type="dxa"/>
          </w:tcPr>
          <w:p w14:paraId="12F226A6"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5" w:type="dxa"/>
          </w:tcPr>
          <w:p w14:paraId="6EC165F9" w14:textId="2B2A0829" w:rsidR="00AE3EA8" w:rsidRPr="008F7393" w:rsidRDefault="00EB723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720" w:type="dxa"/>
          </w:tcPr>
          <w:p w14:paraId="0C720017" w14:textId="334761E1" w:rsidR="00AE3EA8" w:rsidRPr="008F7393" w:rsidRDefault="005B78E5"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741" w:type="dxa"/>
          </w:tcPr>
          <w:p w14:paraId="0C7A24EF"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44E7AF9A"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II</w:t>
            </w:r>
          </w:p>
        </w:tc>
        <w:tc>
          <w:tcPr>
            <w:tcW w:w="546" w:type="dxa"/>
          </w:tcPr>
          <w:p w14:paraId="07488B6E"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A</w:t>
            </w:r>
          </w:p>
        </w:tc>
        <w:tc>
          <w:tcPr>
            <w:tcW w:w="546" w:type="dxa"/>
          </w:tcPr>
          <w:p w14:paraId="05199E55" w14:textId="77777777" w:rsidR="00AE3EA8" w:rsidRPr="008F7393" w:rsidRDefault="00AE3EA8" w:rsidP="00DA70FF">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C1</w:t>
            </w:r>
          </w:p>
        </w:tc>
        <w:tc>
          <w:tcPr>
            <w:tcW w:w="546" w:type="dxa"/>
          </w:tcPr>
          <w:p w14:paraId="42DBCC2A" w14:textId="14513B1A" w:rsidR="00AE3EA8" w:rsidRPr="008F7393" w:rsidRDefault="005B78E5" w:rsidP="00DA70FF">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Q2</w:t>
            </w:r>
          </w:p>
        </w:tc>
      </w:tr>
      <w:tr w:rsidR="00DE3E4C" w:rsidRPr="008F7393" w14:paraId="4D071C4B" w14:textId="77777777" w:rsidTr="00DA70FF">
        <w:trPr>
          <w:trHeight w:val="382"/>
        </w:trPr>
        <w:tc>
          <w:tcPr>
            <w:tcW w:w="2405" w:type="dxa"/>
          </w:tcPr>
          <w:p w14:paraId="6812FA12" w14:textId="026525DA" w:rsidR="00DE3E4C" w:rsidRPr="005A4CB3" w:rsidRDefault="00DE3E4C" w:rsidP="00DE3E4C">
            <w:pPr>
              <w:keepNext/>
              <w:spacing w:before="40" w:after="40" w:line="240" w:lineRule="auto"/>
              <w:rPr>
                <w:rFonts w:ascii="Arial Narrow" w:eastAsia="Times New Roman" w:hAnsi="Arial Narrow" w:cs="Calibri"/>
                <w:spacing w:val="-1"/>
                <w:sz w:val="18"/>
                <w:szCs w:val="18"/>
                <w:lang w:eastAsia="en-US"/>
              </w:rPr>
            </w:pPr>
            <w:r>
              <w:rPr>
                <w:rFonts w:ascii="Arial Narrow" w:eastAsia="Times New Roman" w:hAnsi="Arial Narrow" w:cs="Calibri"/>
                <w:spacing w:val="-1"/>
                <w:sz w:val="18"/>
                <w:szCs w:val="18"/>
                <w:lang w:eastAsia="en-US"/>
              </w:rPr>
              <w:t>Kerzner 2003</w:t>
            </w:r>
          </w:p>
        </w:tc>
        <w:tc>
          <w:tcPr>
            <w:tcW w:w="708" w:type="dxa"/>
          </w:tcPr>
          <w:p w14:paraId="3B1079E1" w14:textId="5AA4BF9C"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567" w:type="dxa"/>
          </w:tcPr>
          <w:p w14:paraId="02207174" w14:textId="1A8178B2"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6" w:type="dxa"/>
          </w:tcPr>
          <w:p w14:paraId="31AD11E9" w14:textId="41327566"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545" w:type="dxa"/>
          </w:tcPr>
          <w:p w14:paraId="5794D5E9" w14:textId="5AB7D94A" w:rsidR="00DE3E4C"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720" w:type="dxa"/>
          </w:tcPr>
          <w:p w14:paraId="03DF3A51" w14:textId="0DFB368F" w:rsidR="00DE3E4C" w:rsidRDefault="00DE3E4C" w:rsidP="00DE3E4C">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741" w:type="dxa"/>
          </w:tcPr>
          <w:p w14:paraId="25CCF3C5" w14:textId="19200A62"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42B084D6" w14:textId="45A7F785"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II</w:t>
            </w:r>
          </w:p>
        </w:tc>
        <w:tc>
          <w:tcPr>
            <w:tcW w:w="546" w:type="dxa"/>
          </w:tcPr>
          <w:p w14:paraId="08E4EF65" w14:textId="2AD7034F"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B</w:t>
            </w:r>
          </w:p>
        </w:tc>
        <w:tc>
          <w:tcPr>
            <w:tcW w:w="546" w:type="dxa"/>
          </w:tcPr>
          <w:p w14:paraId="51C0AD83" w14:textId="68D10942"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C1</w:t>
            </w:r>
          </w:p>
        </w:tc>
        <w:tc>
          <w:tcPr>
            <w:tcW w:w="546" w:type="dxa"/>
          </w:tcPr>
          <w:p w14:paraId="67CD60CA" w14:textId="7574F809"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Q2</w:t>
            </w:r>
          </w:p>
        </w:tc>
      </w:tr>
      <w:tr w:rsidR="00DE3E4C" w:rsidRPr="008F7393" w14:paraId="7FD30E19" w14:textId="77777777" w:rsidTr="00DA70FF">
        <w:trPr>
          <w:trHeight w:val="382"/>
        </w:trPr>
        <w:tc>
          <w:tcPr>
            <w:tcW w:w="2405" w:type="dxa"/>
          </w:tcPr>
          <w:p w14:paraId="034183A4" w14:textId="000F368E" w:rsidR="00DE3E4C" w:rsidRPr="005A4CB3" w:rsidRDefault="00DE3E4C" w:rsidP="00DE3E4C">
            <w:pPr>
              <w:keepNext/>
              <w:spacing w:before="40" w:after="40" w:line="240" w:lineRule="auto"/>
              <w:rPr>
                <w:rFonts w:ascii="Arial Narrow" w:eastAsia="Times New Roman" w:hAnsi="Arial Narrow" w:cs="Calibri"/>
                <w:spacing w:val="-1"/>
                <w:sz w:val="18"/>
                <w:szCs w:val="18"/>
                <w:lang w:eastAsia="en-US"/>
              </w:rPr>
            </w:pPr>
            <w:r>
              <w:rPr>
                <w:rFonts w:ascii="Arial Narrow" w:eastAsia="Times New Roman" w:hAnsi="Arial Narrow" w:cs="Calibri"/>
                <w:spacing w:val="-1"/>
                <w:sz w:val="18"/>
                <w:szCs w:val="18"/>
                <w:lang w:eastAsia="en-US"/>
              </w:rPr>
              <w:t>Melani 2003</w:t>
            </w:r>
          </w:p>
        </w:tc>
        <w:tc>
          <w:tcPr>
            <w:tcW w:w="708" w:type="dxa"/>
          </w:tcPr>
          <w:p w14:paraId="0363E121" w14:textId="26383922"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29C06B76" w14:textId="4F4DF9CF"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6" w:type="dxa"/>
          </w:tcPr>
          <w:p w14:paraId="55E74860" w14:textId="7D7552B0"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45" w:type="dxa"/>
          </w:tcPr>
          <w:p w14:paraId="24D07683" w14:textId="74000C25" w:rsidR="00DE3E4C"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720" w:type="dxa"/>
          </w:tcPr>
          <w:p w14:paraId="6C5F4379" w14:textId="7968C45E" w:rsidR="00DE3E4C" w:rsidRDefault="00DE3E4C" w:rsidP="00DE3E4C">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741" w:type="dxa"/>
          </w:tcPr>
          <w:p w14:paraId="1DAC6887" w14:textId="7D3B23CB"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w:t>
            </w:r>
          </w:p>
        </w:tc>
        <w:tc>
          <w:tcPr>
            <w:tcW w:w="567" w:type="dxa"/>
          </w:tcPr>
          <w:p w14:paraId="7A32C859" w14:textId="57CF8BFF"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II</w:t>
            </w:r>
          </w:p>
        </w:tc>
        <w:tc>
          <w:tcPr>
            <w:tcW w:w="546" w:type="dxa"/>
          </w:tcPr>
          <w:p w14:paraId="093CFF36" w14:textId="15A6C00C"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A</w:t>
            </w:r>
          </w:p>
        </w:tc>
        <w:tc>
          <w:tcPr>
            <w:tcW w:w="546" w:type="dxa"/>
          </w:tcPr>
          <w:p w14:paraId="04177E48" w14:textId="365D097C"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sidRPr="008F7393">
              <w:rPr>
                <w:rFonts w:ascii="Arial Narrow" w:eastAsia="Times New Roman" w:hAnsi="Arial Narrow" w:cs="Times New Roman"/>
                <w:sz w:val="18"/>
                <w:szCs w:val="20"/>
                <w:lang w:eastAsia="en-US"/>
              </w:rPr>
              <w:t>C1</w:t>
            </w:r>
          </w:p>
        </w:tc>
        <w:tc>
          <w:tcPr>
            <w:tcW w:w="546" w:type="dxa"/>
          </w:tcPr>
          <w:p w14:paraId="14544476" w14:textId="434241BC" w:rsidR="00DE3E4C" w:rsidRPr="008F7393" w:rsidRDefault="00DE3E4C" w:rsidP="00DE3E4C">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Q1</w:t>
            </w:r>
          </w:p>
        </w:tc>
      </w:tr>
    </w:tbl>
    <w:p w14:paraId="412DC831" w14:textId="77777777" w:rsidR="00AE3EA8" w:rsidRDefault="00AE3EA8" w:rsidP="00AE3EA8">
      <w:pPr>
        <w:pStyle w:val="ListParagraph"/>
        <w:ind w:left="0"/>
        <w:rPr>
          <w:rFonts w:ascii="Arial Narrow" w:hAnsi="Arial Narrow"/>
          <w:sz w:val="16"/>
          <w:szCs w:val="16"/>
        </w:rPr>
      </w:pPr>
      <w:r w:rsidRPr="00D932CA">
        <w:rPr>
          <w:rFonts w:ascii="Arial Narrow" w:hAnsi="Arial Narrow"/>
          <w:sz w:val="16"/>
          <w:szCs w:val="16"/>
        </w:rPr>
        <w:t>*modified ITT;</w:t>
      </w:r>
    </w:p>
    <w:p w14:paraId="1465E7CE" w14:textId="77777777" w:rsidR="00AE3EA8" w:rsidRDefault="00AE3EA8" w:rsidP="00AE3EA8">
      <w:pPr>
        <w:pStyle w:val="ListParagraph"/>
        <w:ind w:left="0"/>
      </w:pPr>
    </w:p>
    <w:p w14:paraId="4A381EC8" w14:textId="77777777" w:rsidR="00AE3EA8" w:rsidRDefault="00AE3EA8" w:rsidP="00BF627D">
      <w:pPr>
        <w:pStyle w:val="ListParagraph"/>
        <w:ind w:left="0"/>
      </w:pPr>
    </w:p>
    <w:p w14:paraId="3A73C948" w14:textId="77777777" w:rsidR="00AE3EA8" w:rsidRDefault="00AE3EA8" w:rsidP="00AE3EA8">
      <w:pPr>
        <w:pStyle w:val="ListParagraph"/>
        <w:ind w:left="0"/>
      </w:pPr>
      <w:r>
        <w:t>Table 2.3.2</w:t>
      </w:r>
      <w:r w:rsidRPr="006B45CB">
        <w:t xml:space="preserve"> summarises</w:t>
      </w:r>
      <w:r>
        <w:t xml:space="preserve"> the methodological quality of RCTs in </w:t>
      </w:r>
      <w:r w:rsidRPr="00D932CA">
        <w:t>ezetimibe in combination with statin</w:t>
      </w:r>
      <w:r>
        <w:t>.</w:t>
      </w:r>
    </w:p>
    <w:p w14:paraId="7A34EEF2" w14:textId="77777777" w:rsidR="00AE3EA8" w:rsidRPr="005B7FC1" w:rsidRDefault="00AE3EA8" w:rsidP="00EE3E0A">
      <w:pPr>
        <w:pStyle w:val="Caption"/>
        <w:ind w:hanging="720"/>
        <w:rPr>
          <w:sz w:val="24"/>
          <w:szCs w:val="24"/>
        </w:rPr>
      </w:pPr>
    </w:p>
    <w:p w14:paraId="28F23258" w14:textId="5CCB2554" w:rsidR="00BF627D" w:rsidRPr="0083333B" w:rsidRDefault="00687DFC" w:rsidP="00EE3E0A">
      <w:pPr>
        <w:pStyle w:val="Caption"/>
        <w:ind w:hanging="720"/>
        <w:rPr>
          <w:sz w:val="22"/>
          <w:szCs w:val="22"/>
        </w:rPr>
      </w:pPr>
      <w:r w:rsidRPr="0083333B">
        <w:rPr>
          <w:sz w:val="22"/>
          <w:szCs w:val="22"/>
        </w:rPr>
        <w:t>Table 2.3.2</w:t>
      </w:r>
      <w:r w:rsidR="00BF627D" w:rsidRPr="0083333B">
        <w:rPr>
          <w:sz w:val="22"/>
          <w:szCs w:val="22"/>
        </w:rPr>
        <w:t>: Methodological quality of included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11: Methodological quality of included studies"/>
        <w:tblDescription w:val="This table provides a summary of the methodological quality of the included studies.  The top row (in which the text is at a right angles) includes the criterion of concealment of randomisation, blinding of participants, blinding of investigator, blinding of outcome assessor, bias of analysis is ITT, consistent, comprehensive reporting of primary outcomes, level of evidence, risk of bias, appropriate comparison, overall quality of study.  A tick is positive, a cross negative and a question mark means it is not clear from the study article. "/>
      </w:tblPr>
      <w:tblGrid>
        <w:gridCol w:w="2405"/>
        <w:gridCol w:w="708"/>
        <w:gridCol w:w="567"/>
        <w:gridCol w:w="546"/>
        <w:gridCol w:w="545"/>
        <w:gridCol w:w="720"/>
        <w:gridCol w:w="741"/>
        <w:gridCol w:w="567"/>
        <w:gridCol w:w="546"/>
        <w:gridCol w:w="546"/>
        <w:gridCol w:w="546"/>
      </w:tblGrid>
      <w:tr w:rsidR="00BF627D" w:rsidRPr="00BF627D" w14:paraId="30B1FFB8" w14:textId="77777777" w:rsidTr="00BF627D">
        <w:trPr>
          <w:cantSplit/>
          <w:trHeight w:val="2214"/>
        </w:trPr>
        <w:tc>
          <w:tcPr>
            <w:tcW w:w="2405" w:type="dxa"/>
            <w:textDirection w:val="btLr"/>
          </w:tcPr>
          <w:p w14:paraId="61F456A6" w14:textId="77777777" w:rsidR="00BF627D" w:rsidRPr="00BF627D" w:rsidRDefault="00BF627D" w:rsidP="00BF627D">
            <w:pPr>
              <w:keepNext/>
              <w:spacing w:before="40" w:after="40" w:line="240" w:lineRule="auto"/>
              <w:rPr>
                <w:rFonts w:ascii="Arial Narrow" w:eastAsia="Times New Roman" w:hAnsi="Arial Narrow" w:cs="Times New Roman"/>
                <w:sz w:val="18"/>
                <w:szCs w:val="20"/>
                <w:lang w:eastAsia="en-US"/>
              </w:rPr>
            </w:pPr>
          </w:p>
        </w:tc>
        <w:tc>
          <w:tcPr>
            <w:tcW w:w="708" w:type="dxa"/>
            <w:textDirection w:val="btLr"/>
            <w:vAlign w:val="center"/>
          </w:tcPr>
          <w:p w14:paraId="75AD1AE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Concealment of randomisation</w:t>
            </w:r>
          </w:p>
          <w:p w14:paraId="0CEE391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p>
        </w:tc>
        <w:tc>
          <w:tcPr>
            <w:tcW w:w="567" w:type="dxa"/>
            <w:textDirection w:val="btLr"/>
            <w:vAlign w:val="center"/>
          </w:tcPr>
          <w:p w14:paraId="2A11A05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Blinding of participant</w:t>
            </w:r>
          </w:p>
        </w:tc>
        <w:tc>
          <w:tcPr>
            <w:tcW w:w="546" w:type="dxa"/>
            <w:textDirection w:val="btLr"/>
            <w:vAlign w:val="center"/>
          </w:tcPr>
          <w:p w14:paraId="01411A2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Blinding of investigator</w:t>
            </w:r>
          </w:p>
        </w:tc>
        <w:tc>
          <w:tcPr>
            <w:tcW w:w="545" w:type="dxa"/>
            <w:textDirection w:val="btLr"/>
            <w:vAlign w:val="center"/>
          </w:tcPr>
          <w:p w14:paraId="3994F6E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Blinding of outcome assessor</w:t>
            </w:r>
          </w:p>
        </w:tc>
        <w:tc>
          <w:tcPr>
            <w:tcW w:w="720" w:type="dxa"/>
            <w:textDirection w:val="btLr"/>
            <w:vAlign w:val="center"/>
          </w:tcPr>
          <w:p w14:paraId="22D0C04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Basis of analysis is ITT</w:t>
            </w:r>
          </w:p>
        </w:tc>
        <w:tc>
          <w:tcPr>
            <w:tcW w:w="74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D6C55B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Consistent, comprehensive reporting of primary outcomes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21B1C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Level of evidence</w:t>
            </w:r>
          </w:p>
        </w:tc>
        <w:tc>
          <w:tcPr>
            <w:tcW w:w="546" w:type="dxa"/>
            <w:tcBorders>
              <w:top w:val="single" w:sz="4" w:space="0" w:color="auto"/>
              <w:left w:val="single" w:sz="4" w:space="0" w:color="auto"/>
              <w:bottom w:val="single" w:sz="4" w:space="0" w:color="auto"/>
              <w:right w:val="single" w:sz="4" w:space="0" w:color="auto"/>
            </w:tcBorders>
            <w:textDirection w:val="btLr"/>
          </w:tcPr>
          <w:p w14:paraId="27AE577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Risk of Bias‡</w:t>
            </w:r>
          </w:p>
        </w:tc>
        <w:tc>
          <w:tcPr>
            <w:tcW w:w="546" w:type="dxa"/>
            <w:tcBorders>
              <w:top w:val="single" w:sz="4" w:space="0" w:color="auto"/>
              <w:left w:val="single" w:sz="4" w:space="0" w:color="auto"/>
              <w:bottom w:val="single" w:sz="4" w:space="0" w:color="auto"/>
              <w:right w:val="single" w:sz="4" w:space="0" w:color="auto"/>
            </w:tcBorders>
            <w:textDirection w:val="btLr"/>
            <w:vAlign w:val="center"/>
          </w:tcPr>
          <w:p w14:paraId="665E5C3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Appropriate comparison</w:t>
            </w:r>
          </w:p>
        </w:tc>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D04154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Overall quality of study</w:t>
            </w:r>
          </w:p>
        </w:tc>
      </w:tr>
      <w:tr w:rsidR="00BF627D" w:rsidRPr="00BF627D" w14:paraId="5BA3C39F" w14:textId="77777777" w:rsidTr="00BF627D">
        <w:trPr>
          <w:cantSplit/>
          <w:trHeight w:val="319"/>
        </w:trPr>
        <w:tc>
          <w:tcPr>
            <w:tcW w:w="8437" w:type="dxa"/>
            <w:gridSpan w:val="11"/>
            <w:tcBorders>
              <w:right w:val="single" w:sz="4" w:space="0" w:color="auto"/>
            </w:tcBorders>
          </w:tcPr>
          <w:p w14:paraId="37ABFA08" w14:textId="77777777" w:rsidR="00BF627D" w:rsidRPr="00BF627D" w:rsidRDefault="00BF627D" w:rsidP="00BF627D">
            <w:pPr>
              <w:keepNext/>
              <w:spacing w:before="40" w:after="40" w:line="240" w:lineRule="auto"/>
              <w:jc w:val="center"/>
              <w:rPr>
                <w:rFonts w:ascii="Arial Narrow" w:eastAsia="Times New Roman" w:hAnsi="Arial Narrow" w:cs="Times New Roman"/>
                <w:b/>
                <w:sz w:val="18"/>
                <w:szCs w:val="20"/>
                <w:lang w:eastAsia="en-US"/>
              </w:rPr>
            </w:pPr>
            <w:r w:rsidRPr="00BF627D">
              <w:rPr>
                <w:rFonts w:ascii="Arial Narrow" w:eastAsia="Times New Roman" w:hAnsi="Arial Narrow" w:cs="Times New Roman"/>
                <w:b/>
                <w:sz w:val="18"/>
                <w:szCs w:val="20"/>
                <w:lang w:eastAsia="en-US"/>
              </w:rPr>
              <w:t>up-titrating dose of statin + ezetimibe vs up-titrating dose of statin</w:t>
            </w:r>
          </w:p>
        </w:tc>
      </w:tr>
      <w:tr w:rsidR="00BF627D" w:rsidRPr="00BF627D" w14:paraId="104A7201" w14:textId="77777777" w:rsidTr="00BF627D">
        <w:trPr>
          <w:trHeight w:val="382"/>
        </w:trPr>
        <w:tc>
          <w:tcPr>
            <w:tcW w:w="2405" w:type="dxa"/>
          </w:tcPr>
          <w:p w14:paraId="349485E0"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P025 Ballantyne 2004</w:t>
            </w:r>
          </w:p>
        </w:tc>
        <w:tc>
          <w:tcPr>
            <w:tcW w:w="708" w:type="dxa"/>
          </w:tcPr>
          <w:p w14:paraId="40E0B76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07E963E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1FAB760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0FDCD3B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25B240F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4273DDE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72150FB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2D095BD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5B1517F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5344C51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BF627D" w:rsidRPr="00BF627D" w14:paraId="3633D8C5" w14:textId="77777777" w:rsidTr="00BF627D">
        <w:trPr>
          <w:trHeight w:val="382"/>
        </w:trPr>
        <w:tc>
          <w:tcPr>
            <w:tcW w:w="2405" w:type="dxa"/>
          </w:tcPr>
          <w:p w14:paraId="130457FF"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P693 Stein</w:t>
            </w:r>
            <w:r w:rsidRPr="00BF627D">
              <w:rPr>
                <w:rFonts w:ascii="Arial Narrow" w:eastAsia="Times New Roman" w:hAnsi="Arial Narrow" w:cs="Calibri"/>
                <w:spacing w:val="-7"/>
                <w:sz w:val="18"/>
                <w:szCs w:val="18"/>
                <w:lang w:eastAsia="en-US"/>
              </w:rPr>
              <w:t xml:space="preserve"> </w:t>
            </w:r>
            <w:r w:rsidRPr="00BF627D">
              <w:rPr>
                <w:rFonts w:ascii="Arial Narrow" w:eastAsia="Times New Roman" w:hAnsi="Arial Narrow" w:cs="Calibri"/>
                <w:sz w:val="18"/>
                <w:szCs w:val="18"/>
                <w:lang w:eastAsia="en-US"/>
              </w:rPr>
              <w:t>2004</w:t>
            </w:r>
          </w:p>
        </w:tc>
        <w:tc>
          <w:tcPr>
            <w:tcW w:w="708" w:type="dxa"/>
          </w:tcPr>
          <w:p w14:paraId="28B09DFE"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1AA9D04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7FA7CD5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637D807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60B6F4E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65DD41C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7431CB5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35534E4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57EDF88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5F64B9A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BF627D" w:rsidRPr="00BF627D" w14:paraId="3CA56A05" w14:textId="77777777" w:rsidTr="00BF627D">
        <w:trPr>
          <w:trHeight w:val="382"/>
        </w:trPr>
        <w:tc>
          <w:tcPr>
            <w:tcW w:w="2405" w:type="dxa"/>
          </w:tcPr>
          <w:p w14:paraId="7E0FDCDF" w14:textId="4A615D23" w:rsidR="00BF627D" w:rsidRPr="00BF627D" w:rsidRDefault="00BF627D" w:rsidP="00BF627D">
            <w:pPr>
              <w:keepNext/>
              <w:spacing w:before="40" w:after="40" w:line="240" w:lineRule="auto"/>
              <w:rPr>
                <w:rFonts w:ascii="Arial Narrow" w:eastAsia="Times New Roman" w:hAnsi="Arial Narrow" w:cs="Times New Roman"/>
                <w:sz w:val="18"/>
                <w:szCs w:val="18"/>
                <w:lang w:eastAsia="en-US"/>
              </w:rPr>
            </w:pPr>
            <w:r w:rsidRPr="00BF627D">
              <w:rPr>
                <w:rFonts w:ascii="Arial Narrow" w:eastAsia="Times New Roman" w:hAnsi="Arial Narrow" w:cs="Calibri"/>
                <w:spacing w:val="-1"/>
                <w:sz w:val="18"/>
                <w:szCs w:val="18"/>
                <w:lang w:eastAsia="en-US"/>
              </w:rPr>
              <w:t>McKenney 2007</w:t>
            </w:r>
            <w:r w:rsidR="004F18BF">
              <w:rPr>
                <w:rFonts w:ascii="Arial Narrow" w:eastAsia="Times New Roman" w:hAnsi="Arial Narrow" w:cs="Calibri"/>
                <w:spacing w:val="-1"/>
                <w:sz w:val="18"/>
                <w:szCs w:val="18"/>
                <w:lang w:eastAsia="en-US"/>
              </w:rPr>
              <w:t>**</w:t>
            </w:r>
          </w:p>
        </w:tc>
        <w:tc>
          <w:tcPr>
            <w:tcW w:w="708" w:type="dxa"/>
          </w:tcPr>
          <w:p w14:paraId="4199590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highlight w:val="yellow"/>
                <w:lang w:eastAsia="en-US"/>
              </w:rPr>
            </w:pPr>
            <w:r w:rsidRPr="004F18BF">
              <w:rPr>
                <w:rFonts w:ascii="Arial Narrow" w:eastAsia="Times New Roman" w:hAnsi="Arial Narrow" w:cs="Times New Roman"/>
                <w:sz w:val="18"/>
                <w:szCs w:val="20"/>
                <w:lang w:eastAsia="en-US"/>
              </w:rPr>
              <w:t>√</w:t>
            </w:r>
          </w:p>
        </w:tc>
        <w:tc>
          <w:tcPr>
            <w:tcW w:w="567" w:type="dxa"/>
          </w:tcPr>
          <w:p w14:paraId="32F8A7A0" w14:textId="5C1873B3" w:rsidR="00BF627D" w:rsidRPr="00BF627D" w:rsidRDefault="004F18BF" w:rsidP="00BF627D">
            <w:pPr>
              <w:keepNext/>
              <w:spacing w:before="40" w:after="40" w:line="240" w:lineRule="auto"/>
              <w:jc w:val="center"/>
              <w:rPr>
                <w:rFonts w:ascii="Arial Narrow" w:eastAsia="Times New Roman" w:hAnsi="Arial Narrow" w:cs="Times New Roman"/>
                <w:sz w:val="18"/>
                <w:szCs w:val="20"/>
                <w:highlight w:val="yellow"/>
                <w:lang w:eastAsia="en-US"/>
              </w:rPr>
            </w:pPr>
            <w:r w:rsidRPr="00BF627D">
              <w:rPr>
                <w:rFonts w:ascii="Arial Narrow" w:eastAsia="Times New Roman" w:hAnsi="Arial Narrow" w:cs="Times New Roman"/>
                <w:sz w:val="18"/>
                <w:szCs w:val="20"/>
                <w:lang w:eastAsia="en-US"/>
              </w:rPr>
              <w:t>×</w:t>
            </w:r>
          </w:p>
        </w:tc>
        <w:tc>
          <w:tcPr>
            <w:tcW w:w="546" w:type="dxa"/>
          </w:tcPr>
          <w:p w14:paraId="08436F4F" w14:textId="311B8AB9" w:rsidR="00BF627D" w:rsidRPr="00BF627D" w:rsidRDefault="004F18BF" w:rsidP="00BF627D">
            <w:pPr>
              <w:keepNext/>
              <w:spacing w:before="40" w:after="40" w:line="240" w:lineRule="auto"/>
              <w:jc w:val="center"/>
              <w:rPr>
                <w:rFonts w:ascii="Arial Narrow" w:eastAsia="Times New Roman" w:hAnsi="Arial Narrow" w:cs="Times New Roman"/>
                <w:sz w:val="18"/>
                <w:szCs w:val="20"/>
                <w:highlight w:val="yellow"/>
                <w:lang w:eastAsia="en-US"/>
              </w:rPr>
            </w:pPr>
            <w:r w:rsidRPr="00BF627D">
              <w:rPr>
                <w:rFonts w:ascii="Arial Narrow" w:eastAsia="Times New Roman" w:hAnsi="Arial Narrow" w:cs="Times New Roman"/>
                <w:sz w:val="18"/>
                <w:szCs w:val="20"/>
                <w:lang w:eastAsia="en-US"/>
              </w:rPr>
              <w:t>×</w:t>
            </w:r>
          </w:p>
        </w:tc>
        <w:tc>
          <w:tcPr>
            <w:tcW w:w="545" w:type="dxa"/>
          </w:tcPr>
          <w:p w14:paraId="1E11D66F" w14:textId="08A595E1" w:rsidR="00BF627D" w:rsidRPr="00BF627D" w:rsidRDefault="004F18BF" w:rsidP="00BF627D">
            <w:pPr>
              <w:keepNext/>
              <w:spacing w:before="40" w:after="40" w:line="240" w:lineRule="auto"/>
              <w:jc w:val="center"/>
              <w:rPr>
                <w:rFonts w:ascii="Arial Narrow" w:eastAsia="Times New Roman" w:hAnsi="Arial Narrow" w:cs="Times New Roman"/>
                <w:sz w:val="18"/>
                <w:szCs w:val="20"/>
                <w:highlight w:val="yellow"/>
                <w:lang w:eastAsia="en-US"/>
              </w:rPr>
            </w:pPr>
            <w:r w:rsidRPr="00BF627D">
              <w:rPr>
                <w:rFonts w:ascii="Arial Narrow" w:eastAsia="Times New Roman" w:hAnsi="Arial Narrow" w:cs="Times New Roman"/>
                <w:sz w:val="18"/>
                <w:szCs w:val="20"/>
                <w:lang w:eastAsia="en-US"/>
              </w:rPr>
              <w:t>×</w:t>
            </w:r>
          </w:p>
        </w:tc>
        <w:tc>
          <w:tcPr>
            <w:tcW w:w="720" w:type="dxa"/>
          </w:tcPr>
          <w:p w14:paraId="2D5C24A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42F7340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2094833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7C7B4439" w14:textId="11985D19" w:rsidR="00BF627D" w:rsidRPr="00BF627D" w:rsidRDefault="004F18BF" w:rsidP="00BF627D">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B</w:t>
            </w:r>
          </w:p>
        </w:tc>
        <w:tc>
          <w:tcPr>
            <w:tcW w:w="546" w:type="dxa"/>
          </w:tcPr>
          <w:p w14:paraId="1FF53E1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1E5BA3BE"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Q3</w:t>
            </w:r>
          </w:p>
        </w:tc>
      </w:tr>
      <w:tr w:rsidR="00BF627D" w:rsidRPr="00BF627D" w14:paraId="133771ED" w14:textId="77777777" w:rsidTr="00BF627D">
        <w:trPr>
          <w:trHeight w:val="382"/>
        </w:trPr>
        <w:tc>
          <w:tcPr>
            <w:tcW w:w="2405" w:type="dxa"/>
          </w:tcPr>
          <w:p w14:paraId="30E10BEC"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 xml:space="preserve">Cannon 2015 </w:t>
            </w:r>
          </w:p>
          <w:p w14:paraId="449328DD" w14:textId="77777777" w:rsidR="00BF627D" w:rsidRPr="00BF627D" w:rsidRDefault="00BF627D" w:rsidP="00BF627D">
            <w:pPr>
              <w:keepNext/>
              <w:spacing w:before="40" w:after="40" w:line="240" w:lineRule="auto"/>
              <w:rPr>
                <w:rFonts w:ascii="Arial Narrow" w:eastAsia="Times New Roman" w:hAnsi="Arial Narrow" w:cs="Times New Roman"/>
                <w:sz w:val="18"/>
                <w:szCs w:val="18"/>
                <w:lang w:eastAsia="en-US"/>
              </w:rPr>
            </w:pPr>
            <w:r w:rsidRPr="00BF627D">
              <w:rPr>
                <w:rFonts w:ascii="Arial Narrow" w:eastAsia="Times New Roman" w:hAnsi="Arial Narrow" w:cs="Calibri"/>
                <w:spacing w:val="-1"/>
                <w:sz w:val="18"/>
                <w:szCs w:val="18"/>
                <w:lang w:eastAsia="en-US"/>
              </w:rPr>
              <w:t xml:space="preserve">IMPROVE-IT  </w:t>
            </w:r>
          </w:p>
        </w:tc>
        <w:tc>
          <w:tcPr>
            <w:tcW w:w="708" w:type="dxa"/>
          </w:tcPr>
          <w:p w14:paraId="5C936EB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1F0C3B4E"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334BCF5E"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7E5F0D2E"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1F899B3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7D14706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1429476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0EA543E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752B276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1393412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r w:rsidR="00BF627D" w:rsidRPr="00BF627D" w14:paraId="7A40D07D" w14:textId="77777777" w:rsidTr="00BF627D">
        <w:trPr>
          <w:trHeight w:val="382"/>
        </w:trPr>
        <w:tc>
          <w:tcPr>
            <w:tcW w:w="8437" w:type="dxa"/>
            <w:gridSpan w:val="11"/>
          </w:tcPr>
          <w:p w14:paraId="511A5522" w14:textId="602E77EB" w:rsidR="00BF627D" w:rsidRPr="00BF627D" w:rsidRDefault="00BF627D" w:rsidP="00790ABE">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b/>
                <w:sz w:val="18"/>
                <w:szCs w:val="20"/>
                <w:lang w:eastAsia="en-US"/>
              </w:rPr>
              <w:t xml:space="preserve">fixed statin dose+ ezetimibe vs up-titrating statin </w:t>
            </w:r>
            <w:r w:rsidR="00790ABE" w:rsidRPr="00790ABE">
              <w:rPr>
                <w:rFonts w:ascii="Arial Narrow" w:eastAsia="Times New Roman" w:hAnsi="Arial Narrow" w:cs="Times New Roman"/>
                <w:b/>
                <w:sz w:val="18"/>
                <w:szCs w:val="20"/>
                <w:lang w:eastAsia="en-US"/>
              </w:rPr>
              <w:t>either in terms of dose or in terms of potency</w:t>
            </w:r>
          </w:p>
        </w:tc>
      </w:tr>
      <w:tr w:rsidR="00BF627D" w:rsidRPr="00BF627D" w14:paraId="0E61A442" w14:textId="77777777" w:rsidTr="00BF627D">
        <w:trPr>
          <w:trHeight w:val="382"/>
        </w:trPr>
        <w:tc>
          <w:tcPr>
            <w:tcW w:w="2405" w:type="dxa"/>
          </w:tcPr>
          <w:p w14:paraId="238B5521"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Leiter 2008</w:t>
            </w:r>
          </w:p>
        </w:tc>
        <w:tc>
          <w:tcPr>
            <w:tcW w:w="708" w:type="dxa"/>
          </w:tcPr>
          <w:p w14:paraId="334DA76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451D1C00"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08C7FB3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7AFCAD2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4A8B213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r w:rsidRPr="00BF627D">
              <w:rPr>
                <w:rFonts w:ascii="Arial Narrow" w:eastAsia="Times New Roman" w:hAnsi="Arial Narrow" w:cs="Times New Roman"/>
                <w:sz w:val="18"/>
                <w:szCs w:val="20"/>
                <w:vertAlign w:val="superscript"/>
                <w:lang w:eastAsia="en-US"/>
              </w:rPr>
              <w:t>§</w:t>
            </w:r>
          </w:p>
        </w:tc>
        <w:tc>
          <w:tcPr>
            <w:tcW w:w="741" w:type="dxa"/>
          </w:tcPr>
          <w:p w14:paraId="5685D41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6725FDB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37828E3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2697048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0A94ED5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4F18BF" w:rsidRPr="00BF627D" w14:paraId="6387F7BF" w14:textId="77777777" w:rsidTr="00BF627D">
        <w:trPr>
          <w:trHeight w:val="382"/>
        </w:trPr>
        <w:tc>
          <w:tcPr>
            <w:tcW w:w="2405" w:type="dxa"/>
          </w:tcPr>
          <w:p w14:paraId="52E72B4D" w14:textId="2FF4B06C" w:rsidR="004F18BF" w:rsidRPr="00BF627D" w:rsidRDefault="004F18BF" w:rsidP="004F18BF">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Teramoto 2012</w:t>
            </w:r>
            <w:r>
              <w:rPr>
                <w:rFonts w:ascii="Arial Narrow" w:eastAsia="Times New Roman" w:hAnsi="Arial Narrow" w:cs="Calibri"/>
                <w:spacing w:val="-1"/>
                <w:sz w:val="18"/>
                <w:szCs w:val="18"/>
                <w:lang w:eastAsia="en-US"/>
              </w:rPr>
              <w:t>**</w:t>
            </w:r>
            <w:r w:rsidRPr="00BF627D">
              <w:rPr>
                <w:rFonts w:ascii="Arial Narrow" w:eastAsia="Times New Roman" w:hAnsi="Arial Narrow" w:cs="Calibri"/>
                <w:spacing w:val="-1"/>
                <w:sz w:val="18"/>
                <w:szCs w:val="18"/>
                <w:lang w:eastAsia="en-US"/>
              </w:rPr>
              <w:t>§</w:t>
            </w:r>
          </w:p>
        </w:tc>
        <w:tc>
          <w:tcPr>
            <w:tcW w:w="708" w:type="dxa"/>
          </w:tcPr>
          <w:p w14:paraId="09751313"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6B697B2B" w14:textId="4177BCCD"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48A71476" w14:textId="043EDF8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4CC8C5D0" w14:textId="7C8D746A"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4D599953"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015BDA0D"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3BC8D07B"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21F2DB86"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7CDC64A4"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2E0DD3ED"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BF627D" w:rsidRPr="00BF627D" w14:paraId="5168A371" w14:textId="77777777" w:rsidTr="00BF627D">
        <w:trPr>
          <w:trHeight w:val="382"/>
        </w:trPr>
        <w:tc>
          <w:tcPr>
            <w:tcW w:w="2405" w:type="dxa"/>
          </w:tcPr>
          <w:p w14:paraId="7238539E" w14:textId="77777777" w:rsidR="00BF627D" w:rsidRPr="00BF627D" w:rsidRDefault="00BF627D" w:rsidP="00BF627D">
            <w:pPr>
              <w:keepNext/>
              <w:spacing w:before="40" w:after="40" w:line="240" w:lineRule="auto"/>
              <w:rPr>
                <w:rFonts w:ascii="Arial Narrow" w:eastAsia="Times New Roman" w:hAnsi="Arial Narrow" w:cs="Times New Roman"/>
                <w:sz w:val="18"/>
                <w:szCs w:val="18"/>
                <w:lang w:eastAsia="en-US"/>
              </w:rPr>
            </w:pPr>
            <w:r w:rsidRPr="00BF627D">
              <w:rPr>
                <w:rFonts w:ascii="Arial Narrow" w:eastAsia="Times New Roman" w:hAnsi="Arial Narrow" w:cs="Calibri"/>
                <w:spacing w:val="-1"/>
                <w:sz w:val="18"/>
                <w:szCs w:val="18"/>
                <w:lang w:eastAsia="en-US"/>
              </w:rPr>
              <w:t>P079 Conard 2008</w:t>
            </w:r>
          </w:p>
        </w:tc>
        <w:tc>
          <w:tcPr>
            <w:tcW w:w="708" w:type="dxa"/>
          </w:tcPr>
          <w:p w14:paraId="75ECD08D" w14:textId="77777777" w:rsidR="00BF627D" w:rsidRPr="00BF627D" w:rsidRDefault="00BF627D" w:rsidP="00BF627D">
            <w:pPr>
              <w:keepNext/>
              <w:spacing w:before="40" w:after="40" w:line="240" w:lineRule="auto"/>
              <w:jc w:val="center"/>
              <w:rPr>
                <w:rFonts w:ascii="Arial Narrow" w:eastAsia="Times New Roman" w:hAnsi="Arial Narrow" w:cs="Times New Roman"/>
                <w:b/>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1909B0AE"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23CBB5A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5904116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0C1D229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54C4EA3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21597D3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0125AD4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1D745D4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142B04E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BF627D" w:rsidRPr="00BF627D" w14:paraId="589F3DC6" w14:textId="77777777" w:rsidTr="00BF627D">
        <w:trPr>
          <w:trHeight w:val="382"/>
        </w:trPr>
        <w:tc>
          <w:tcPr>
            <w:tcW w:w="2405" w:type="dxa"/>
          </w:tcPr>
          <w:p w14:paraId="3653161B"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Pesaro 2013</w:t>
            </w:r>
          </w:p>
        </w:tc>
        <w:tc>
          <w:tcPr>
            <w:tcW w:w="708" w:type="dxa"/>
          </w:tcPr>
          <w:p w14:paraId="2C83E91E"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5B92FF8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31620A3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192F3CA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44365D2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74A0B1D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53D3EEB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047A6390"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664A46CE"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4A8B2F3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r w:rsidR="00BF627D" w:rsidRPr="00BF627D" w14:paraId="7F946BE9" w14:textId="77777777" w:rsidTr="00BF627D">
        <w:trPr>
          <w:trHeight w:val="382"/>
        </w:trPr>
        <w:tc>
          <w:tcPr>
            <w:tcW w:w="2405" w:type="dxa"/>
          </w:tcPr>
          <w:p w14:paraId="7011CB3D"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P021 Gaudiani 2005</w:t>
            </w:r>
          </w:p>
        </w:tc>
        <w:tc>
          <w:tcPr>
            <w:tcW w:w="708" w:type="dxa"/>
          </w:tcPr>
          <w:p w14:paraId="75AEDC1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503E652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04BB5A5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2284A46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55A3C820"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0741631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72845A8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5A91C4B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253441A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60C84F3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BF627D" w:rsidRPr="00BF627D" w14:paraId="45FFC35A" w14:textId="77777777" w:rsidTr="00BF627D">
        <w:trPr>
          <w:trHeight w:val="382"/>
        </w:trPr>
        <w:tc>
          <w:tcPr>
            <w:tcW w:w="2405" w:type="dxa"/>
          </w:tcPr>
          <w:p w14:paraId="2DA726AF" w14:textId="10C3CA63"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 xml:space="preserve">P700 Dobs 2003 </w:t>
            </w:r>
            <w:r w:rsidRPr="00BF627D">
              <w:rPr>
                <w:rFonts w:ascii="Arial Narrow" w:eastAsiaTheme="minorHAnsi" w:hAnsi="Arial Narrow" w:cs="Calibri"/>
                <w:spacing w:val="-1"/>
                <w:sz w:val="18"/>
                <w:szCs w:val="18"/>
                <w:lang w:eastAsia="en-US"/>
              </w:rPr>
              <w:t xml:space="preserve"> </w:t>
            </w:r>
          </w:p>
        </w:tc>
        <w:tc>
          <w:tcPr>
            <w:tcW w:w="708" w:type="dxa"/>
          </w:tcPr>
          <w:p w14:paraId="0083D5B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5CAB055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27F9442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20B89E8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65A58AE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1ACE000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6BE30286" w14:textId="77777777" w:rsidR="00BF627D" w:rsidRPr="00BF627D" w:rsidRDefault="00BF627D" w:rsidP="00BF627D">
            <w:pPr>
              <w:keepNext/>
              <w:spacing w:before="40" w:after="40" w:line="240" w:lineRule="auto"/>
              <w:jc w:val="center"/>
              <w:rPr>
                <w:rFonts w:ascii="Arial Narrow" w:eastAsia="Times New Roman" w:hAnsi="Arial Narrow" w:cs="Times New Roman"/>
                <w:b/>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7EE4B88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2788EC6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4AE172D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BF627D" w:rsidRPr="00BF627D" w14:paraId="1719D257" w14:textId="77777777" w:rsidTr="00BF627D">
        <w:trPr>
          <w:trHeight w:val="382"/>
        </w:trPr>
        <w:tc>
          <w:tcPr>
            <w:tcW w:w="2405" w:type="dxa"/>
          </w:tcPr>
          <w:p w14:paraId="7FF62956"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Zieve 2010</w:t>
            </w:r>
          </w:p>
        </w:tc>
        <w:tc>
          <w:tcPr>
            <w:tcW w:w="708" w:type="dxa"/>
          </w:tcPr>
          <w:p w14:paraId="219CB9B0"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148C48B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64CE5BA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5B9F51A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0A0CB67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r w:rsidRPr="00BF627D">
              <w:rPr>
                <w:rFonts w:ascii="Calibri" w:eastAsia="Times New Roman" w:hAnsi="Calibri" w:cs="Calibri"/>
                <w:sz w:val="18"/>
                <w:szCs w:val="20"/>
                <w:vertAlign w:val="superscript"/>
                <w:lang w:eastAsia="en-US"/>
              </w:rPr>
              <w:t>ǁ</w:t>
            </w:r>
          </w:p>
        </w:tc>
        <w:tc>
          <w:tcPr>
            <w:tcW w:w="741" w:type="dxa"/>
          </w:tcPr>
          <w:p w14:paraId="24C170B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2C0DE2C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2BC13B3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2F0987C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1BAB564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BF627D" w:rsidRPr="00BF627D" w14:paraId="788C4000" w14:textId="77777777" w:rsidTr="00BF627D">
        <w:trPr>
          <w:trHeight w:val="382"/>
        </w:trPr>
        <w:tc>
          <w:tcPr>
            <w:tcW w:w="2405" w:type="dxa"/>
          </w:tcPr>
          <w:p w14:paraId="0A1D6335"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Farnier 2009</w:t>
            </w:r>
          </w:p>
        </w:tc>
        <w:tc>
          <w:tcPr>
            <w:tcW w:w="708" w:type="dxa"/>
          </w:tcPr>
          <w:p w14:paraId="247394C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011ED2A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168369D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4A813B6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5AD07D8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r w:rsidRPr="00BF627D">
              <w:rPr>
                <w:rFonts w:ascii="Arial Narrow" w:eastAsia="Times New Roman" w:hAnsi="Arial Narrow" w:cs="Times New Roman"/>
                <w:sz w:val="18"/>
                <w:szCs w:val="20"/>
                <w:vertAlign w:val="superscript"/>
                <w:lang w:eastAsia="en-US"/>
              </w:rPr>
              <w:t>§</w:t>
            </w:r>
          </w:p>
        </w:tc>
        <w:tc>
          <w:tcPr>
            <w:tcW w:w="741" w:type="dxa"/>
          </w:tcPr>
          <w:p w14:paraId="0B6D62F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hint="eastAsia"/>
                <w:sz w:val="18"/>
                <w:szCs w:val="20"/>
                <w:lang w:eastAsia="en-US"/>
              </w:rPr>
              <w:t>√</w:t>
            </w:r>
          </w:p>
        </w:tc>
        <w:tc>
          <w:tcPr>
            <w:tcW w:w="567" w:type="dxa"/>
          </w:tcPr>
          <w:p w14:paraId="7E796D6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1367B91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0D33FD0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1E7E90F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BF627D" w:rsidRPr="00BF627D" w14:paraId="135FE20A" w14:textId="77777777" w:rsidTr="00BF627D">
        <w:trPr>
          <w:trHeight w:val="382"/>
        </w:trPr>
        <w:tc>
          <w:tcPr>
            <w:tcW w:w="2405" w:type="dxa"/>
          </w:tcPr>
          <w:p w14:paraId="37802BE6"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heme="minorHAnsi" w:hAnsi="Arial Narrow" w:cs="Calibri"/>
                <w:spacing w:val="-1"/>
                <w:sz w:val="18"/>
                <w:szCs w:val="18"/>
                <w:lang w:eastAsia="en-US"/>
              </w:rPr>
              <w:t xml:space="preserve">P058 Catapano 2006 </w:t>
            </w:r>
          </w:p>
        </w:tc>
        <w:tc>
          <w:tcPr>
            <w:tcW w:w="708" w:type="dxa"/>
          </w:tcPr>
          <w:p w14:paraId="4B20DF9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472F415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7AEA35A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0619A82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2154C18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4B90237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73AD6F8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5F9BC1E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756B193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28B3C38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r w:rsidR="00BF627D" w:rsidRPr="00BF627D" w14:paraId="4206335B" w14:textId="77777777" w:rsidTr="00BF627D">
        <w:trPr>
          <w:trHeight w:val="518"/>
        </w:trPr>
        <w:tc>
          <w:tcPr>
            <w:tcW w:w="2405" w:type="dxa"/>
          </w:tcPr>
          <w:p w14:paraId="606F599F" w14:textId="77777777" w:rsidR="00BF627D" w:rsidRPr="00BF627D" w:rsidRDefault="00BF627D" w:rsidP="00BF627D">
            <w:pPr>
              <w:keepNext/>
              <w:spacing w:before="40" w:after="40" w:line="240" w:lineRule="auto"/>
              <w:rPr>
                <w:rFonts w:ascii="Arial Narrow" w:hAnsi="Arial Narrow" w:cs="Calibri"/>
                <w:spacing w:val="-1"/>
                <w:sz w:val="18"/>
                <w:szCs w:val="18"/>
              </w:rPr>
            </w:pPr>
            <w:r w:rsidRPr="00BF627D">
              <w:rPr>
                <w:rFonts w:ascii="Arial Narrow" w:eastAsia="Times New Roman" w:hAnsi="Arial Narrow" w:cs="Calibri"/>
                <w:spacing w:val="-1"/>
                <w:sz w:val="18"/>
                <w:szCs w:val="18"/>
                <w:lang w:eastAsia="en-US"/>
              </w:rPr>
              <w:t xml:space="preserve">P077Goldberg 2006 </w:t>
            </w:r>
            <w:r w:rsidRPr="00BF627D">
              <w:rPr>
                <w:rFonts w:ascii="Arial Narrow" w:hAnsi="Arial Narrow" w:cs="Calibri"/>
                <w:spacing w:val="-1"/>
                <w:sz w:val="18"/>
                <w:szCs w:val="18"/>
              </w:rPr>
              <w:t xml:space="preserve"> </w:t>
            </w:r>
          </w:p>
          <w:p w14:paraId="2ACE073F"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VYTAL</w:t>
            </w:r>
          </w:p>
        </w:tc>
        <w:tc>
          <w:tcPr>
            <w:tcW w:w="708" w:type="dxa"/>
          </w:tcPr>
          <w:p w14:paraId="3CF8D79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3173EF0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47A5052E"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20C48D4E"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2F6DA9C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1D16F2D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146FCB4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1FD5FEBE"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6F9A8F5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177A186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r w:rsidR="004F18BF" w:rsidRPr="00BF627D" w14:paraId="27FDA5D5" w14:textId="77777777" w:rsidTr="00BF627D">
        <w:trPr>
          <w:trHeight w:val="382"/>
        </w:trPr>
        <w:tc>
          <w:tcPr>
            <w:tcW w:w="2405" w:type="dxa"/>
          </w:tcPr>
          <w:p w14:paraId="02ECF60A" w14:textId="5693BF18" w:rsidR="004F18BF" w:rsidRPr="00BF627D" w:rsidRDefault="004F18BF" w:rsidP="004F18BF">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Lee 2013</w:t>
            </w:r>
            <w:r w:rsidR="006D3945">
              <w:rPr>
                <w:rFonts w:ascii="Arial Narrow" w:eastAsia="Times New Roman" w:hAnsi="Arial Narrow" w:cs="Calibri"/>
                <w:spacing w:val="-1"/>
                <w:sz w:val="18"/>
                <w:szCs w:val="18"/>
                <w:lang w:eastAsia="en-US"/>
              </w:rPr>
              <w:t>**</w:t>
            </w:r>
          </w:p>
        </w:tc>
        <w:tc>
          <w:tcPr>
            <w:tcW w:w="708" w:type="dxa"/>
          </w:tcPr>
          <w:p w14:paraId="57A79827"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5384E4B0" w14:textId="496D7339"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2C462096" w14:textId="6137D42F"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195CDC82" w14:textId="225DF3D9"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1A841BAE"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r w:rsidRPr="00BF627D">
              <w:rPr>
                <w:rFonts w:ascii="Arial Narrow" w:eastAsia="Times New Roman" w:hAnsi="Arial Narrow" w:cs="Times New Roman"/>
                <w:sz w:val="18"/>
                <w:szCs w:val="20"/>
                <w:vertAlign w:val="superscript"/>
                <w:lang w:eastAsia="en-US"/>
              </w:rPr>
              <w:t>§</w:t>
            </w:r>
          </w:p>
        </w:tc>
        <w:tc>
          <w:tcPr>
            <w:tcW w:w="741" w:type="dxa"/>
          </w:tcPr>
          <w:p w14:paraId="59269B61"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hint="eastAsia"/>
                <w:sz w:val="18"/>
                <w:szCs w:val="20"/>
                <w:lang w:eastAsia="en-US"/>
              </w:rPr>
              <w:t>√</w:t>
            </w:r>
          </w:p>
        </w:tc>
        <w:tc>
          <w:tcPr>
            <w:tcW w:w="567" w:type="dxa"/>
          </w:tcPr>
          <w:p w14:paraId="3923C8C8"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2CDA73C1"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53977772"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74CE436D"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4F18BF" w:rsidRPr="00BF627D" w14:paraId="2B5DD2C3" w14:textId="77777777" w:rsidTr="00BF627D">
        <w:trPr>
          <w:trHeight w:val="382"/>
        </w:trPr>
        <w:tc>
          <w:tcPr>
            <w:tcW w:w="2405" w:type="dxa"/>
          </w:tcPr>
          <w:p w14:paraId="48CFB252" w14:textId="4984879A" w:rsidR="004F18BF" w:rsidRPr="00BF627D" w:rsidRDefault="004F18BF" w:rsidP="004F18BF">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Cho 2011</w:t>
            </w:r>
            <w:r w:rsidR="006D3945">
              <w:rPr>
                <w:rFonts w:ascii="Arial Narrow" w:eastAsia="Times New Roman" w:hAnsi="Arial Narrow" w:cs="Calibri"/>
                <w:spacing w:val="-1"/>
                <w:sz w:val="18"/>
                <w:szCs w:val="18"/>
                <w:lang w:eastAsia="en-US"/>
              </w:rPr>
              <w:t>**</w:t>
            </w:r>
          </w:p>
        </w:tc>
        <w:tc>
          <w:tcPr>
            <w:tcW w:w="708" w:type="dxa"/>
          </w:tcPr>
          <w:p w14:paraId="62F8DABD"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7FEC7486" w14:textId="6A28E612"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2D3F4027" w14:textId="66C3F244"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6E8CDB3A" w14:textId="4A701144"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2CC32FB7"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r w:rsidRPr="00BF627D">
              <w:rPr>
                <w:rFonts w:ascii="Arial Narrow" w:eastAsia="Times New Roman" w:hAnsi="Arial Narrow" w:cs="Times New Roman"/>
                <w:sz w:val="18"/>
                <w:szCs w:val="20"/>
                <w:vertAlign w:val="superscript"/>
                <w:lang w:eastAsia="en-US"/>
              </w:rPr>
              <w:t>§</w:t>
            </w:r>
          </w:p>
        </w:tc>
        <w:tc>
          <w:tcPr>
            <w:tcW w:w="741" w:type="dxa"/>
          </w:tcPr>
          <w:p w14:paraId="570A4BD5"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hint="eastAsia"/>
                <w:sz w:val="18"/>
                <w:szCs w:val="20"/>
                <w:lang w:eastAsia="en-US"/>
              </w:rPr>
              <w:t>√</w:t>
            </w:r>
          </w:p>
        </w:tc>
        <w:tc>
          <w:tcPr>
            <w:tcW w:w="567" w:type="dxa"/>
          </w:tcPr>
          <w:p w14:paraId="410C07BD"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0591C3F1"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4416A5B4"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33DFCA3A" w14:textId="77777777" w:rsidR="004F18BF" w:rsidRPr="00BF627D" w:rsidRDefault="004F18BF" w:rsidP="004F18BF">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BF627D" w:rsidRPr="00BF627D" w14:paraId="2EC34A26" w14:textId="77777777" w:rsidTr="00BF627D">
        <w:trPr>
          <w:trHeight w:val="382"/>
        </w:trPr>
        <w:tc>
          <w:tcPr>
            <w:tcW w:w="2405" w:type="dxa"/>
          </w:tcPr>
          <w:p w14:paraId="496B4573"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 xml:space="preserve">P051 Ballantyne 2005 </w:t>
            </w:r>
          </w:p>
        </w:tc>
        <w:tc>
          <w:tcPr>
            <w:tcW w:w="708" w:type="dxa"/>
          </w:tcPr>
          <w:p w14:paraId="335438F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411A8D6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32AEDC2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79402E5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2E3F851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55E1C55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515D138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7AC2988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16624A4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53C7B04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r w:rsidR="00BF627D" w:rsidRPr="00BF627D" w14:paraId="4A0508A7" w14:textId="77777777" w:rsidTr="00BF627D">
        <w:trPr>
          <w:trHeight w:val="382"/>
        </w:trPr>
        <w:tc>
          <w:tcPr>
            <w:tcW w:w="2405" w:type="dxa"/>
          </w:tcPr>
          <w:p w14:paraId="150054EC"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P807 Constance 2007</w:t>
            </w:r>
          </w:p>
        </w:tc>
        <w:tc>
          <w:tcPr>
            <w:tcW w:w="708" w:type="dxa"/>
          </w:tcPr>
          <w:p w14:paraId="48C68F4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0473F48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6F77E4E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659595A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369A63B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5BEFFA4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2060983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34BC081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2C9018B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2F11696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Q3</w:t>
            </w:r>
          </w:p>
        </w:tc>
      </w:tr>
      <w:tr w:rsidR="00BF627D" w:rsidRPr="00BF627D" w14:paraId="49098981" w14:textId="77777777" w:rsidTr="00BF627D">
        <w:trPr>
          <w:trHeight w:val="382"/>
        </w:trPr>
        <w:tc>
          <w:tcPr>
            <w:tcW w:w="2405" w:type="dxa"/>
          </w:tcPr>
          <w:p w14:paraId="3E29DB04"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hAnsi="Arial Narrow"/>
                <w:sz w:val="18"/>
                <w:szCs w:val="18"/>
              </w:rPr>
              <w:t>P806 Barrios 2005</w:t>
            </w:r>
          </w:p>
        </w:tc>
        <w:tc>
          <w:tcPr>
            <w:tcW w:w="708" w:type="dxa"/>
          </w:tcPr>
          <w:p w14:paraId="66C3F4F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06991FF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3B6B183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168D1AF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3E509B3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3560A31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575D961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3C53463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61BAB59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52D4CEA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r w:rsidR="007D57D7" w:rsidRPr="00BF627D" w14:paraId="50C34E17" w14:textId="77777777" w:rsidTr="00BF627D">
        <w:trPr>
          <w:trHeight w:val="382"/>
        </w:trPr>
        <w:tc>
          <w:tcPr>
            <w:tcW w:w="2405" w:type="dxa"/>
          </w:tcPr>
          <w:p w14:paraId="3145AFD2" w14:textId="6CB2F7D7" w:rsidR="007D57D7" w:rsidRPr="00BF627D" w:rsidRDefault="007D57D7" w:rsidP="007D57D7">
            <w:pPr>
              <w:keepNext/>
              <w:spacing w:before="40" w:after="40" w:line="240" w:lineRule="auto"/>
              <w:rPr>
                <w:rFonts w:ascii="Arial Narrow" w:hAnsi="Arial Narrow"/>
                <w:sz w:val="18"/>
                <w:szCs w:val="18"/>
              </w:rPr>
            </w:pPr>
            <w:r w:rsidRPr="00BF627D">
              <w:rPr>
                <w:rFonts w:ascii="Arial Narrow" w:eastAsia="Times New Roman" w:hAnsi="Arial Narrow" w:cs="Calibri"/>
                <w:spacing w:val="-1"/>
                <w:sz w:val="18"/>
                <w:szCs w:val="18"/>
                <w:lang w:eastAsia="en-US"/>
              </w:rPr>
              <w:t>Garcia 2016</w:t>
            </w:r>
          </w:p>
        </w:tc>
        <w:tc>
          <w:tcPr>
            <w:tcW w:w="708" w:type="dxa"/>
          </w:tcPr>
          <w:p w14:paraId="5976EC18" w14:textId="28DAD99C"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424C48A2" w14:textId="6EDAFBBA"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038B489F" w14:textId="61F80867"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116DA01B" w14:textId="03673EC0"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35A3E2F5" w14:textId="2ADEEB5F"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r w:rsidRPr="00BF627D">
              <w:rPr>
                <w:rFonts w:ascii="Calibri" w:eastAsia="Times New Roman" w:hAnsi="Calibri" w:cs="Times New Roman"/>
                <w:sz w:val="18"/>
                <w:szCs w:val="20"/>
                <w:vertAlign w:val="superscript"/>
                <w:lang w:eastAsia="en-US"/>
              </w:rPr>
              <w:t>ǁ</w:t>
            </w:r>
          </w:p>
        </w:tc>
        <w:tc>
          <w:tcPr>
            <w:tcW w:w="741" w:type="dxa"/>
          </w:tcPr>
          <w:p w14:paraId="6B469EDA" w14:textId="44F86803"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hint="eastAsia"/>
                <w:sz w:val="18"/>
                <w:szCs w:val="20"/>
                <w:lang w:eastAsia="en-US"/>
              </w:rPr>
              <w:t>√</w:t>
            </w:r>
          </w:p>
        </w:tc>
        <w:tc>
          <w:tcPr>
            <w:tcW w:w="567" w:type="dxa"/>
          </w:tcPr>
          <w:p w14:paraId="0F4906D6" w14:textId="08BB2664"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7F97FA1C" w14:textId="0EBC8201"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0462F11F" w14:textId="70D41243"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62C8E9EF" w14:textId="12CD937F"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7D57D7" w:rsidRPr="00BF627D" w14:paraId="08291B5F" w14:textId="77777777" w:rsidTr="00BF627D">
        <w:trPr>
          <w:trHeight w:val="382"/>
        </w:trPr>
        <w:tc>
          <w:tcPr>
            <w:tcW w:w="2405" w:type="dxa"/>
          </w:tcPr>
          <w:p w14:paraId="7A761662" w14:textId="014CD847" w:rsidR="007D57D7" w:rsidRPr="00BF627D" w:rsidRDefault="007D57D7" w:rsidP="007D57D7">
            <w:pPr>
              <w:keepNext/>
              <w:spacing w:before="40" w:after="40" w:line="240" w:lineRule="auto"/>
              <w:rPr>
                <w:rFonts w:ascii="Arial Narrow" w:hAnsi="Arial Narrow"/>
                <w:sz w:val="18"/>
                <w:szCs w:val="18"/>
              </w:rPr>
            </w:pPr>
            <w:r w:rsidRPr="00BF627D">
              <w:rPr>
                <w:rFonts w:ascii="Arial Narrow" w:eastAsia="Times New Roman" w:hAnsi="Arial Narrow" w:cs="Calibri"/>
                <w:spacing w:val="-1"/>
                <w:sz w:val="18"/>
                <w:szCs w:val="18"/>
                <w:lang w:eastAsia="en-US"/>
              </w:rPr>
              <w:t xml:space="preserve">Ostad 2009  </w:t>
            </w:r>
          </w:p>
        </w:tc>
        <w:tc>
          <w:tcPr>
            <w:tcW w:w="708" w:type="dxa"/>
          </w:tcPr>
          <w:p w14:paraId="1F45A62A" w14:textId="7C11CAFF"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4E0456C6" w14:textId="51A5831C"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1781C8A4" w14:textId="55A3B2E5"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68FB05D4" w14:textId="0412E059"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011B9672" w14:textId="6335720C"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1A6753A1" w14:textId="14652DA6"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09001485" w14:textId="0894F361"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631FE6CD" w14:textId="55497AF2"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59E63CAC" w14:textId="7EFE8448"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70B26DBF" w14:textId="0525AD5B" w:rsidR="007D57D7" w:rsidRPr="00BF627D" w:rsidRDefault="007D57D7" w:rsidP="007D57D7">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r w:rsidR="00A772B2" w:rsidRPr="00BF627D" w14:paraId="79AFCA09" w14:textId="77777777" w:rsidTr="00BF627D">
        <w:trPr>
          <w:trHeight w:val="382"/>
        </w:trPr>
        <w:tc>
          <w:tcPr>
            <w:tcW w:w="2405" w:type="dxa"/>
          </w:tcPr>
          <w:p w14:paraId="66CDF6B1" w14:textId="43CF3498" w:rsidR="00A772B2" w:rsidRPr="00BF627D" w:rsidRDefault="00A772B2" w:rsidP="00A772B2">
            <w:pPr>
              <w:keepNext/>
              <w:spacing w:before="40" w:after="40" w:line="240" w:lineRule="auto"/>
              <w:rPr>
                <w:rFonts w:ascii="Arial Narrow" w:eastAsia="Times New Roman" w:hAnsi="Arial Narrow" w:cs="Calibri"/>
                <w:spacing w:val="-1"/>
                <w:sz w:val="18"/>
                <w:szCs w:val="18"/>
                <w:lang w:eastAsia="en-US"/>
              </w:rPr>
            </w:pPr>
            <w:r>
              <w:rPr>
                <w:rFonts w:ascii="Arial Narrow" w:eastAsia="Times New Roman" w:hAnsi="Arial Narrow" w:cs="Calibri"/>
                <w:spacing w:val="-1"/>
                <w:sz w:val="18"/>
                <w:szCs w:val="18"/>
                <w:lang w:eastAsia="en-US"/>
              </w:rPr>
              <w:t>McCormack 2010</w:t>
            </w:r>
          </w:p>
        </w:tc>
        <w:tc>
          <w:tcPr>
            <w:tcW w:w="708" w:type="dxa"/>
          </w:tcPr>
          <w:p w14:paraId="067DDA04" w14:textId="0152486B" w:rsidR="00A772B2" w:rsidRPr="00BF627D" w:rsidRDefault="00A772B2" w:rsidP="00A772B2">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25218CA5" w14:textId="24E1063D" w:rsidR="00A772B2" w:rsidRPr="00BF627D" w:rsidRDefault="00A772B2" w:rsidP="00A772B2">
            <w:pPr>
              <w:keepNext/>
              <w:spacing w:before="40" w:after="40" w:line="240" w:lineRule="auto"/>
              <w:jc w:val="center"/>
              <w:rPr>
                <w:rFonts w:ascii="Arial Narrow" w:eastAsia="Times New Roman" w:hAnsi="Arial Narrow" w:cs="Times New Roman"/>
                <w:sz w:val="18"/>
                <w:szCs w:val="20"/>
                <w:lang w:eastAsia="en-US"/>
              </w:rPr>
            </w:pPr>
            <w:r w:rsidRPr="0078500C">
              <w:rPr>
                <w:rFonts w:ascii="Arial Narrow" w:eastAsia="Times New Roman" w:hAnsi="Arial Narrow" w:cs="Times New Roman" w:hint="eastAsia"/>
                <w:sz w:val="18"/>
                <w:szCs w:val="20"/>
                <w:lang w:eastAsia="en-US"/>
              </w:rPr>
              <w:t>√</w:t>
            </w:r>
          </w:p>
        </w:tc>
        <w:tc>
          <w:tcPr>
            <w:tcW w:w="546" w:type="dxa"/>
          </w:tcPr>
          <w:p w14:paraId="131D4A78" w14:textId="5EDE078E" w:rsidR="00A772B2" w:rsidRPr="00BF627D" w:rsidRDefault="00A772B2" w:rsidP="00A772B2">
            <w:pPr>
              <w:keepNext/>
              <w:spacing w:before="40" w:after="40" w:line="240" w:lineRule="auto"/>
              <w:jc w:val="center"/>
              <w:rPr>
                <w:rFonts w:ascii="Arial Narrow" w:eastAsia="Times New Roman" w:hAnsi="Arial Narrow" w:cs="Times New Roman"/>
                <w:sz w:val="18"/>
                <w:szCs w:val="20"/>
                <w:lang w:eastAsia="en-US"/>
              </w:rPr>
            </w:pPr>
            <w:r w:rsidRPr="0078500C">
              <w:rPr>
                <w:rFonts w:ascii="Arial Narrow" w:eastAsia="Times New Roman" w:hAnsi="Arial Narrow" w:cs="Times New Roman" w:hint="eastAsia"/>
                <w:sz w:val="18"/>
                <w:szCs w:val="20"/>
                <w:lang w:eastAsia="en-US"/>
              </w:rPr>
              <w:t>√</w:t>
            </w:r>
          </w:p>
        </w:tc>
        <w:tc>
          <w:tcPr>
            <w:tcW w:w="545" w:type="dxa"/>
          </w:tcPr>
          <w:p w14:paraId="65BE9DBB" w14:textId="7CDEA67E" w:rsidR="00A772B2" w:rsidRPr="00BF627D" w:rsidRDefault="00A772B2" w:rsidP="00A772B2">
            <w:pPr>
              <w:keepNext/>
              <w:spacing w:before="40" w:after="40" w:line="240" w:lineRule="auto"/>
              <w:jc w:val="center"/>
              <w:rPr>
                <w:rFonts w:ascii="Arial Narrow" w:eastAsia="Times New Roman" w:hAnsi="Arial Narrow" w:cs="Times New Roman"/>
                <w:sz w:val="18"/>
                <w:szCs w:val="20"/>
                <w:lang w:eastAsia="en-US"/>
              </w:rPr>
            </w:pPr>
            <w:r w:rsidRPr="0078500C">
              <w:rPr>
                <w:rFonts w:ascii="Arial Narrow" w:eastAsia="Times New Roman" w:hAnsi="Arial Narrow" w:cs="Times New Roman" w:hint="eastAsia"/>
                <w:sz w:val="18"/>
                <w:szCs w:val="20"/>
                <w:lang w:eastAsia="en-US"/>
              </w:rPr>
              <w:t>√</w:t>
            </w:r>
          </w:p>
        </w:tc>
        <w:tc>
          <w:tcPr>
            <w:tcW w:w="720" w:type="dxa"/>
          </w:tcPr>
          <w:p w14:paraId="5CB5FB5A" w14:textId="14961DED" w:rsidR="00A772B2" w:rsidRPr="00BF627D" w:rsidRDefault="00A772B2" w:rsidP="00A772B2">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4C78A587" w14:textId="7C712DA4" w:rsidR="00A772B2" w:rsidRPr="00BF627D" w:rsidRDefault="00A772B2" w:rsidP="00A772B2">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4B731338" w14:textId="12F5CD4F" w:rsidR="00A772B2" w:rsidRPr="00BF627D" w:rsidRDefault="00A772B2" w:rsidP="00A772B2">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18B529C2" w14:textId="7AD20B0A" w:rsidR="00A772B2" w:rsidRPr="00BF627D" w:rsidRDefault="00A772B2" w:rsidP="00A772B2">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B</w:t>
            </w:r>
          </w:p>
        </w:tc>
        <w:tc>
          <w:tcPr>
            <w:tcW w:w="546" w:type="dxa"/>
          </w:tcPr>
          <w:p w14:paraId="790FA5DB" w14:textId="66FE7970" w:rsidR="00A772B2" w:rsidRPr="00BF627D" w:rsidRDefault="00A772B2" w:rsidP="00A772B2">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685AAD1B" w14:textId="4B85B2CD" w:rsidR="00A772B2" w:rsidRPr="00BF627D" w:rsidRDefault="00A772B2" w:rsidP="00A772B2">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Q2</w:t>
            </w:r>
          </w:p>
        </w:tc>
      </w:tr>
    </w:tbl>
    <w:p w14:paraId="4FF35B41" w14:textId="77777777" w:rsidR="00EE3E0A" w:rsidRDefault="00EE3E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11: Methodological quality of included studies"/>
        <w:tblDescription w:val="This table provides a summary of the methodological quality of the included studies.  The top row (in which the text is at a right angles) includes the criterion of concealment of randomisation, blinding of participants, blinding of investigator, blinding of outcome assessor, bias of analysis is ITT, consistent, comprehensive reporting of primary outcomes, level of evidence, risk of bias, appropriate comparison, overall quality of study.  A tick is positive, a cross negative and a question mark means it is not clear from the study article. "/>
      </w:tblPr>
      <w:tblGrid>
        <w:gridCol w:w="2405"/>
        <w:gridCol w:w="708"/>
        <w:gridCol w:w="567"/>
        <w:gridCol w:w="546"/>
        <w:gridCol w:w="545"/>
        <w:gridCol w:w="720"/>
        <w:gridCol w:w="741"/>
        <w:gridCol w:w="567"/>
        <w:gridCol w:w="546"/>
        <w:gridCol w:w="546"/>
        <w:gridCol w:w="546"/>
      </w:tblGrid>
      <w:tr w:rsidR="00BF627D" w:rsidRPr="00BF627D" w14:paraId="57F49F0D" w14:textId="77777777" w:rsidTr="00BF627D">
        <w:trPr>
          <w:trHeight w:val="382"/>
        </w:trPr>
        <w:tc>
          <w:tcPr>
            <w:tcW w:w="8437" w:type="dxa"/>
            <w:gridSpan w:val="11"/>
          </w:tcPr>
          <w:p w14:paraId="0DECFEB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b/>
                <w:sz w:val="18"/>
                <w:szCs w:val="20"/>
                <w:lang w:eastAsia="en-US"/>
              </w:rPr>
              <w:lastRenderedPageBreak/>
              <w:t>fixed  dose of statin +ezetimibe vs matching fixed dose of statin</w:t>
            </w:r>
          </w:p>
        </w:tc>
      </w:tr>
      <w:tr w:rsidR="00BF627D" w:rsidRPr="00BF627D" w14:paraId="42E343AC" w14:textId="77777777" w:rsidTr="00BF627D">
        <w:trPr>
          <w:trHeight w:val="382"/>
        </w:trPr>
        <w:tc>
          <w:tcPr>
            <w:tcW w:w="2405" w:type="dxa"/>
          </w:tcPr>
          <w:p w14:paraId="5E869721"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highlight w:val="yellow"/>
                <w:lang w:eastAsia="en-US"/>
              </w:rPr>
            </w:pPr>
            <w:r w:rsidRPr="00BF627D">
              <w:rPr>
                <w:rFonts w:ascii="Arial Narrow" w:eastAsia="Times New Roman" w:hAnsi="Arial Narrow" w:cs="Calibri"/>
                <w:spacing w:val="-1"/>
                <w:sz w:val="18"/>
                <w:szCs w:val="18"/>
                <w:lang w:eastAsia="en-US"/>
              </w:rPr>
              <w:t xml:space="preserve">P692 Ballantyne 2003  </w:t>
            </w:r>
          </w:p>
        </w:tc>
        <w:tc>
          <w:tcPr>
            <w:tcW w:w="708" w:type="dxa"/>
          </w:tcPr>
          <w:p w14:paraId="6C60ABE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53B05BE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2FC22E0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476D2B4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4221D6A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27347D5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23B84C3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704FBD6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3E211A50"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16FB5471" w14:textId="18E3AE44" w:rsidR="00BF627D" w:rsidRPr="00BF627D" w:rsidRDefault="004F18BF" w:rsidP="00BF627D">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Q2</w:t>
            </w:r>
          </w:p>
        </w:tc>
      </w:tr>
      <w:tr w:rsidR="00BF627D" w:rsidRPr="00BF627D" w14:paraId="24896914" w14:textId="77777777" w:rsidTr="00BF627D">
        <w:trPr>
          <w:trHeight w:val="382"/>
        </w:trPr>
        <w:tc>
          <w:tcPr>
            <w:tcW w:w="2405" w:type="dxa"/>
          </w:tcPr>
          <w:p w14:paraId="23A80869"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heme="minorHAnsi" w:hAnsi="Arial Narrow" w:cs="Calibri"/>
                <w:spacing w:val="-1"/>
                <w:sz w:val="18"/>
                <w:szCs w:val="18"/>
                <w:lang w:eastAsia="en-US"/>
              </w:rPr>
              <w:t xml:space="preserve">P038 Bays 2004 </w:t>
            </w:r>
          </w:p>
        </w:tc>
        <w:tc>
          <w:tcPr>
            <w:tcW w:w="708" w:type="dxa"/>
          </w:tcPr>
          <w:p w14:paraId="00575F5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32F1531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6F0E567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14177CF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64225EC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159A0D7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5202A78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4AE0D89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2EE1820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1C452AD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r w:rsidR="00BF627D" w:rsidRPr="00BF627D" w14:paraId="5C884B81" w14:textId="77777777" w:rsidTr="00BF627D">
        <w:trPr>
          <w:trHeight w:val="382"/>
        </w:trPr>
        <w:tc>
          <w:tcPr>
            <w:tcW w:w="2405" w:type="dxa"/>
          </w:tcPr>
          <w:p w14:paraId="4690D81E"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Chirinos 2010</w:t>
            </w:r>
          </w:p>
        </w:tc>
        <w:tc>
          <w:tcPr>
            <w:tcW w:w="708" w:type="dxa"/>
          </w:tcPr>
          <w:p w14:paraId="3DBFC50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00F7488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29A5735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4B4617A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5B0691E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261976C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39EDD0C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736E8BF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72FCC61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664768B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r w:rsidR="00BF627D" w:rsidRPr="00BF627D" w14:paraId="21C6EC39" w14:textId="77777777" w:rsidTr="00BF627D">
        <w:trPr>
          <w:trHeight w:val="382"/>
        </w:trPr>
        <w:tc>
          <w:tcPr>
            <w:tcW w:w="2405" w:type="dxa"/>
          </w:tcPr>
          <w:p w14:paraId="73C581B5"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highlight w:val="yellow"/>
                <w:lang w:eastAsia="en-US"/>
              </w:rPr>
            </w:pPr>
            <w:r w:rsidRPr="00BF627D">
              <w:rPr>
                <w:rFonts w:ascii="Arial Narrow" w:eastAsia="Times New Roman" w:hAnsi="Arial Narrow" w:cs="Calibri"/>
                <w:spacing w:val="-1"/>
                <w:sz w:val="18"/>
                <w:szCs w:val="18"/>
                <w:lang w:eastAsia="en-US"/>
              </w:rPr>
              <w:t xml:space="preserve">P680 Davidson 2002 </w:t>
            </w:r>
          </w:p>
        </w:tc>
        <w:tc>
          <w:tcPr>
            <w:tcW w:w="708" w:type="dxa"/>
          </w:tcPr>
          <w:p w14:paraId="7B0DE18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5E92041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22B38634" w14:textId="2133E11D" w:rsidR="00BF627D" w:rsidRPr="00BF627D" w:rsidRDefault="00EB7238" w:rsidP="00BF627D">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w:t>
            </w:r>
          </w:p>
        </w:tc>
        <w:tc>
          <w:tcPr>
            <w:tcW w:w="545" w:type="dxa"/>
          </w:tcPr>
          <w:p w14:paraId="5C3033E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404536C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3A528FA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0C5D2DE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6DB751B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2CC67595"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54998D19" w14:textId="355A1408" w:rsidR="00BF627D" w:rsidRPr="00BF627D" w:rsidRDefault="00EB7238" w:rsidP="00BF627D">
            <w:pPr>
              <w:keepNext/>
              <w:spacing w:before="40" w:after="40" w:line="240" w:lineRule="auto"/>
              <w:jc w:val="center"/>
              <w:rPr>
                <w:rFonts w:ascii="Arial Narrow" w:eastAsia="Times New Roman" w:hAnsi="Arial Narrow" w:cs="Times New Roman"/>
                <w:sz w:val="18"/>
                <w:szCs w:val="20"/>
                <w:lang w:eastAsia="en-US"/>
              </w:rPr>
            </w:pPr>
            <w:r>
              <w:rPr>
                <w:rFonts w:ascii="Arial Narrow" w:eastAsia="Times New Roman" w:hAnsi="Arial Narrow" w:cs="Times New Roman"/>
                <w:sz w:val="18"/>
                <w:szCs w:val="20"/>
                <w:lang w:eastAsia="en-US"/>
              </w:rPr>
              <w:t>Q2</w:t>
            </w:r>
          </w:p>
        </w:tc>
      </w:tr>
      <w:tr w:rsidR="00BF627D" w:rsidRPr="00BF627D" w14:paraId="0AEC4D49" w14:textId="77777777" w:rsidTr="00BF627D">
        <w:trPr>
          <w:trHeight w:val="382"/>
        </w:trPr>
        <w:tc>
          <w:tcPr>
            <w:tcW w:w="2405" w:type="dxa"/>
          </w:tcPr>
          <w:p w14:paraId="7E7EE006"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P005 Goldberg 2004</w:t>
            </w:r>
          </w:p>
        </w:tc>
        <w:tc>
          <w:tcPr>
            <w:tcW w:w="708" w:type="dxa"/>
          </w:tcPr>
          <w:p w14:paraId="646530B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190B34CD"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5DF55F2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295074B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0E99B17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393A3C82"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0A3020F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736E7AF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7070A65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2CA9D8B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r w:rsidR="00BF627D" w:rsidRPr="00BF627D" w14:paraId="3FB6C285" w14:textId="77777777" w:rsidTr="00BF627D">
        <w:trPr>
          <w:trHeight w:val="382"/>
        </w:trPr>
        <w:tc>
          <w:tcPr>
            <w:tcW w:w="2405" w:type="dxa"/>
          </w:tcPr>
          <w:p w14:paraId="0041E696" w14:textId="77777777" w:rsidR="00BF627D" w:rsidRDefault="00BF627D" w:rsidP="00BF627D">
            <w:pPr>
              <w:keepNext/>
              <w:spacing w:before="40" w:after="40" w:line="240" w:lineRule="auto"/>
              <w:rPr>
                <w:rFonts w:ascii="Arial Narrow" w:eastAsia="Times New Roman" w:hAnsi="Arial Narrow" w:cs="Calibri"/>
                <w:spacing w:val="-1"/>
                <w:sz w:val="18"/>
                <w:szCs w:val="18"/>
                <w:lang w:eastAsia="en-US"/>
              </w:rPr>
            </w:pPr>
            <w:r w:rsidRPr="00BF627D">
              <w:rPr>
                <w:rFonts w:ascii="Arial Narrow" w:eastAsia="Times New Roman" w:hAnsi="Arial Narrow" w:cs="Calibri"/>
                <w:spacing w:val="-1"/>
                <w:sz w:val="18"/>
                <w:szCs w:val="18"/>
                <w:lang w:eastAsia="en-US"/>
              </w:rPr>
              <w:t>Kastelein 2008</w:t>
            </w:r>
          </w:p>
          <w:p w14:paraId="265DAAB6" w14:textId="0733D5B8" w:rsidR="00790ABE" w:rsidRPr="00BF627D" w:rsidRDefault="00790ABE" w:rsidP="00BF627D">
            <w:pPr>
              <w:keepNext/>
              <w:spacing w:before="40" w:after="40" w:line="240" w:lineRule="auto"/>
              <w:rPr>
                <w:rFonts w:ascii="Arial Narrow" w:eastAsia="Times New Roman" w:hAnsi="Arial Narrow" w:cs="Calibri"/>
                <w:spacing w:val="-1"/>
                <w:sz w:val="18"/>
                <w:szCs w:val="18"/>
                <w:highlight w:val="yellow"/>
                <w:lang w:eastAsia="en-US"/>
              </w:rPr>
            </w:pPr>
            <w:r>
              <w:rPr>
                <w:rFonts w:ascii="Arial Narrow" w:eastAsia="Times New Roman" w:hAnsi="Arial Narrow" w:cs="Calibri"/>
                <w:spacing w:val="-1"/>
                <w:sz w:val="18"/>
                <w:szCs w:val="18"/>
                <w:lang w:eastAsia="en-US"/>
              </w:rPr>
              <w:t>ENHANCE</w:t>
            </w:r>
          </w:p>
        </w:tc>
        <w:tc>
          <w:tcPr>
            <w:tcW w:w="708" w:type="dxa"/>
          </w:tcPr>
          <w:p w14:paraId="726ABCA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03D3C61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6E62D9A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6146086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56BD651B"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3ADCA92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3E52300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72098E3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73A13EE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0BF7E27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r w:rsidR="00BF627D" w:rsidRPr="00BF627D" w14:paraId="14E361DA" w14:textId="77777777" w:rsidTr="00BF627D">
        <w:trPr>
          <w:trHeight w:val="382"/>
        </w:trPr>
        <w:tc>
          <w:tcPr>
            <w:tcW w:w="2405" w:type="dxa"/>
          </w:tcPr>
          <w:p w14:paraId="61514E5E"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highlight w:val="yellow"/>
                <w:lang w:eastAsia="en-US"/>
              </w:rPr>
            </w:pPr>
            <w:r w:rsidRPr="00BF627D">
              <w:rPr>
                <w:rFonts w:ascii="Arial Narrow" w:eastAsia="Times New Roman" w:hAnsi="Arial Narrow" w:cs="Calibri"/>
                <w:spacing w:val="-1"/>
                <w:sz w:val="18"/>
                <w:szCs w:val="18"/>
                <w:lang w:eastAsia="en-US"/>
              </w:rPr>
              <w:t>Shankar 2007</w:t>
            </w:r>
          </w:p>
        </w:tc>
        <w:tc>
          <w:tcPr>
            <w:tcW w:w="708" w:type="dxa"/>
          </w:tcPr>
          <w:p w14:paraId="07385520"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17267276"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3901D76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16B28A8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5A782DC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4F81575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30000D2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0D0570A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24BE93B3"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3E35113F"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r w:rsidR="00BF627D" w:rsidRPr="00BF627D" w14:paraId="26B2E9D6" w14:textId="77777777" w:rsidTr="00BF627D">
        <w:trPr>
          <w:trHeight w:val="382"/>
        </w:trPr>
        <w:tc>
          <w:tcPr>
            <w:tcW w:w="2405" w:type="dxa"/>
          </w:tcPr>
          <w:p w14:paraId="722D9201" w14:textId="77777777" w:rsidR="00BF627D" w:rsidRPr="00BF627D" w:rsidRDefault="00BF627D" w:rsidP="00BF627D">
            <w:pPr>
              <w:keepNext/>
              <w:spacing w:before="40" w:after="40" w:line="240" w:lineRule="auto"/>
              <w:rPr>
                <w:rFonts w:ascii="Arial Narrow" w:eastAsia="Times New Roman" w:hAnsi="Arial Narrow" w:cs="Calibri"/>
                <w:spacing w:val="-1"/>
                <w:sz w:val="18"/>
                <w:szCs w:val="18"/>
                <w:highlight w:val="yellow"/>
                <w:lang w:eastAsia="en-US"/>
              </w:rPr>
            </w:pPr>
            <w:r w:rsidRPr="00BF627D">
              <w:rPr>
                <w:rFonts w:ascii="Arial Narrow" w:eastAsia="Times New Roman" w:hAnsi="Arial Narrow" w:cs="Calibri"/>
                <w:spacing w:val="-1"/>
                <w:sz w:val="18"/>
                <w:szCs w:val="18"/>
                <w:lang w:eastAsia="en-US"/>
              </w:rPr>
              <w:t xml:space="preserve">P023 Feldman 2004 </w:t>
            </w:r>
          </w:p>
        </w:tc>
        <w:tc>
          <w:tcPr>
            <w:tcW w:w="708" w:type="dxa"/>
          </w:tcPr>
          <w:p w14:paraId="594717D7"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176A671A"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6" w:type="dxa"/>
          </w:tcPr>
          <w:p w14:paraId="68021BA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45" w:type="dxa"/>
          </w:tcPr>
          <w:p w14:paraId="33EC7D69"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20" w:type="dxa"/>
          </w:tcPr>
          <w:p w14:paraId="1293FC8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741" w:type="dxa"/>
          </w:tcPr>
          <w:p w14:paraId="524AFF7C"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w:t>
            </w:r>
          </w:p>
        </w:tc>
        <w:tc>
          <w:tcPr>
            <w:tcW w:w="567" w:type="dxa"/>
          </w:tcPr>
          <w:p w14:paraId="22382658"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II</w:t>
            </w:r>
          </w:p>
        </w:tc>
        <w:tc>
          <w:tcPr>
            <w:tcW w:w="546" w:type="dxa"/>
          </w:tcPr>
          <w:p w14:paraId="5F23BFD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A</w:t>
            </w:r>
          </w:p>
        </w:tc>
        <w:tc>
          <w:tcPr>
            <w:tcW w:w="546" w:type="dxa"/>
          </w:tcPr>
          <w:p w14:paraId="79831B41"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C1</w:t>
            </w:r>
          </w:p>
        </w:tc>
        <w:tc>
          <w:tcPr>
            <w:tcW w:w="546" w:type="dxa"/>
          </w:tcPr>
          <w:p w14:paraId="35B97464" w14:textId="77777777" w:rsidR="00BF627D" w:rsidRPr="00BF627D" w:rsidRDefault="00BF627D" w:rsidP="00BF627D">
            <w:pPr>
              <w:keepNext/>
              <w:spacing w:before="40" w:after="40" w:line="240" w:lineRule="auto"/>
              <w:jc w:val="center"/>
              <w:rPr>
                <w:rFonts w:ascii="Arial Narrow" w:eastAsia="Times New Roman" w:hAnsi="Arial Narrow" w:cs="Times New Roman"/>
                <w:sz w:val="18"/>
                <w:szCs w:val="20"/>
                <w:lang w:eastAsia="en-US"/>
              </w:rPr>
            </w:pPr>
            <w:r w:rsidRPr="00BF627D">
              <w:rPr>
                <w:rFonts w:ascii="Arial Narrow" w:eastAsia="Times New Roman" w:hAnsi="Arial Narrow" w:cs="Times New Roman"/>
                <w:sz w:val="18"/>
                <w:szCs w:val="20"/>
                <w:lang w:eastAsia="en-US"/>
              </w:rPr>
              <w:t>Q1</w:t>
            </w:r>
          </w:p>
        </w:tc>
      </w:tr>
    </w:tbl>
    <w:p w14:paraId="3FB49ADF" w14:textId="0B744503" w:rsidR="008F7393" w:rsidRPr="00EE3E0A" w:rsidRDefault="008F7393" w:rsidP="00BF627D">
      <w:pPr>
        <w:pStyle w:val="ListParagraph"/>
        <w:ind w:left="0"/>
        <w:rPr>
          <w:rFonts w:ascii="Arial Narrow" w:hAnsi="Arial Narrow"/>
          <w:sz w:val="18"/>
          <w:szCs w:val="18"/>
        </w:rPr>
      </w:pPr>
      <w:r w:rsidRPr="00EE3E0A">
        <w:rPr>
          <w:rFonts w:ascii="Arial Narrow" w:hAnsi="Arial Narrow"/>
          <w:sz w:val="18"/>
          <w:szCs w:val="18"/>
        </w:rPr>
        <w:t>*modified ITT; **open-label study</w:t>
      </w:r>
      <w:r w:rsidR="007526AC" w:rsidRPr="00EE3E0A">
        <w:rPr>
          <w:rFonts w:ascii="Arial Narrow" w:hAnsi="Arial Narrow"/>
          <w:sz w:val="18"/>
          <w:szCs w:val="18"/>
        </w:rPr>
        <w:t xml:space="preserve"> §full analysis set population: randomised patients who used one dose of study medication and had a baseline value and at least one post</w:t>
      </w:r>
      <w:r w:rsidR="00FD477C">
        <w:rPr>
          <w:rFonts w:ascii="Arial Narrow" w:hAnsi="Arial Narrow"/>
          <w:sz w:val="18"/>
          <w:szCs w:val="18"/>
        </w:rPr>
        <w:t>-</w:t>
      </w:r>
      <w:r w:rsidR="007526AC" w:rsidRPr="00EE3E0A">
        <w:rPr>
          <w:rFonts w:ascii="Arial Narrow" w:hAnsi="Arial Narrow"/>
          <w:sz w:val="18"/>
          <w:szCs w:val="18"/>
        </w:rPr>
        <w:t>baseline value</w:t>
      </w:r>
      <w:r w:rsidR="00D932CA" w:rsidRPr="00EE3E0A">
        <w:rPr>
          <w:rFonts w:ascii="Arial Narrow" w:hAnsi="Arial Narrow"/>
          <w:sz w:val="18"/>
          <w:szCs w:val="18"/>
        </w:rPr>
        <w:t>;</w:t>
      </w:r>
      <w:r w:rsidR="007526AC" w:rsidRPr="00EE3E0A">
        <w:rPr>
          <w:rFonts w:ascii="Arial Narrow" w:hAnsi="Arial Narrow"/>
          <w:sz w:val="18"/>
          <w:szCs w:val="18"/>
        </w:rPr>
        <w:t xml:space="preserve"> </w:t>
      </w:r>
      <w:r w:rsidRPr="00EE3E0A">
        <w:rPr>
          <w:rFonts w:ascii="Arial Narrow" w:hAnsi="Arial Narrow"/>
          <w:sz w:val="18"/>
          <w:szCs w:val="18"/>
        </w:rPr>
        <w:t>^Based on CSR</w:t>
      </w:r>
      <w:r w:rsidR="007526AC" w:rsidRPr="00EE3E0A">
        <w:rPr>
          <w:rFonts w:ascii="Arial Narrow" w:hAnsi="Arial Narrow"/>
          <w:sz w:val="18"/>
          <w:szCs w:val="18"/>
        </w:rPr>
        <w:t>;</w:t>
      </w:r>
      <w:r w:rsidRPr="00EE3E0A">
        <w:rPr>
          <w:rFonts w:ascii="Arial Narrow" w:hAnsi="Arial Narrow"/>
          <w:sz w:val="18"/>
          <w:szCs w:val="18"/>
        </w:rPr>
        <w:t xml:space="preserve"> </w:t>
      </w:r>
      <w:r w:rsidRPr="007D57D7">
        <w:rPr>
          <w:rFonts w:ascii="Calibri" w:hAnsi="Calibri" w:cs="Calibri"/>
          <w:sz w:val="18"/>
          <w:szCs w:val="18"/>
        </w:rPr>
        <w:t>ǁ</w:t>
      </w:r>
      <w:r w:rsidR="008654C8" w:rsidRPr="007D57D7">
        <w:rPr>
          <w:rFonts w:ascii="Calibri" w:hAnsi="Calibri" w:cs="Calibri"/>
          <w:sz w:val="18"/>
          <w:szCs w:val="18"/>
        </w:rPr>
        <w:t xml:space="preserve"> </w:t>
      </w:r>
      <w:r w:rsidR="008654C8" w:rsidRPr="00FD477C">
        <w:rPr>
          <w:rFonts w:ascii="Arial Narrow" w:hAnsi="Arial Narrow"/>
          <w:sz w:val="18"/>
          <w:szCs w:val="18"/>
        </w:rPr>
        <w:t>similar to modified ITT</w:t>
      </w:r>
      <w:r w:rsidR="007D57D7">
        <w:rPr>
          <w:rFonts w:ascii="Calibri" w:hAnsi="Calibri" w:cs="Calibri"/>
          <w:sz w:val="18"/>
          <w:szCs w:val="18"/>
        </w:rPr>
        <w:t xml:space="preserve"> </w:t>
      </w:r>
      <w:r w:rsidR="008654C8">
        <w:rPr>
          <w:rFonts w:ascii="Arial Narrow" w:hAnsi="Arial Narrow"/>
          <w:sz w:val="18"/>
          <w:szCs w:val="18"/>
        </w:rPr>
        <w:t>patients have one baseline measu</w:t>
      </w:r>
      <w:r w:rsidR="00FD477C">
        <w:rPr>
          <w:rFonts w:ascii="Arial Narrow" w:hAnsi="Arial Narrow"/>
          <w:sz w:val="18"/>
          <w:szCs w:val="18"/>
        </w:rPr>
        <w:t>rement and at least a</w:t>
      </w:r>
      <w:r w:rsidR="008654C8">
        <w:rPr>
          <w:rFonts w:ascii="Arial Narrow" w:hAnsi="Arial Narrow"/>
          <w:sz w:val="18"/>
          <w:szCs w:val="18"/>
        </w:rPr>
        <w:t>n ‘on-treatment’ measurement.</w:t>
      </w:r>
    </w:p>
    <w:p w14:paraId="6238727C" w14:textId="77777777" w:rsidR="005A4CB3" w:rsidRDefault="005A4CB3" w:rsidP="00D932CA">
      <w:pPr>
        <w:pStyle w:val="ListParagraph"/>
        <w:ind w:left="0"/>
      </w:pPr>
    </w:p>
    <w:p w14:paraId="21D8A047" w14:textId="298A4BB3" w:rsidR="00DD0B2F" w:rsidRDefault="00DD0B2F" w:rsidP="00BA09FC">
      <w:pPr>
        <w:pStyle w:val="ListParagraph"/>
        <w:ind w:left="0"/>
        <w:jc w:val="both"/>
      </w:pPr>
      <w:r>
        <w:t xml:space="preserve">Most of the identified RCTs used a secure </w:t>
      </w:r>
      <w:r w:rsidRPr="00DD0B2F">
        <w:t>randomisation procedure</w:t>
      </w:r>
      <w:r>
        <w:t>;</w:t>
      </w:r>
      <w:r w:rsidRPr="00DD0B2F">
        <w:t xml:space="preserve"> </w:t>
      </w:r>
      <w:r>
        <w:t xml:space="preserve">all but four open-label trials (McKenney 2007, Teramoto 2012; Lee 2013 and Cho 2011) were double-blinded </w:t>
      </w:r>
      <w:r w:rsidR="00FD477C">
        <w:t>with</w:t>
      </w:r>
      <w:r w:rsidRPr="00DD0B2F">
        <w:t xml:space="preserve"> the investigators and the participants </w:t>
      </w:r>
      <w:r w:rsidR="00FD477C">
        <w:t xml:space="preserve">being unaware of the treatment assignment.  Fourteen </w:t>
      </w:r>
      <w:r w:rsidR="00FD477C" w:rsidRPr="00FD477C">
        <w:t>trial</w:t>
      </w:r>
      <w:r w:rsidR="00FD477C">
        <w:t>s</w:t>
      </w:r>
      <w:r w:rsidR="00FD477C" w:rsidRPr="00FD477C">
        <w:t xml:space="preserve"> employed an intent-to-treat (ITT) statistical analysis for the primary outcome, while </w:t>
      </w:r>
      <w:r w:rsidR="00FD477C">
        <w:t>other</w:t>
      </w:r>
      <w:r w:rsidR="00FD477C" w:rsidRPr="00FD477C">
        <w:t xml:space="preserve"> trials used a modified </w:t>
      </w:r>
      <w:r w:rsidR="00FD477C">
        <w:t>ITT</w:t>
      </w:r>
      <w:r w:rsidR="00FD477C" w:rsidRPr="00FD477C">
        <w:t xml:space="preserve"> analysis whereby only patients </w:t>
      </w:r>
      <w:r w:rsidR="00FD477C">
        <w:t>who had at least one dose of assigned medication and one</w:t>
      </w:r>
      <w:r w:rsidR="00FD477C" w:rsidRPr="00FD477C">
        <w:t xml:space="preserve"> post-baseline measure were included in the primary analyses</w:t>
      </w:r>
      <w:r w:rsidR="00FD477C">
        <w:t xml:space="preserve">. The overall risk of bias was considered low or very low and the overall quality seems to be high for the double-blinded RCTs with points taking off primarily for insufficient reporting that either impeded the statistical analysis or </w:t>
      </w:r>
      <w:r w:rsidR="00BA09FC">
        <w:t>affected</w:t>
      </w:r>
      <w:r w:rsidR="00FD477C">
        <w:t xml:space="preserve"> </w:t>
      </w:r>
      <w:r w:rsidR="00BA09FC">
        <w:t xml:space="preserve">our ability to assess the </w:t>
      </w:r>
      <w:r w:rsidR="003C096C">
        <w:t>methodological quality of</w:t>
      </w:r>
      <w:r w:rsidR="00BA09FC">
        <w:t xml:space="preserve"> the trial.</w:t>
      </w:r>
    </w:p>
    <w:p w14:paraId="0B66AC4D" w14:textId="77777777" w:rsidR="0030073F" w:rsidRDefault="0030073F" w:rsidP="00BA09FC">
      <w:pPr>
        <w:pStyle w:val="ListParagraph"/>
        <w:ind w:left="0"/>
        <w:jc w:val="both"/>
      </w:pPr>
    </w:p>
    <w:p w14:paraId="7CECC895" w14:textId="47D2FD44" w:rsidR="0030073F" w:rsidRDefault="0030073F" w:rsidP="00BA09FC">
      <w:pPr>
        <w:pStyle w:val="ListParagraph"/>
        <w:ind w:left="0"/>
        <w:jc w:val="both"/>
      </w:pPr>
      <w:r w:rsidRPr="0030073F">
        <w:rPr>
          <w:i/>
        </w:rPr>
        <w:t>Our selection of the trials has a higher overall rating of quality than the trials included in the systematic reviews presented in section 2.2.3. This is because, with meta-analysis being an ultimate goal of a systematic review, the studies that did not report the measure of variation around the point estimates were excluded on the basis of insufficient reporting that was frequently associated with the poorer overall quality of the study</w:t>
      </w:r>
      <w:r>
        <w:t xml:space="preserve">. </w:t>
      </w:r>
    </w:p>
    <w:p w14:paraId="0E898FB3" w14:textId="77777777" w:rsidR="00DD0B2F" w:rsidRDefault="00DD0B2F" w:rsidP="003F5E94">
      <w:pPr>
        <w:pStyle w:val="ListParagraph"/>
        <w:ind w:left="0"/>
      </w:pPr>
    </w:p>
    <w:p w14:paraId="357A5147" w14:textId="12D2ABCE" w:rsidR="00D743B2" w:rsidRDefault="00AE3EA8" w:rsidP="003F5E94">
      <w:pPr>
        <w:pStyle w:val="ListParagraph"/>
        <w:ind w:left="0"/>
      </w:pPr>
      <w:r>
        <w:t>Table 2.3.3</w:t>
      </w:r>
      <w:r w:rsidR="00F74A1D">
        <w:t xml:space="preserve"> </w:t>
      </w:r>
      <w:r>
        <w:t>shows</w:t>
      </w:r>
      <w:r w:rsidR="00F74A1D">
        <w:t xml:space="preserve"> t</w:t>
      </w:r>
      <w:r w:rsidR="007209C8">
        <w:t>he pat</w:t>
      </w:r>
      <w:r w:rsidR="00DD0B2F">
        <w:t>ient</w:t>
      </w:r>
      <w:r w:rsidR="00A36E6E">
        <w:t xml:space="preserve"> flow through the trials. </w:t>
      </w:r>
    </w:p>
    <w:p w14:paraId="763F34E2" w14:textId="44F679F3" w:rsidR="00114A58" w:rsidRPr="0083333B" w:rsidRDefault="00F15D15" w:rsidP="006472D4">
      <w:pPr>
        <w:pStyle w:val="Caption"/>
        <w:ind w:hanging="720"/>
        <w:rPr>
          <w:sz w:val="22"/>
          <w:szCs w:val="22"/>
        </w:rPr>
      </w:pPr>
      <w:r w:rsidRPr="0083333B">
        <w:rPr>
          <w:sz w:val="22"/>
          <w:szCs w:val="22"/>
        </w:rPr>
        <w:t>Table 2.3.3</w:t>
      </w:r>
      <w:r w:rsidR="007209C8" w:rsidRPr="0083333B">
        <w:rPr>
          <w:sz w:val="22"/>
          <w:szCs w:val="22"/>
        </w:rPr>
        <w:tab/>
        <w:t>Flow of p</w:t>
      </w:r>
      <w:r w:rsidR="006472D4" w:rsidRPr="0083333B">
        <w:rPr>
          <w:sz w:val="22"/>
          <w:szCs w:val="22"/>
        </w:rPr>
        <w:t xml:space="preserve">articipants through the trials </w:t>
      </w:r>
    </w:p>
    <w:tbl>
      <w:tblPr>
        <w:tblStyle w:val="TableGrid1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105"/>
        <w:gridCol w:w="1061"/>
        <w:gridCol w:w="1446"/>
        <w:gridCol w:w="1185"/>
        <w:gridCol w:w="1582"/>
      </w:tblGrid>
      <w:tr w:rsidR="00114A58" w:rsidRPr="00114A58" w14:paraId="6417ACE4" w14:textId="77777777" w:rsidTr="00AE3EA8">
        <w:trPr>
          <w:cnfStyle w:val="100000000000" w:firstRow="1" w:lastRow="0" w:firstColumn="0" w:lastColumn="0" w:oddVBand="0" w:evenVBand="0" w:oddHBand="0" w:evenHBand="0" w:firstRowFirstColumn="0" w:firstRowLastColumn="0" w:lastRowFirstColumn="0" w:lastRowLastColumn="0"/>
          <w:tblHeader/>
        </w:trPr>
        <w:tc>
          <w:tcPr>
            <w:tcW w:w="1555" w:type="dxa"/>
          </w:tcPr>
          <w:p w14:paraId="360D32D8" w14:textId="77777777" w:rsidR="00114A58" w:rsidRPr="00114A58" w:rsidRDefault="00114A58" w:rsidP="00114A58">
            <w:pPr>
              <w:rPr>
                <w:rFonts w:ascii="Arial Narrow" w:hAnsi="Arial Narrow"/>
                <w:sz w:val="18"/>
                <w:szCs w:val="18"/>
              </w:rPr>
            </w:pPr>
            <w:r w:rsidRPr="00114A58">
              <w:rPr>
                <w:rFonts w:ascii="Arial Narrow" w:hAnsi="Arial Narrow"/>
                <w:sz w:val="18"/>
                <w:szCs w:val="18"/>
              </w:rPr>
              <w:t>Trial ID</w:t>
            </w:r>
          </w:p>
        </w:tc>
        <w:tc>
          <w:tcPr>
            <w:tcW w:w="1559" w:type="dxa"/>
          </w:tcPr>
          <w:p w14:paraId="33645053" w14:textId="77777777" w:rsidR="00114A58" w:rsidRPr="00114A58" w:rsidRDefault="00114A58" w:rsidP="00114A58">
            <w:pPr>
              <w:rPr>
                <w:rFonts w:ascii="Arial Narrow" w:hAnsi="Arial Narrow"/>
                <w:sz w:val="18"/>
                <w:szCs w:val="18"/>
              </w:rPr>
            </w:pPr>
            <w:r w:rsidRPr="00114A58">
              <w:rPr>
                <w:rFonts w:ascii="Arial Narrow" w:hAnsi="Arial Narrow"/>
                <w:sz w:val="18"/>
                <w:szCs w:val="18"/>
              </w:rPr>
              <w:t>Intervention arm</w:t>
            </w:r>
          </w:p>
        </w:tc>
        <w:tc>
          <w:tcPr>
            <w:tcW w:w="1105" w:type="dxa"/>
          </w:tcPr>
          <w:p w14:paraId="2A6A6169" w14:textId="77777777" w:rsidR="00114A58" w:rsidRPr="00114A58" w:rsidRDefault="00114A58" w:rsidP="00114A58">
            <w:pPr>
              <w:rPr>
                <w:rFonts w:ascii="Arial Narrow" w:hAnsi="Arial Narrow"/>
                <w:sz w:val="18"/>
                <w:szCs w:val="18"/>
              </w:rPr>
            </w:pPr>
            <w:r w:rsidRPr="00114A58">
              <w:rPr>
                <w:rFonts w:ascii="Arial Narrow" w:hAnsi="Arial Narrow"/>
                <w:sz w:val="18"/>
                <w:szCs w:val="18"/>
              </w:rPr>
              <w:t>No. randomised</w:t>
            </w:r>
          </w:p>
        </w:tc>
        <w:tc>
          <w:tcPr>
            <w:tcW w:w="1061" w:type="dxa"/>
          </w:tcPr>
          <w:p w14:paraId="4E27CA24" w14:textId="77777777" w:rsidR="00114A58" w:rsidRPr="00114A58" w:rsidRDefault="00114A58" w:rsidP="00114A58">
            <w:pPr>
              <w:rPr>
                <w:rFonts w:ascii="Arial Narrow" w:hAnsi="Arial Narrow"/>
                <w:sz w:val="18"/>
                <w:szCs w:val="18"/>
              </w:rPr>
            </w:pPr>
            <w:r w:rsidRPr="00114A58">
              <w:rPr>
                <w:rFonts w:ascii="Arial Narrow" w:hAnsi="Arial Narrow"/>
                <w:sz w:val="18"/>
                <w:szCs w:val="18"/>
              </w:rPr>
              <w:t>Did not receive intervention</w:t>
            </w:r>
          </w:p>
        </w:tc>
        <w:tc>
          <w:tcPr>
            <w:tcW w:w="1446" w:type="dxa"/>
          </w:tcPr>
          <w:p w14:paraId="6782AE7A" w14:textId="77777777" w:rsidR="00114A58" w:rsidRPr="00114A58" w:rsidRDefault="00114A58" w:rsidP="00114A58">
            <w:pPr>
              <w:rPr>
                <w:rFonts w:ascii="Arial Narrow" w:hAnsi="Arial Narrow"/>
                <w:sz w:val="18"/>
                <w:szCs w:val="18"/>
              </w:rPr>
            </w:pPr>
            <w:r w:rsidRPr="00114A58">
              <w:rPr>
                <w:rFonts w:ascii="Arial Narrow" w:hAnsi="Arial Narrow"/>
                <w:sz w:val="18"/>
                <w:szCs w:val="18"/>
              </w:rPr>
              <w:t>Lost to follow- up</w:t>
            </w:r>
          </w:p>
        </w:tc>
        <w:tc>
          <w:tcPr>
            <w:tcW w:w="1185" w:type="dxa"/>
          </w:tcPr>
          <w:p w14:paraId="1B6C71A3" w14:textId="77777777" w:rsidR="00114A58" w:rsidRPr="00114A58" w:rsidRDefault="00114A58" w:rsidP="00114A58">
            <w:pPr>
              <w:rPr>
                <w:rFonts w:ascii="Arial Narrow" w:hAnsi="Arial Narrow"/>
                <w:sz w:val="18"/>
                <w:szCs w:val="18"/>
              </w:rPr>
            </w:pPr>
            <w:r w:rsidRPr="00114A58">
              <w:rPr>
                <w:rFonts w:ascii="Arial Narrow" w:hAnsi="Arial Narrow"/>
                <w:sz w:val="18"/>
                <w:szCs w:val="18"/>
              </w:rPr>
              <w:t>Discontinued</w:t>
            </w:r>
          </w:p>
        </w:tc>
        <w:tc>
          <w:tcPr>
            <w:tcW w:w="1582" w:type="dxa"/>
          </w:tcPr>
          <w:p w14:paraId="2A504299" w14:textId="77777777" w:rsidR="00114A58" w:rsidRPr="00114A58" w:rsidRDefault="00114A58" w:rsidP="00114A58">
            <w:pPr>
              <w:rPr>
                <w:rFonts w:ascii="Arial Narrow" w:hAnsi="Arial Narrow"/>
                <w:sz w:val="18"/>
                <w:szCs w:val="18"/>
              </w:rPr>
            </w:pPr>
            <w:r w:rsidRPr="00114A58">
              <w:rPr>
                <w:rFonts w:ascii="Arial Narrow" w:hAnsi="Arial Narrow"/>
                <w:sz w:val="18"/>
                <w:szCs w:val="18"/>
              </w:rPr>
              <w:t>Analysed</w:t>
            </w:r>
          </w:p>
        </w:tc>
      </w:tr>
      <w:tr w:rsidR="00191CBF" w:rsidRPr="00114A58" w14:paraId="37679FBA" w14:textId="77777777" w:rsidTr="00AE3EA8">
        <w:trPr>
          <w:trHeight w:val="272"/>
        </w:trPr>
        <w:tc>
          <w:tcPr>
            <w:tcW w:w="9493" w:type="dxa"/>
            <w:gridSpan w:val="7"/>
            <w:vAlign w:val="center"/>
          </w:tcPr>
          <w:p w14:paraId="5548E6DB" w14:textId="77777777" w:rsidR="00AE3EA8" w:rsidRDefault="00AE3EA8" w:rsidP="00191CBF">
            <w:pPr>
              <w:jc w:val="center"/>
              <w:rPr>
                <w:rFonts w:ascii="Arial Narrow" w:eastAsia="Times New Roman" w:hAnsi="Arial Narrow" w:cs="Times New Roman"/>
                <w:b/>
                <w:sz w:val="18"/>
                <w:szCs w:val="20"/>
              </w:rPr>
            </w:pPr>
          </w:p>
          <w:p w14:paraId="68CD4216" w14:textId="77777777" w:rsidR="00191CBF" w:rsidRDefault="00191CBF" w:rsidP="00191CBF">
            <w:pPr>
              <w:jc w:val="center"/>
              <w:rPr>
                <w:rFonts w:ascii="Arial Narrow" w:eastAsia="Times New Roman" w:hAnsi="Arial Narrow" w:cs="Times New Roman"/>
                <w:b/>
                <w:sz w:val="18"/>
                <w:szCs w:val="20"/>
              </w:rPr>
            </w:pPr>
            <w:r>
              <w:rPr>
                <w:rFonts w:ascii="Arial Narrow" w:eastAsia="Times New Roman" w:hAnsi="Arial Narrow" w:cs="Times New Roman"/>
                <w:b/>
                <w:sz w:val="18"/>
                <w:szCs w:val="20"/>
              </w:rPr>
              <w:t>u</w:t>
            </w:r>
            <w:r w:rsidRPr="008F7393">
              <w:rPr>
                <w:rFonts w:ascii="Arial Narrow" w:eastAsia="Times New Roman" w:hAnsi="Arial Narrow" w:cs="Times New Roman"/>
                <w:b/>
                <w:sz w:val="18"/>
                <w:szCs w:val="20"/>
              </w:rPr>
              <w:t xml:space="preserve">p-titrating dose </w:t>
            </w:r>
            <w:r>
              <w:rPr>
                <w:rFonts w:ascii="Arial Narrow" w:eastAsia="Times New Roman" w:hAnsi="Arial Narrow" w:cs="Times New Roman"/>
                <w:b/>
                <w:sz w:val="18"/>
                <w:szCs w:val="20"/>
              </w:rPr>
              <w:t xml:space="preserve">of </w:t>
            </w:r>
            <w:r w:rsidRPr="008F7393">
              <w:rPr>
                <w:rFonts w:ascii="Arial Narrow" w:eastAsia="Times New Roman" w:hAnsi="Arial Narrow" w:cs="Times New Roman"/>
                <w:b/>
                <w:sz w:val="18"/>
                <w:szCs w:val="20"/>
              </w:rPr>
              <w:t xml:space="preserve">statin + ezetimibe vs up-titrating dose </w:t>
            </w:r>
            <w:r>
              <w:rPr>
                <w:rFonts w:ascii="Arial Narrow" w:eastAsia="Times New Roman" w:hAnsi="Arial Narrow" w:cs="Times New Roman"/>
                <w:b/>
                <w:sz w:val="18"/>
                <w:szCs w:val="20"/>
              </w:rPr>
              <w:t xml:space="preserve">of </w:t>
            </w:r>
            <w:r w:rsidRPr="008F7393">
              <w:rPr>
                <w:rFonts w:ascii="Arial Narrow" w:eastAsia="Times New Roman" w:hAnsi="Arial Narrow" w:cs="Times New Roman"/>
                <w:b/>
                <w:sz w:val="18"/>
                <w:szCs w:val="20"/>
              </w:rPr>
              <w:t>statin</w:t>
            </w:r>
          </w:p>
          <w:p w14:paraId="40848824" w14:textId="54984ACE" w:rsidR="00AE3EA8" w:rsidRPr="00114A58" w:rsidRDefault="00AE3EA8" w:rsidP="00191CBF">
            <w:pPr>
              <w:jc w:val="center"/>
              <w:rPr>
                <w:rFonts w:ascii="Arial Narrow" w:hAnsi="Arial Narrow"/>
                <w:sz w:val="18"/>
                <w:szCs w:val="18"/>
              </w:rPr>
            </w:pPr>
          </w:p>
        </w:tc>
      </w:tr>
      <w:tr w:rsidR="003931F1" w:rsidRPr="00114A58" w14:paraId="1BCA60F4" w14:textId="77777777" w:rsidTr="00AE3EA8">
        <w:tc>
          <w:tcPr>
            <w:tcW w:w="1555" w:type="dxa"/>
            <w:vMerge w:val="restart"/>
          </w:tcPr>
          <w:p w14:paraId="498AA0D8" w14:textId="44B927D4" w:rsidR="003931F1" w:rsidRPr="00114A58" w:rsidRDefault="003931F1" w:rsidP="003931F1">
            <w:pPr>
              <w:keepNext/>
              <w:spacing w:before="40" w:after="40"/>
              <w:rPr>
                <w:rFonts w:ascii="Arial Narrow" w:eastAsia="Times New Roman" w:hAnsi="Arial Narrow" w:cs="Calibri"/>
                <w:spacing w:val="-1"/>
                <w:sz w:val="18"/>
                <w:szCs w:val="18"/>
              </w:rPr>
            </w:pPr>
            <w:r>
              <w:rPr>
                <w:rFonts w:ascii="Arial Narrow" w:hAnsi="Arial Narrow" w:cs="Calibri"/>
                <w:spacing w:val="-1"/>
                <w:sz w:val="18"/>
                <w:szCs w:val="18"/>
              </w:rPr>
              <w:t xml:space="preserve">P025 </w:t>
            </w:r>
            <w:r w:rsidRPr="00114A58">
              <w:rPr>
                <w:rFonts w:ascii="Arial Narrow" w:hAnsi="Arial Narrow" w:cs="Calibri"/>
                <w:spacing w:val="-1"/>
                <w:sz w:val="18"/>
                <w:szCs w:val="18"/>
              </w:rPr>
              <w:t>Ballantyne 2004</w:t>
            </w:r>
          </w:p>
        </w:tc>
        <w:tc>
          <w:tcPr>
            <w:tcW w:w="1559" w:type="dxa"/>
          </w:tcPr>
          <w:p w14:paraId="66494859" w14:textId="3D178429" w:rsidR="003931F1" w:rsidRPr="00114A58" w:rsidRDefault="009A02D8" w:rsidP="009A02D8">
            <w:pPr>
              <w:rPr>
                <w:rFonts w:ascii="Arial Narrow" w:hAnsi="Arial Narrow"/>
                <w:sz w:val="18"/>
                <w:szCs w:val="18"/>
              </w:rPr>
            </w:pPr>
            <w:r>
              <w:rPr>
                <w:rFonts w:ascii="Arial Narrow" w:hAnsi="Arial Narrow"/>
                <w:sz w:val="18"/>
                <w:szCs w:val="18"/>
              </w:rPr>
              <w:t>EZ</w:t>
            </w:r>
            <w:r w:rsidR="003931F1" w:rsidRPr="00114A58">
              <w:rPr>
                <w:rFonts w:ascii="Arial Narrow" w:hAnsi="Arial Narrow"/>
                <w:sz w:val="18"/>
                <w:szCs w:val="18"/>
              </w:rPr>
              <w:t>+AT</w:t>
            </w:r>
            <w:r>
              <w:rPr>
                <w:rFonts w:ascii="Arial Narrow" w:hAnsi="Arial Narrow"/>
                <w:sz w:val="18"/>
                <w:szCs w:val="18"/>
              </w:rPr>
              <w:t>OR</w:t>
            </w:r>
          </w:p>
        </w:tc>
        <w:tc>
          <w:tcPr>
            <w:tcW w:w="1105" w:type="dxa"/>
          </w:tcPr>
          <w:p w14:paraId="24695BEB" w14:textId="5955C0BB" w:rsidR="003931F1" w:rsidRPr="00114A58" w:rsidRDefault="003931F1" w:rsidP="003931F1">
            <w:pPr>
              <w:rPr>
                <w:rFonts w:ascii="Arial Narrow" w:hAnsi="Arial Narrow"/>
                <w:sz w:val="18"/>
                <w:szCs w:val="18"/>
              </w:rPr>
            </w:pPr>
            <w:r w:rsidRPr="00114A58">
              <w:rPr>
                <w:rFonts w:ascii="Arial Narrow" w:hAnsi="Arial Narrow"/>
                <w:sz w:val="18"/>
                <w:szCs w:val="18"/>
              </w:rPr>
              <w:t>201</w:t>
            </w:r>
          </w:p>
        </w:tc>
        <w:tc>
          <w:tcPr>
            <w:tcW w:w="1061" w:type="dxa"/>
          </w:tcPr>
          <w:p w14:paraId="78F81B30" w14:textId="49CF9EE0" w:rsidR="003931F1" w:rsidRPr="00114A58" w:rsidRDefault="003931F1" w:rsidP="003931F1">
            <w:pPr>
              <w:rPr>
                <w:rFonts w:ascii="Arial Narrow" w:hAnsi="Arial Narrow"/>
                <w:sz w:val="18"/>
                <w:szCs w:val="18"/>
              </w:rPr>
            </w:pPr>
            <w:r w:rsidRPr="00114A58">
              <w:rPr>
                <w:rFonts w:ascii="Arial Narrow" w:hAnsi="Arial Narrow"/>
                <w:sz w:val="18"/>
                <w:szCs w:val="18"/>
              </w:rPr>
              <w:t>0</w:t>
            </w:r>
          </w:p>
        </w:tc>
        <w:tc>
          <w:tcPr>
            <w:tcW w:w="1446" w:type="dxa"/>
          </w:tcPr>
          <w:p w14:paraId="6137F1F4" w14:textId="3D0EC227" w:rsidR="003931F1" w:rsidRPr="00114A58" w:rsidRDefault="003931F1" w:rsidP="003931F1">
            <w:pPr>
              <w:rPr>
                <w:rFonts w:ascii="Arial Narrow" w:hAnsi="Arial Narrow"/>
                <w:sz w:val="18"/>
                <w:szCs w:val="18"/>
              </w:rPr>
            </w:pPr>
            <w:r w:rsidRPr="00114A58">
              <w:rPr>
                <w:rFonts w:ascii="Arial Narrow" w:hAnsi="Arial Narrow"/>
                <w:sz w:val="18"/>
                <w:szCs w:val="18"/>
              </w:rPr>
              <w:t>NA</w:t>
            </w:r>
          </w:p>
        </w:tc>
        <w:tc>
          <w:tcPr>
            <w:tcW w:w="1185" w:type="dxa"/>
          </w:tcPr>
          <w:p w14:paraId="3A49FEAC" w14:textId="7A3B36A5" w:rsidR="003931F1" w:rsidRPr="00114A58" w:rsidRDefault="003931F1" w:rsidP="003931F1">
            <w:pPr>
              <w:rPr>
                <w:rFonts w:ascii="Arial Narrow" w:hAnsi="Arial Narrow"/>
                <w:sz w:val="18"/>
                <w:szCs w:val="18"/>
              </w:rPr>
            </w:pPr>
            <w:r w:rsidRPr="00114A58">
              <w:rPr>
                <w:rFonts w:ascii="Arial Narrow" w:hAnsi="Arial Narrow"/>
                <w:sz w:val="18"/>
                <w:szCs w:val="18"/>
              </w:rPr>
              <w:t>18(9%)</w:t>
            </w:r>
          </w:p>
        </w:tc>
        <w:tc>
          <w:tcPr>
            <w:tcW w:w="1582" w:type="dxa"/>
          </w:tcPr>
          <w:p w14:paraId="43BBEEF1" w14:textId="4CAC4809" w:rsidR="003931F1" w:rsidRPr="00114A58" w:rsidRDefault="003931F1" w:rsidP="003931F1">
            <w:pPr>
              <w:rPr>
                <w:rFonts w:ascii="Arial Narrow" w:hAnsi="Arial Narrow"/>
                <w:sz w:val="18"/>
                <w:szCs w:val="18"/>
              </w:rPr>
            </w:pPr>
            <w:r w:rsidRPr="00114A58">
              <w:rPr>
                <w:rFonts w:ascii="Arial Narrow" w:hAnsi="Arial Narrow"/>
                <w:sz w:val="18"/>
                <w:szCs w:val="18"/>
              </w:rPr>
              <w:t>201(100%)</w:t>
            </w:r>
          </w:p>
        </w:tc>
      </w:tr>
      <w:tr w:rsidR="003931F1" w:rsidRPr="00114A58" w14:paraId="0C2CEDE1" w14:textId="77777777" w:rsidTr="00AE3EA8">
        <w:tc>
          <w:tcPr>
            <w:tcW w:w="1555" w:type="dxa"/>
            <w:vMerge/>
          </w:tcPr>
          <w:p w14:paraId="3DF63C78" w14:textId="77777777" w:rsidR="003931F1" w:rsidRPr="00114A58" w:rsidRDefault="003931F1" w:rsidP="003931F1">
            <w:pPr>
              <w:keepNext/>
              <w:spacing w:before="40" w:after="40"/>
              <w:rPr>
                <w:rFonts w:ascii="Arial Narrow" w:eastAsia="Times New Roman" w:hAnsi="Arial Narrow" w:cs="Calibri"/>
                <w:spacing w:val="-1"/>
                <w:sz w:val="18"/>
                <w:szCs w:val="18"/>
              </w:rPr>
            </w:pPr>
          </w:p>
        </w:tc>
        <w:tc>
          <w:tcPr>
            <w:tcW w:w="1559" w:type="dxa"/>
          </w:tcPr>
          <w:p w14:paraId="2A7A9A8A" w14:textId="0B84F1A7" w:rsidR="003931F1" w:rsidRPr="00114A58" w:rsidRDefault="009A02D8" w:rsidP="003931F1">
            <w:pPr>
              <w:rPr>
                <w:rFonts w:ascii="Arial Narrow" w:hAnsi="Arial Narrow"/>
                <w:sz w:val="18"/>
                <w:szCs w:val="18"/>
              </w:rPr>
            </w:pPr>
            <w:r w:rsidRPr="00114A58">
              <w:rPr>
                <w:rFonts w:ascii="Arial Narrow" w:hAnsi="Arial Narrow"/>
                <w:sz w:val="18"/>
                <w:szCs w:val="18"/>
              </w:rPr>
              <w:t xml:space="preserve">PBO+ </w:t>
            </w:r>
            <w:r w:rsidR="003931F1" w:rsidRPr="00114A58">
              <w:rPr>
                <w:rFonts w:ascii="Arial Narrow" w:hAnsi="Arial Narrow"/>
                <w:sz w:val="18"/>
                <w:szCs w:val="18"/>
              </w:rPr>
              <w:t>AT</w:t>
            </w:r>
            <w:r>
              <w:rPr>
                <w:rFonts w:ascii="Arial Narrow" w:hAnsi="Arial Narrow"/>
                <w:sz w:val="18"/>
                <w:szCs w:val="18"/>
              </w:rPr>
              <w:t>OR</w:t>
            </w:r>
          </w:p>
        </w:tc>
        <w:tc>
          <w:tcPr>
            <w:tcW w:w="1105" w:type="dxa"/>
          </w:tcPr>
          <w:p w14:paraId="3C877CE5" w14:textId="25B1246F" w:rsidR="003931F1" w:rsidRPr="00114A58" w:rsidRDefault="003931F1" w:rsidP="003931F1">
            <w:pPr>
              <w:rPr>
                <w:rFonts w:ascii="Arial Narrow" w:hAnsi="Arial Narrow"/>
                <w:sz w:val="18"/>
                <w:szCs w:val="18"/>
              </w:rPr>
            </w:pPr>
            <w:r w:rsidRPr="00114A58">
              <w:rPr>
                <w:rFonts w:ascii="Arial Narrow" w:hAnsi="Arial Narrow"/>
                <w:sz w:val="18"/>
                <w:szCs w:val="18"/>
              </w:rPr>
              <w:t>45</w:t>
            </w:r>
          </w:p>
        </w:tc>
        <w:tc>
          <w:tcPr>
            <w:tcW w:w="1061" w:type="dxa"/>
          </w:tcPr>
          <w:p w14:paraId="34CF3216" w14:textId="17CF80BB" w:rsidR="003931F1" w:rsidRPr="00114A58" w:rsidRDefault="003931F1" w:rsidP="003931F1">
            <w:pPr>
              <w:rPr>
                <w:rFonts w:ascii="Arial Narrow" w:hAnsi="Arial Narrow"/>
                <w:sz w:val="18"/>
                <w:szCs w:val="18"/>
              </w:rPr>
            </w:pPr>
            <w:r w:rsidRPr="00114A58">
              <w:rPr>
                <w:rFonts w:ascii="Arial Narrow" w:hAnsi="Arial Narrow"/>
                <w:sz w:val="18"/>
                <w:szCs w:val="18"/>
              </w:rPr>
              <w:t>0</w:t>
            </w:r>
          </w:p>
        </w:tc>
        <w:tc>
          <w:tcPr>
            <w:tcW w:w="1446" w:type="dxa"/>
          </w:tcPr>
          <w:p w14:paraId="0BC1481E" w14:textId="0E8A4793" w:rsidR="003931F1" w:rsidRPr="00114A58" w:rsidRDefault="003931F1" w:rsidP="003931F1">
            <w:pPr>
              <w:rPr>
                <w:rFonts w:ascii="Arial Narrow" w:hAnsi="Arial Narrow"/>
                <w:sz w:val="18"/>
                <w:szCs w:val="18"/>
              </w:rPr>
            </w:pPr>
            <w:r w:rsidRPr="00114A58">
              <w:rPr>
                <w:rFonts w:ascii="Arial Narrow" w:hAnsi="Arial Narrow"/>
                <w:sz w:val="18"/>
                <w:szCs w:val="18"/>
              </w:rPr>
              <w:t>NA</w:t>
            </w:r>
          </w:p>
        </w:tc>
        <w:tc>
          <w:tcPr>
            <w:tcW w:w="1185" w:type="dxa"/>
          </w:tcPr>
          <w:p w14:paraId="10F85D60" w14:textId="69E88A5F" w:rsidR="003931F1" w:rsidRPr="00114A58" w:rsidRDefault="003931F1" w:rsidP="003931F1">
            <w:pPr>
              <w:rPr>
                <w:rFonts w:ascii="Arial Narrow" w:hAnsi="Arial Narrow"/>
                <w:sz w:val="18"/>
                <w:szCs w:val="18"/>
              </w:rPr>
            </w:pPr>
            <w:r w:rsidRPr="00114A58">
              <w:rPr>
                <w:rFonts w:ascii="Arial Narrow" w:hAnsi="Arial Narrow"/>
                <w:sz w:val="18"/>
                <w:szCs w:val="18"/>
              </w:rPr>
              <w:t>3(7%)</w:t>
            </w:r>
          </w:p>
        </w:tc>
        <w:tc>
          <w:tcPr>
            <w:tcW w:w="1582" w:type="dxa"/>
          </w:tcPr>
          <w:p w14:paraId="2322E160" w14:textId="191152A7" w:rsidR="003931F1" w:rsidRPr="00114A58" w:rsidRDefault="003931F1" w:rsidP="003931F1">
            <w:pPr>
              <w:rPr>
                <w:rFonts w:ascii="Arial Narrow" w:hAnsi="Arial Narrow"/>
                <w:sz w:val="18"/>
                <w:szCs w:val="18"/>
              </w:rPr>
            </w:pPr>
            <w:r w:rsidRPr="00114A58">
              <w:rPr>
                <w:rFonts w:ascii="Arial Narrow" w:hAnsi="Arial Narrow"/>
                <w:sz w:val="18"/>
                <w:szCs w:val="18"/>
              </w:rPr>
              <w:t>45(100%)</w:t>
            </w:r>
          </w:p>
        </w:tc>
      </w:tr>
      <w:tr w:rsidR="003931F1" w:rsidRPr="00114A58" w14:paraId="5AEF4A82" w14:textId="77777777" w:rsidTr="00AE3EA8">
        <w:tc>
          <w:tcPr>
            <w:tcW w:w="1555" w:type="dxa"/>
            <w:vMerge w:val="restart"/>
          </w:tcPr>
          <w:p w14:paraId="61537E14" w14:textId="4EC34EDC" w:rsidR="003931F1" w:rsidRPr="00114A58" w:rsidRDefault="003931F1" w:rsidP="003931F1">
            <w:pPr>
              <w:keepNext/>
              <w:spacing w:before="40" w:after="40"/>
              <w:rPr>
                <w:rFonts w:ascii="Arial Narrow" w:eastAsia="Times New Roman" w:hAnsi="Arial Narrow" w:cs="Calibri"/>
                <w:spacing w:val="-1"/>
                <w:sz w:val="18"/>
                <w:szCs w:val="18"/>
              </w:rPr>
            </w:pPr>
            <w:r w:rsidRPr="00114A58">
              <w:rPr>
                <w:rFonts w:ascii="Arial Narrow" w:hAnsi="Arial Narrow" w:cs="Calibri"/>
                <w:spacing w:val="-1"/>
                <w:sz w:val="18"/>
                <w:szCs w:val="18"/>
              </w:rPr>
              <w:t>McKenney 2007</w:t>
            </w:r>
          </w:p>
        </w:tc>
        <w:tc>
          <w:tcPr>
            <w:tcW w:w="1559" w:type="dxa"/>
          </w:tcPr>
          <w:p w14:paraId="5B18AE04" w14:textId="73820305" w:rsidR="003931F1" w:rsidRPr="00114A58" w:rsidRDefault="009A02D8" w:rsidP="003931F1">
            <w:pPr>
              <w:rPr>
                <w:rFonts w:ascii="Arial Narrow" w:hAnsi="Arial Narrow"/>
                <w:sz w:val="18"/>
                <w:szCs w:val="18"/>
              </w:rPr>
            </w:pPr>
            <w:r>
              <w:rPr>
                <w:rFonts w:ascii="Arial Narrow" w:hAnsi="Arial Narrow"/>
                <w:sz w:val="18"/>
                <w:szCs w:val="18"/>
              </w:rPr>
              <w:t>EZ</w:t>
            </w:r>
            <w:r w:rsidR="003931F1" w:rsidRPr="00114A58">
              <w:rPr>
                <w:rFonts w:ascii="Arial Narrow" w:hAnsi="Arial Narrow"/>
                <w:sz w:val="18"/>
                <w:szCs w:val="18"/>
              </w:rPr>
              <w:t>+SIM</w:t>
            </w:r>
          </w:p>
        </w:tc>
        <w:tc>
          <w:tcPr>
            <w:tcW w:w="1105" w:type="dxa"/>
          </w:tcPr>
          <w:p w14:paraId="5CD8A6BE" w14:textId="00D7801F" w:rsidR="003931F1" w:rsidRPr="00114A58" w:rsidRDefault="003931F1" w:rsidP="003931F1">
            <w:pPr>
              <w:rPr>
                <w:rFonts w:ascii="Arial Narrow" w:hAnsi="Arial Narrow"/>
                <w:sz w:val="18"/>
                <w:szCs w:val="18"/>
              </w:rPr>
            </w:pPr>
            <w:r w:rsidRPr="00114A58">
              <w:rPr>
                <w:rFonts w:ascii="Arial Narrow" w:hAnsi="Arial Narrow"/>
                <w:sz w:val="18"/>
                <w:szCs w:val="18"/>
              </w:rPr>
              <w:t>72</w:t>
            </w:r>
          </w:p>
        </w:tc>
        <w:tc>
          <w:tcPr>
            <w:tcW w:w="1061" w:type="dxa"/>
          </w:tcPr>
          <w:p w14:paraId="7E81B850" w14:textId="665AD0F1" w:rsidR="003931F1" w:rsidRPr="00114A58" w:rsidRDefault="003931F1" w:rsidP="003931F1">
            <w:pPr>
              <w:rPr>
                <w:rFonts w:ascii="Arial Narrow" w:hAnsi="Arial Narrow"/>
                <w:sz w:val="18"/>
                <w:szCs w:val="18"/>
              </w:rPr>
            </w:pPr>
            <w:r w:rsidRPr="00114A58">
              <w:rPr>
                <w:rFonts w:ascii="Arial Narrow" w:hAnsi="Arial Narrow"/>
                <w:sz w:val="18"/>
                <w:szCs w:val="18"/>
              </w:rPr>
              <w:t>NA</w:t>
            </w:r>
          </w:p>
        </w:tc>
        <w:tc>
          <w:tcPr>
            <w:tcW w:w="1446" w:type="dxa"/>
          </w:tcPr>
          <w:p w14:paraId="5188C77A" w14:textId="450EA9C8" w:rsidR="003931F1" w:rsidRPr="00114A58" w:rsidRDefault="003931F1" w:rsidP="003931F1">
            <w:pPr>
              <w:rPr>
                <w:rFonts w:ascii="Arial Narrow" w:hAnsi="Arial Narrow"/>
                <w:sz w:val="18"/>
                <w:szCs w:val="18"/>
              </w:rPr>
            </w:pPr>
            <w:r w:rsidRPr="00114A58">
              <w:rPr>
                <w:rFonts w:ascii="Arial Narrow" w:hAnsi="Arial Narrow"/>
                <w:sz w:val="18"/>
                <w:szCs w:val="18"/>
              </w:rPr>
              <w:t>NA</w:t>
            </w:r>
          </w:p>
        </w:tc>
        <w:tc>
          <w:tcPr>
            <w:tcW w:w="1185" w:type="dxa"/>
          </w:tcPr>
          <w:p w14:paraId="07597B40" w14:textId="45A4C545" w:rsidR="003931F1" w:rsidRPr="00114A58" w:rsidRDefault="003931F1" w:rsidP="003931F1">
            <w:pPr>
              <w:rPr>
                <w:rFonts w:ascii="Arial Narrow" w:hAnsi="Arial Narrow"/>
                <w:sz w:val="18"/>
                <w:szCs w:val="18"/>
              </w:rPr>
            </w:pPr>
            <w:r w:rsidRPr="00114A58">
              <w:rPr>
                <w:rFonts w:ascii="Arial Narrow" w:hAnsi="Arial Narrow"/>
                <w:sz w:val="18"/>
                <w:szCs w:val="18"/>
              </w:rPr>
              <w:t>5 (6.5%)</w:t>
            </w:r>
          </w:p>
        </w:tc>
        <w:tc>
          <w:tcPr>
            <w:tcW w:w="1582" w:type="dxa"/>
          </w:tcPr>
          <w:p w14:paraId="0ED9F742" w14:textId="30190F26" w:rsidR="003931F1" w:rsidRPr="00114A58" w:rsidRDefault="003931F1" w:rsidP="003931F1">
            <w:pPr>
              <w:rPr>
                <w:rFonts w:ascii="Arial Narrow" w:hAnsi="Arial Narrow"/>
                <w:sz w:val="18"/>
                <w:szCs w:val="18"/>
              </w:rPr>
            </w:pPr>
            <w:r w:rsidRPr="00114A58">
              <w:rPr>
                <w:rFonts w:ascii="Arial Narrow" w:hAnsi="Arial Narrow"/>
                <w:sz w:val="18"/>
                <w:szCs w:val="18"/>
              </w:rPr>
              <w:t>72 (93.5%)</w:t>
            </w:r>
          </w:p>
        </w:tc>
      </w:tr>
      <w:tr w:rsidR="003931F1" w:rsidRPr="00114A58" w14:paraId="2BFC58CF" w14:textId="77777777" w:rsidTr="00AE3EA8">
        <w:tc>
          <w:tcPr>
            <w:tcW w:w="1555" w:type="dxa"/>
            <w:vMerge/>
          </w:tcPr>
          <w:p w14:paraId="290A4B86" w14:textId="77777777" w:rsidR="003931F1" w:rsidRPr="00114A58" w:rsidRDefault="003931F1" w:rsidP="003931F1">
            <w:pPr>
              <w:keepNext/>
              <w:spacing w:before="40" w:after="40"/>
              <w:rPr>
                <w:rFonts w:ascii="Arial Narrow" w:eastAsia="Times New Roman" w:hAnsi="Arial Narrow" w:cs="Calibri"/>
                <w:spacing w:val="-1"/>
                <w:sz w:val="18"/>
                <w:szCs w:val="18"/>
              </w:rPr>
            </w:pPr>
          </w:p>
        </w:tc>
        <w:tc>
          <w:tcPr>
            <w:tcW w:w="1559" w:type="dxa"/>
          </w:tcPr>
          <w:p w14:paraId="0B00158C" w14:textId="105083EF" w:rsidR="003931F1" w:rsidRPr="00114A58" w:rsidRDefault="003931F1" w:rsidP="003931F1">
            <w:pPr>
              <w:rPr>
                <w:rFonts w:ascii="Arial Narrow" w:hAnsi="Arial Narrow"/>
                <w:sz w:val="18"/>
                <w:szCs w:val="18"/>
              </w:rPr>
            </w:pPr>
            <w:r w:rsidRPr="00114A58">
              <w:rPr>
                <w:rFonts w:ascii="Arial Narrow" w:hAnsi="Arial Narrow"/>
                <w:sz w:val="18"/>
                <w:szCs w:val="18"/>
              </w:rPr>
              <w:t>ROS</w:t>
            </w:r>
            <w:r w:rsidR="009A02D8">
              <w:rPr>
                <w:rFonts w:ascii="Arial Narrow" w:hAnsi="Arial Narrow"/>
                <w:sz w:val="18"/>
                <w:szCs w:val="18"/>
              </w:rPr>
              <w:t>UV</w:t>
            </w:r>
          </w:p>
        </w:tc>
        <w:tc>
          <w:tcPr>
            <w:tcW w:w="1105" w:type="dxa"/>
          </w:tcPr>
          <w:p w14:paraId="1D474260" w14:textId="332828BB" w:rsidR="003931F1" w:rsidRPr="00114A58" w:rsidRDefault="003931F1" w:rsidP="003931F1">
            <w:pPr>
              <w:rPr>
                <w:rFonts w:ascii="Arial Narrow" w:hAnsi="Arial Narrow"/>
                <w:sz w:val="18"/>
                <w:szCs w:val="18"/>
              </w:rPr>
            </w:pPr>
            <w:r w:rsidRPr="00114A58">
              <w:rPr>
                <w:rFonts w:ascii="Arial Narrow" w:hAnsi="Arial Narrow"/>
                <w:sz w:val="18"/>
                <w:szCs w:val="18"/>
              </w:rPr>
              <w:t>73</w:t>
            </w:r>
          </w:p>
        </w:tc>
        <w:tc>
          <w:tcPr>
            <w:tcW w:w="1061" w:type="dxa"/>
          </w:tcPr>
          <w:p w14:paraId="51CA1E49" w14:textId="26AF6A19" w:rsidR="003931F1" w:rsidRPr="00114A58" w:rsidRDefault="003931F1" w:rsidP="003931F1">
            <w:pPr>
              <w:rPr>
                <w:rFonts w:ascii="Arial Narrow" w:hAnsi="Arial Narrow"/>
                <w:sz w:val="18"/>
                <w:szCs w:val="18"/>
              </w:rPr>
            </w:pPr>
            <w:r w:rsidRPr="00114A58">
              <w:rPr>
                <w:rFonts w:ascii="Arial Narrow" w:hAnsi="Arial Narrow"/>
                <w:sz w:val="18"/>
                <w:szCs w:val="18"/>
              </w:rPr>
              <w:t>NA</w:t>
            </w:r>
          </w:p>
        </w:tc>
        <w:tc>
          <w:tcPr>
            <w:tcW w:w="1446" w:type="dxa"/>
          </w:tcPr>
          <w:p w14:paraId="51F8C650" w14:textId="32860498" w:rsidR="003931F1" w:rsidRPr="00114A58" w:rsidRDefault="003931F1" w:rsidP="003931F1">
            <w:pPr>
              <w:rPr>
                <w:rFonts w:ascii="Arial Narrow" w:hAnsi="Arial Narrow"/>
                <w:sz w:val="18"/>
                <w:szCs w:val="18"/>
              </w:rPr>
            </w:pPr>
            <w:r w:rsidRPr="00114A58">
              <w:rPr>
                <w:rFonts w:ascii="Arial Narrow" w:hAnsi="Arial Narrow"/>
                <w:sz w:val="18"/>
                <w:szCs w:val="18"/>
              </w:rPr>
              <w:t>NA</w:t>
            </w:r>
          </w:p>
        </w:tc>
        <w:tc>
          <w:tcPr>
            <w:tcW w:w="1185" w:type="dxa"/>
          </w:tcPr>
          <w:p w14:paraId="4FDCC533" w14:textId="22D9F8EE" w:rsidR="003931F1" w:rsidRPr="00114A58" w:rsidRDefault="003931F1" w:rsidP="003931F1">
            <w:pPr>
              <w:rPr>
                <w:rFonts w:ascii="Arial Narrow" w:hAnsi="Arial Narrow"/>
                <w:sz w:val="18"/>
                <w:szCs w:val="18"/>
              </w:rPr>
            </w:pPr>
            <w:r w:rsidRPr="00114A58">
              <w:rPr>
                <w:rFonts w:ascii="Arial Narrow" w:hAnsi="Arial Narrow"/>
                <w:sz w:val="18"/>
                <w:szCs w:val="18"/>
              </w:rPr>
              <w:t>3 (3.9%)</w:t>
            </w:r>
          </w:p>
        </w:tc>
        <w:tc>
          <w:tcPr>
            <w:tcW w:w="1582" w:type="dxa"/>
          </w:tcPr>
          <w:p w14:paraId="63862312" w14:textId="7E80DF2E" w:rsidR="003931F1" w:rsidRPr="00114A58" w:rsidRDefault="003931F1" w:rsidP="003931F1">
            <w:pPr>
              <w:rPr>
                <w:rFonts w:ascii="Arial Narrow" w:hAnsi="Arial Narrow"/>
                <w:sz w:val="18"/>
                <w:szCs w:val="18"/>
              </w:rPr>
            </w:pPr>
            <w:r w:rsidRPr="00114A58">
              <w:rPr>
                <w:rFonts w:ascii="Arial Narrow" w:hAnsi="Arial Narrow"/>
                <w:sz w:val="18"/>
                <w:szCs w:val="18"/>
              </w:rPr>
              <w:t>73 (96.1%)</w:t>
            </w:r>
          </w:p>
        </w:tc>
      </w:tr>
      <w:tr w:rsidR="003931F1" w:rsidRPr="00114A58" w14:paraId="0585081F" w14:textId="77777777" w:rsidTr="00AE3EA8">
        <w:tc>
          <w:tcPr>
            <w:tcW w:w="1555" w:type="dxa"/>
            <w:vMerge w:val="restart"/>
          </w:tcPr>
          <w:p w14:paraId="1BEDF945" w14:textId="2ECFBFE6" w:rsidR="003931F1" w:rsidRPr="00114A58" w:rsidRDefault="003931F1" w:rsidP="003931F1">
            <w:pPr>
              <w:keepNext/>
              <w:spacing w:before="40" w:after="40"/>
              <w:rPr>
                <w:rFonts w:ascii="Arial Narrow" w:eastAsia="Times New Roman" w:hAnsi="Arial Narrow" w:cs="Calibri"/>
                <w:spacing w:val="-1"/>
                <w:sz w:val="18"/>
                <w:szCs w:val="18"/>
              </w:rPr>
            </w:pPr>
            <w:r w:rsidRPr="003931F1">
              <w:rPr>
                <w:rFonts w:ascii="Arial Narrow" w:hAnsi="Arial Narrow" w:cs="Calibri"/>
                <w:spacing w:val="-1"/>
                <w:sz w:val="18"/>
                <w:szCs w:val="18"/>
              </w:rPr>
              <w:t>Stein 2004</w:t>
            </w:r>
          </w:p>
        </w:tc>
        <w:tc>
          <w:tcPr>
            <w:tcW w:w="1559" w:type="dxa"/>
          </w:tcPr>
          <w:p w14:paraId="13807A4D" w14:textId="662AC99B" w:rsidR="003931F1" w:rsidRPr="00114A58" w:rsidRDefault="009A02D8" w:rsidP="003931F1">
            <w:pPr>
              <w:rPr>
                <w:rFonts w:ascii="Arial Narrow" w:hAnsi="Arial Narrow"/>
                <w:sz w:val="18"/>
                <w:szCs w:val="18"/>
              </w:rPr>
            </w:pPr>
            <w:r>
              <w:rPr>
                <w:rFonts w:ascii="Arial Narrow" w:hAnsi="Arial Narrow" w:cs="Calibri"/>
                <w:spacing w:val="-1"/>
                <w:sz w:val="18"/>
                <w:szCs w:val="18"/>
              </w:rPr>
              <w:t>EZ</w:t>
            </w:r>
            <w:r w:rsidR="003931F1" w:rsidRPr="003931F1">
              <w:rPr>
                <w:rFonts w:ascii="Arial Narrow" w:hAnsi="Arial Narrow" w:cs="Calibri"/>
                <w:spacing w:val="-1"/>
                <w:sz w:val="18"/>
                <w:szCs w:val="18"/>
              </w:rPr>
              <w:t>+AT</w:t>
            </w:r>
            <w:r>
              <w:rPr>
                <w:rFonts w:ascii="Arial Narrow" w:hAnsi="Arial Narrow" w:cs="Calibri"/>
                <w:spacing w:val="-1"/>
                <w:sz w:val="18"/>
                <w:szCs w:val="18"/>
              </w:rPr>
              <w:t>OR</w:t>
            </w:r>
          </w:p>
        </w:tc>
        <w:tc>
          <w:tcPr>
            <w:tcW w:w="1105" w:type="dxa"/>
          </w:tcPr>
          <w:p w14:paraId="42E09DB9" w14:textId="230ADD05"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305</w:t>
            </w:r>
          </w:p>
        </w:tc>
        <w:tc>
          <w:tcPr>
            <w:tcW w:w="1061" w:type="dxa"/>
          </w:tcPr>
          <w:p w14:paraId="3E0F97D0" w14:textId="72CDDD42"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0</w:t>
            </w:r>
          </w:p>
        </w:tc>
        <w:tc>
          <w:tcPr>
            <w:tcW w:w="1446" w:type="dxa"/>
          </w:tcPr>
          <w:p w14:paraId="773FE15F" w14:textId="5EAE2203"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3(0.9%)</w:t>
            </w:r>
          </w:p>
        </w:tc>
        <w:tc>
          <w:tcPr>
            <w:tcW w:w="1185" w:type="dxa"/>
          </w:tcPr>
          <w:p w14:paraId="68B5FF68" w14:textId="595BC2CD"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27(9%)</w:t>
            </w:r>
          </w:p>
        </w:tc>
        <w:tc>
          <w:tcPr>
            <w:tcW w:w="1582" w:type="dxa"/>
          </w:tcPr>
          <w:p w14:paraId="29142966" w14:textId="304D1A06"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293(96%)</w:t>
            </w:r>
          </w:p>
        </w:tc>
      </w:tr>
      <w:tr w:rsidR="003931F1" w:rsidRPr="00114A58" w14:paraId="42AEEDBD" w14:textId="77777777" w:rsidTr="00AE3EA8">
        <w:tc>
          <w:tcPr>
            <w:tcW w:w="1555" w:type="dxa"/>
            <w:vMerge/>
          </w:tcPr>
          <w:p w14:paraId="33D9B6E3" w14:textId="77777777" w:rsidR="003931F1" w:rsidRPr="00114A58" w:rsidRDefault="003931F1" w:rsidP="003931F1">
            <w:pPr>
              <w:keepNext/>
              <w:spacing w:before="40" w:after="40"/>
              <w:rPr>
                <w:rFonts w:ascii="Arial Narrow" w:eastAsia="Times New Roman" w:hAnsi="Arial Narrow" w:cs="Calibri"/>
                <w:spacing w:val="-1"/>
                <w:sz w:val="18"/>
                <w:szCs w:val="18"/>
              </w:rPr>
            </w:pPr>
          </w:p>
        </w:tc>
        <w:tc>
          <w:tcPr>
            <w:tcW w:w="1559" w:type="dxa"/>
          </w:tcPr>
          <w:p w14:paraId="4249ED9E" w14:textId="189AF3BA" w:rsidR="003931F1" w:rsidRPr="00114A58" w:rsidRDefault="009A02D8" w:rsidP="003931F1">
            <w:pPr>
              <w:rPr>
                <w:rFonts w:ascii="Arial Narrow" w:hAnsi="Arial Narrow"/>
                <w:sz w:val="18"/>
                <w:szCs w:val="18"/>
              </w:rPr>
            </w:pPr>
            <w:r w:rsidRPr="00114A58">
              <w:rPr>
                <w:rFonts w:ascii="Arial Narrow" w:hAnsi="Arial Narrow"/>
                <w:sz w:val="18"/>
                <w:szCs w:val="18"/>
              </w:rPr>
              <w:t xml:space="preserve">PBO+ </w:t>
            </w:r>
            <w:r w:rsidRPr="003931F1">
              <w:rPr>
                <w:rFonts w:ascii="Arial Narrow" w:hAnsi="Arial Narrow" w:cs="Calibri"/>
                <w:spacing w:val="-1"/>
                <w:sz w:val="18"/>
                <w:szCs w:val="18"/>
              </w:rPr>
              <w:t>AT</w:t>
            </w:r>
            <w:r>
              <w:rPr>
                <w:rFonts w:ascii="Arial Narrow" w:hAnsi="Arial Narrow" w:cs="Calibri"/>
                <w:spacing w:val="-1"/>
                <w:sz w:val="18"/>
                <w:szCs w:val="18"/>
              </w:rPr>
              <w:t>OR</w:t>
            </w:r>
          </w:p>
        </w:tc>
        <w:tc>
          <w:tcPr>
            <w:tcW w:w="1105" w:type="dxa"/>
          </w:tcPr>
          <w:p w14:paraId="292DA75B" w14:textId="386FF9AE"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316</w:t>
            </w:r>
          </w:p>
        </w:tc>
        <w:tc>
          <w:tcPr>
            <w:tcW w:w="1061" w:type="dxa"/>
          </w:tcPr>
          <w:p w14:paraId="577A298C" w14:textId="3ACA4E45"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0</w:t>
            </w:r>
          </w:p>
        </w:tc>
        <w:tc>
          <w:tcPr>
            <w:tcW w:w="1446" w:type="dxa"/>
          </w:tcPr>
          <w:p w14:paraId="0498B163" w14:textId="7E298088"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1(0.3%)</w:t>
            </w:r>
          </w:p>
        </w:tc>
        <w:tc>
          <w:tcPr>
            <w:tcW w:w="1185" w:type="dxa"/>
          </w:tcPr>
          <w:p w14:paraId="70D9C80D" w14:textId="1934EEF3"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26(8%)</w:t>
            </w:r>
          </w:p>
        </w:tc>
        <w:tc>
          <w:tcPr>
            <w:tcW w:w="1582" w:type="dxa"/>
          </w:tcPr>
          <w:p w14:paraId="6DDC978D" w14:textId="1EBF9867"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303(96%)</w:t>
            </w:r>
          </w:p>
        </w:tc>
      </w:tr>
      <w:tr w:rsidR="003931F1" w:rsidRPr="00114A58" w14:paraId="4D09E213" w14:textId="77777777" w:rsidTr="00AE3EA8">
        <w:tc>
          <w:tcPr>
            <w:tcW w:w="1555" w:type="dxa"/>
            <w:vMerge w:val="restart"/>
          </w:tcPr>
          <w:p w14:paraId="31A159DE" w14:textId="5CA0847D" w:rsidR="003931F1" w:rsidRPr="00114A58" w:rsidRDefault="003931F1" w:rsidP="003931F1">
            <w:pPr>
              <w:keepNext/>
              <w:spacing w:before="40" w:after="40"/>
              <w:rPr>
                <w:rFonts w:ascii="Arial Narrow" w:eastAsia="Times New Roman" w:hAnsi="Arial Narrow" w:cs="Calibri"/>
                <w:spacing w:val="-1"/>
                <w:sz w:val="18"/>
                <w:szCs w:val="18"/>
              </w:rPr>
            </w:pPr>
            <w:r>
              <w:rPr>
                <w:rFonts w:ascii="Arial Narrow" w:hAnsi="Arial Narrow" w:cs="Calibri"/>
                <w:spacing w:val="-1"/>
                <w:sz w:val="18"/>
                <w:szCs w:val="18"/>
              </w:rPr>
              <w:t xml:space="preserve">Cannon </w:t>
            </w:r>
            <w:r w:rsidRPr="003931F1">
              <w:rPr>
                <w:rFonts w:ascii="Arial Narrow" w:hAnsi="Arial Narrow" w:cs="Calibri"/>
                <w:spacing w:val="-1"/>
                <w:sz w:val="18"/>
                <w:szCs w:val="18"/>
              </w:rPr>
              <w:t>2015 IMPROVE-IT</w:t>
            </w:r>
          </w:p>
        </w:tc>
        <w:tc>
          <w:tcPr>
            <w:tcW w:w="1559" w:type="dxa"/>
          </w:tcPr>
          <w:p w14:paraId="160174B0" w14:textId="1CA0393D" w:rsidR="003931F1" w:rsidRPr="00114A58" w:rsidRDefault="009A02D8" w:rsidP="003931F1">
            <w:pPr>
              <w:rPr>
                <w:rFonts w:ascii="Arial Narrow" w:hAnsi="Arial Narrow"/>
                <w:sz w:val="18"/>
                <w:szCs w:val="18"/>
              </w:rPr>
            </w:pPr>
            <w:r>
              <w:rPr>
                <w:rFonts w:ascii="Arial Narrow" w:hAnsi="Arial Narrow" w:cs="Calibri"/>
                <w:spacing w:val="-1"/>
                <w:sz w:val="18"/>
                <w:szCs w:val="18"/>
              </w:rPr>
              <w:t>EZ</w:t>
            </w:r>
            <w:r w:rsidR="003931F1" w:rsidRPr="003931F1">
              <w:rPr>
                <w:rFonts w:ascii="Arial Narrow" w:hAnsi="Arial Narrow" w:cs="Calibri"/>
                <w:spacing w:val="-1"/>
                <w:sz w:val="18"/>
                <w:szCs w:val="18"/>
              </w:rPr>
              <w:t>+SIM</w:t>
            </w:r>
          </w:p>
        </w:tc>
        <w:tc>
          <w:tcPr>
            <w:tcW w:w="1105" w:type="dxa"/>
          </w:tcPr>
          <w:p w14:paraId="50E65203" w14:textId="5EFAD8F8"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9067</w:t>
            </w:r>
          </w:p>
        </w:tc>
        <w:tc>
          <w:tcPr>
            <w:tcW w:w="1061" w:type="dxa"/>
          </w:tcPr>
          <w:p w14:paraId="2EE52145" w14:textId="58629269"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216(2%)</w:t>
            </w:r>
          </w:p>
        </w:tc>
        <w:tc>
          <w:tcPr>
            <w:tcW w:w="1446" w:type="dxa"/>
          </w:tcPr>
          <w:p w14:paraId="273A284A" w14:textId="5897AAB2"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1008(11%)</w:t>
            </w:r>
          </w:p>
        </w:tc>
        <w:tc>
          <w:tcPr>
            <w:tcW w:w="1185" w:type="dxa"/>
          </w:tcPr>
          <w:p w14:paraId="7D2858A6" w14:textId="4D7C65BA"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2199 (25%)</w:t>
            </w:r>
          </w:p>
        </w:tc>
        <w:tc>
          <w:tcPr>
            <w:tcW w:w="1582" w:type="dxa"/>
          </w:tcPr>
          <w:p w14:paraId="0FDDDA3C" w14:textId="38575C19"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9067 (100%)</w:t>
            </w:r>
          </w:p>
        </w:tc>
      </w:tr>
      <w:tr w:rsidR="003931F1" w:rsidRPr="00114A58" w14:paraId="614E6558" w14:textId="77777777" w:rsidTr="00AE3EA8">
        <w:tc>
          <w:tcPr>
            <w:tcW w:w="1555" w:type="dxa"/>
            <w:vMerge/>
          </w:tcPr>
          <w:p w14:paraId="0AE7CCED" w14:textId="77777777" w:rsidR="003931F1" w:rsidRPr="00114A58" w:rsidRDefault="003931F1" w:rsidP="003931F1">
            <w:pPr>
              <w:keepNext/>
              <w:spacing w:before="40" w:after="40"/>
              <w:rPr>
                <w:rFonts w:ascii="Arial Narrow" w:eastAsia="Times New Roman" w:hAnsi="Arial Narrow" w:cs="Calibri"/>
                <w:spacing w:val="-1"/>
                <w:sz w:val="18"/>
                <w:szCs w:val="18"/>
              </w:rPr>
            </w:pPr>
          </w:p>
        </w:tc>
        <w:tc>
          <w:tcPr>
            <w:tcW w:w="1559" w:type="dxa"/>
          </w:tcPr>
          <w:p w14:paraId="79AD5DC3" w14:textId="0A750885"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PBO+SIM</w:t>
            </w:r>
          </w:p>
        </w:tc>
        <w:tc>
          <w:tcPr>
            <w:tcW w:w="1105" w:type="dxa"/>
          </w:tcPr>
          <w:p w14:paraId="0AF2EE7D" w14:textId="46D49D33"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9077</w:t>
            </w:r>
          </w:p>
        </w:tc>
        <w:tc>
          <w:tcPr>
            <w:tcW w:w="1061" w:type="dxa"/>
          </w:tcPr>
          <w:p w14:paraId="24B3F393" w14:textId="659F80EC"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222(2%)</w:t>
            </w:r>
          </w:p>
        </w:tc>
        <w:tc>
          <w:tcPr>
            <w:tcW w:w="1446" w:type="dxa"/>
          </w:tcPr>
          <w:p w14:paraId="269410CA" w14:textId="3321BDF2"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1018(11%)</w:t>
            </w:r>
          </w:p>
        </w:tc>
        <w:tc>
          <w:tcPr>
            <w:tcW w:w="1185" w:type="dxa"/>
          </w:tcPr>
          <w:p w14:paraId="1954ECAD" w14:textId="3080A915"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2217(24%)</w:t>
            </w:r>
          </w:p>
        </w:tc>
        <w:tc>
          <w:tcPr>
            <w:tcW w:w="1582" w:type="dxa"/>
          </w:tcPr>
          <w:p w14:paraId="6A0873C6" w14:textId="52E35EFF"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9077(100%)</w:t>
            </w:r>
          </w:p>
        </w:tc>
      </w:tr>
      <w:tr w:rsidR="003931F1" w:rsidRPr="00114A58" w14:paraId="4ECE044D" w14:textId="77777777" w:rsidTr="00AE3EA8">
        <w:trPr>
          <w:trHeight w:val="209"/>
        </w:trPr>
        <w:tc>
          <w:tcPr>
            <w:tcW w:w="9493" w:type="dxa"/>
            <w:gridSpan w:val="7"/>
          </w:tcPr>
          <w:p w14:paraId="3715AADE" w14:textId="77777777" w:rsidR="00AE3EA8" w:rsidRDefault="00AE3EA8" w:rsidP="003931F1">
            <w:pPr>
              <w:jc w:val="center"/>
              <w:rPr>
                <w:rFonts w:ascii="Arial Narrow" w:eastAsia="Times New Roman" w:hAnsi="Arial Narrow" w:cs="Times New Roman"/>
                <w:b/>
                <w:sz w:val="18"/>
                <w:szCs w:val="20"/>
              </w:rPr>
            </w:pPr>
          </w:p>
          <w:p w14:paraId="6509ABFB" w14:textId="77777777" w:rsidR="003931F1" w:rsidRDefault="00790ABE" w:rsidP="003931F1">
            <w:pPr>
              <w:jc w:val="center"/>
              <w:rPr>
                <w:rFonts w:ascii="Arial Narrow" w:eastAsia="Times New Roman" w:hAnsi="Arial Narrow" w:cs="Times New Roman"/>
                <w:b/>
                <w:sz w:val="18"/>
                <w:szCs w:val="20"/>
              </w:rPr>
            </w:pPr>
            <w:r w:rsidRPr="00BF627D">
              <w:rPr>
                <w:rFonts w:ascii="Arial Narrow" w:eastAsia="Times New Roman" w:hAnsi="Arial Narrow" w:cs="Times New Roman"/>
                <w:b/>
                <w:sz w:val="18"/>
                <w:szCs w:val="20"/>
              </w:rPr>
              <w:t xml:space="preserve">fixed statin dose+ ezetimibe vs up-titrating statin </w:t>
            </w:r>
            <w:r w:rsidRPr="00790ABE">
              <w:rPr>
                <w:rFonts w:ascii="Arial Narrow" w:eastAsia="Times New Roman" w:hAnsi="Arial Narrow" w:cs="Times New Roman"/>
                <w:b/>
                <w:sz w:val="18"/>
                <w:szCs w:val="20"/>
              </w:rPr>
              <w:t>either in terms of dose or in terms of potency</w:t>
            </w:r>
          </w:p>
          <w:p w14:paraId="6DC58D63" w14:textId="59362A38" w:rsidR="00BA09FC" w:rsidRPr="00114A58" w:rsidRDefault="00BA09FC" w:rsidP="003931F1">
            <w:pPr>
              <w:jc w:val="center"/>
              <w:rPr>
                <w:rFonts w:ascii="Arial Narrow" w:hAnsi="Arial Narrow"/>
                <w:sz w:val="18"/>
                <w:szCs w:val="18"/>
              </w:rPr>
            </w:pPr>
          </w:p>
        </w:tc>
      </w:tr>
      <w:tr w:rsidR="003931F1" w:rsidRPr="00114A58" w14:paraId="5644BDE4" w14:textId="77777777" w:rsidTr="00AE3EA8">
        <w:tc>
          <w:tcPr>
            <w:tcW w:w="1555" w:type="dxa"/>
            <w:vMerge w:val="restart"/>
          </w:tcPr>
          <w:p w14:paraId="205B0C9A" w14:textId="113A434F" w:rsidR="003931F1" w:rsidRPr="00114A58" w:rsidRDefault="003931F1" w:rsidP="003931F1">
            <w:pPr>
              <w:keepNext/>
              <w:spacing w:before="40" w:after="40"/>
              <w:rPr>
                <w:rFonts w:ascii="Arial Narrow" w:hAnsi="Arial Narrow"/>
                <w:sz w:val="18"/>
                <w:szCs w:val="18"/>
              </w:rPr>
            </w:pPr>
            <w:r w:rsidRPr="003931F1">
              <w:rPr>
                <w:rFonts w:ascii="Arial Narrow" w:hAnsi="Arial Narrow" w:cs="Calibri"/>
                <w:spacing w:val="-1"/>
                <w:sz w:val="18"/>
                <w:szCs w:val="18"/>
              </w:rPr>
              <w:lastRenderedPageBreak/>
              <w:t>Leiter 2008</w:t>
            </w:r>
          </w:p>
        </w:tc>
        <w:tc>
          <w:tcPr>
            <w:tcW w:w="1559" w:type="dxa"/>
          </w:tcPr>
          <w:p w14:paraId="5FFF4284" w14:textId="4DCF1A03" w:rsidR="003931F1" w:rsidRPr="00114A58" w:rsidRDefault="00A36E6E" w:rsidP="003931F1">
            <w:pPr>
              <w:rPr>
                <w:rFonts w:ascii="Arial Narrow" w:hAnsi="Arial Narrow"/>
                <w:sz w:val="18"/>
                <w:szCs w:val="18"/>
              </w:rPr>
            </w:pPr>
            <w:r>
              <w:rPr>
                <w:rFonts w:ascii="Arial Narrow" w:hAnsi="Arial Narrow" w:cs="Calibri"/>
                <w:spacing w:val="-1"/>
                <w:sz w:val="18"/>
                <w:szCs w:val="18"/>
              </w:rPr>
              <w:t>EZ</w:t>
            </w:r>
            <w:r w:rsidR="003931F1" w:rsidRPr="003931F1">
              <w:rPr>
                <w:rFonts w:ascii="Arial Narrow" w:hAnsi="Arial Narrow" w:cs="Calibri"/>
                <w:spacing w:val="-1"/>
                <w:sz w:val="18"/>
                <w:szCs w:val="18"/>
              </w:rPr>
              <w:t>+ATOR</w:t>
            </w:r>
          </w:p>
        </w:tc>
        <w:tc>
          <w:tcPr>
            <w:tcW w:w="1105" w:type="dxa"/>
          </w:tcPr>
          <w:p w14:paraId="5EA7A23C" w14:textId="1D817A9A"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288</w:t>
            </w:r>
          </w:p>
        </w:tc>
        <w:tc>
          <w:tcPr>
            <w:tcW w:w="1061" w:type="dxa"/>
          </w:tcPr>
          <w:p w14:paraId="6007C14B" w14:textId="0B4923B1"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248F50DC" w14:textId="0FEAFB32"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1(0.3%)</w:t>
            </w:r>
          </w:p>
        </w:tc>
        <w:tc>
          <w:tcPr>
            <w:tcW w:w="1185" w:type="dxa"/>
          </w:tcPr>
          <w:p w14:paraId="291DD001" w14:textId="44B361FD"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9(3.1%)</w:t>
            </w:r>
          </w:p>
        </w:tc>
        <w:tc>
          <w:tcPr>
            <w:tcW w:w="1582" w:type="dxa"/>
          </w:tcPr>
          <w:p w14:paraId="77C18629" w14:textId="30C302EC"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277 (96.2%)</w:t>
            </w:r>
          </w:p>
        </w:tc>
      </w:tr>
      <w:tr w:rsidR="003931F1" w:rsidRPr="00114A58" w14:paraId="5EBA0BC5" w14:textId="77777777" w:rsidTr="00AE3EA8">
        <w:tc>
          <w:tcPr>
            <w:tcW w:w="1555" w:type="dxa"/>
            <w:vMerge/>
          </w:tcPr>
          <w:p w14:paraId="5ECC2E05" w14:textId="77777777" w:rsidR="003931F1" w:rsidRPr="00114A58" w:rsidRDefault="003931F1" w:rsidP="003931F1">
            <w:pPr>
              <w:keepNext/>
              <w:spacing w:before="40" w:after="40"/>
              <w:rPr>
                <w:rFonts w:ascii="Arial Narrow" w:hAnsi="Arial Narrow"/>
                <w:sz w:val="18"/>
                <w:szCs w:val="18"/>
              </w:rPr>
            </w:pPr>
          </w:p>
        </w:tc>
        <w:tc>
          <w:tcPr>
            <w:tcW w:w="1559" w:type="dxa"/>
          </w:tcPr>
          <w:p w14:paraId="5A0E6515" w14:textId="186FEB1A" w:rsidR="003931F1" w:rsidRPr="00114A58" w:rsidRDefault="009A02D8" w:rsidP="003931F1">
            <w:pPr>
              <w:rPr>
                <w:rFonts w:ascii="Arial Narrow" w:hAnsi="Arial Narrow"/>
                <w:sz w:val="18"/>
                <w:szCs w:val="18"/>
              </w:rPr>
            </w:pPr>
            <w:r w:rsidRPr="00114A58">
              <w:rPr>
                <w:rFonts w:ascii="Arial Narrow" w:hAnsi="Arial Narrow"/>
                <w:sz w:val="18"/>
                <w:szCs w:val="18"/>
              </w:rPr>
              <w:t xml:space="preserve">PBO+ </w:t>
            </w:r>
            <w:r w:rsidR="003931F1" w:rsidRPr="003931F1">
              <w:rPr>
                <w:rFonts w:ascii="Arial Narrow" w:hAnsi="Arial Narrow" w:cs="Calibri"/>
                <w:spacing w:val="-1"/>
                <w:sz w:val="18"/>
                <w:szCs w:val="18"/>
              </w:rPr>
              <w:t>ATOR</w:t>
            </w:r>
          </w:p>
        </w:tc>
        <w:tc>
          <w:tcPr>
            <w:tcW w:w="1105" w:type="dxa"/>
          </w:tcPr>
          <w:p w14:paraId="7548CCB7" w14:textId="63B7E274"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291</w:t>
            </w:r>
          </w:p>
        </w:tc>
        <w:tc>
          <w:tcPr>
            <w:tcW w:w="1061" w:type="dxa"/>
          </w:tcPr>
          <w:p w14:paraId="04E26C84" w14:textId="2077553C"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7D69A3F2" w14:textId="1D0D9127"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1(0.3%)</w:t>
            </w:r>
          </w:p>
        </w:tc>
        <w:tc>
          <w:tcPr>
            <w:tcW w:w="1185" w:type="dxa"/>
          </w:tcPr>
          <w:p w14:paraId="58C36A42" w14:textId="2C863B0B"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13(4.5%)</w:t>
            </w:r>
          </w:p>
        </w:tc>
        <w:tc>
          <w:tcPr>
            <w:tcW w:w="1582" w:type="dxa"/>
          </w:tcPr>
          <w:p w14:paraId="5BD03CD1" w14:textId="3493DF7A" w:rsidR="003931F1" w:rsidRPr="00114A58" w:rsidRDefault="003931F1" w:rsidP="003931F1">
            <w:pPr>
              <w:rPr>
                <w:rFonts w:ascii="Arial Narrow" w:hAnsi="Arial Narrow"/>
                <w:sz w:val="18"/>
                <w:szCs w:val="18"/>
              </w:rPr>
            </w:pPr>
            <w:r w:rsidRPr="003931F1">
              <w:rPr>
                <w:rFonts w:ascii="Arial Narrow" w:hAnsi="Arial Narrow" w:cs="Calibri"/>
                <w:spacing w:val="-1"/>
                <w:sz w:val="18"/>
                <w:szCs w:val="18"/>
              </w:rPr>
              <w:t>279 (95.9%)</w:t>
            </w:r>
          </w:p>
        </w:tc>
      </w:tr>
      <w:tr w:rsidR="009A02D8" w:rsidRPr="00114A58" w14:paraId="66EB9C51" w14:textId="77777777" w:rsidTr="00AE3EA8">
        <w:tc>
          <w:tcPr>
            <w:tcW w:w="1555" w:type="dxa"/>
            <w:vMerge w:val="restart"/>
          </w:tcPr>
          <w:p w14:paraId="67255D6F" w14:textId="15907231" w:rsidR="009A02D8" w:rsidRPr="00114A58" w:rsidRDefault="009A02D8" w:rsidP="009A02D8">
            <w:pPr>
              <w:keepNext/>
              <w:spacing w:before="40" w:after="40"/>
              <w:rPr>
                <w:rFonts w:ascii="Arial Narrow" w:hAnsi="Arial Narrow"/>
                <w:sz w:val="18"/>
                <w:szCs w:val="18"/>
              </w:rPr>
            </w:pPr>
            <w:r w:rsidRPr="009A02D8">
              <w:rPr>
                <w:rFonts w:ascii="Arial Narrow" w:hAnsi="Arial Narrow"/>
                <w:sz w:val="18"/>
                <w:szCs w:val="18"/>
              </w:rPr>
              <w:t>Teramoto 2012</w:t>
            </w:r>
          </w:p>
        </w:tc>
        <w:tc>
          <w:tcPr>
            <w:tcW w:w="1559" w:type="dxa"/>
          </w:tcPr>
          <w:p w14:paraId="1F7E5DE4" w14:textId="4E9B854B" w:rsidR="009A02D8" w:rsidRPr="00114A58" w:rsidRDefault="00A36E6E" w:rsidP="009A02D8">
            <w:pPr>
              <w:rPr>
                <w:rFonts w:ascii="Arial Narrow" w:hAnsi="Arial Narrow"/>
                <w:sz w:val="18"/>
                <w:szCs w:val="18"/>
              </w:rPr>
            </w:pPr>
            <w:r>
              <w:rPr>
                <w:rFonts w:ascii="Arial Narrow" w:hAnsi="Arial Narrow"/>
                <w:sz w:val="18"/>
                <w:szCs w:val="18"/>
              </w:rPr>
              <w:t>EZ</w:t>
            </w:r>
            <w:r w:rsidR="009A02D8" w:rsidRPr="009A02D8">
              <w:rPr>
                <w:rFonts w:ascii="Arial Narrow" w:hAnsi="Arial Narrow"/>
                <w:sz w:val="18"/>
                <w:szCs w:val="18"/>
              </w:rPr>
              <w:t>+ATOR</w:t>
            </w:r>
          </w:p>
        </w:tc>
        <w:tc>
          <w:tcPr>
            <w:tcW w:w="1105" w:type="dxa"/>
          </w:tcPr>
          <w:p w14:paraId="4DE4C340" w14:textId="0D949F73" w:rsidR="009A02D8" w:rsidRPr="00114A58" w:rsidRDefault="009A02D8" w:rsidP="009A02D8">
            <w:pPr>
              <w:rPr>
                <w:rFonts w:ascii="Arial Narrow" w:hAnsi="Arial Narrow"/>
                <w:sz w:val="18"/>
                <w:szCs w:val="18"/>
              </w:rPr>
            </w:pPr>
            <w:r w:rsidRPr="009A02D8">
              <w:rPr>
                <w:rFonts w:ascii="Arial Narrow" w:hAnsi="Arial Narrow"/>
                <w:sz w:val="18"/>
                <w:szCs w:val="18"/>
              </w:rPr>
              <w:t>47</w:t>
            </w:r>
          </w:p>
        </w:tc>
        <w:tc>
          <w:tcPr>
            <w:tcW w:w="1061" w:type="dxa"/>
          </w:tcPr>
          <w:p w14:paraId="5C235CC5" w14:textId="19B5AD29" w:rsidR="009A02D8" w:rsidRPr="00114A58" w:rsidRDefault="009A02D8" w:rsidP="009A02D8">
            <w:pPr>
              <w:rPr>
                <w:rFonts w:ascii="Arial Narrow" w:hAnsi="Arial Narrow"/>
                <w:sz w:val="18"/>
                <w:szCs w:val="18"/>
              </w:rPr>
            </w:pPr>
            <w:r w:rsidRPr="009A02D8">
              <w:rPr>
                <w:rFonts w:ascii="Arial Narrow" w:hAnsi="Arial Narrow"/>
                <w:sz w:val="18"/>
                <w:szCs w:val="18"/>
              </w:rPr>
              <w:t>NA</w:t>
            </w:r>
          </w:p>
        </w:tc>
        <w:tc>
          <w:tcPr>
            <w:tcW w:w="1446" w:type="dxa"/>
          </w:tcPr>
          <w:p w14:paraId="53AAC855" w14:textId="69C0C214" w:rsidR="009A02D8" w:rsidRPr="00114A58" w:rsidRDefault="009A02D8" w:rsidP="009A02D8">
            <w:pPr>
              <w:rPr>
                <w:rFonts w:ascii="Arial Narrow" w:hAnsi="Arial Narrow"/>
                <w:sz w:val="18"/>
                <w:szCs w:val="18"/>
              </w:rPr>
            </w:pPr>
            <w:r w:rsidRPr="009A02D8">
              <w:rPr>
                <w:rFonts w:ascii="Arial Narrow" w:hAnsi="Arial Narrow"/>
                <w:sz w:val="18"/>
                <w:szCs w:val="18"/>
              </w:rPr>
              <w:t>NA</w:t>
            </w:r>
          </w:p>
        </w:tc>
        <w:tc>
          <w:tcPr>
            <w:tcW w:w="1185" w:type="dxa"/>
          </w:tcPr>
          <w:p w14:paraId="59D44BC1" w14:textId="22E25E59" w:rsidR="009A02D8" w:rsidRPr="00114A58" w:rsidRDefault="009A02D8" w:rsidP="009A02D8">
            <w:pPr>
              <w:rPr>
                <w:rFonts w:ascii="Arial Narrow" w:hAnsi="Arial Narrow"/>
                <w:sz w:val="18"/>
                <w:szCs w:val="18"/>
              </w:rPr>
            </w:pPr>
            <w:r w:rsidRPr="009A02D8">
              <w:rPr>
                <w:rFonts w:ascii="Arial Narrow" w:hAnsi="Arial Narrow"/>
                <w:sz w:val="18"/>
                <w:szCs w:val="18"/>
              </w:rPr>
              <w:t>4 (8.5%)</w:t>
            </w:r>
          </w:p>
        </w:tc>
        <w:tc>
          <w:tcPr>
            <w:tcW w:w="1582" w:type="dxa"/>
          </w:tcPr>
          <w:p w14:paraId="406B1403" w14:textId="614A3114" w:rsidR="009A02D8" w:rsidRPr="00114A58" w:rsidRDefault="009A02D8" w:rsidP="009A02D8">
            <w:pPr>
              <w:rPr>
                <w:rFonts w:ascii="Arial Narrow" w:hAnsi="Arial Narrow"/>
                <w:sz w:val="18"/>
                <w:szCs w:val="18"/>
              </w:rPr>
            </w:pPr>
            <w:r w:rsidRPr="009A02D8">
              <w:rPr>
                <w:rFonts w:ascii="Arial Narrow" w:hAnsi="Arial Narrow"/>
                <w:sz w:val="18"/>
                <w:szCs w:val="18"/>
              </w:rPr>
              <w:t>47 (100%)</w:t>
            </w:r>
          </w:p>
        </w:tc>
      </w:tr>
      <w:tr w:rsidR="009A02D8" w:rsidRPr="00114A58" w14:paraId="41BED878" w14:textId="77777777" w:rsidTr="00AE3EA8">
        <w:tc>
          <w:tcPr>
            <w:tcW w:w="1555" w:type="dxa"/>
            <w:vMerge/>
          </w:tcPr>
          <w:p w14:paraId="06A2BA4C" w14:textId="77777777" w:rsidR="009A02D8" w:rsidRPr="00114A58" w:rsidRDefault="009A02D8" w:rsidP="009A02D8">
            <w:pPr>
              <w:keepNext/>
              <w:spacing w:before="40" w:after="40"/>
              <w:rPr>
                <w:rFonts w:ascii="Arial Narrow" w:hAnsi="Arial Narrow"/>
                <w:sz w:val="18"/>
                <w:szCs w:val="18"/>
              </w:rPr>
            </w:pPr>
          </w:p>
        </w:tc>
        <w:tc>
          <w:tcPr>
            <w:tcW w:w="1559" w:type="dxa"/>
          </w:tcPr>
          <w:p w14:paraId="2BD19E13" w14:textId="0595C9AB" w:rsidR="009A02D8" w:rsidRPr="00114A58" w:rsidRDefault="009A02D8" w:rsidP="009A02D8">
            <w:pPr>
              <w:rPr>
                <w:rFonts w:ascii="Arial Narrow" w:hAnsi="Arial Narrow"/>
                <w:sz w:val="18"/>
                <w:szCs w:val="18"/>
              </w:rPr>
            </w:pPr>
            <w:r w:rsidRPr="00114A58">
              <w:rPr>
                <w:rFonts w:ascii="Arial Narrow" w:hAnsi="Arial Narrow"/>
                <w:sz w:val="18"/>
                <w:szCs w:val="18"/>
              </w:rPr>
              <w:t xml:space="preserve">PBO+ </w:t>
            </w:r>
            <w:r w:rsidRPr="009A02D8">
              <w:rPr>
                <w:rFonts w:ascii="Arial Narrow" w:hAnsi="Arial Narrow"/>
                <w:sz w:val="18"/>
                <w:szCs w:val="18"/>
              </w:rPr>
              <w:t>ATOR</w:t>
            </w:r>
          </w:p>
        </w:tc>
        <w:tc>
          <w:tcPr>
            <w:tcW w:w="1105" w:type="dxa"/>
          </w:tcPr>
          <w:p w14:paraId="23AA0CAC" w14:textId="077DF18C" w:rsidR="009A02D8" w:rsidRPr="00114A58" w:rsidRDefault="009A02D8" w:rsidP="009A02D8">
            <w:pPr>
              <w:rPr>
                <w:rFonts w:ascii="Arial Narrow" w:hAnsi="Arial Narrow"/>
                <w:sz w:val="18"/>
                <w:szCs w:val="18"/>
              </w:rPr>
            </w:pPr>
            <w:r w:rsidRPr="009A02D8">
              <w:rPr>
                <w:rFonts w:ascii="Arial Narrow" w:hAnsi="Arial Narrow"/>
                <w:sz w:val="18"/>
                <w:szCs w:val="18"/>
              </w:rPr>
              <w:t>46</w:t>
            </w:r>
          </w:p>
        </w:tc>
        <w:tc>
          <w:tcPr>
            <w:tcW w:w="1061" w:type="dxa"/>
          </w:tcPr>
          <w:p w14:paraId="4DB4DB8B" w14:textId="05A8363E" w:rsidR="009A02D8" w:rsidRPr="00114A58" w:rsidRDefault="009A02D8" w:rsidP="009A02D8">
            <w:pPr>
              <w:rPr>
                <w:rFonts w:ascii="Arial Narrow" w:hAnsi="Arial Narrow"/>
                <w:sz w:val="18"/>
                <w:szCs w:val="18"/>
              </w:rPr>
            </w:pPr>
            <w:r w:rsidRPr="009A02D8">
              <w:rPr>
                <w:rFonts w:ascii="Arial Narrow" w:hAnsi="Arial Narrow"/>
                <w:sz w:val="18"/>
                <w:szCs w:val="18"/>
              </w:rPr>
              <w:t>NA</w:t>
            </w:r>
          </w:p>
        </w:tc>
        <w:tc>
          <w:tcPr>
            <w:tcW w:w="1446" w:type="dxa"/>
          </w:tcPr>
          <w:p w14:paraId="2E573668" w14:textId="2135ACB6" w:rsidR="009A02D8" w:rsidRPr="00114A58" w:rsidRDefault="009A02D8" w:rsidP="009A02D8">
            <w:pPr>
              <w:rPr>
                <w:rFonts w:ascii="Arial Narrow" w:hAnsi="Arial Narrow"/>
                <w:sz w:val="18"/>
                <w:szCs w:val="18"/>
              </w:rPr>
            </w:pPr>
            <w:r w:rsidRPr="009A02D8">
              <w:rPr>
                <w:rFonts w:ascii="Arial Narrow" w:hAnsi="Arial Narrow"/>
                <w:sz w:val="18"/>
                <w:szCs w:val="18"/>
              </w:rPr>
              <w:t>NA</w:t>
            </w:r>
          </w:p>
        </w:tc>
        <w:tc>
          <w:tcPr>
            <w:tcW w:w="1185" w:type="dxa"/>
          </w:tcPr>
          <w:p w14:paraId="62CEF9EA" w14:textId="232F80D6" w:rsidR="009A02D8" w:rsidRPr="00114A58" w:rsidRDefault="009A02D8" w:rsidP="009A02D8">
            <w:pPr>
              <w:rPr>
                <w:rFonts w:ascii="Arial Narrow" w:hAnsi="Arial Narrow"/>
                <w:sz w:val="18"/>
                <w:szCs w:val="18"/>
              </w:rPr>
            </w:pPr>
            <w:r w:rsidRPr="009A02D8">
              <w:rPr>
                <w:rFonts w:ascii="Arial Narrow" w:hAnsi="Arial Narrow"/>
                <w:sz w:val="18"/>
                <w:szCs w:val="18"/>
              </w:rPr>
              <w:t>1 (2.2%)</w:t>
            </w:r>
          </w:p>
        </w:tc>
        <w:tc>
          <w:tcPr>
            <w:tcW w:w="1582" w:type="dxa"/>
          </w:tcPr>
          <w:p w14:paraId="39566072" w14:textId="706E467D" w:rsidR="009A02D8" w:rsidRPr="00114A58" w:rsidRDefault="009A02D8" w:rsidP="009A02D8">
            <w:pPr>
              <w:rPr>
                <w:rFonts w:ascii="Arial Narrow" w:hAnsi="Arial Narrow"/>
                <w:sz w:val="18"/>
                <w:szCs w:val="18"/>
              </w:rPr>
            </w:pPr>
            <w:r w:rsidRPr="009A02D8">
              <w:rPr>
                <w:rFonts w:ascii="Arial Narrow" w:hAnsi="Arial Narrow"/>
                <w:sz w:val="18"/>
                <w:szCs w:val="18"/>
              </w:rPr>
              <w:t>46 (100%)</w:t>
            </w:r>
          </w:p>
        </w:tc>
      </w:tr>
      <w:tr w:rsidR="009A02D8" w:rsidRPr="00114A58" w14:paraId="6B412A3A" w14:textId="77777777" w:rsidTr="00AE3EA8">
        <w:tc>
          <w:tcPr>
            <w:tcW w:w="1555" w:type="dxa"/>
            <w:vMerge/>
          </w:tcPr>
          <w:p w14:paraId="21FA9EE2" w14:textId="77777777" w:rsidR="009A02D8" w:rsidRPr="00114A58" w:rsidRDefault="009A02D8" w:rsidP="009A02D8">
            <w:pPr>
              <w:keepNext/>
              <w:spacing w:before="40" w:after="40"/>
              <w:rPr>
                <w:rFonts w:ascii="Arial Narrow" w:hAnsi="Arial Narrow"/>
                <w:sz w:val="18"/>
                <w:szCs w:val="18"/>
              </w:rPr>
            </w:pPr>
          </w:p>
        </w:tc>
        <w:tc>
          <w:tcPr>
            <w:tcW w:w="1559" w:type="dxa"/>
          </w:tcPr>
          <w:p w14:paraId="26AE1B3F" w14:textId="5E665FA3" w:rsidR="009A02D8" w:rsidRPr="00114A58" w:rsidRDefault="009A02D8" w:rsidP="009A02D8">
            <w:pPr>
              <w:rPr>
                <w:rFonts w:ascii="Arial Narrow" w:hAnsi="Arial Narrow"/>
                <w:sz w:val="18"/>
                <w:szCs w:val="18"/>
              </w:rPr>
            </w:pPr>
            <w:r w:rsidRPr="00114A58">
              <w:rPr>
                <w:rFonts w:ascii="Arial Narrow" w:hAnsi="Arial Narrow"/>
                <w:sz w:val="18"/>
                <w:szCs w:val="18"/>
              </w:rPr>
              <w:t xml:space="preserve">PBO+ </w:t>
            </w:r>
            <w:r w:rsidRPr="009A02D8">
              <w:rPr>
                <w:rFonts w:ascii="Arial Narrow" w:hAnsi="Arial Narrow"/>
                <w:sz w:val="18"/>
                <w:szCs w:val="18"/>
              </w:rPr>
              <w:t>ROSU</w:t>
            </w:r>
            <w:r>
              <w:rPr>
                <w:rFonts w:ascii="Arial Narrow" w:hAnsi="Arial Narrow"/>
                <w:sz w:val="18"/>
                <w:szCs w:val="18"/>
              </w:rPr>
              <w:t>V</w:t>
            </w:r>
          </w:p>
        </w:tc>
        <w:tc>
          <w:tcPr>
            <w:tcW w:w="1105" w:type="dxa"/>
          </w:tcPr>
          <w:p w14:paraId="0057FCE2" w14:textId="14F84610" w:rsidR="009A02D8" w:rsidRPr="00114A58" w:rsidRDefault="009A02D8" w:rsidP="009A02D8">
            <w:pPr>
              <w:rPr>
                <w:rFonts w:ascii="Arial Narrow" w:hAnsi="Arial Narrow"/>
                <w:sz w:val="18"/>
                <w:szCs w:val="18"/>
              </w:rPr>
            </w:pPr>
            <w:r w:rsidRPr="009A02D8">
              <w:rPr>
                <w:rFonts w:ascii="Arial Narrow" w:hAnsi="Arial Narrow"/>
                <w:sz w:val="18"/>
                <w:szCs w:val="18"/>
              </w:rPr>
              <w:t>32</w:t>
            </w:r>
          </w:p>
        </w:tc>
        <w:tc>
          <w:tcPr>
            <w:tcW w:w="1061" w:type="dxa"/>
          </w:tcPr>
          <w:p w14:paraId="4A8D1808" w14:textId="13A48904" w:rsidR="009A02D8" w:rsidRPr="00114A58" w:rsidRDefault="009A02D8" w:rsidP="009A02D8">
            <w:pPr>
              <w:rPr>
                <w:rFonts w:ascii="Arial Narrow" w:hAnsi="Arial Narrow"/>
                <w:sz w:val="18"/>
                <w:szCs w:val="18"/>
              </w:rPr>
            </w:pPr>
            <w:r w:rsidRPr="009A02D8">
              <w:rPr>
                <w:rFonts w:ascii="Arial Narrow" w:hAnsi="Arial Narrow"/>
                <w:sz w:val="18"/>
                <w:szCs w:val="18"/>
              </w:rPr>
              <w:t>NA</w:t>
            </w:r>
          </w:p>
        </w:tc>
        <w:tc>
          <w:tcPr>
            <w:tcW w:w="1446" w:type="dxa"/>
          </w:tcPr>
          <w:p w14:paraId="21DFD203" w14:textId="2A291095" w:rsidR="009A02D8" w:rsidRPr="00114A58" w:rsidRDefault="009A02D8" w:rsidP="009A02D8">
            <w:pPr>
              <w:rPr>
                <w:rFonts w:ascii="Arial Narrow" w:hAnsi="Arial Narrow"/>
                <w:sz w:val="18"/>
                <w:szCs w:val="18"/>
              </w:rPr>
            </w:pPr>
            <w:r w:rsidRPr="009A02D8">
              <w:rPr>
                <w:rFonts w:ascii="Arial Narrow" w:hAnsi="Arial Narrow"/>
                <w:sz w:val="18"/>
                <w:szCs w:val="18"/>
              </w:rPr>
              <w:t>NA</w:t>
            </w:r>
          </w:p>
        </w:tc>
        <w:tc>
          <w:tcPr>
            <w:tcW w:w="1185" w:type="dxa"/>
          </w:tcPr>
          <w:p w14:paraId="22887C8E" w14:textId="046DEB77" w:rsidR="009A02D8" w:rsidRPr="00114A58" w:rsidRDefault="009A02D8" w:rsidP="009A02D8">
            <w:pPr>
              <w:rPr>
                <w:rFonts w:ascii="Arial Narrow" w:hAnsi="Arial Narrow"/>
                <w:sz w:val="18"/>
                <w:szCs w:val="18"/>
              </w:rPr>
            </w:pPr>
            <w:r w:rsidRPr="009A02D8">
              <w:rPr>
                <w:rFonts w:ascii="Arial Narrow" w:hAnsi="Arial Narrow"/>
                <w:sz w:val="18"/>
                <w:szCs w:val="18"/>
              </w:rPr>
              <w:t>0</w:t>
            </w:r>
          </w:p>
        </w:tc>
        <w:tc>
          <w:tcPr>
            <w:tcW w:w="1582" w:type="dxa"/>
          </w:tcPr>
          <w:p w14:paraId="691F27A7" w14:textId="07EEE4B6" w:rsidR="009A02D8" w:rsidRPr="00114A58" w:rsidRDefault="009A02D8" w:rsidP="009A02D8">
            <w:pPr>
              <w:rPr>
                <w:rFonts w:ascii="Arial Narrow" w:hAnsi="Arial Narrow"/>
                <w:sz w:val="18"/>
                <w:szCs w:val="18"/>
              </w:rPr>
            </w:pPr>
            <w:r w:rsidRPr="009A02D8">
              <w:rPr>
                <w:rFonts w:ascii="Arial Narrow" w:hAnsi="Arial Narrow"/>
                <w:sz w:val="18"/>
                <w:szCs w:val="18"/>
              </w:rPr>
              <w:t>32 (100%)</w:t>
            </w:r>
          </w:p>
        </w:tc>
      </w:tr>
      <w:tr w:rsidR="009A02D8" w:rsidRPr="00114A58" w14:paraId="6CEFB5E0" w14:textId="77777777" w:rsidTr="00AE3EA8">
        <w:tc>
          <w:tcPr>
            <w:tcW w:w="1555" w:type="dxa"/>
            <w:vMerge w:val="restart"/>
          </w:tcPr>
          <w:p w14:paraId="5AF6344F" w14:textId="0EA1B814" w:rsidR="009A02D8" w:rsidRPr="00114A58" w:rsidRDefault="009A02D8" w:rsidP="009A02D8">
            <w:pPr>
              <w:keepNext/>
              <w:spacing w:before="40" w:after="40"/>
              <w:rPr>
                <w:rFonts w:ascii="Arial Narrow" w:hAnsi="Arial Narrow"/>
                <w:sz w:val="18"/>
                <w:szCs w:val="18"/>
              </w:rPr>
            </w:pPr>
            <w:r w:rsidRPr="00114A58">
              <w:rPr>
                <w:rFonts w:ascii="Arial Narrow" w:hAnsi="Arial Narrow" w:cs="Calibri"/>
                <w:spacing w:val="-1"/>
                <w:sz w:val="18"/>
                <w:szCs w:val="18"/>
              </w:rPr>
              <w:t>P079 Conard 2008</w:t>
            </w:r>
          </w:p>
        </w:tc>
        <w:tc>
          <w:tcPr>
            <w:tcW w:w="1559" w:type="dxa"/>
          </w:tcPr>
          <w:p w14:paraId="324194D7" w14:textId="173B1047" w:rsidR="009A02D8" w:rsidRPr="00114A58" w:rsidRDefault="009A02D8" w:rsidP="009A02D8">
            <w:pPr>
              <w:rPr>
                <w:rFonts w:ascii="Arial Narrow" w:hAnsi="Arial Narrow"/>
                <w:sz w:val="18"/>
                <w:szCs w:val="18"/>
              </w:rPr>
            </w:pPr>
            <w:r>
              <w:rPr>
                <w:rFonts w:ascii="Arial Narrow" w:hAnsi="Arial Narrow"/>
                <w:sz w:val="18"/>
                <w:szCs w:val="18"/>
              </w:rPr>
              <w:t>EZ</w:t>
            </w:r>
            <w:r w:rsidRPr="00114A58">
              <w:rPr>
                <w:rFonts w:ascii="Arial Narrow" w:hAnsi="Arial Narrow"/>
                <w:sz w:val="18"/>
                <w:szCs w:val="18"/>
              </w:rPr>
              <w:t>+</w:t>
            </w:r>
            <w:r w:rsidRPr="009A02D8">
              <w:rPr>
                <w:rFonts w:ascii="Arial Narrow" w:hAnsi="Arial Narrow"/>
                <w:sz w:val="18"/>
                <w:szCs w:val="18"/>
              </w:rPr>
              <w:t xml:space="preserve"> ATOR</w:t>
            </w:r>
          </w:p>
        </w:tc>
        <w:tc>
          <w:tcPr>
            <w:tcW w:w="1105" w:type="dxa"/>
          </w:tcPr>
          <w:p w14:paraId="18F7C34A" w14:textId="6EA4667C" w:rsidR="009A02D8" w:rsidRPr="00114A58" w:rsidRDefault="009A02D8" w:rsidP="009A02D8">
            <w:pPr>
              <w:rPr>
                <w:rFonts w:ascii="Arial Narrow" w:hAnsi="Arial Narrow"/>
                <w:sz w:val="18"/>
                <w:szCs w:val="18"/>
              </w:rPr>
            </w:pPr>
            <w:r w:rsidRPr="00114A58">
              <w:rPr>
                <w:rFonts w:ascii="Arial Narrow" w:hAnsi="Arial Narrow"/>
                <w:sz w:val="18"/>
                <w:szCs w:val="18"/>
              </w:rPr>
              <w:t>98</w:t>
            </w:r>
          </w:p>
        </w:tc>
        <w:tc>
          <w:tcPr>
            <w:tcW w:w="1061" w:type="dxa"/>
          </w:tcPr>
          <w:p w14:paraId="740BB6C9" w14:textId="33FC9CF5" w:rsidR="009A02D8" w:rsidRPr="00114A58" w:rsidRDefault="009A02D8" w:rsidP="009A02D8">
            <w:pPr>
              <w:rPr>
                <w:rFonts w:ascii="Arial Narrow" w:hAnsi="Arial Narrow"/>
                <w:sz w:val="18"/>
                <w:szCs w:val="18"/>
              </w:rPr>
            </w:pPr>
            <w:r w:rsidRPr="00114A58">
              <w:rPr>
                <w:rFonts w:ascii="Arial Narrow" w:hAnsi="Arial Narrow"/>
                <w:sz w:val="18"/>
                <w:szCs w:val="18"/>
              </w:rPr>
              <w:t>NA</w:t>
            </w:r>
          </w:p>
        </w:tc>
        <w:tc>
          <w:tcPr>
            <w:tcW w:w="1446" w:type="dxa"/>
          </w:tcPr>
          <w:p w14:paraId="0070331C" w14:textId="7D1E2ADB" w:rsidR="009A02D8" w:rsidRPr="00114A58" w:rsidRDefault="009A02D8" w:rsidP="009A02D8">
            <w:pPr>
              <w:rPr>
                <w:rFonts w:ascii="Arial Narrow" w:hAnsi="Arial Narrow"/>
                <w:sz w:val="18"/>
                <w:szCs w:val="18"/>
              </w:rPr>
            </w:pPr>
            <w:r w:rsidRPr="00114A58">
              <w:rPr>
                <w:rFonts w:ascii="Arial Narrow" w:hAnsi="Arial Narrow"/>
                <w:sz w:val="18"/>
                <w:szCs w:val="18"/>
              </w:rPr>
              <w:t>2 (2%)</w:t>
            </w:r>
          </w:p>
        </w:tc>
        <w:tc>
          <w:tcPr>
            <w:tcW w:w="1185" w:type="dxa"/>
          </w:tcPr>
          <w:p w14:paraId="6B6576D6" w14:textId="095F1B2F" w:rsidR="009A02D8" w:rsidRPr="00114A58" w:rsidRDefault="009A02D8" w:rsidP="009A02D8">
            <w:pPr>
              <w:rPr>
                <w:rFonts w:ascii="Arial Narrow" w:hAnsi="Arial Narrow"/>
                <w:sz w:val="18"/>
                <w:szCs w:val="18"/>
              </w:rPr>
            </w:pPr>
            <w:r w:rsidRPr="00114A58">
              <w:rPr>
                <w:rFonts w:ascii="Arial Narrow" w:hAnsi="Arial Narrow"/>
                <w:sz w:val="18"/>
                <w:szCs w:val="18"/>
              </w:rPr>
              <w:t>6 (6%)</w:t>
            </w:r>
          </w:p>
        </w:tc>
        <w:tc>
          <w:tcPr>
            <w:tcW w:w="1582" w:type="dxa"/>
          </w:tcPr>
          <w:p w14:paraId="2E8CDC64" w14:textId="20A284DC" w:rsidR="009A02D8" w:rsidRPr="00114A58" w:rsidRDefault="009A02D8" w:rsidP="009A02D8">
            <w:pPr>
              <w:rPr>
                <w:rFonts w:ascii="Arial Narrow" w:hAnsi="Arial Narrow"/>
                <w:sz w:val="18"/>
                <w:szCs w:val="18"/>
              </w:rPr>
            </w:pPr>
            <w:r w:rsidRPr="00114A58">
              <w:rPr>
                <w:rFonts w:ascii="Arial Narrow" w:hAnsi="Arial Narrow"/>
                <w:sz w:val="18"/>
                <w:szCs w:val="18"/>
              </w:rPr>
              <w:t>92 (94%)</w:t>
            </w:r>
          </w:p>
        </w:tc>
      </w:tr>
      <w:tr w:rsidR="009A02D8" w:rsidRPr="00114A58" w14:paraId="0E636A1A" w14:textId="77777777" w:rsidTr="00AE3EA8">
        <w:tc>
          <w:tcPr>
            <w:tcW w:w="1555" w:type="dxa"/>
            <w:vMerge/>
          </w:tcPr>
          <w:p w14:paraId="4D951237" w14:textId="77777777" w:rsidR="009A02D8" w:rsidRPr="00114A58" w:rsidRDefault="009A02D8" w:rsidP="009A02D8">
            <w:pPr>
              <w:keepNext/>
              <w:spacing w:before="40" w:after="40"/>
              <w:rPr>
                <w:rFonts w:ascii="Arial Narrow" w:hAnsi="Arial Narrow"/>
                <w:sz w:val="18"/>
                <w:szCs w:val="18"/>
              </w:rPr>
            </w:pPr>
          </w:p>
        </w:tc>
        <w:tc>
          <w:tcPr>
            <w:tcW w:w="1559" w:type="dxa"/>
          </w:tcPr>
          <w:p w14:paraId="6AE8B35A" w14:textId="3FCBB970" w:rsidR="009A02D8" w:rsidRPr="00114A58" w:rsidRDefault="009A02D8" w:rsidP="009A02D8">
            <w:pPr>
              <w:rPr>
                <w:rFonts w:ascii="Arial Narrow" w:hAnsi="Arial Narrow"/>
                <w:sz w:val="18"/>
                <w:szCs w:val="18"/>
              </w:rPr>
            </w:pPr>
            <w:r w:rsidRPr="00114A58">
              <w:rPr>
                <w:rFonts w:ascii="Arial Narrow" w:hAnsi="Arial Narrow"/>
                <w:sz w:val="18"/>
                <w:szCs w:val="18"/>
              </w:rPr>
              <w:t xml:space="preserve">PBO+ </w:t>
            </w:r>
            <w:r w:rsidRPr="009A02D8">
              <w:rPr>
                <w:rFonts w:ascii="Arial Narrow" w:hAnsi="Arial Narrow"/>
                <w:sz w:val="18"/>
                <w:szCs w:val="18"/>
              </w:rPr>
              <w:t>ATOR</w:t>
            </w:r>
          </w:p>
        </w:tc>
        <w:tc>
          <w:tcPr>
            <w:tcW w:w="1105" w:type="dxa"/>
          </w:tcPr>
          <w:p w14:paraId="7C3568B2" w14:textId="5D41CE43" w:rsidR="009A02D8" w:rsidRPr="00114A58" w:rsidRDefault="009A02D8" w:rsidP="009A02D8">
            <w:pPr>
              <w:rPr>
                <w:rFonts w:ascii="Arial Narrow" w:hAnsi="Arial Narrow"/>
                <w:sz w:val="18"/>
                <w:szCs w:val="18"/>
              </w:rPr>
            </w:pPr>
            <w:r w:rsidRPr="00114A58">
              <w:rPr>
                <w:rFonts w:ascii="Arial Narrow" w:hAnsi="Arial Narrow"/>
                <w:sz w:val="18"/>
                <w:szCs w:val="18"/>
              </w:rPr>
              <w:t>98</w:t>
            </w:r>
          </w:p>
        </w:tc>
        <w:tc>
          <w:tcPr>
            <w:tcW w:w="1061" w:type="dxa"/>
          </w:tcPr>
          <w:p w14:paraId="27FE6F2C" w14:textId="4092CFD5" w:rsidR="009A02D8" w:rsidRPr="00114A58" w:rsidRDefault="009A02D8" w:rsidP="009A02D8">
            <w:pPr>
              <w:rPr>
                <w:rFonts w:ascii="Arial Narrow" w:hAnsi="Arial Narrow"/>
                <w:sz w:val="18"/>
                <w:szCs w:val="18"/>
              </w:rPr>
            </w:pPr>
            <w:r w:rsidRPr="00114A58">
              <w:rPr>
                <w:rFonts w:ascii="Arial Narrow" w:hAnsi="Arial Narrow"/>
                <w:sz w:val="18"/>
                <w:szCs w:val="18"/>
              </w:rPr>
              <w:t>NA</w:t>
            </w:r>
          </w:p>
        </w:tc>
        <w:tc>
          <w:tcPr>
            <w:tcW w:w="1446" w:type="dxa"/>
          </w:tcPr>
          <w:p w14:paraId="66FBC439" w14:textId="5B3C0302" w:rsidR="009A02D8" w:rsidRPr="00114A58" w:rsidRDefault="009A02D8" w:rsidP="009A02D8">
            <w:pPr>
              <w:rPr>
                <w:rFonts w:ascii="Arial Narrow" w:hAnsi="Arial Narrow"/>
                <w:sz w:val="18"/>
                <w:szCs w:val="18"/>
              </w:rPr>
            </w:pPr>
            <w:r w:rsidRPr="00114A58">
              <w:rPr>
                <w:rFonts w:ascii="Arial Narrow" w:hAnsi="Arial Narrow"/>
                <w:sz w:val="18"/>
                <w:szCs w:val="18"/>
              </w:rPr>
              <w:t>2 (2%)</w:t>
            </w:r>
          </w:p>
        </w:tc>
        <w:tc>
          <w:tcPr>
            <w:tcW w:w="1185" w:type="dxa"/>
          </w:tcPr>
          <w:p w14:paraId="63A3A55B" w14:textId="284C3B65" w:rsidR="009A02D8" w:rsidRPr="00114A58" w:rsidRDefault="009A02D8" w:rsidP="009A02D8">
            <w:pPr>
              <w:rPr>
                <w:rFonts w:ascii="Arial Narrow" w:hAnsi="Arial Narrow"/>
                <w:sz w:val="18"/>
                <w:szCs w:val="18"/>
              </w:rPr>
            </w:pPr>
            <w:r w:rsidRPr="00114A58">
              <w:rPr>
                <w:rFonts w:ascii="Arial Narrow" w:hAnsi="Arial Narrow"/>
                <w:sz w:val="18"/>
                <w:szCs w:val="18"/>
              </w:rPr>
              <w:t>7 (7%)</w:t>
            </w:r>
          </w:p>
        </w:tc>
        <w:tc>
          <w:tcPr>
            <w:tcW w:w="1582" w:type="dxa"/>
          </w:tcPr>
          <w:p w14:paraId="180B8E6B" w14:textId="0F8F591A" w:rsidR="009A02D8" w:rsidRPr="00114A58" w:rsidRDefault="009A02D8" w:rsidP="009A02D8">
            <w:pPr>
              <w:rPr>
                <w:rFonts w:ascii="Arial Narrow" w:hAnsi="Arial Narrow"/>
                <w:sz w:val="18"/>
                <w:szCs w:val="18"/>
              </w:rPr>
            </w:pPr>
            <w:r w:rsidRPr="00114A58">
              <w:rPr>
                <w:rFonts w:ascii="Arial Narrow" w:hAnsi="Arial Narrow"/>
                <w:sz w:val="18"/>
                <w:szCs w:val="18"/>
              </w:rPr>
              <w:t>92 (94%)</w:t>
            </w:r>
          </w:p>
        </w:tc>
      </w:tr>
      <w:tr w:rsidR="009A02D8" w:rsidRPr="00114A58" w14:paraId="5F9840A7" w14:textId="77777777" w:rsidTr="00AE3EA8">
        <w:tc>
          <w:tcPr>
            <w:tcW w:w="1555" w:type="dxa"/>
            <w:vMerge w:val="restart"/>
          </w:tcPr>
          <w:p w14:paraId="72E7C9ED" w14:textId="13C7BAE2" w:rsidR="009A02D8" w:rsidRPr="00114A58" w:rsidRDefault="009A02D8" w:rsidP="009A02D8">
            <w:pPr>
              <w:keepNext/>
              <w:spacing w:before="40" w:after="40"/>
              <w:rPr>
                <w:rFonts w:ascii="Arial Narrow" w:hAnsi="Arial Narrow"/>
                <w:sz w:val="18"/>
                <w:szCs w:val="18"/>
              </w:rPr>
            </w:pPr>
            <w:r w:rsidRPr="003931F1">
              <w:rPr>
                <w:rFonts w:ascii="Arial Narrow" w:hAnsi="Arial Narrow" w:cs="Calibri"/>
                <w:spacing w:val="-1"/>
                <w:sz w:val="18"/>
                <w:szCs w:val="18"/>
              </w:rPr>
              <w:t>Pe</w:t>
            </w:r>
            <w:r>
              <w:rPr>
                <w:rFonts w:ascii="Arial Narrow" w:hAnsi="Arial Narrow" w:cs="Calibri"/>
                <w:spacing w:val="-1"/>
                <w:sz w:val="18"/>
                <w:szCs w:val="18"/>
              </w:rPr>
              <w:t xml:space="preserve">saro </w:t>
            </w:r>
            <w:r w:rsidRPr="003931F1">
              <w:rPr>
                <w:rFonts w:ascii="Arial Narrow" w:hAnsi="Arial Narrow" w:cs="Calibri"/>
                <w:spacing w:val="-1"/>
                <w:sz w:val="18"/>
                <w:szCs w:val="18"/>
              </w:rPr>
              <w:t>2013</w:t>
            </w:r>
          </w:p>
        </w:tc>
        <w:tc>
          <w:tcPr>
            <w:tcW w:w="1559" w:type="dxa"/>
          </w:tcPr>
          <w:p w14:paraId="413A797E" w14:textId="61938D0B" w:rsidR="009A02D8" w:rsidRPr="00114A58" w:rsidRDefault="009A02D8" w:rsidP="009A02D8">
            <w:pPr>
              <w:rPr>
                <w:rFonts w:ascii="Arial Narrow" w:hAnsi="Arial Narrow"/>
                <w:sz w:val="18"/>
                <w:szCs w:val="18"/>
              </w:rPr>
            </w:pPr>
            <w:r>
              <w:rPr>
                <w:rFonts w:ascii="Arial Narrow" w:hAnsi="Arial Narrow" w:cs="Calibri"/>
                <w:spacing w:val="-1"/>
                <w:sz w:val="18"/>
                <w:szCs w:val="18"/>
              </w:rPr>
              <w:t>EZ+SIM</w:t>
            </w:r>
          </w:p>
        </w:tc>
        <w:tc>
          <w:tcPr>
            <w:tcW w:w="1105" w:type="dxa"/>
          </w:tcPr>
          <w:p w14:paraId="7B539BEE" w14:textId="261E5D4B"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37</w:t>
            </w:r>
          </w:p>
        </w:tc>
        <w:tc>
          <w:tcPr>
            <w:tcW w:w="1061" w:type="dxa"/>
          </w:tcPr>
          <w:p w14:paraId="5191EC66" w14:textId="75EDD3F2"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6626F778" w14:textId="3FE8D29D"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NA</w:t>
            </w:r>
          </w:p>
        </w:tc>
        <w:tc>
          <w:tcPr>
            <w:tcW w:w="1185" w:type="dxa"/>
          </w:tcPr>
          <w:p w14:paraId="7FF09E71" w14:textId="61E4B9DC"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NA</w:t>
            </w:r>
          </w:p>
        </w:tc>
        <w:tc>
          <w:tcPr>
            <w:tcW w:w="1582" w:type="dxa"/>
          </w:tcPr>
          <w:p w14:paraId="4CFB4BD0" w14:textId="1EBB0B2F"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37 (100%)</w:t>
            </w:r>
          </w:p>
        </w:tc>
      </w:tr>
      <w:tr w:rsidR="009A02D8" w:rsidRPr="00114A58" w14:paraId="56A32C10" w14:textId="77777777" w:rsidTr="00AE3EA8">
        <w:tc>
          <w:tcPr>
            <w:tcW w:w="1555" w:type="dxa"/>
            <w:vMerge/>
          </w:tcPr>
          <w:p w14:paraId="3898F299" w14:textId="77777777" w:rsidR="009A02D8" w:rsidRPr="00114A58" w:rsidRDefault="009A02D8" w:rsidP="009A02D8">
            <w:pPr>
              <w:keepNext/>
              <w:spacing w:before="40" w:after="40"/>
              <w:rPr>
                <w:rFonts w:ascii="Arial Narrow" w:hAnsi="Arial Narrow"/>
                <w:sz w:val="18"/>
                <w:szCs w:val="18"/>
              </w:rPr>
            </w:pPr>
          </w:p>
        </w:tc>
        <w:tc>
          <w:tcPr>
            <w:tcW w:w="1559" w:type="dxa"/>
          </w:tcPr>
          <w:p w14:paraId="5E9F9A44" w14:textId="21B88B7B" w:rsidR="009A02D8" w:rsidRPr="00114A58" w:rsidRDefault="009A02D8" w:rsidP="009A02D8">
            <w:pPr>
              <w:rPr>
                <w:rFonts w:ascii="Arial Narrow" w:hAnsi="Arial Narrow"/>
                <w:sz w:val="18"/>
                <w:szCs w:val="18"/>
              </w:rPr>
            </w:pPr>
            <w:r w:rsidRPr="00114A58">
              <w:rPr>
                <w:rFonts w:ascii="Arial Narrow" w:hAnsi="Arial Narrow"/>
                <w:sz w:val="18"/>
                <w:szCs w:val="18"/>
              </w:rPr>
              <w:t xml:space="preserve">PBO+ </w:t>
            </w:r>
            <w:r>
              <w:rPr>
                <w:rFonts w:ascii="Arial Narrow" w:hAnsi="Arial Narrow" w:cs="Calibri"/>
                <w:spacing w:val="-1"/>
                <w:sz w:val="18"/>
                <w:szCs w:val="18"/>
              </w:rPr>
              <w:t>SIM</w:t>
            </w:r>
          </w:p>
        </w:tc>
        <w:tc>
          <w:tcPr>
            <w:tcW w:w="1105" w:type="dxa"/>
          </w:tcPr>
          <w:p w14:paraId="2BEE15DF" w14:textId="4F623A87"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31</w:t>
            </w:r>
          </w:p>
        </w:tc>
        <w:tc>
          <w:tcPr>
            <w:tcW w:w="1061" w:type="dxa"/>
          </w:tcPr>
          <w:p w14:paraId="67C9C674" w14:textId="066C3160"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42CF440E" w14:textId="7FAEEBAA"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NA</w:t>
            </w:r>
          </w:p>
        </w:tc>
        <w:tc>
          <w:tcPr>
            <w:tcW w:w="1185" w:type="dxa"/>
          </w:tcPr>
          <w:p w14:paraId="2472A6DA" w14:textId="7493D702"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NA</w:t>
            </w:r>
          </w:p>
        </w:tc>
        <w:tc>
          <w:tcPr>
            <w:tcW w:w="1582" w:type="dxa"/>
          </w:tcPr>
          <w:p w14:paraId="5D77C3E6" w14:textId="66AC6A79"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31 (100%)</w:t>
            </w:r>
          </w:p>
        </w:tc>
      </w:tr>
      <w:tr w:rsidR="009A02D8" w:rsidRPr="00114A58" w14:paraId="1CADCDA7" w14:textId="77777777" w:rsidTr="00AE3EA8">
        <w:tc>
          <w:tcPr>
            <w:tcW w:w="1555" w:type="dxa"/>
            <w:vMerge w:val="restart"/>
          </w:tcPr>
          <w:p w14:paraId="10D094EA" w14:textId="77777777" w:rsidR="009A02D8" w:rsidRPr="00114A58" w:rsidRDefault="009A02D8" w:rsidP="009A02D8">
            <w:pPr>
              <w:rPr>
                <w:rFonts w:ascii="Arial Narrow" w:hAnsi="Arial Narrow" w:cs="Calibri"/>
                <w:spacing w:val="-1"/>
                <w:sz w:val="18"/>
                <w:szCs w:val="18"/>
              </w:rPr>
            </w:pPr>
            <w:r w:rsidRPr="00114A58">
              <w:rPr>
                <w:rFonts w:ascii="Arial Narrow" w:hAnsi="Arial Narrow" w:cs="Calibri"/>
                <w:spacing w:val="-1"/>
                <w:sz w:val="18"/>
                <w:szCs w:val="18"/>
              </w:rPr>
              <w:t>P021 Gaudiani 2005</w:t>
            </w:r>
          </w:p>
          <w:p w14:paraId="5376E799" w14:textId="77777777" w:rsidR="009A02D8" w:rsidRPr="00114A58" w:rsidRDefault="009A02D8" w:rsidP="009A02D8">
            <w:pPr>
              <w:keepNext/>
              <w:spacing w:before="40" w:after="40"/>
              <w:rPr>
                <w:rFonts w:ascii="Arial Narrow" w:hAnsi="Arial Narrow"/>
                <w:sz w:val="18"/>
                <w:szCs w:val="18"/>
              </w:rPr>
            </w:pPr>
          </w:p>
        </w:tc>
        <w:tc>
          <w:tcPr>
            <w:tcW w:w="1559" w:type="dxa"/>
          </w:tcPr>
          <w:p w14:paraId="139FCDC6" w14:textId="02005A3B" w:rsidR="009A02D8" w:rsidRPr="00114A58" w:rsidRDefault="009A02D8" w:rsidP="009A02D8">
            <w:pPr>
              <w:rPr>
                <w:rFonts w:ascii="Arial Narrow" w:hAnsi="Arial Narrow"/>
                <w:sz w:val="18"/>
                <w:szCs w:val="18"/>
              </w:rPr>
            </w:pPr>
            <w:r>
              <w:rPr>
                <w:rFonts w:ascii="Arial Narrow" w:hAnsi="Arial Narrow"/>
                <w:sz w:val="18"/>
                <w:szCs w:val="18"/>
              </w:rPr>
              <w:t>EZ</w:t>
            </w:r>
            <w:r w:rsidRPr="00114A58">
              <w:rPr>
                <w:rFonts w:ascii="Arial Narrow" w:hAnsi="Arial Narrow"/>
                <w:sz w:val="18"/>
                <w:szCs w:val="18"/>
              </w:rPr>
              <w:t xml:space="preserve">+SIM </w:t>
            </w:r>
          </w:p>
        </w:tc>
        <w:tc>
          <w:tcPr>
            <w:tcW w:w="1105" w:type="dxa"/>
          </w:tcPr>
          <w:p w14:paraId="74A5DBB3" w14:textId="3085841E" w:rsidR="009A02D8" w:rsidRPr="00114A58" w:rsidRDefault="009A02D8" w:rsidP="009A02D8">
            <w:pPr>
              <w:rPr>
                <w:rFonts w:ascii="Arial Narrow" w:hAnsi="Arial Narrow"/>
                <w:sz w:val="18"/>
                <w:szCs w:val="18"/>
              </w:rPr>
            </w:pPr>
            <w:r w:rsidRPr="00114A58">
              <w:rPr>
                <w:rFonts w:ascii="Arial Narrow" w:hAnsi="Arial Narrow"/>
                <w:sz w:val="18"/>
                <w:szCs w:val="18"/>
              </w:rPr>
              <w:t>104</w:t>
            </w:r>
          </w:p>
        </w:tc>
        <w:tc>
          <w:tcPr>
            <w:tcW w:w="1061" w:type="dxa"/>
          </w:tcPr>
          <w:p w14:paraId="19EA59C4" w14:textId="0D2A2D45" w:rsidR="009A02D8" w:rsidRPr="00114A58" w:rsidRDefault="009A02D8" w:rsidP="009A02D8">
            <w:pPr>
              <w:rPr>
                <w:rFonts w:ascii="Arial Narrow" w:hAnsi="Arial Narrow"/>
                <w:sz w:val="18"/>
                <w:szCs w:val="18"/>
              </w:rPr>
            </w:pPr>
            <w:r w:rsidRPr="00114A58">
              <w:rPr>
                <w:rFonts w:ascii="Arial Narrow" w:hAnsi="Arial Narrow"/>
                <w:sz w:val="18"/>
                <w:szCs w:val="18"/>
              </w:rPr>
              <w:t>NA</w:t>
            </w:r>
          </w:p>
        </w:tc>
        <w:tc>
          <w:tcPr>
            <w:tcW w:w="1446" w:type="dxa"/>
          </w:tcPr>
          <w:p w14:paraId="4E8271DE" w14:textId="261776A7" w:rsidR="009A02D8" w:rsidRPr="00114A58" w:rsidRDefault="009A02D8" w:rsidP="009A02D8">
            <w:pPr>
              <w:rPr>
                <w:rFonts w:ascii="Arial Narrow" w:hAnsi="Arial Narrow"/>
                <w:sz w:val="18"/>
                <w:szCs w:val="18"/>
              </w:rPr>
            </w:pPr>
            <w:r w:rsidRPr="00114A58">
              <w:rPr>
                <w:rFonts w:ascii="Arial Narrow" w:hAnsi="Arial Narrow"/>
                <w:sz w:val="18"/>
                <w:szCs w:val="18"/>
              </w:rPr>
              <w:t>2(2%)</w:t>
            </w:r>
          </w:p>
        </w:tc>
        <w:tc>
          <w:tcPr>
            <w:tcW w:w="1185" w:type="dxa"/>
          </w:tcPr>
          <w:p w14:paraId="7D573E4B" w14:textId="6D2F9C30" w:rsidR="009A02D8" w:rsidRPr="00114A58" w:rsidRDefault="009A02D8" w:rsidP="009A02D8">
            <w:pPr>
              <w:rPr>
                <w:rFonts w:ascii="Arial Narrow" w:hAnsi="Arial Narrow"/>
                <w:sz w:val="18"/>
                <w:szCs w:val="18"/>
              </w:rPr>
            </w:pPr>
            <w:r w:rsidRPr="00114A58">
              <w:rPr>
                <w:rFonts w:ascii="Arial Narrow" w:hAnsi="Arial Narrow"/>
                <w:sz w:val="18"/>
                <w:szCs w:val="18"/>
              </w:rPr>
              <w:t>11 (11%)</w:t>
            </w:r>
          </w:p>
        </w:tc>
        <w:tc>
          <w:tcPr>
            <w:tcW w:w="1582" w:type="dxa"/>
          </w:tcPr>
          <w:p w14:paraId="16FDABA0" w14:textId="5687CE21" w:rsidR="009A02D8" w:rsidRPr="00114A58" w:rsidRDefault="009A02D8" w:rsidP="009A02D8">
            <w:pPr>
              <w:rPr>
                <w:rFonts w:ascii="Arial Narrow" w:hAnsi="Arial Narrow"/>
                <w:sz w:val="18"/>
                <w:szCs w:val="18"/>
              </w:rPr>
            </w:pPr>
            <w:r w:rsidRPr="00114A58">
              <w:rPr>
                <w:rFonts w:ascii="Arial Narrow" w:hAnsi="Arial Narrow"/>
                <w:sz w:val="18"/>
                <w:szCs w:val="18"/>
              </w:rPr>
              <w:t>103 (99%)</w:t>
            </w:r>
          </w:p>
        </w:tc>
      </w:tr>
      <w:tr w:rsidR="009A02D8" w:rsidRPr="00114A58" w14:paraId="7568C93A" w14:textId="77777777" w:rsidTr="00687DFC">
        <w:trPr>
          <w:trHeight w:val="185"/>
        </w:trPr>
        <w:tc>
          <w:tcPr>
            <w:tcW w:w="1555" w:type="dxa"/>
            <w:vMerge/>
          </w:tcPr>
          <w:p w14:paraId="1C2EAE42" w14:textId="77777777" w:rsidR="009A02D8" w:rsidRPr="00114A58" w:rsidRDefault="009A02D8" w:rsidP="009A02D8">
            <w:pPr>
              <w:keepNext/>
              <w:spacing w:before="40" w:after="40"/>
              <w:rPr>
                <w:rFonts w:ascii="Arial Narrow" w:hAnsi="Arial Narrow"/>
                <w:sz w:val="18"/>
                <w:szCs w:val="18"/>
              </w:rPr>
            </w:pPr>
          </w:p>
        </w:tc>
        <w:tc>
          <w:tcPr>
            <w:tcW w:w="1559" w:type="dxa"/>
          </w:tcPr>
          <w:p w14:paraId="45DFE50E" w14:textId="32FBA906" w:rsidR="009A02D8" w:rsidRPr="00114A58" w:rsidRDefault="009A02D8" w:rsidP="009A02D8">
            <w:pPr>
              <w:rPr>
                <w:rFonts w:ascii="Arial Narrow" w:hAnsi="Arial Narrow"/>
                <w:sz w:val="18"/>
                <w:szCs w:val="18"/>
              </w:rPr>
            </w:pPr>
            <w:r w:rsidRPr="00114A58">
              <w:rPr>
                <w:rFonts w:ascii="Arial Narrow" w:hAnsi="Arial Narrow"/>
                <w:sz w:val="18"/>
                <w:szCs w:val="18"/>
              </w:rPr>
              <w:t>PBO+ SIM</w:t>
            </w:r>
          </w:p>
        </w:tc>
        <w:tc>
          <w:tcPr>
            <w:tcW w:w="1105" w:type="dxa"/>
          </w:tcPr>
          <w:p w14:paraId="39632413" w14:textId="7B900745" w:rsidR="009A02D8" w:rsidRPr="00114A58" w:rsidRDefault="009A02D8" w:rsidP="009A02D8">
            <w:pPr>
              <w:rPr>
                <w:rFonts w:ascii="Arial Narrow" w:hAnsi="Arial Narrow"/>
                <w:sz w:val="18"/>
                <w:szCs w:val="18"/>
              </w:rPr>
            </w:pPr>
            <w:r w:rsidRPr="00114A58">
              <w:rPr>
                <w:rFonts w:ascii="Arial Narrow" w:hAnsi="Arial Narrow"/>
                <w:sz w:val="18"/>
                <w:szCs w:val="18"/>
              </w:rPr>
              <w:t>110</w:t>
            </w:r>
          </w:p>
        </w:tc>
        <w:tc>
          <w:tcPr>
            <w:tcW w:w="1061" w:type="dxa"/>
          </w:tcPr>
          <w:p w14:paraId="2B6BCC83" w14:textId="5F73D5D4" w:rsidR="009A02D8" w:rsidRPr="00114A58" w:rsidRDefault="009A02D8" w:rsidP="009A02D8">
            <w:pPr>
              <w:rPr>
                <w:rFonts w:ascii="Arial Narrow" w:hAnsi="Arial Narrow"/>
                <w:sz w:val="18"/>
                <w:szCs w:val="18"/>
              </w:rPr>
            </w:pPr>
            <w:r w:rsidRPr="00114A58">
              <w:rPr>
                <w:rFonts w:ascii="Arial Narrow" w:hAnsi="Arial Narrow"/>
                <w:sz w:val="18"/>
                <w:szCs w:val="18"/>
              </w:rPr>
              <w:t>NA</w:t>
            </w:r>
          </w:p>
        </w:tc>
        <w:tc>
          <w:tcPr>
            <w:tcW w:w="1446" w:type="dxa"/>
          </w:tcPr>
          <w:p w14:paraId="61918EBC" w14:textId="79DF1847" w:rsidR="009A02D8" w:rsidRPr="00114A58" w:rsidRDefault="009A02D8" w:rsidP="009A02D8">
            <w:pPr>
              <w:rPr>
                <w:rFonts w:ascii="Arial Narrow" w:hAnsi="Arial Narrow"/>
                <w:sz w:val="18"/>
                <w:szCs w:val="18"/>
              </w:rPr>
            </w:pPr>
            <w:r w:rsidRPr="00114A58">
              <w:rPr>
                <w:rFonts w:ascii="Arial Narrow" w:hAnsi="Arial Narrow"/>
                <w:sz w:val="18"/>
                <w:szCs w:val="18"/>
              </w:rPr>
              <w:t>3(3)</w:t>
            </w:r>
          </w:p>
        </w:tc>
        <w:tc>
          <w:tcPr>
            <w:tcW w:w="1185" w:type="dxa"/>
          </w:tcPr>
          <w:p w14:paraId="281DB7A3" w14:textId="7EB35C11" w:rsidR="009A02D8" w:rsidRPr="00114A58" w:rsidRDefault="009A02D8" w:rsidP="009A02D8">
            <w:pPr>
              <w:rPr>
                <w:rFonts w:ascii="Arial Narrow" w:hAnsi="Arial Narrow"/>
                <w:sz w:val="18"/>
                <w:szCs w:val="18"/>
              </w:rPr>
            </w:pPr>
            <w:r w:rsidRPr="00114A58">
              <w:rPr>
                <w:rFonts w:ascii="Arial Narrow" w:hAnsi="Arial Narrow"/>
                <w:sz w:val="18"/>
                <w:szCs w:val="18"/>
              </w:rPr>
              <w:t>21 (20%)</w:t>
            </w:r>
          </w:p>
        </w:tc>
        <w:tc>
          <w:tcPr>
            <w:tcW w:w="1582" w:type="dxa"/>
          </w:tcPr>
          <w:p w14:paraId="171AACED" w14:textId="41DFF72E" w:rsidR="009A02D8" w:rsidRPr="00114A58" w:rsidRDefault="009A02D8" w:rsidP="009A02D8">
            <w:pPr>
              <w:rPr>
                <w:rFonts w:ascii="Arial Narrow" w:hAnsi="Arial Narrow"/>
                <w:sz w:val="18"/>
                <w:szCs w:val="18"/>
              </w:rPr>
            </w:pPr>
            <w:r w:rsidRPr="00114A58">
              <w:rPr>
                <w:rFonts w:ascii="Arial Narrow" w:hAnsi="Arial Narrow"/>
                <w:sz w:val="18"/>
                <w:szCs w:val="18"/>
              </w:rPr>
              <w:t>107 (97%)</w:t>
            </w:r>
          </w:p>
        </w:tc>
      </w:tr>
      <w:tr w:rsidR="009A02D8" w:rsidRPr="00114A58" w14:paraId="755C0F38" w14:textId="77777777" w:rsidTr="00AE3EA8">
        <w:tc>
          <w:tcPr>
            <w:tcW w:w="1555" w:type="dxa"/>
            <w:vMerge w:val="restart"/>
          </w:tcPr>
          <w:p w14:paraId="2D430BA3" w14:textId="5054CED1" w:rsidR="009A02D8" w:rsidRPr="00114A58" w:rsidRDefault="009A02D8" w:rsidP="009A02D8">
            <w:pPr>
              <w:keepNext/>
              <w:spacing w:before="40" w:after="40"/>
              <w:rPr>
                <w:rFonts w:ascii="Arial Narrow" w:hAnsi="Arial Narrow"/>
                <w:sz w:val="18"/>
                <w:szCs w:val="18"/>
              </w:rPr>
            </w:pPr>
            <w:r w:rsidRPr="00114A58">
              <w:rPr>
                <w:rFonts w:ascii="Arial Narrow" w:hAnsi="Arial Narrow" w:cs="Calibri"/>
                <w:spacing w:val="-1"/>
                <w:sz w:val="18"/>
                <w:szCs w:val="18"/>
              </w:rPr>
              <w:t xml:space="preserve">P700 Dobs 2003 </w:t>
            </w:r>
            <w:r w:rsidRPr="00114A58">
              <w:rPr>
                <w:rFonts w:ascii="Arial Narrow" w:hAnsi="Arial Narrow" w:cs="Calibri"/>
                <w:spacing w:val="-1"/>
                <w:sz w:val="18"/>
                <w:szCs w:val="18"/>
                <w:highlight w:val="yellow"/>
              </w:rPr>
              <w:t xml:space="preserve"> </w:t>
            </w:r>
          </w:p>
        </w:tc>
        <w:tc>
          <w:tcPr>
            <w:tcW w:w="1559" w:type="dxa"/>
          </w:tcPr>
          <w:p w14:paraId="00223ABE" w14:textId="076CA923" w:rsidR="009A02D8" w:rsidRPr="00114A58" w:rsidRDefault="009A02D8" w:rsidP="009A02D8">
            <w:pPr>
              <w:rPr>
                <w:rFonts w:ascii="Arial Narrow" w:hAnsi="Arial Narrow"/>
                <w:sz w:val="18"/>
                <w:szCs w:val="18"/>
              </w:rPr>
            </w:pPr>
            <w:r w:rsidRPr="00114A58">
              <w:rPr>
                <w:rFonts w:ascii="Arial Narrow" w:hAnsi="Arial Narrow"/>
                <w:sz w:val="18"/>
                <w:szCs w:val="18"/>
              </w:rPr>
              <w:t>E</w:t>
            </w:r>
            <w:r>
              <w:rPr>
                <w:rFonts w:ascii="Arial Narrow" w:hAnsi="Arial Narrow"/>
                <w:sz w:val="18"/>
                <w:szCs w:val="18"/>
              </w:rPr>
              <w:t>Z</w:t>
            </w:r>
            <w:r w:rsidRPr="00114A58">
              <w:rPr>
                <w:rFonts w:ascii="Arial Narrow" w:hAnsi="Arial Narrow"/>
                <w:sz w:val="18"/>
                <w:szCs w:val="18"/>
              </w:rPr>
              <w:t xml:space="preserve">+SIM </w:t>
            </w:r>
          </w:p>
        </w:tc>
        <w:tc>
          <w:tcPr>
            <w:tcW w:w="1105" w:type="dxa"/>
          </w:tcPr>
          <w:p w14:paraId="3C344C49" w14:textId="691E2F8E" w:rsidR="009A02D8" w:rsidRPr="00114A58" w:rsidRDefault="009A02D8" w:rsidP="009A02D8">
            <w:pPr>
              <w:rPr>
                <w:rFonts w:ascii="Arial Narrow" w:hAnsi="Arial Narrow"/>
                <w:sz w:val="18"/>
                <w:szCs w:val="18"/>
              </w:rPr>
            </w:pPr>
            <w:r w:rsidRPr="00114A58">
              <w:rPr>
                <w:rFonts w:ascii="Arial Narrow" w:hAnsi="Arial Narrow"/>
                <w:sz w:val="18"/>
                <w:szCs w:val="18"/>
              </w:rPr>
              <w:t>34</w:t>
            </w:r>
          </w:p>
        </w:tc>
        <w:tc>
          <w:tcPr>
            <w:tcW w:w="1061" w:type="dxa"/>
          </w:tcPr>
          <w:p w14:paraId="3D5F6E61" w14:textId="46134330" w:rsidR="009A02D8" w:rsidRPr="00114A58" w:rsidRDefault="009A02D8" w:rsidP="009A02D8">
            <w:pPr>
              <w:rPr>
                <w:rFonts w:ascii="Arial Narrow" w:hAnsi="Arial Narrow"/>
                <w:sz w:val="18"/>
                <w:szCs w:val="18"/>
              </w:rPr>
            </w:pPr>
            <w:r w:rsidRPr="00114A58">
              <w:rPr>
                <w:rFonts w:ascii="Arial Narrow" w:hAnsi="Arial Narrow"/>
                <w:sz w:val="18"/>
                <w:szCs w:val="18"/>
              </w:rPr>
              <w:t>34 (100%)</w:t>
            </w:r>
          </w:p>
        </w:tc>
        <w:tc>
          <w:tcPr>
            <w:tcW w:w="1446" w:type="dxa"/>
          </w:tcPr>
          <w:p w14:paraId="111A49A5" w14:textId="6C0551CA" w:rsidR="009A02D8" w:rsidRPr="00114A58" w:rsidRDefault="009A02D8" w:rsidP="009A02D8">
            <w:pPr>
              <w:rPr>
                <w:rFonts w:ascii="Arial Narrow" w:hAnsi="Arial Narrow"/>
                <w:sz w:val="18"/>
                <w:szCs w:val="18"/>
              </w:rPr>
            </w:pPr>
            <w:r w:rsidRPr="00114A58">
              <w:rPr>
                <w:rFonts w:ascii="Arial Narrow" w:hAnsi="Arial Narrow"/>
                <w:sz w:val="18"/>
                <w:szCs w:val="18"/>
              </w:rPr>
              <w:t>0</w:t>
            </w:r>
          </w:p>
        </w:tc>
        <w:tc>
          <w:tcPr>
            <w:tcW w:w="1185" w:type="dxa"/>
          </w:tcPr>
          <w:p w14:paraId="38880094" w14:textId="231FABEB" w:rsidR="009A02D8" w:rsidRPr="00114A58" w:rsidRDefault="009A02D8" w:rsidP="009A02D8">
            <w:pPr>
              <w:rPr>
                <w:rFonts w:ascii="Arial Narrow" w:hAnsi="Arial Narrow"/>
                <w:sz w:val="18"/>
                <w:szCs w:val="18"/>
              </w:rPr>
            </w:pPr>
            <w:r w:rsidRPr="00114A58">
              <w:rPr>
                <w:rFonts w:ascii="Arial Narrow" w:hAnsi="Arial Narrow"/>
                <w:sz w:val="18"/>
                <w:szCs w:val="18"/>
              </w:rPr>
              <w:t>3 (9%)</w:t>
            </w:r>
          </w:p>
        </w:tc>
        <w:tc>
          <w:tcPr>
            <w:tcW w:w="1582" w:type="dxa"/>
          </w:tcPr>
          <w:p w14:paraId="548B0C19" w14:textId="111321D4" w:rsidR="009A02D8" w:rsidRPr="00114A58" w:rsidRDefault="009A02D8" w:rsidP="009A02D8">
            <w:pPr>
              <w:rPr>
                <w:rFonts w:ascii="Arial Narrow" w:hAnsi="Arial Narrow"/>
                <w:sz w:val="18"/>
                <w:szCs w:val="18"/>
              </w:rPr>
            </w:pPr>
            <w:r w:rsidRPr="00114A58">
              <w:rPr>
                <w:rFonts w:ascii="Arial Narrow" w:hAnsi="Arial Narrow"/>
                <w:sz w:val="18"/>
                <w:szCs w:val="18"/>
              </w:rPr>
              <w:t>34 (100%)</w:t>
            </w:r>
          </w:p>
        </w:tc>
      </w:tr>
      <w:tr w:rsidR="009A02D8" w:rsidRPr="00114A58" w14:paraId="4C6E8855" w14:textId="77777777" w:rsidTr="00AE3EA8">
        <w:tc>
          <w:tcPr>
            <w:tcW w:w="1555" w:type="dxa"/>
            <w:vMerge/>
          </w:tcPr>
          <w:p w14:paraId="71962D63" w14:textId="77777777" w:rsidR="009A02D8" w:rsidRPr="00114A58" w:rsidRDefault="009A02D8" w:rsidP="009A02D8">
            <w:pPr>
              <w:keepNext/>
              <w:spacing w:before="40" w:after="40"/>
              <w:rPr>
                <w:rFonts w:ascii="Arial Narrow" w:hAnsi="Arial Narrow"/>
                <w:sz w:val="18"/>
                <w:szCs w:val="18"/>
              </w:rPr>
            </w:pPr>
          </w:p>
        </w:tc>
        <w:tc>
          <w:tcPr>
            <w:tcW w:w="1559" w:type="dxa"/>
          </w:tcPr>
          <w:p w14:paraId="2958140B" w14:textId="2605721F" w:rsidR="009A02D8" w:rsidRPr="00114A58" w:rsidRDefault="009A02D8" w:rsidP="009A02D8">
            <w:pPr>
              <w:rPr>
                <w:rFonts w:ascii="Arial Narrow" w:hAnsi="Arial Narrow"/>
                <w:sz w:val="18"/>
                <w:szCs w:val="18"/>
              </w:rPr>
            </w:pPr>
            <w:r w:rsidRPr="00114A58">
              <w:rPr>
                <w:rFonts w:ascii="Arial Narrow" w:hAnsi="Arial Narrow"/>
                <w:sz w:val="18"/>
                <w:szCs w:val="18"/>
              </w:rPr>
              <w:t>PBO+ SIM</w:t>
            </w:r>
          </w:p>
        </w:tc>
        <w:tc>
          <w:tcPr>
            <w:tcW w:w="1105" w:type="dxa"/>
          </w:tcPr>
          <w:p w14:paraId="3305C52F" w14:textId="39F7DA44" w:rsidR="009A02D8" w:rsidRPr="00114A58" w:rsidRDefault="009A02D8" w:rsidP="009A02D8">
            <w:pPr>
              <w:rPr>
                <w:rFonts w:ascii="Arial Narrow" w:hAnsi="Arial Narrow"/>
                <w:sz w:val="18"/>
                <w:szCs w:val="18"/>
              </w:rPr>
            </w:pPr>
            <w:r w:rsidRPr="00114A58">
              <w:rPr>
                <w:rFonts w:ascii="Arial Narrow" w:hAnsi="Arial Narrow"/>
                <w:sz w:val="18"/>
                <w:szCs w:val="18"/>
              </w:rPr>
              <w:t>66</w:t>
            </w:r>
          </w:p>
        </w:tc>
        <w:tc>
          <w:tcPr>
            <w:tcW w:w="1061" w:type="dxa"/>
          </w:tcPr>
          <w:p w14:paraId="7F6A7815" w14:textId="747D35B9" w:rsidR="009A02D8" w:rsidRPr="00114A58" w:rsidRDefault="009A02D8" w:rsidP="009A02D8">
            <w:pPr>
              <w:rPr>
                <w:rFonts w:ascii="Arial Narrow" w:hAnsi="Arial Narrow"/>
                <w:sz w:val="18"/>
                <w:szCs w:val="18"/>
              </w:rPr>
            </w:pPr>
            <w:r w:rsidRPr="00114A58">
              <w:rPr>
                <w:rFonts w:ascii="Arial Narrow" w:hAnsi="Arial Narrow"/>
                <w:sz w:val="18"/>
                <w:szCs w:val="18"/>
              </w:rPr>
              <w:t>66 (100%)</w:t>
            </w:r>
          </w:p>
        </w:tc>
        <w:tc>
          <w:tcPr>
            <w:tcW w:w="1446" w:type="dxa"/>
          </w:tcPr>
          <w:p w14:paraId="328DBFEE" w14:textId="0282DDF1" w:rsidR="009A02D8" w:rsidRPr="00114A58" w:rsidRDefault="009A02D8" w:rsidP="009A02D8">
            <w:pPr>
              <w:rPr>
                <w:rFonts w:ascii="Arial Narrow" w:hAnsi="Arial Narrow"/>
                <w:sz w:val="18"/>
                <w:szCs w:val="18"/>
              </w:rPr>
            </w:pPr>
            <w:r w:rsidRPr="00114A58">
              <w:rPr>
                <w:rFonts w:ascii="Arial Narrow" w:hAnsi="Arial Narrow"/>
                <w:sz w:val="18"/>
                <w:szCs w:val="18"/>
              </w:rPr>
              <w:t>1 (2%)</w:t>
            </w:r>
          </w:p>
        </w:tc>
        <w:tc>
          <w:tcPr>
            <w:tcW w:w="1185" w:type="dxa"/>
          </w:tcPr>
          <w:p w14:paraId="0308E282" w14:textId="71891108" w:rsidR="009A02D8" w:rsidRPr="00114A58" w:rsidRDefault="009A02D8" w:rsidP="009A02D8">
            <w:pPr>
              <w:rPr>
                <w:rFonts w:ascii="Arial Narrow" w:hAnsi="Arial Narrow"/>
                <w:sz w:val="18"/>
                <w:szCs w:val="18"/>
              </w:rPr>
            </w:pPr>
            <w:r w:rsidRPr="00114A58">
              <w:rPr>
                <w:rFonts w:ascii="Arial Narrow" w:hAnsi="Arial Narrow"/>
                <w:sz w:val="18"/>
                <w:szCs w:val="18"/>
              </w:rPr>
              <w:t>9 (14%)</w:t>
            </w:r>
          </w:p>
        </w:tc>
        <w:tc>
          <w:tcPr>
            <w:tcW w:w="1582" w:type="dxa"/>
          </w:tcPr>
          <w:p w14:paraId="06E64EED" w14:textId="325F5FBD" w:rsidR="009A02D8" w:rsidRPr="00114A58" w:rsidRDefault="009A02D8" w:rsidP="009A02D8">
            <w:pPr>
              <w:rPr>
                <w:rFonts w:ascii="Arial Narrow" w:hAnsi="Arial Narrow"/>
                <w:sz w:val="18"/>
                <w:szCs w:val="18"/>
              </w:rPr>
            </w:pPr>
            <w:r w:rsidRPr="00114A58">
              <w:rPr>
                <w:rFonts w:ascii="Arial Narrow" w:hAnsi="Arial Narrow"/>
                <w:sz w:val="18"/>
                <w:szCs w:val="18"/>
              </w:rPr>
              <w:t>66 (100%)</w:t>
            </w:r>
          </w:p>
        </w:tc>
      </w:tr>
      <w:tr w:rsidR="009A02D8" w:rsidRPr="00114A58" w14:paraId="03E03FED" w14:textId="77777777" w:rsidTr="00AE3EA8">
        <w:tc>
          <w:tcPr>
            <w:tcW w:w="1555" w:type="dxa"/>
            <w:vMerge w:val="restart"/>
          </w:tcPr>
          <w:p w14:paraId="432A7794" w14:textId="68430FB3" w:rsidR="009A02D8" w:rsidRPr="00114A58" w:rsidRDefault="009A02D8" w:rsidP="009A02D8">
            <w:pPr>
              <w:keepNext/>
              <w:spacing w:before="40" w:after="40"/>
              <w:rPr>
                <w:rFonts w:ascii="Arial Narrow" w:hAnsi="Arial Narrow"/>
                <w:sz w:val="18"/>
                <w:szCs w:val="18"/>
              </w:rPr>
            </w:pPr>
            <w:r w:rsidRPr="003931F1">
              <w:rPr>
                <w:rFonts w:ascii="Arial Narrow" w:hAnsi="Arial Narrow" w:cs="Calibri"/>
                <w:spacing w:val="-1"/>
                <w:sz w:val="18"/>
                <w:szCs w:val="18"/>
              </w:rPr>
              <w:t>Zieve 2010</w:t>
            </w:r>
          </w:p>
        </w:tc>
        <w:tc>
          <w:tcPr>
            <w:tcW w:w="1559" w:type="dxa"/>
          </w:tcPr>
          <w:p w14:paraId="4F3A3651" w14:textId="590E5E71" w:rsidR="009A02D8" w:rsidRPr="00114A58" w:rsidRDefault="009A02D8" w:rsidP="009A02D8">
            <w:pPr>
              <w:rPr>
                <w:rFonts w:ascii="Arial Narrow" w:hAnsi="Arial Narrow"/>
                <w:sz w:val="18"/>
                <w:szCs w:val="18"/>
              </w:rPr>
            </w:pPr>
            <w:r>
              <w:rPr>
                <w:rFonts w:ascii="Arial Narrow" w:hAnsi="Arial Narrow" w:cs="Calibri"/>
                <w:spacing w:val="-1"/>
                <w:sz w:val="18"/>
                <w:szCs w:val="18"/>
              </w:rPr>
              <w:t>EZ</w:t>
            </w:r>
            <w:r w:rsidRPr="003931F1">
              <w:rPr>
                <w:rFonts w:ascii="Arial Narrow" w:hAnsi="Arial Narrow" w:cs="Calibri"/>
                <w:spacing w:val="-1"/>
                <w:sz w:val="18"/>
                <w:szCs w:val="18"/>
              </w:rPr>
              <w:t>+ATOR</w:t>
            </w:r>
          </w:p>
        </w:tc>
        <w:tc>
          <w:tcPr>
            <w:tcW w:w="1105" w:type="dxa"/>
          </w:tcPr>
          <w:p w14:paraId="07429B32" w14:textId="6C29D5B2"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526</w:t>
            </w:r>
          </w:p>
        </w:tc>
        <w:tc>
          <w:tcPr>
            <w:tcW w:w="1061" w:type="dxa"/>
          </w:tcPr>
          <w:p w14:paraId="21487182" w14:textId="1BF80D45"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73373F5F" w14:textId="1621D06F"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0</w:t>
            </w:r>
          </w:p>
        </w:tc>
        <w:tc>
          <w:tcPr>
            <w:tcW w:w="1185" w:type="dxa"/>
          </w:tcPr>
          <w:p w14:paraId="298713BA" w14:textId="2A45E6ED"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23 (4.4%)</w:t>
            </w:r>
          </w:p>
        </w:tc>
        <w:tc>
          <w:tcPr>
            <w:tcW w:w="1582" w:type="dxa"/>
          </w:tcPr>
          <w:p w14:paraId="3E0C95EB" w14:textId="56B8D934"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516 (98.1%)</w:t>
            </w:r>
          </w:p>
        </w:tc>
      </w:tr>
      <w:tr w:rsidR="009A02D8" w:rsidRPr="00114A58" w14:paraId="39FC23E9" w14:textId="77777777" w:rsidTr="00AE3EA8">
        <w:tc>
          <w:tcPr>
            <w:tcW w:w="1555" w:type="dxa"/>
            <w:vMerge/>
          </w:tcPr>
          <w:p w14:paraId="61915866" w14:textId="77777777" w:rsidR="009A02D8" w:rsidRPr="00114A58" w:rsidRDefault="009A02D8" w:rsidP="009A02D8">
            <w:pPr>
              <w:keepNext/>
              <w:spacing w:before="40" w:after="40"/>
              <w:rPr>
                <w:rFonts w:ascii="Arial Narrow" w:hAnsi="Arial Narrow"/>
                <w:sz w:val="18"/>
                <w:szCs w:val="18"/>
              </w:rPr>
            </w:pPr>
          </w:p>
        </w:tc>
        <w:tc>
          <w:tcPr>
            <w:tcW w:w="1559" w:type="dxa"/>
          </w:tcPr>
          <w:p w14:paraId="1FF92071" w14:textId="0D24728F" w:rsidR="009A02D8" w:rsidRPr="00114A58" w:rsidRDefault="009A02D8" w:rsidP="009A02D8">
            <w:pPr>
              <w:rPr>
                <w:rFonts w:ascii="Arial Narrow" w:hAnsi="Arial Narrow"/>
                <w:sz w:val="18"/>
                <w:szCs w:val="18"/>
              </w:rPr>
            </w:pPr>
            <w:r w:rsidRPr="00114A58">
              <w:rPr>
                <w:rFonts w:ascii="Arial Narrow" w:hAnsi="Arial Narrow"/>
                <w:sz w:val="18"/>
                <w:szCs w:val="18"/>
              </w:rPr>
              <w:t xml:space="preserve">PBO+ </w:t>
            </w:r>
            <w:r w:rsidRPr="003931F1">
              <w:rPr>
                <w:rFonts w:ascii="Arial Narrow" w:hAnsi="Arial Narrow" w:cs="Calibri"/>
                <w:spacing w:val="-1"/>
                <w:sz w:val="18"/>
                <w:szCs w:val="18"/>
              </w:rPr>
              <w:t>ATOR</w:t>
            </w:r>
          </w:p>
        </w:tc>
        <w:tc>
          <w:tcPr>
            <w:tcW w:w="1105" w:type="dxa"/>
          </w:tcPr>
          <w:p w14:paraId="335E4B4B" w14:textId="7A8293A4"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527</w:t>
            </w:r>
          </w:p>
        </w:tc>
        <w:tc>
          <w:tcPr>
            <w:tcW w:w="1061" w:type="dxa"/>
          </w:tcPr>
          <w:p w14:paraId="437B5795" w14:textId="7E670498"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6DDBD913" w14:textId="51282B89"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1 (0.2%)</w:t>
            </w:r>
          </w:p>
        </w:tc>
        <w:tc>
          <w:tcPr>
            <w:tcW w:w="1185" w:type="dxa"/>
          </w:tcPr>
          <w:p w14:paraId="2623A7F6" w14:textId="0D1B0B67"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20 (3.8%)</w:t>
            </w:r>
          </w:p>
        </w:tc>
        <w:tc>
          <w:tcPr>
            <w:tcW w:w="1582" w:type="dxa"/>
          </w:tcPr>
          <w:p w14:paraId="40EF5E29" w14:textId="177AC39E" w:rsidR="009A02D8" w:rsidRPr="00114A58" w:rsidRDefault="009A02D8" w:rsidP="009A02D8">
            <w:pPr>
              <w:rPr>
                <w:rFonts w:ascii="Arial Narrow" w:hAnsi="Arial Narrow"/>
                <w:sz w:val="18"/>
                <w:szCs w:val="18"/>
              </w:rPr>
            </w:pPr>
            <w:r w:rsidRPr="003931F1">
              <w:rPr>
                <w:rFonts w:ascii="Arial Narrow" w:hAnsi="Arial Narrow" w:cs="Calibri"/>
                <w:spacing w:val="-1"/>
                <w:sz w:val="18"/>
                <w:szCs w:val="18"/>
              </w:rPr>
              <w:t>509 (96.6%)</w:t>
            </w:r>
          </w:p>
        </w:tc>
      </w:tr>
      <w:tr w:rsidR="009D75DA" w:rsidRPr="00114A58" w14:paraId="64731196" w14:textId="77777777" w:rsidTr="00AE3EA8">
        <w:tc>
          <w:tcPr>
            <w:tcW w:w="1555" w:type="dxa"/>
            <w:vMerge w:val="restart"/>
          </w:tcPr>
          <w:p w14:paraId="778D3112" w14:textId="0B9AAB33" w:rsidR="009D75DA" w:rsidRPr="00114A58" w:rsidRDefault="009D75DA" w:rsidP="009D75DA">
            <w:pPr>
              <w:keepNext/>
              <w:spacing w:before="40" w:after="40"/>
              <w:rPr>
                <w:rFonts w:ascii="Arial Narrow" w:hAnsi="Arial Narrow"/>
                <w:sz w:val="18"/>
                <w:szCs w:val="18"/>
              </w:rPr>
            </w:pPr>
            <w:r w:rsidRPr="003931F1">
              <w:rPr>
                <w:rFonts w:ascii="Arial Narrow" w:hAnsi="Arial Narrow" w:cs="Calibri"/>
                <w:spacing w:val="-1"/>
                <w:sz w:val="18"/>
                <w:szCs w:val="18"/>
              </w:rPr>
              <w:t>Farnier 2009</w:t>
            </w:r>
          </w:p>
        </w:tc>
        <w:tc>
          <w:tcPr>
            <w:tcW w:w="1559" w:type="dxa"/>
          </w:tcPr>
          <w:p w14:paraId="7EA06F54" w14:textId="4EB39B8C" w:rsidR="009D75DA" w:rsidRPr="00114A58" w:rsidRDefault="009D75DA" w:rsidP="009D75DA">
            <w:pPr>
              <w:rPr>
                <w:rFonts w:ascii="Arial Narrow" w:hAnsi="Arial Narrow"/>
                <w:sz w:val="18"/>
                <w:szCs w:val="18"/>
              </w:rPr>
            </w:pPr>
            <w:r>
              <w:rPr>
                <w:rFonts w:ascii="Arial Narrow" w:hAnsi="Arial Narrow" w:cs="Calibri"/>
                <w:spacing w:val="-1"/>
                <w:sz w:val="18"/>
                <w:szCs w:val="18"/>
              </w:rPr>
              <w:t>EZ+SIM</w:t>
            </w:r>
          </w:p>
        </w:tc>
        <w:tc>
          <w:tcPr>
            <w:tcW w:w="1105" w:type="dxa"/>
          </w:tcPr>
          <w:p w14:paraId="6BDBEA04" w14:textId="5A245C88"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314</w:t>
            </w:r>
          </w:p>
        </w:tc>
        <w:tc>
          <w:tcPr>
            <w:tcW w:w="1061" w:type="dxa"/>
          </w:tcPr>
          <w:p w14:paraId="6EAD8912" w14:textId="3FFEB2A2"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12706DDB" w14:textId="2917D9E7"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0</w:t>
            </w:r>
          </w:p>
        </w:tc>
        <w:tc>
          <w:tcPr>
            <w:tcW w:w="1185" w:type="dxa"/>
          </w:tcPr>
          <w:p w14:paraId="7E3316D6" w14:textId="130F3FB9"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13 (4.1%)</w:t>
            </w:r>
          </w:p>
        </w:tc>
        <w:tc>
          <w:tcPr>
            <w:tcW w:w="1582" w:type="dxa"/>
          </w:tcPr>
          <w:p w14:paraId="09001D5C" w14:textId="4B0C56A7"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300 (95.5%)</w:t>
            </w:r>
          </w:p>
        </w:tc>
      </w:tr>
      <w:tr w:rsidR="009D75DA" w:rsidRPr="00114A58" w14:paraId="51EE05B8" w14:textId="77777777" w:rsidTr="00AE3EA8">
        <w:tc>
          <w:tcPr>
            <w:tcW w:w="1555" w:type="dxa"/>
            <w:vMerge/>
          </w:tcPr>
          <w:p w14:paraId="3CF62DD1" w14:textId="77777777" w:rsidR="009D75DA" w:rsidRPr="00114A58" w:rsidRDefault="009D75DA" w:rsidP="009D75DA">
            <w:pPr>
              <w:keepNext/>
              <w:spacing w:before="40" w:after="40"/>
              <w:rPr>
                <w:rFonts w:ascii="Arial Narrow" w:hAnsi="Arial Narrow"/>
                <w:sz w:val="18"/>
                <w:szCs w:val="18"/>
              </w:rPr>
            </w:pPr>
          </w:p>
        </w:tc>
        <w:tc>
          <w:tcPr>
            <w:tcW w:w="1559" w:type="dxa"/>
          </w:tcPr>
          <w:p w14:paraId="4B4887D6" w14:textId="5B6336B1"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ROSU</w:t>
            </w:r>
            <w:r>
              <w:rPr>
                <w:rFonts w:ascii="Arial Narrow" w:hAnsi="Arial Narrow" w:cs="Calibri"/>
                <w:spacing w:val="-1"/>
                <w:sz w:val="18"/>
                <w:szCs w:val="18"/>
              </w:rPr>
              <w:t>V</w:t>
            </w:r>
          </w:p>
        </w:tc>
        <w:tc>
          <w:tcPr>
            <w:tcW w:w="1105" w:type="dxa"/>
          </w:tcPr>
          <w:p w14:paraId="388FFF93" w14:textId="4778C81C"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304</w:t>
            </w:r>
          </w:p>
        </w:tc>
        <w:tc>
          <w:tcPr>
            <w:tcW w:w="1061" w:type="dxa"/>
          </w:tcPr>
          <w:p w14:paraId="074C7449" w14:textId="7FA1A4DF"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1B15CBBF" w14:textId="773F02E2"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1 (0.3%)</w:t>
            </w:r>
          </w:p>
        </w:tc>
        <w:tc>
          <w:tcPr>
            <w:tcW w:w="1185" w:type="dxa"/>
          </w:tcPr>
          <w:p w14:paraId="2E360CD8" w14:textId="475E8C51"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9 (3.0%)</w:t>
            </w:r>
          </w:p>
        </w:tc>
        <w:tc>
          <w:tcPr>
            <w:tcW w:w="1582" w:type="dxa"/>
          </w:tcPr>
          <w:p w14:paraId="6A97859F" w14:textId="1139CEC7"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293 (96.4%)</w:t>
            </w:r>
          </w:p>
        </w:tc>
      </w:tr>
      <w:tr w:rsidR="009D75DA" w:rsidRPr="00114A58" w14:paraId="4276D52D" w14:textId="77777777" w:rsidTr="00AE3EA8">
        <w:tc>
          <w:tcPr>
            <w:tcW w:w="1555" w:type="dxa"/>
            <w:vMerge w:val="restart"/>
          </w:tcPr>
          <w:p w14:paraId="7B2B9A3C" w14:textId="48ED8C25" w:rsidR="009D75DA" w:rsidRPr="00114A58" w:rsidRDefault="009D75DA" w:rsidP="009D75DA">
            <w:pPr>
              <w:keepNext/>
              <w:spacing w:before="40" w:after="40"/>
              <w:rPr>
                <w:rFonts w:ascii="Arial Narrow" w:hAnsi="Arial Narrow"/>
                <w:sz w:val="18"/>
                <w:szCs w:val="18"/>
              </w:rPr>
            </w:pPr>
            <w:r w:rsidRPr="00114A58">
              <w:rPr>
                <w:rFonts w:ascii="Arial Narrow" w:hAnsi="Arial Narrow" w:cs="Calibri"/>
                <w:spacing w:val="-1"/>
                <w:sz w:val="18"/>
                <w:szCs w:val="18"/>
              </w:rPr>
              <w:t xml:space="preserve">P058 Catapano 2006 </w:t>
            </w:r>
          </w:p>
        </w:tc>
        <w:tc>
          <w:tcPr>
            <w:tcW w:w="1559" w:type="dxa"/>
          </w:tcPr>
          <w:p w14:paraId="52C8FC96" w14:textId="613E9972" w:rsidR="009D75DA" w:rsidRPr="00114A58" w:rsidRDefault="009D75DA" w:rsidP="009D75DA">
            <w:pPr>
              <w:rPr>
                <w:rFonts w:ascii="Arial Narrow" w:hAnsi="Arial Narrow"/>
                <w:sz w:val="18"/>
                <w:szCs w:val="18"/>
              </w:rPr>
            </w:pPr>
            <w:r>
              <w:rPr>
                <w:rFonts w:ascii="Arial Narrow" w:hAnsi="Arial Narrow"/>
                <w:sz w:val="18"/>
                <w:szCs w:val="18"/>
              </w:rPr>
              <w:t>EZ</w:t>
            </w:r>
            <w:r w:rsidRPr="00114A58">
              <w:rPr>
                <w:rFonts w:ascii="Arial Narrow" w:hAnsi="Arial Narrow"/>
                <w:sz w:val="18"/>
                <w:szCs w:val="18"/>
              </w:rPr>
              <w:t xml:space="preserve">+SIM (all) </w:t>
            </w:r>
          </w:p>
        </w:tc>
        <w:tc>
          <w:tcPr>
            <w:tcW w:w="1105" w:type="dxa"/>
          </w:tcPr>
          <w:p w14:paraId="038EEC06" w14:textId="43EAEA16" w:rsidR="009D75DA" w:rsidRPr="00114A58" w:rsidRDefault="009D75DA" w:rsidP="009D75DA">
            <w:pPr>
              <w:rPr>
                <w:rFonts w:ascii="Arial Narrow" w:hAnsi="Arial Narrow"/>
                <w:sz w:val="18"/>
                <w:szCs w:val="18"/>
              </w:rPr>
            </w:pPr>
            <w:r w:rsidRPr="00114A58">
              <w:rPr>
                <w:rFonts w:ascii="Arial Narrow" w:hAnsi="Arial Narrow"/>
                <w:sz w:val="18"/>
                <w:szCs w:val="18"/>
              </w:rPr>
              <w:t>1478</w:t>
            </w:r>
          </w:p>
        </w:tc>
        <w:tc>
          <w:tcPr>
            <w:tcW w:w="1061" w:type="dxa"/>
          </w:tcPr>
          <w:p w14:paraId="1D015A61" w14:textId="26231DF1" w:rsidR="009D75DA" w:rsidRPr="00114A58" w:rsidRDefault="009D75DA" w:rsidP="009D75DA">
            <w:pPr>
              <w:rPr>
                <w:rFonts w:ascii="Arial Narrow" w:hAnsi="Arial Narrow"/>
                <w:sz w:val="18"/>
                <w:szCs w:val="18"/>
              </w:rPr>
            </w:pPr>
            <w:r w:rsidRPr="00114A58">
              <w:rPr>
                <w:rFonts w:ascii="Arial Narrow" w:hAnsi="Arial Narrow"/>
                <w:sz w:val="18"/>
                <w:szCs w:val="18"/>
              </w:rPr>
              <w:t>NA</w:t>
            </w:r>
          </w:p>
        </w:tc>
        <w:tc>
          <w:tcPr>
            <w:tcW w:w="1446" w:type="dxa"/>
          </w:tcPr>
          <w:p w14:paraId="57F4F78E" w14:textId="2C407920" w:rsidR="009D75DA" w:rsidRPr="00114A58" w:rsidRDefault="009D75DA" w:rsidP="009D75DA">
            <w:pPr>
              <w:rPr>
                <w:rFonts w:ascii="Arial Narrow" w:hAnsi="Arial Narrow"/>
                <w:sz w:val="18"/>
                <w:szCs w:val="18"/>
              </w:rPr>
            </w:pPr>
            <w:r w:rsidRPr="00114A58">
              <w:rPr>
                <w:rFonts w:ascii="Arial Narrow" w:hAnsi="Arial Narrow"/>
                <w:sz w:val="18"/>
                <w:szCs w:val="18"/>
              </w:rPr>
              <w:t>11 (1%)</w:t>
            </w:r>
          </w:p>
        </w:tc>
        <w:tc>
          <w:tcPr>
            <w:tcW w:w="1185" w:type="dxa"/>
          </w:tcPr>
          <w:p w14:paraId="6BC9E4E4" w14:textId="40737A8B" w:rsidR="009D75DA" w:rsidRPr="00114A58" w:rsidRDefault="009D75DA" w:rsidP="009D75DA">
            <w:pPr>
              <w:rPr>
                <w:rFonts w:ascii="Arial Narrow" w:hAnsi="Arial Narrow"/>
                <w:sz w:val="18"/>
                <w:szCs w:val="18"/>
              </w:rPr>
            </w:pPr>
            <w:r w:rsidRPr="00114A58">
              <w:rPr>
                <w:rFonts w:ascii="Arial Narrow" w:hAnsi="Arial Narrow"/>
                <w:sz w:val="18"/>
                <w:szCs w:val="18"/>
              </w:rPr>
              <w:t>68 (4.6%)</w:t>
            </w:r>
          </w:p>
        </w:tc>
        <w:tc>
          <w:tcPr>
            <w:tcW w:w="1582" w:type="dxa"/>
          </w:tcPr>
          <w:p w14:paraId="3B5EE4A8" w14:textId="29310FFF" w:rsidR="009D75DA" w:rsidRPr="00114A58" w:rsidRDefault="009D75DA" w:rsidP="009D75DA">
            <w:pPr>
              <w:rPr>
                <w:rFonts w:ascii="Arial Narrow" w:hAnsi="Arial Narrow"/>
                <w:sz w:val="18"/>
                <w:szCs w:val="18"/>
              </w:rPr>
            </w:pPr>
            <w:r w:rsidRPr="00114A58">
              <w:rPr>
                <w:rFonts w:ascii="Arial Narrow" w:hAnsi="Arial Narrow"/>
                <w:sz w:val="18"/>
                <w:szCs w:val="18"/>
              </w:rPr>
              <w:t>1427 (96.5%)</w:t>
            </w:r>
          </w:p>
        </w:tc>
      </w:tr>
      <w:tr w:rsidR="009D75DA" w:rsidRPr="00114A58" w14:paraId="73DB78BC" w14:textId="77777777" w:rsidTr="00AE3EA8">
        <w:tc>
          <w:tcPr>
            <w:tcW w:w="1555" w:type="dxa"/>
            <w:vMerge/>
          </w:tcPr>
          <w:p w14:paraId="41A1C29F" w14:textId="77777777" w:rsidR="009D75DA" w:rsidRPr="00114A58" w:rsidRDefault="009D75DA" w:rsidP="009D75DA">
            <w:pPr>
              <w:keepNext/>
              <w:spacing w:before="40" w:after="40"/>
              <w:rPr>
                <w:rFonts w:ascii="Arial Narrow" w:hAnsi="Arial Narrow"/>
                <w:sz w:val="18"/>
                <w:szCs w:val="18"/>
              </w:rPr>
            </w:pPr>
          </w:p>
        </w:tc>
        <w:tc>
          <w:tcPr>
            <w:tcW w:w="1559" w:type="dxa"/>
          </w:tcPr>
          <w:p w14:paraId="75B415B1" w14:textId="5A3F79E2" w:rsidR="009D75DA" w:rsidRPr="00114A58" w:rsidRDefault="009D75DA" w:rsidP="009D75DA">
            <w:pPr>
              <w:rPr>
                <w:rFonts w:ascii="Arial Narrow" w:hAnsi="Arial Narrow"/>
                <w:sz w:val="18"/>
                <w:szCs w:val="18"/>
              </w:rPr>
            </w:pPr>
            <w:r w:rsidRPr="00114A58">
              <w:rPr>
                <w:rFonts w:ascii="Arial Narrow" w:hAnsi="Arial Narrow"/>
                <w:sz w:val="18"/>
                <w:szCs w:val="18"/>
              </w:rPr>
              <w:t>PBO+ ROSUV (all)</w:t>
            </w:r>
          </w:p>
        </w:tc>
        <w:tc>
          <w:tcPr>
            <w:tcW w:w="1105" w:type="dxa"/>
          </w:tcPr>
          <w:p w14:paraId="18B10F87" w14:textId="5033C18C" w:rsidR="009D75DA" w:rsidRPr="00114A58" w:rsidRDefault="009D75DA" w:rsidP="009D75DA">
            <w:pPr>
              <w:rPr>
                <w:rFonts w:ascii="Arial Narrow" w:hAnsi="Arial Narrow"/>
                <w:sz w:val="18"/>
                <w:szCs w:val="18"/>
              </w:rPr>
            </w:pPr>
            <w:r w:rsidRPr="00114A58">
              <w:rPr>
                <w:rFonts w:ascii="Arial Narrow" w:hAnsi="Arial Narrow"/>
                <w:sz w:val="18"/>
                <w:szCs w:val="18"/>
              </w:rPr>
              <w:t>1481</w:t>
            </w:r>
          </w:p>
        </w:tc>
        <w:tc>
          <w:tcPr>
            <w:tcW w:w="1061" w:type="dxa"/>
          </w:tcPr>
          <w:p w14:paraId="5BAD7AFE" w14:textId="6C94E7A8" w:rsidR="009D75DA" w:rsidRPr="00114A58" w:rsidRDefault="009D75DA" w:rsidP="009D75DA">
            <w:pPr>
              <w:rPr>
                <w:rFonts w:ascii="Arial Narrow" w:hAnsi="Arial Narrow"/>
                <w:sz w:val="18"/>
                <w:szCs w:val="18"/>
              </w:rPr>
            </w:pPr>
            <w:r w:rsidRPr="00114A58">
              <w:rPr>
                <w:rFonts w:ascii="Arial Narrow" w:hAnsi="Arial Narrow"/>
                <w:sz w:val="18"/>
                <w:szCs w:val="18"/>
              </w:rPr>
              <w:t>NA</w:t>
            </w:r>
          </w:p>
        </w:tc>
        <w:tc>
          <w:tcPr>
            <w:tcW w:w="1446" w:type="dxa"/>
          </w:tcPr>
          <w:p w14:paraId="29545105" w14:textId="27880308" w:rsidR="009D75DA" w:rsidRPr="00114A58" w:rsidRDefault="009D75DA" w:rsidP="009D75DA">
            <w:pPr>
              <w:rPr>
                <w:rFonts w:ascii="Arial Narrow" w:hAnsi="Arial Narrow"/>
                <w:sz w:val="18"/>
                <w:szCs w:val="18"/>
              </w:rPr>
            </w:pPr>
            <w:r w:rsidRPr="00114A58">
              <w:rPr>
                <w:rFonts w:ascii="Arial Narrow" w:hAnsi="Arial Narrow"/>
                <w:sz w:val="18"/>
                <w:szCs w:val="18"/>
              </w:rPr>
              <w:t>10 (1%)</w:t>
            </w:r>
          </w:p>
        </w:tc>
        <w:tc>
          <w:tcPr>
            <w:tcW w:w="1185" w:type="dxa"/>
          </w:tcPr>
          <w:p w14:paraId="22B4F221" w14:textId="27E90C12" w:rsidR="009D75DA" w:rsidRPr="00114A58" w:rsidRDefault="009D75DA" w:rsidP="009D75DA">
            <w:pPr>
              <w:rPr>
                <w:rFonts w:ascii="Arial Narrow" w:hAnsi="Arial Narrow"/>
                <w:sz w:val="18"/>
                <w:szCs w:val="18"/>
              </w:rPr>
            </w:pPr>
            <w:r w:rsidRPr="00114A58">
              <w:rPr>
                <w:rFonts w:ascii="Arial Narrow" w:hAnsi="Arial Narrow"/>
                <w:sz w:val="18"/>
                <w:szCs w:val="18"/>
              </w:rPr>
              <w:t>76 (5.1%)</w:t>
            </w:r>
          </w:p>
        </w:tc>
        <w:tc>
          <w:tcPr>
            <w:tcW w:w="1582" w:type="dxa"/>
          </w:tcPr>
          <w:p w14:paraId="12B99024" w14:textId="3280D0ED" w:rsidR="009D75DA" w:rsidRPr="00114A58" w:rsidRDefault="009D75DA" w:rsidP="009D75DA">
            <w:pPr>
              <w:rPr>
                <w:rFonts w:ascii="Arial Narrow" w:hAnsi="Arial Narrow"/>
                <w:sz w:val="18"/>
                <w:szCs w:val="18"/>
              </w:rPr>
            </w:pPr>
            <w:r w:rsidRPr="00114A58">
              <w:rPr>
                <w:rFonts w:ascii="Arial Narrow" w:hAnsi="Arial Narrow"/>
                <w:sz w:val="18"/>
                <w:szCs w:val="18"/>
              </w:rPr>
              <w:t>1428 (96.4%)</w:t>
            </w:r>
          </w:p>
        </w:tc>
      </w:tr>
      <w:tr w:rsidR="009D75DA" w:rsidRPr="00114A58" w14:paraId="48046948" w14:textId="77777777" w:rsidTr="00AE3EA8">
        <w:tc>
          <w:tcPr>
            <w:tcW w:w="1555" w:type="dxa"/>
            <w:vMerge w:val="restart"/>
          </w:tcPr>
          <w:p w14:paraId="58598403" w14:textId="11029E4E" w:rsidR="009D75DA" w:rsidRPr="00114A58" w:rsidRDefault="009D75DA" w:rsidP="009D75DA">
            <w:pPr>
              <w:keepNext/>
              <w:spacing w:before="40" w:after="40"/>
              <w:rPr>
                <w:rFonts w:ascii="Arial Narrow" w:hAnsi="Arial Narrow"/>
                <w:sz w:val="18"/>
                <w:szCs w:val="18"/>
              </w:rPr>
            </w:pPr>
            <w:r w:rsidRPr="00114A58">
              <w:rPr>
                <w:rFonts w:ascii="Arial Narrow" w:eastAsia="Times New Roman" w:hAnsi="Arial Narrow" w:cs="Calibri"/>
                <w:spacing w:val="-1"/>
                <w:sz w:val="18"/>
                <w:szCs w:val="18"/>
              </w:rPr>
              <w:t xml:space="preserve">P077Goldberg 2006 </w:t>
            </w:r>
            <w:r w:rsidRPr="00114A58">
              <w:rPr>
                <w:rFonts w:ascii="Arial Narrow" w:hAnsi="Arial Narrow" w:cs="Calibri"/>
                <w:spacing w:val="-1"/>
                <w:sz w:val="18"/>
                <w:szCs w:val="18"/>
              </w:rPr>
              <w:t xml:space="preserve"> </w:t>
            </w:r>
            <w:r w:rsidRPr="00114A58">
              <w:rPr>
                <w:rFonts w:ascii="Arial Narrow" w:eastAsia="Times New Roman" w:hAnsi="Arial Narrow" w:cs="Calibri"/>
                <w:spacing w:val="-1"/>
                <w:sz w:val="18"/>
                <w:szCs w:val="18"/>
              </w:rPr>
              <w:t xml:space="preserve">VYTAL </w:t>
            </w:r>
          </w:p>
        </w:tc>
        <w:tc>
          <w:tcPr>
            <w:tcW w:w="1559" w:type="dxa"/>
          </w:tcPr>
          <w:p w14:paraId="7D2A3E87" w14:textId="2C7FD820" w:rsidR="009D75DA" w:rsidRPr="00114A58" w:rsidRDefault="009D75DA" w:rsidP="009D75DA">
            <w:pPr>
              <w:rPr>
                <w:rFonts w:ascii="Arial Narrow" w:hAnsi="Arial Narrow"/>
                <w:sz w:val="18"/>
                <w:szCs w:val="18"/>
              </w:rPr>
            </w:pPr>
            <w:r w:rsidRPr="00114A58">
              <w:rPr>
                <w:rFonts w:ascii="Arial Narrow" w:hAnsi="Arial Narrow"/>
                <w:sz w:val="18"/>
                <w:szCs w:val="18"/>
              </w:rPr>
              <w:t>E</w:t>
            </w:r>
            <w:r>
              <w:rPr>
                <w:rFonts w:ascii="Arial Narrow" w:hAnsi="Arial Narrow"/>
                <w:sz w:val="18"/>
                <w:szCs w:val="18"/>
              </w:rPr>
              <w:t>Z</w:t>
            </w:r>
            <w:r w:rsidRPr="00114A58">
              <w:rPr>
                <w:rFonts w:ascii="Arial Narrow" w:hAnsi="Arial Narrow"/>
                <w:sz w:val="18"/>
                <w:szCs w:val="18"/>
              </w:rPr>
              <w:t>+SIM (all)</w:t>
            </w:r>
          </w:p>
        </w:tc>
        <w:tc>
          <w:tcPr>
            <w:tcW w:w="1105" w:type="dxa"/>
          </w:tcPr>
          <w:p w14:paraId="58ADC045" w14:textId="3F930989" w:rsidR="009D75DA" w:rsidRPr="00114A58" w:rsidRDefault="009D75DA" w:rsidP="009D75DA">
            <w:pPr>
              <w:rPr>
                <w:rFonts w:ascii="Arial Narrow" w:hAnsi="Arial Narrow"/>
                <w:sz w:val="18"/>
                <w:szCs w:val="18"/>
              </w:rPr>
            </w:pPr>
            <w:r w:rsidRPr="00114A58">
              <w:rPr>
                <w:rFonts w:ascii="Arial Narrow" w:hAnsi="Arial Narrow"/>
                <w:sz w:val="18"/>
                <w:szCs w:val="18"/>
              </w:rPr>
              <w:t>494</w:t>
            </w:r>
          </w:p>
        </w:tc>
        <w:tc>
          <w:tcPr>
            <w:tcW w:w="1061" w:type="dxa"/>
          </w:tcPr>
          <w:p w14:paraId="1CB60164" w14:textId="06E1924F" w:rsidR="009D75DA" w:rsidRPr="00114A58" w:rsidRDefault="009D75DA" w:rsidP="009D75DA">
            <w:pPr>
              <w:rPr>
                <w:rFonts w:ascii="Arial Narrow" w:hAnsi="Arial Narrow"/>
                <w:sz w:val="18"/>
                <w:szCs w:val="18"/>
              </w:rPr>
            </w:pPr>
            <w:r w:rsidRPr="00114A58">
              <w:rPr>
                <w:rFonts w:ascii="Arial Narrow" w:hAnsi="Arial Narrow"/>
                <w:sz w:val="18"/>
                <w:szCs w:val="18"/>
              </w:rPr>
              <w:t>0</w:t>
            </w:r>
          </w:p>
        </w:tc>
        <w:tc>
          <w:tcPr>
            <w:tcW w:w="1446" w:type="dxa"/>
          </w:tcPr>
          <w:p w14:paraId="0D602981" w14:textId="16B68365" w:rsidR="009D75DA" w:rsidRPr="00114A58" w:rsidRDefault="009D75DA" w:rsidP="009D75DA">
            <w:pPr>
              <w:rPr>
                <w:rFonts w:ascii="Arial Narrow" w:hAnsi="Arial Narrow"/>
                <w:sz w:val="18"/>
                <w:szCs w:val="18"/>
              </w:rPr>
            </w:pPr>
            <w:r w:rsidRPr="00114A58">
              <w:rPr>
                <w:rFonts w:ascii="Arial Narrow" w:hAnsi="Arial Narrow"/>
                <w:sz w:val="18"/>
                <w:szCs w:val="18"/>
              </w:rPr>
              <w:t>4(0.8%)</w:t>
            </w:r>
          </w:p>
        </w:tc>
        <w:tc>
          <w:tcPr>
            <w:tcW w:w="1185" w:type="dxa"/>
          </w:tcPr>
          <w:p w14:paraId="3D24FAFA" w14:textId="72DB70FC" w:rsidR="009D75DA" w:rsidRPr="00114A58" w:rsidRDefault="009D75DA" w:rsidP="009D75DA">
            <w:pPr>
              <w:rPr>
                <w:rFonts w:ascii="Arial Narrow" w:hAnsi="Arial Narrow"/>
                <w:sz w:val="18"/>
                <w:szCs w:val="18"/>
              </w:rPr>
            </w:pPr>
            <w:r w:rsidRPr="00114A58">
              <w:rPr>
                <w:rFonts w:ascii="Arial Narrow" w:hAnsi="Arial Narrow"/>
                <w:sz w:val="18"/>
                <w:szCs w:val="18"/>
              </w:rPr>
              <w:t>22(4.5%)</w:t>
            </w:r>
          </w:p>
        </w:tc>
        <w:tc>
          <w:tcPr>
            <w:tcW w:w="1582" w:type="dxa"/>
          </w:tcPr>
          <w:p w14:paraId="4EBD1CBD" w14:textId="678A75B2" w:rsidR="009D75DA" w:rsidRPr="00114A58" w:rsidRDefault="009D75DA" w:rsidP="009D75DA">
            <w:pPr>
              <w:rPr>
                <w:rFonts w:ascii="Arial Narrow" w:hAnsi="Arial Narrow"/>
                <w:sz w:val="18"/>
                <w:szCs w:val="18"/>
              </w:rPr>
            </w:pPr>
            <w:r w:rsidRPr="00114A58">
              <w:rPr>
                <w:rFonts w:ascii="Arial Narrow" w:hAnsi="Arial Narrow"/>
                <w:sz w:val="18"/>
                <w:szCs w:val="18"/>
              </w:rPr>
              <w:t>480 (97.2%)</w:t>
            </w:r>
          </w:p>
        </w:tc>
      </w:tr>
      <w:tr w:rsidR="009D75DA" w:rsidRPr="00114A58" w14:paraId="0F411515" w14:textId="77777777" w:rsidTr="00AE3EA8">
        <w:tc>
          <w:tcPr>
            <w:tcW w:w="1555" w:type="dxa"/>
            <w:vMerge/>
          </w:tcPr>
          <w:p w14:paraId="53764F7E" w14:textId="77777777" w:rsidR="009D75DA" w:rsidRPr="00114A58" w:rsidRDefault="009D75DA" w:rsidP="009D75DA">
            <w:pPr>
              <w:keepNext/>
              <w:spacing w:before="40" w:after="40"/>
              <w:rPr>
                <w:rFonts w:ascii="Arial Narrow" w:hAnsi="Arial Narrow"/>
                <w:sz w:val="18"/>
                <w:szCs w:val="18"/>
              </w:rPr>
            </w:pPr>
          </w:p>
        </w:tc>
        <w:tc>
          <w:tcPr>
            <w:tcW w:w="1559" w:type="dxa"/>
          </w:tcPr>
          <w:p w14:paraId="7CD47295" w14:textId="45D21B22" w:rsidR="009D75DA" w:rsidRPr="00114A58" w:rsidRDefault="009D75DA" w:rsidP="009D75DA">
            <w:pPr>
              <w:rPr>
                <w:rFonts w:ascii="Arial Narrow" w:hAnsi="Arial Narrow"/>
                <w:sz w:val="18"/>
                <w:szCs w:val="18"/>
              </w:rPr>
            </w:pPr>
            <w:r w:rsidRPr="00114A58">
              <w:rPr>
                <w:rFonts w:ascii="Arial Narrow" w:hAnsi="Arial Narrow"/>
                <w:sz w:val="18"/>
                <w:szCs w:val="18"/>
              </w:rPr>
              <w:t>PBO+ATOR (all)</w:t>
            </w:r>
          </w:p>
        </w:tc>
        <w:tc>
          <w:tcPr>
            <w:tcW w:w="1105" w:type="dxa"/>
          </w:tcPr>
          <w:p w14:paraId="7D3CA7D9" w14:textId="2867CFA7" w:rsidR="009D75DA" w:rsidRPr="00114A58" w:rsidRDefault="009D75DA" w:rsidP="009D75DA">
            <w:pPr>
              <w:rPr>
                <w:rFonts w:ascii="Arial Narrow" w:hAnsi="Arial Narrow"/>
                <w:sz w:val="18"/>
                <w:szCs w:val="18"/>
              </w:rPr>
            </w:pPr>
            <w:r w:rsidRPr="00114A58">
              <w:rPr>
                <w:rFonts w:ascii="Arial Narrow" w:hAnsi="Arial Narrow"/>
                <w:sz w:val="18"/>
                <w:szCs w:val="18"/>
              </w:rPr>
              <w:t>735</w:t>
            </w:r>
          </w:p>
        </w:tc>
        <w:tc>
          <w:tcPr>
            <w:tcW w:w="1061" w:type="dxa"/>
          </w:tcPr>
          <w:p w14:paraId="1B003B6D" w14:textId="31960D84" w:rsidR="009D75DA" w:rsidRPr="00114A58" w:rsidRDefault="009D75DA" w:rsidP="009D75DA">
            <w:pPr>
              <w:rPr>
                <w:rFonts w:ascii="Arial Narrow" w:hAnsi="Arial Narrow"/>
                <w:sz w:val="18"/>
                <w:szCs w:val="18"/>
              </w:rPr>
            </w:pPr>
            <w:r w:rsidRPr="00114A58">
              <w:rPr>
                <w:rFonts w:ascii="Arial Narrow" w:hAnsi="Arial Narrow"/>
                <w:sz w:val="18"/>
                <w:szCs w:val="18"/>
              </w:rPr>
              <w:t>3 (0.4%)</w:t>
            </w:r>
          </w:p>
        </w:tc>
        <w:tc>
          <w:tcPr>
            <w:tcW w:w="1446" w:type="dxa"/>
          </w:tcPr>
          <w:p w14:paraId="72F4875B" w14:textId="64913E3E" w:rsidR="009D75DA" w:rsidRPr="00114A58" w:rsidRDefault="009D75DA" w:rsidP="009D75DA">
            <w:pPr>
              <w:rPr>
                <w:rFonts w:ascii="Arial Narrow" w:hAnsi="Arial Narrow"/>
                <w:sz w:val="18"/>
                <w:szCs w:val="18"/>
              </w:rPr>
            </w:pPr>
            <w:r w:rsidRPr="00114A58">
              <w:rPr>
                <w:rFonts w:ascii="Arial Narrow" w:hAnsi="Arial Narrow"/>
                <w:sz w:val="18"/>
                <w:szCs w:val="18"/>
              </w:rPr>
              <w:t>0</w:t>
            </w:r>
          </w:p>
        </w:tc>
        <w:tc>
          <w:tcPr>
            <w:tcW w:w="1185" w:type="dxa"/>
          </w:tcPr>
          <w:p w14:paraId="29F9A832" w14:textId="330DC0B1" w:rsidR="009D75DA" w:rsidRPr="00114A58" w:rsidRDefault="009D75DA" w:rsidP="009D75DA">
            <w:pPr>
              <w:rPr>
                <w:rFonts w:ascii="Arial Narrow" w:hAnsi="Arial Narrow"/>
                <w:sz w:val="18"/>
                <w:szCs w:val="18"/>
              </w:rPr>
            </w:pPr>
            <w:r w:rsidRPr="00114A58">
              <w:rPr>
                <w:rFonts w:ascii="Arial Narrow" w:hAnsi="Arial Narrow"/>
                <w:sz w:val="18"/>
                <w:szCs w:val="18"/>
              </w:rPr>
              <w:t>22 (3.0%)</w:t>
            </w:r>
          </w:p>
        </w:tc>
        <w:tc>
          <w:tcPr>
            <w:tcW w:w="1582" w:type="dxa"/>
          </w:tcPr>
          <w:p w14:paraId="69B63CA2" w14:textId="31A61CEB" w:rsidR="009D75DA" w:rsidRPr="00114A58" w:rsidRDefault="009D75DA" w:rsidP="009D75DA">
            <w:pPr>
              <w:rPr>
                <w:rFonts w:ascii="Arial Narrow" w:hAnsi="Arial Narrow"/>
                <w:sz w:val="18"/>
                <w:szCs w:val="18"/>
              </w:rPr>
            </w:pPr>
            <w:r w:rsidRPr="00114A58">
              <w:rPr>
                <w:rFonts w:ascii="Arial Narrow" w:hAnsi="Arial Narrow"/>
                <w:sz w:val="18"/>
                <w:szCs w:val="18"/>
              </w:rPr>
              <w:t>718 (97.7%)</w:t>
            </w:r>
          </w:p>
        </w:tc>
      </w:tr>
      <w:tr w:rsidR="009D75DA" w:rsidRPr="00114A58" w14:paraId="0D8B7644" w14:textId="77777777" w:rsidTr="00AE3EA8">
        <w:tc>
          <w:tcPr>
            <w:tcW w:w="1555" w:type="dxa"/>
            <w:vMerge w:val="restart"/>
          </w:tcPr>
          <w:p w14:paraId="39F7B232" w14:textId="0E3EFB93" w:rsidR="009D75DA" w:rsidRPr="00114A58" w:rsidRDefault="009D75DA" w:rsidP="009D75DA">
            <w:pPr>
              <w:keepNext/>
              <w:spacing w:before="40" w:after="40"/>
              <w:rPr>
                <w:rFonts w:ascii="Arial Narrow" w:hAnsi="Arial Narrow"/>
                <w:sz w:val="18"/>
                <w:szCs w:val="18"/>
              </w:rPr>
            </w:pPr>
            <w:r w:rsidRPr="003931F1">
              <w:rPr>
                <w:rFonts w:ascii="Arial Narrow" w:hAnsi="Arial Narrow" w:cs="Calibri"/>
                <w:spacing w:val="-1"/>
                <w:sz w:val="18"/>
                <w:szCs w:val="18"/>
              </w:rPr>
              <w:t>Lee 2013</w:t>
            </w:r>
          </w:p>
        </w:tc>
        <w:tc>
          <w:tcPr>
            <w:tcW w:w="1559" w:type="dxa"/>
          </w:tcPr>
          <w:p w14:paraId="6E7BF843" w14:textId="0D349D44" w:rsidR="009D75DA" w:rsidRPr="00114A58" w:rsidRDefault="009D75DA" w:rsidP="009D75DA">
            <w:pPr>
              <w:rPr>
                <w:rFonts w:ascii="Arial Narrow" w:hAnsi="Arial Narrow"/>
                <w:sz w:val="18"/>
                <w:szCs w:val="18"/>
              </w:rPr>
            </w:pPr>
            <w:r>
              <w:rPr>
                <w:rFonts w:ascii="Arial Narrow" w:hAnsi="Arial Narrow" w:cs="Calibri"/>
                <w:spacing w:val="-1"/>
                <w:sz w:val="18"/>
                <w:szCs w:val="18"/>
              </w:rPr>
              <w:t>EZ</w:t>
            </w:r>
            <w:r w:rsidRPr="003931F1">
              <w:rPr>
                <w:rFonts w:ascii="Arial Narrow" w:hAnsi="Arial Narrow" w:cs="Calibri"/>
                <w:spacing w:val="-1"/>
                <w:sz w:val="18"/>
                <w:szCs w:val="18"/>
              </w:rPr>
              <w:t>+SIMV</w:t>
            </w:r>
          </w:p>
        </w:tc>
        <w:tc>
          <w:tcPr>
            <w:tcW w:w="1105" w:type="dxa"/>
          </w:tcPr>
          <w:p w14:paraId="24F002D9" w14:textId="13945E1E"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66</w:t>
            </w:r>
          </w:p>
        </w:tc>
        <w:tc>
          <w:tcPr>
            <w:tcW w:w="1061" w:type="dxa"/>
          </w:tcPr>
          <w:p w14:paraId="26AA16E0" w14:textId="3DEB69C2"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1(1.5%)</w:t>
            </w:r>
          </w:p>
        </w:tc>
        <w:tc>
          <w:tcPr>
            <w:tcW w:w="1446" w:type="dxa"/>
          </w:tcPr>
          <w:p w14:paraId="663C5342" w14:textId="0B450E8C"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0</w:t>
            </w:r>
          </w:p>
        </w:tc>
        <w:tc>
          <w:tcPr>
            <w:tcW w:w="1185" w:type="dxa"/>
          </w:tcPr>
          <w:p w14:paraId="3352FA8C" w14:textId="734BC6E1"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3 (4.5%)</w:t>
            </w:r>
          </w:p>
        </w:tc>
        <w:tc>
          <w:tcPr>
            <w:tcW w:w="1582" w:type="dxa"/>
          </w:tcPr>
          <w:p w14:paraId="11629219" w14:textId="3D19A484"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62 (93.9%)</w:t>
            </w:r>
          </w:p>
        </w:tc>
      </w:tr>
      <w:tr w:rsidR="009D75DA" w:rsidRPr="00114A58" w14:paraId="59BBE1A9" w14:textId="77777777" w:rsidTr="00AE3EA8">
        <w:tc>
          <w:tcPr>
            <w:tcW w:w="1555" w:type="dxa"/>
            <w:vMerge/>
          </w:tcPr>
          <w:p w14:paraId="2B0C6839" w14:textId="3B0C63F8" w:rsidR="009D75DA" w:rsidRPr="00114A58" w:rsidRDefault="009D75DA" w:rsidP="009D75DA">
            <w:pPr>
              <w:keepNext/>
              <w:spacing w:before="40" w:after="40"/>
              <w:rPr>
                <w:rFonts w:ascii="Arial Narrow" w:eastAsia="Times New Roman" w:hAnsi="Arial Narrow" w:cs="Calibri"/>
                <w:spacing w:val="-1"/>
                <w:sz w:val="18"/>
                <w:szCs w:val="18"/>
              </w:rPr>
            </w:pPr>
          </w:p>
        </w:tc>
        <w:tc>
          <w:tcPr>
            <w:tcW w:w="1559" w:type="dxa"/>
          </w:tcPr>
          <w:p w14:paraId="16070D61" w14:textId="2FEDE0F9" w:rsidR="009D75DA" w:rsidRPr="00114A58" w:rsidRDefault="009D75DA" w:rsidP="009D75DA">
            <w:pPr>
              <w:rPr>
                <w:rFonts w:ascii="Arial Narrow" w:hAnsi="Arial Narrow"/>
                <w:sz w:val="18"/>
                <w:szCs w:val="18"/>
              </w:rPr>
            </w:pPr>
            <w:r w:rsidRPr="00114A58">
              <w:rPr>
                <w:rFonts w:ascii="Arial Narrow" w:hAnsi="Arial Narrow"/>
                <w:sz w:val="18"/>
                <w:szCs w:val="18"/>
              </w:rPr>
              <w:t>PBO+</w:t>
            </w:r>
            <w:r w:rsidRPr="003931F1">
              <w:rPr>
                <w:rFonts w:ascii="Arial Narrow" w:hAnsi="Arial Narrow" w:cs="Calibri"/>
                <w:spacing w:val="-1"/>
                <w:sz w:val="18"/>
                <w:szCs w:val="18"/>
              </w:rPr>
              <w:t>ATOR</w:t>
            </w:r>
          </w:p>
        </w:tc>
        <w:tc>
          <w:tcPr>
            <w:tcW w:w="1105" w:type="dxa"/>
          </w:tcPr>
          <w:p w14:paraId="2798FE55" w14:textId="130FE82D"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66</w:t>
            </w:r>
          </w:p>
        </w:tc>
        <w:tc>
          <w:tcPr>
            <w:tcW w:w="1061" w:type="dxa"/>
          </w:tcPr>
          <w:p w14:paraId="3361D048" w14:textId="644ACD74"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0</w:t>
            </w:r>
          </w:p>
        </w:tc>
        <w:tc>
          <w:tcPr>
            <w:tcW w:w="1446" w:type="dxa"/>
          </w:tcPr>
          <w:p w14:paraId="4A8025FC" w14:textId="24B8C371"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0</w:t>
            </w:r>
          </w:p>
        </w:tc>
        <w:tc>
          <w:tcPr>
            <w:tcW w:w="1185" w:type="dxa"/>
          </w:tcPr>
          <w:p w14:paraId="313E077E" w14:textId="5F2E99E5"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3 (4.5%)</w:t>
            </w:r>
          </w:p>
        </w:tc>
        <w:tc>
          <w:tcPr>
            <w:tcW w:w="1582" w:type="dxa"/>
          </w:tcPr>
          <w:p w14:paraId="33B24989" w14:textId="19D2C9D9"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63 (95.5%)</w:t>
            </w:r>
          </w:p>
        </w:tc>
      </w:tr>
      <w:tr w:rsidR="009D75DA" w:rsidRPr="00114A58" w14:paraId="7739A69B" w14:textId="77777777" w:rsidTr="00AE3EA8">
        <w:tc>
          <w:tcPr>
            <w:tcW w:w="1555" w:type="dxa"/>
            <w:vMerge w:val="restart"/>
          </w:tcPr>
          <w:p w14:paraId="335F7E28" w14:textId="362F40AC" w:rsidR="009D75DA" w:rsidRPr="00114A58" w:rsidRDefault="009D75DA" w:rsidP="009D75DA">
            <w:pPr>
              <w:keepNext/>
              <w:spacing w:before="40" w:after="40"/>
              <w:rPr>
                <w:rFonts w:ascii="Arial Narrow" w:eastAsia="Times New Roman" w:hAnsi="Arial Narrow" w:cs="Calibri"/>
                <w:spacing w:val="-1"/>
                <w:sz w:val="18"/>
                <w:szCs w:val="18"/>
              </w:rPr>
            </w:pPr>
            <w:r w:rsidRPr="003931F1">
              <w:rPr>
                <w:rFonts w:ascii="Arial Narrow" w:hAnsi="Arial Narrow" w:cs="Calibri"/>
                <w:spacing w:val="-1"/>
                <w:sz w:val="18"/>
                <w:szCs w:val="18"/>
              </w:rPr>
              <w:t>Cho 2011</w:t>
            </w:r>
          </w:p>
        </w:tc>
        <w:tc>
          <w:tcPr>
            <w:tcW w:w="1559" w:type="dxa"/>
          </w:tcPr>
          <w:p w14:paraId="71778EB5" w14:textId="3D15DA20" w:rsidR="009D75DA" w:rsidRPr="00114A58" w:rsidRDefault="00A36E6E" w:rsidP="009D75DA">
            <w:pPr>
              <w:rPr>
                <w:rFonts w:ascii="Arial Narrow" w:hAnsi="Arial Narrow"/>
                <w:sz w:val="18"/>
                <w:szCs w:val="18"/>
              </w:rPr>
            </w:pPr>
            <w:r>
              <w:rPr>
                <w:rFonts w:ascii="Arial Narrow" w:hAnsi="Arial Narrow" w:cs="Calibri"/>
                <w:spacing w:val="-1"/>
                <w:sz w:val="18"/>
                <w:szCs w:val="18"/>
              </w:rPr>
              <w:t>EZ</w:t>
            </w:r>
            <w:r w:rsidR="009D75DA" w:rsidRPr="003931F1">
              <w:rPr>
                <w:rFonts w:ascii="Arial Narrow" w:hAnsi="Arial Narrow" w:cs="Calibri"/>
                <w:spacing w:val="-1"/>
                <w:sz w:val="18"/>
                <w:szCs w:val="18"/>
              </w:rPr>
              <w:t>+SIMV</w:t>
            </w:r>
          </w:p>
        </w:tc>
        <w:tc>
          <w:tcPr>
            <w:tcW w:w="1105" w:type="dxa"/>
          </w:tcPr>
          <w:p w14:paraId="12AAAF37" w14:textId="5E7781A3"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42</w:t>
            </w:r>
          </w:p>
        </w:tc>
        <w:tc>
          <w:tcPr>
            <w:tcW w:w="1061" w:type="dxa"/>
          </w:tcPr>
          <w:p w14:paraId="39109564" w14:textId="29B533F1"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NA</w:t>
            </w:r>
          </w:p>
        </w:tc>
        <w:tc>
          <w:tcPr>
            <w:tcW w:w="1446" w:type="dxa"/>
            <w:vMerge w:val="restart"/>
            <w:vAlign w:val="center"/>
          </w:tcPr>
          <w:p w14:paraId="4C3FF0F3" w14:textId="2691E1F3" w:rsidR="009D75DA" w:rsidRPr="00791CF6" w:rsidRDefault="009D75DA" w:rsidP="009D75DA">
            <w:pPr>
              <w:rPr>
                <w:rFonts w:ascii="Arial Narrow" w:hAnsi="Arial Narrow"/>
                <w:sz w:val="18"/>
                <w:szCs w:val="18"/>
              </w:rPr>
            </w:pPr>
            <w:r w:rsidRPr="00791CF6">
              <w:rPr>
                <w:rFonts w:ascii="Arial Narrow" w:hAnsi="Arial Narrow" w:cs="Calibri"/>
                <w:spacing w:val="-1"/>
                <w:sz w:val="18"/>
                <w:szCs w:val="18"/>
              </w:rPr>
              <w:t>7</w:t>
            </w:r>
            <w:r w:rsidR="004C3B64">
              <w:rPr>
                <w:rFonts w:ascii="Arial Narrow" w:hAnsi="Arial Narrow" w:cs="Calibri"/>
                <w:spacing w:val="-1"/>
                <w:sz w:val="18"/>
                <w:szCs w:val="18"/>
              </w:rPr>
              <w:t xml:space="preserve"> (8%)</w:t>
            </w:r>
          </w:p>
        </w:tc>
        <w:tc>
          <w:tcPr>
            <w:tcW w:w="1185" w:type="dxa"/>
            <w:vMerge w:val="restart"/>
            <w:vAlign w:val="center"/>
          </w:tcPr>
          <w:p w14:paraId="4C0B6907" w14:textId="4595F98C" w:rsidR="009D75DA" w:rsidRPr="00791CF6" w:rsidRDefault="009D75DA" w:rsidP="009D75DA">
            <w:pPr>
              <w:rPr>
                <w:rFonts w:ascii="Arial Narrow" w:hAnsi="Arial Narrow"/>
                <w:sz w:val="18"/>
                <w:szCs w:val="18"/>
              </w:rPr>
            </w:pPr>
            <w:r w:rsidRPr="00791CF6">
              <w:rPr>
                <w:rFonts w:ascii="Arial Narrow" w:hAnsi="Arial Narrow" w:cs="Calibri"/>
                <w:spacing w:val="-1"/>
                <w:sz w:val="18"/>
                <w:szCs w:val="18"/>
              </w:rPr>
              <w:t>11</w:t>
            </w:r>
            <w:r w:rsidR="004C3B64">
              <w:rPr>
                <w:rFonts w:ascii="Arial Narrow" w:hAnsi="Arial Narrow" w:cs="Calibri"/>
                <w:spacing w:val="-1"/>
                <w:sz w:val="18"/>
                <w:szCs w:val="18"/>
              </w:rPr>
              <w:t xml:space="preserve"> (13%)</w:t>
            </w:r>
          </w:p>
        </w:tc>
        <w:tc>
          <w:tcPr>
            <w:tcW w:w="1582" w:type="dxa"/>
          </w:tcPr>
          <w:p w14:paraId="6CC907B5" w14:textId="459E4ADC"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36 (85.7%)</w:t>
            </w:r>
          </w:p>
        </w:tc>
      </w:tr>
      <w:tr w:rsidR="009D75DA" w:rsidRPr="00114A58" w14:paraId="4B165CF1" w14:textId="77777777" w:rsidTr="00AE3EA8">
        <w:tc>
          <w:tcPr>
            <w:tcW w:w="1555" w:type="dxa"/>
            <w:vMerge/>
          </w:tcPr>
          <w:p w14:paraId="23800A1C" w14:textId="45583229" w:rsidR="009D75DA" w:rsidRPr="00114A58" w:rsidRDefault="009D75DA" w:rsidP="009D75DA">
            <w:pPr>
              <w:keepNext/>
              <w:spacing w:before="40" w:after="40"/>
              <w:rPr>
                <w:rFonts w:ascii="Arial Narrow" w:eastAsia="Times New Roman" w:hAnsi="Arial Narrow" w:cs="Calibri"/>
                <w:spacing w:val="-1"/>
                <w:sz w:val="18"/>
                <w:szCs w:val="18"/>
              </w:rPr>
            </w:pPr>
          </w:p>
        </w:tc>
        <w:tc>
          <w:tcPr>
            <w:tcW w:w="1559" w:type="dxa"/>
          </w:tcPr>
          <w:p w14:paraId="021095E3" w14:textId="64AABA5A"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ATOR</w:t>
            </w:r>
          </w:p>
        </w:tc>
        <w:tc>
          <w:tcPr>
            <w:tcW w:w="1105" w:type="dxa"/>
          </w:tcPr>
          <w:p w14:paraId="5152E467" w14:textId="04BC0623"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43</w:t>
            </w:r>
          </w:p>
        </w:tc>
        <w:tc>
          <w:tcPr>
            <w:tcW w:w="1061" w:type="dxa"/>
          </w:tcPr>
          <w:p w14:paraId="7411336F" w14:textId="3C440E5C"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NA</w:t>
            </w:r>
          </w:p>
        </w:tc>
        <w:tc>
          <w:tcPr>
            <w:tcW w:w="1446" w:type="dxa"/>
            <w:vMerge/>
          </w:tcPr>
          <w:p w14:paraId="52EF2F5F" w14:textId="217D045E" w:rsidR="009D75DA" w:rsidRPr="00114A58" w:rsidRDefault="009D75DA" w:rsidP="009D75DA">
            <w:pPr>
              <w:rPr>
                <w:rFonts w:ascii="Arial Narrow" w:hAnsi="Arial Narrow"/>
                <w:sz w:val="18"/>
                <w:szCs w:val="18"/>
              </w:rPr>
            </w:pPr>
          </w:p>
        </w:tc>
        <w:tc>
          <w:tcPr>
            <w:tcW w:w="1185" w:type="dxa"/>
            <w:vMerge/>
          </w:tcPr>
          <w:p w14:paraId="3CF927B4" w14:textId="6EA74132" w:rsidR="009D75DA" w:rsidRPr="00114A58" w:rsidRDefault="009D75DA" w:rsidP="009D75DA">
            <w:pPr>
              <w:rPr>
                <w:rFonts w:ascii="Arial Narrow" w:hAnsi="Arial Narrow"/>
                <w:sz w:val="18"/>
                <w:szCs w:val="18"/>
              </w:rPr>
            </w:pPr>
          </w:p>
        </w:tc>
        <w:tc>
          <w:tcPr>
            <w:tcW w:w="1582" w:type="dxa"/>
          </w:tcPr>
          <w:p w14:paraId="3D74F636" w14:textId="19E7A841" w:rsidR="009D75DA" w:rsidRPr="00114A58" w:rsidRDefault="009D75DA" w:rsidP="009D75DA">
            <w:pPr>
              <w:rPr>
                <w:rFonts w:ascii="Arial Narrow" w:hAnsi="Arial Narrow"/>
                <w:sz w:val="18"/>
                <w:szCs w:val="18"/>
              </w:rPr>
            </w:pPr>
            <w:r w:rsidRPr="003931F1">
              <w:rPr>
                <w:rFonts w:ascii="Arial Narrow" w:hAnsi="Arial Narrow" w:cs="Calibri"/>
                <w:spacing w:val="-1"/>
                <w:sz w:val="18"/>
                <w:szCs w:val="18"/>
              </w:rPr>
              <w:t>38 (88.4%)</w:t>
            </w:r>
          </w:p>
        </w:tc>
      </w:tr>
      <w:tr w:rsidR="00A36E6E" w:rsidRPr="00114A58" w14:paraId="38845244" w14:textId="77777777" w:rsidTr="00AE3EA8">
        <w:tc>
          <w:tcPr>
            <w:tcW w:w="1555" w:type="dxa"/>
            <w:vMerge w:val="restart"/>
          </w:tcPr>
          <w:p w14:paraId="661C089D" w14:textId="1CAC2D2E" w:rsidR="00A36E6E" w:rsidRPr="00114A58" w:rsidRDefault="00A36E6E" w:rsidP="00A36E6E">
            <w:pPr>
              <w:keepNext/>
              <w:spacing w:before="40" w:after="40"/>
              <w:rPr>
                <w:rFonts w:ascii="Arial Narrow" w:eastAsia="Times New Roman" w:hAnsi="Arial Narrow" w:cs="Calibri"/>
                <w:spacing w:val="-1"/>
                <w:sz w:val="18"/>
                <w:szCs w:val="18"/>
              </w:rPr>
            </w:pPr>
            <w:r w:rsidRPr="009D75DA">
              <w:rPr>
                <w:rFonts w:ascii="Arial Narrow" w:hAnsi="Arial Narrow" w:cs="Calibri"/>
                <w:spacing w:val="-1"/>
                <w:sz w:val="18"/>
                <w:szCs w:val="18"/>
              </w:rPr>
              <w:t>P051 Ballantyne 2005</w:t>
            </w:r>
            <w:r>
              <w:rPr>
                <w:rFonts w:ascii="Arial Narrow" w:hAnsi="Arial Narrow" w:cs="Calibri"/>
                <w:spacing w:val="-1"/>
                <w:szCs w:val="18"/>
              </w:rPr>
              <w:t xml:space="preserve"> </w:t>
            </w:r>
          </w:p>
        </w:tc>
        <w:tc>
          <w:tcPr>
            <w:tcW w:w="1559" w:type="dxa"/>
          </w:tcPr>
          <w:p w14:paraId="5C835E61" w14:textId="2D93DF03" w:rsidR="00A36E6E" w:rsidRPr="00114A58" w:rsidRDefault="00A36E6E" w:rsidP="00A36E6E">
            <w:pPr>
              <w:rPr>
                <w:rFonts w:ascii="Arial Narrow" w:hAnsi="Arial Narrow"/>
                <w:sz w:val="18"/>
                <w:szCs w:val="18"/>
              </w:rPr>
            </w:pPr>
            <w:r w:rsidRPr="00A37215">
              <w:rPr>
                <w:rFonts w:ascii="Arial Narrow" w:hAnsi="Arial Narrow"/>
                <w:sz w:val="18"/>
                <w:szCs w:val="18"/>
              </w:rPr>
              <w:t>E</w:t>
            </w:r>
            <w:r>
              <w:rPr>
                <w:rFonts w:ascii="Arial Narrow" w:hAnsi="Arial Narrow"/>
                <w:sz w:val="18"/>
                <w:szCs w:val="18"/>
              </w:rPr>
              <w:t>Z</w:t>
            </w:r>
            <w:r w:rsidRPr="00A37215">
              <w:rPr>
                <w:rFonts w:ascii="Arial Narrow" w:hAnsi="Arial Narrow"/>
                <w:sz w:val="18"/>
                <w:szCs w:val="18"/>
              </w:rPr>
              <w:t>+SIM</w:t>
            </w:r>
            <w:r>
              <w:rPr>
                <w:rFonts w:ascii="Arial Narrow" w:hAnsi="Arial Narrow"/>
                <w:sz w:val="18"/>
                <w:szCs w:val="18"/>
              </w:rPr>
              <w:t xml:space="preserve"> (all)</w:t>
            </w:r>
          </w:p>
        </w:tc>
        <w:tc>
          <w:tcPr>
            <w:tcW w:w="1105" w:type="dxa"/>
          </w:tcPr>
          <w:p w14:paraId="36C885EE" w14:textId="1CCEB12F" w:rsidR="00A36E6E" w:rsidRPr="00114A58" w:rsidRDefault="00A36E6E" w:rsidP="00A36E6E">
            <w:pPr>
              <w:rPr>
                <w:rFonts w:ascii="Arial Narrow" w:hAnsi="Arial Narrow"/>
                <w:sz w:val="18"/>
                <w:szCs w:val="18"/>
              </w:rPr>
            </w:pPr>
            <w:r w:rsidRPr="00114A58">
              <w:rPr>
                <w:rFonts w:ascii="Arial Narrow" w:hAnsi="Arial Narrow"/>
                <w:sz w:val="18"/>
                <w:szCs w:val="18"/>
              </w:rPr>
              <w:t>951</w:t>
            </w:r>
          </w:p>
        </w:tc>
        <w:tc>
          <w:tcPr>
            <w:tcW w:w="1061" w:type="dxa"/>
            <w:vAlign w:val="center"/>
          </w:tcPr>
          <w:p w14:paraId="45C6DB5E" w14:textId="73D48748" w:rsidR="00A36E6E" w:rsidRPr="00A36E6E" w:rsidRDefault="00A36E6E" w:rsidP="00A36E6E">
            <w:pPr>
              <w:rPr>
                <w:rFonts w:ascii="Arial Narrow" w:hAnsi="Arial Narrow" w:cs="Calibri"/>
                <w:spacing w:val="-1"/>
                <w:sz w:val="18"/>
                <w:szCs w:val="18"/>
              </w:rPr>
            </w:pPr>
            <w:r w:rsidRPr="00A36E6E">
              <w:rPr>
                <w:rFonts w:ascii="Arial Narrow" w:hAnsi="Arial Narrow" w:cs="Calibri"/>
                <w:spacing w:val="-1"/>
                <w:sz w:val="18"/>
                <w:szCs w:val="18"/>
              </w:rPr>
              <w:t>3 (0.3</w:t>
            </w:r>
            <w:r>
              <w:rPr>
                <w:rFonts w:ascii="Arial Narrow" w:hAnsi="Arial Narrow" w:cs="Calibri"/>
                <w:spacing w:val="-1"/>
                <w:sz w:val="18"/>
                <w:szCs w:val="18"/>
              </w:rPr>
              <w:t>%</w:t>
            </w:r>
            <w:r w:rsidRPr="00A36E6E">
              <w:rPr>
                <w:rFonts w:ascii="Arial Narrow" w:hAnsi="Arial Narrow" w:cs="Calibri"/>
                <w:spacing w:val="-1"/>
                <w:sz w:val="18"/>
                <w:szCs w:val="18"/>
              </w:rPr>
              <w:t>)</w:t>
            </w:r>
          </w:p>
        </w:tc>
        <w:tc>
          <w:tcPr>
            <w:tcW w:w="1446" w:type="dxa"/>
          </w:tcPr>
          <w:p w14:paraId="78DA922A" w14:textId="6351E513" w:rsidR="00A36E6E" w:rsidRPr="00A36E6E" w:rsidRDefault="00A36E6E" w:rsidP="00A36E6E">
            <w:pPr>
              <w:rPr>
                <w:rFonts w:ascii="Arial Narrow" w:hAnsi="Arial Narrow" w:cs="Calibri"/>
                <w:spacing w:val="-1"/>
                <w:sz w:val="18"/>
                <w:szCs w:val="18"/>
              </w:rPr>
            </w:pPr>
            <w:r w:rsidRPr="00A36E6E">
              <w:rPr>
                <w:rFonts w:ascii="Arial Narrow" w:hAnsi="Arial Narrow" w:cs="Calibri"/>
                <w:spacing w:val="-1"/>
                <w:sz w:val="18"/>
                <w:szCs w:val="18"/>
              </w:rPr>
              <w:t>4 (0.4%)</w:t>
            </w:r>
          </w:p>
        </w:tc>
        <w:tc>
          <w:tcPr>
            <w:tcW w:w="1185" w:type="dxa"/>
            <w:vAlign w:val="center"/>
          </w:tcPr>
          <w:p w14:paraId="74266079" w14:textId="7D2FBE84" w:rsidR="00A36E6E" w:rsidRPr="00A36E6E" w:rsidRDefault="00A36E6E" w:rsidP="00A36E6E">
            <w:pPr>
              <w:rPr>
                <w:rFonts w:ascii="Arial Narrow" w:hAnsi="Arial Narrow" w:cs="Calibri"/>
                <w:spacing w:val="-1"/>
                <w:sz w:val="18"/>
                <w:szCs w:val="18"/>
              </w:rPr>
            </w:pPr>
            <w:r w:rsidRPr="00A36E6E">
              <w:rPr>
                <w:rFonts w:ascii="Arial Narrow" w:hAnsi="Arial Narrow" w:cs="Calibri"/>
                <w:spacing w:val="-1"/>
                <w:sz w:val="18"/>
                <w:szCs w:val="18"/>
              </w:rPr>
              <w:t>32 (3.4</w:t>
            </w:r>
            <w:r>
              <w:rPr>
                <w:rFonts w:ascii="Arial Narrow" w:hAnsi="Arial Narrow" w:cs="Calibri"/>
                <w:spacing w:val="-1"/>
                <w:sz w:val="18"/>
                <w:szCs w:val="18"/>
              </w:rPr>
              <w:t>%</w:t>
            </w:r>
            <w:r w:rsidRPr="00A36E6E">
              <w:rPr>
                <w:rFonts w:ascii="Arial Narrow" w:hAnsi="Arial Narrow" w:cs="Calibri"/>
                <w:spacing w:val="-1"/>
                <w:sz w:val="18"/>
                <w:szCs w:val="18"/>
              </w:rPr>
              <w:t>)</w:t>
            </w:r>
          </w:p>
        </w:tc>
        <w:tc>
          <w:tcPr>
            <w:tcW w:w="1582" w:type="dxa"/>
            <w:vAlign w:val="center"/>
          </w:tcPr>
          <w:p w14:paraId="7F4FEEAD" w14:textId="2D0DD872" w:rsidR="00A36E6E" w:rsidRPr="00A36E6E" w:rsidRDefault="00A36E6E" w:rsidP="00A36E6E">
            <w:pPr>
              <w:rPr>
                <w:rFonts w:ascii="Arial Narrow" w:hAnsi="Arial Narrow" w:cs="Calibri"/>
                <w:spacing w:val="-1"/>
                <w:sz w:val="18"/>
                <w:szCs w:val="18"/>
              </w:rPr>
            </w:pPr>
            <w:r w:rsidRPr="00A36E6E">
              <w:rPr>
                <w:rFonts w:ascii="Arial Narrow" w:hAnsi="Arial Narrow" w:cs="Calibri"/>
                <w:spacing w:val="-1"/>
                <w:sz w:val="18"/>
                <w:szCs w:val="18"/>
              </w:rPr>
              <w:t>923 (97.1%)</w:t>
            </w:r>
          </w:p>
        </w:tc>
      </w:tr>
      <w:tr w:rsidR="00A36E6E" w:rsidRPr="00114A58" w14:paraId="45D63860" w14:textId="77777777" w:rsidTr="00AE3EA8">
        <w:tc>
          <w:tcPr>
            <w:tcW w:w="1555" w:type="dxa"/>
            <w:vMerge/>
          </w:tcPr>
          <w:p w14:paraId="292BA1D0" w14:textId="77777777" w:rsidR="00A36E6E" w:rsidRPr="00114A58" w:rsidRDefault="00A36E6E" w:rsidP="00A36E6E">
            <w:pPr>
              <w:keepNext/>
              <w:spacing w:before="40" w:after="40"/>
              <w:rPr>
                <w:rFonts w:ascii="Arial Narrow" w:eastAsia="Times New Roman" w:hAnsi="Arial Narrow" w:cs="Calibri"/>
                <w:spacing w:val="-1"/>
                <w:sz w:val="18"/>
                <w:szCs w:val="18"/>
              </w:rPr>
            </w:pPr>
          </w:p>
        </w:tc>
        <w:tc>
          <w:tcPr>
            <w:tcW w:w="1559" w:type="dxa"/>
          </w:tcPr>
          <w:p w14:paraId="09EB6555" w14:textId="22468D78" w:rsidR="00A36E6E" w:rsidRPr="00114A58" w:rsidRDefault="00A36E6E" w:rsidP="00A36E6E">
            <w:pPr>
              <w:rPr>
                <w:rFonts w:ascii="Arial Narrow" w:hAnsi="Arial Narrow"/>
                <w:sz w:val="18"/>
                <w:szCs w:val="18"/>
              </w:rPr>
            </w:pPr>
            <w:r w:rsidRPr="00A37215">
              <w:rPr>
                <w:rFonts w:ascii="Arial Narrow" w:hAnsi="Arial Narrow"/>
                <w:sz w:val="18"/>
                <w:szCs w:val="18"/>
              </w:rPr>
              <w:t>PBO+</w:t>
            </w:r>
            <w:r>
              <w:rPr>
                <w:rFonts w:ascii="Arial Narrow" w:hAnsi="Arial Narrow"/>
                <w:sz w:val="18"/>
                <w:szCs w:val="18"/>
              </w:rPr>
              <w:t>ATOR (all)</w:t>
            </w:r>
          </w:p>
        </w:tc>
        <w:tc>
          <w:tcPr>
            <w:tcW w:w="1105" w:type="dxa"/>
          </w:tcPr>
          <w:p w14:paraId="269B2D45" w14:textId="565CC77A" w:rsidR="00A36E6E" w:rsidRPr="00114A58" w:rsidRDefault="00A36E6E" w:rsidP="00A36E6E">
            <w:pPr>
              <w:rPr>
                <w:rFonts w:ascii="Arial Narrow" w:hAnsi="Arial Narrow"/>
                <w:sz w:val="18"/>
                <w:szCs w:val="18"/>
              </w:rPr>
            </w:pPr>
            <w:r w:rsidRPr="00114A58">
              <w:rPr>
                <w:rFonts w:ascii="Arial Narrow" w:hAnsi="Arial Narrow"/>
                <w:sz w:val="18"/>
                <w:szCs w:val="18"/>
              </w:rPr>
              <w:t>951</w:t>
            </w:r>
          </w:p>
        </w:tc>
        <w:tc>
          <w:tcPr>
            <w:tcW w:w="1061" w:type="dxa"/>
          </w:tcPr>
          <w:p w14:paraId="2A247D2B" w14:textId="3B56D8E1" w:rsidR="00A36E6E" w:rsidRPr="00A36E6E" w:rsidRDefault="00A36E6E" w:rsidP="00A36E6E">
            <w:pPr>
              <w:rPr>
                <w:rFonts w:ascii="Arial Narrow" w:hAnsi="Arial Narrow" w:cs="Calibri"/>
                <w:spacing w:val="-1"/>
                <w:sz w:val="18"/>
                <w:szCs w:val="18"/>
              </w:rPr>
            </w:pPr>
            <w:r w:rsidRPr="00A36E6E">
              <w:rPr>
                <w:rFonts w:ascii="Arial Narrow" w:hAnsi="Arial Narrow" w:cs="Calibri"/>
                <w:spacing w:val="-1"/>
                <w:sz w:val="18"/>
                <w:szCs w:val="18"/>
              </w:rPr>
              <w:t>4 (0.4</w:t>
            </w:r>
            <w:r>
              <w:rPr>
                <w:rFonts w:ascii="Arial Narrow" w:hAnsi="Arial Narrow" w:cs="Calibri"/>
                <w:spacing w:val="-1"/>
                <w:sz w:val="18"/>
                <w:szCs w:val="18"/>
              </w:rPr>
              <w:t>%</w:t>
            </w:r>
            <w:r w:rsidRPr="00A36E6E">
              <w:rPr>
                <w:rFonts w:ascii="Arial Narrow" w:hAnsi="Arial Narrow" w:cs="Calibri"/>
                <w:spacing w:val="-1"/>
                <w:sz w:val="18"/>
                <w:szCs w:val="18"/>
              </w:rPr>
              <w:t>)</w:t>
            </w:r>
          </w:p>
        </w:tc>
        <w:tc>
          <w:tcPr>
            <w:tcW w:w="1446" w:type="dxa"/>
          </w:tcPr>
          <w:p w14:paraId="54E2B0F0" w14:textId="5BC1279A" w:rsidR="00A36E6E" w:rsidRPr="00A36E6E" w:rsidRDefault="00A36E6E" w:rsidP="00A36E6E">
            <w:pPr>
              <w:rPr>
                <w:rFonts w:ascii="Arial Narrow" w:hAnsi="Arial Narrow" w:cs="Calibri"/>
                <w:spacing w:val="-1"/>
                <w:sz w:val="18"/>
                <w:szCs w:val="18"/>
              </w:rPr>
            </w:pPr>
            <w:r>
              <w:rPr>
                <w:rFonts w:ascii="Arial Narrow" w:hAnsi="Arial Narrow" w:cs="Calibri"/>
                <w:spacing w:val="-1"/>
                <w:sz w:val="18"/>
                <w:szCs w:val="18"/>
              </w:rPr>
              <w:t>1 (0.1</w:t>
            </w:r>
            <w:r w:rsidRPr="00A36E6E">
              <w:rPr>
                <w:rFonts w:ascii="Arial Narrow" w:hAnsi="Arial Narrow" w:cs="Calibri"/>
                <w:spacing w:val="-1"/>
                <w:sz w:val="18"/>
                <w:szCs w:val="18"/>
              </w:rPr>
              <w:t>%)</w:t>
            </w:r>
          </w:p>
        </w:tc>
        <w:tc>
          <w:tcPr>
            <w:tcW w:w="1185" w:type="dxa"/>
          </w:tcPr>
          <w:p w14:paraId="17AACA9F" w14:textId="2BACC637" w:rsidR="00A36E6E" w:rsidRPr="00A36E6E" w:rsidRDefault="00A36E6E" w:rsidP="00A36E6E">
            <w:pPr>
              <w:rPr>
                <w:rFonts w:ascii="Arial Narrow" w:hAnsi="Arial Narrow" w:cs="Calibri"/>
                <w:spacing w:val="-1"/>
                <w:sz w:val="18"/>
                <w:szCs w:val="18"/>
              </w:rPr>
            </w:pPr>
            <w:r w:rsidRPr="00A36E6E">
              <w:rPr>
                <w:rFonts w:ascii="Arial Narrow" w:hAnsi="Arial Narrow" w:cs="Calibri"/>
                <w:spacing w:val="-1"/>
                <w:sz w:val="18"/>
                <w:szCs w:val="18"/>
              </w:rPr>
              <w:t>23 (2.4</w:t>
            </w:r>
            <w:r>
              <w:rPr>
                <w:rFonts w:ascii="Arial Narrow" w:hAnsi="Arial Narrow" w:cs="Calibri"/>
                <w:spacing w:val="-1"/>
                <w:sz w:val="18"/>
                <w:szCs w:val="18"/>
              </w:rPr>
              <w:t>%</w:t>
            </w:r>
            <w:r w:rsidRPr="00A36E6E">
              <w:rPr>
                <w:rFonts w:ascii="Arial Narrow" w:hAnsi="Arial Narrow" w:cs="Calibri"/>
                <w:spacing w:val="-1"/>
                <w:sz w:val="18"/>
                <w:szCs w:val="18"/>
              </w:rPr>
              <w:t>)</w:t>
            </w:r>
          </w:p>
        </w:tc>
        <w:tc>
          <w:tcPr>
            <w:tcW w:w="1582" w:type="dxa"/>
          </w:tcPr>
          <w:p w14:paraId="0E2BEAAA" w14:textId="6C2AB1EE" w:rsidR="00A36E6E" w:rsidRPr="00A36E6E" w:rsidRDefault="00A36E6E" w:rsidP="00A36E6E">
            <w:pPr>
              <w:rPr>
                <w:rFonts w:ascii="Arial Narrow" w:hAnsi="Arial Narrow" w:cs="Calibri"/>
                <w:spacing w:val="-1"/>
                <w:sz w:val="18"/>
                <w:szCs w:val="18"/>
              </w:rPr>
            </w:pPr>
            <w:r w:rsidRPr="00A36E6E">
              <w:rPr>
                <w:rFonts w:ascii="Arial Narrow" w:hAnsi="Arial Narrow" w:cs="Calibri"/>
                <w:spacing w:val="-1"/>
                <w:sz w:val="18"/>
                <w:szCs w:val="18"/>
              </w:rPr>
              <w:t>927 (97.5</w:t>
            </w:r>
            <w:r>
              <w:rPr>
                <w:rFonts w:ascii="Arial Narrow" w:hAnsi="Arial Narrow" w:cs="Calibri"/>
                <w:spacing w:val="-1"/>
                <w:sz w:val="18"/>
                <w:szCs w:val="18"/>
              </w:rPr>
              <w:t>%</w:t>
            </w:r>
            <w:r w:rsidRPr="00A36E6E">
              <w:rPr>
                <w:rFonts w:ascii="Arial Narrow" w:hAnsi="Arial Narrow" w:cs="Calibri"/>
                <w:spacing w:val="-1"/>
                <w:sz w:val="18"/>
                <w:szCs w:val="18"/>
              </w:rPr>
              <w:t>)</w:t>
            </w:r>
          </w:p>
        </w:tc>
      </w:tr>
      <w:tr w:rsidR="009D75DA" w:rsidRPr="00114A58" w14:paraId="6AF776DC" w14:textId="77777777" w:rsidTr="00AE3EA8">
        <w:tc>
          <w:tcPr>
            <w:tcW w:w="1555" w:type="dxa"/>
            <w:vMerge w:val="restart"/>
          </w:tcPr>
          <w:p w14:paraId="4E6371DD" w14:textId="2F30EE38" w:rsidR="009D75DA" w:rsidRPr="00791CF6" w:rsidRDefault="009D75DA" w:rsidP="00791CF6">
            <w:pPr>
              <w:rPr>
                <w:rFonts w:ascii="Arial Narrow" w:hAnsi="Arial Narrow" w:cs="Calibri"/>
                <w:spacing w:val="-1"/>
                <w:sz w:val="18"/>
                <w:szCs w:val="18"/>
              </w:rPr>
            </w:pPr>
            <w:r>
              <w:rPr>
                <w:rFonts w:ascii="Arial Narrow" w:hAnsi="Arial Narrow" w:cs="Calibri"/>
                <w:spacing w:val="-1"/>
                <w:sz w:val="18"/>
                <w:szCs w:val="18"/>
              </w:rPr>
              <w:t xml:space="preserve">P807 </w:t>
            </w:r>
            <w:r w:rsidR="00791CF6">
              <w:rPr>
                <w:rFonts w:ascii="Arial Narrow" w:hAnsi="Arial Narrow" w:cs="Calibri"/>
                <w:spacing w:val="-1"/>
                <w:sz w:val="18"/>
                <w:szCs w:val="18"/>
              </w:rPr>
              <w:t>Constance 2007</w:t>
            </w:r>
          </w:p>
        </w:tc>
        <w:tc>
          <w:tcPr>
            <w:tcW w:w="1559" w:type="dxa"/>
          </w:tcPr>
          <w:p w14:paraId="58141BAD" w14:textId="6DC2D3F0" w:rsidR="009D75DA" w:rsidRPr="00114A58" w:rsidRDefault="00A36E6E" w:rsidP="009D75DA">
            <w:pPr>
              <w:rPr>
                <w:rFonts w:ascii="Arial Narrow" w:hAnsi="Arial Narrow"/>
                <w:sz w:val="18"/>
                <w:szCs w:val="18"/>
              </w:rPr>
            </w:pPr>
            <w:r>
              <w:rPr>
                <w:rFonts w:ascii="Arial Narrow" w:hAnsi="Arial Narrow"/>
                <w:sz w:val="18"/>
                <w:szCs w:val="18"/>
              </w:rPr>
              <w:t>EZ</w:t>
            </w:r>
            <w:r w:rsidR="009D75DA" w:rsidRPr="00114A58">
              <w:rPr>
                <w:rFonts w:ascii="Arial Narrow" w:hAnsi="Arial Narrow"/>
                <w:sz w:val="18"/>
                <w:szCs w:val="18"/>
              </w:rPr>
              <w:t xml:space="preserve">+SIM (all) </w:t>
            </w:r>
          </w:p>
        </w:tc>
        <w:tc>
          <w:tcPr>
            <w:tcW w:w="1105" w:type="dxa"/>
          </w:tcPr>
          <w:p w14:paraId="1676A75F" w14:textId="06DF858E" w:rsidR="009D75DA" w:rsidRPr="00114A58" w:rsidRDefault="009D75DA" w:rsidP="009D75DA">
            <w:pPr>
              <w:rPr>
                <w:rFonts w:ascii="Arial Narrow" w:hAnsi="Arial Narrow"/>
                <w:sz w:val="18"/>
                <w:szCs w:val="18"/>
              </w:rPr>
            </w:pPr>
            <w:r w:rsidRPr="00114A58">
              <w:rPr>
                <w:rFonts w:ascii="Arial Narrow" w:hAnsi="Arial Narrow"/>
                <w:sz w:val="18"/>
                <w:szCs w:val="18"/>
              </w:rPr>
              <w:t>442</w:t>
            </w:r>
          </w:p>
        </w:tc>
        <w:tc>
          <w:tcPr>
            <w:tcW w:w="1061" w:type="dxa"/>
          </w:tcPr>
          <w:p w14:paraId="60FFB416" w14:textId="61D6F794" w:rsidR="009D75DA" w:rsidRPr="00114A58" w:rsidRDefault="009D75DA" w:rsidP="009D75DA">
            <w:pPr>
              <w:rPr>
                <w:rFonts w:ascii="Arial Narrow" w:hAnsi="Arial Narrow"/>
                <w:sz w:val="18"/>
                <w:szCs w:val="18"/>
              </w:rPr>
            </w:pPr>
            <w:r w:rsidRPr="00114A58">
              <w:rPr>
                <w:rFonts w:ascii="Arial Narrow" w:hAnsi="Arial Narrow"/>
                <w:sz w:val="18"/>
                <w:szCs w:val="18"/>
              </w:rPr>
              <w:t>3</w:t>
            </w:r>
            <w:r w:rsidR="004C3B64">
              <w:rPr>
                <w:rFonts w:ascii="Arial Narrow" w:hAnsi="Arial Narrow"/>
                <w:sz w:val="18"/>
                <w:szCs w:val="18"/>
              </w:rPr>
              <w:t xml:space="preserve"> (1%)</w:t>
            </w:r>
          </w:p>
        </w:tc>
        <w:tc>
          <w:tcPr>
            <w:tcW w:w="1446" w:type="dxa"/>
          </w:tcPr>
          <w:p w14:paraId="4CACA242" w14:textId="287666AF" w:rsidR="009D75DA" w:rsidRPr="00114A58" w:rsidRDefault="009D75DA" w:rsidP="009D75DA">
            <w:pPr>
              <w:rPr>
                <w:rFonts w:ascii="Arial Narrow" w:hAnsi="Arial Narrow"/>
                <w:sz w:val="18"/>
                <w:szCs w:val="18"/>
              </w:rPr>
            </w:pPr>
            <w:r w:rsidRPr="00114A58">
              <w:rPr>
                <w:rFonts w:ascii="Arial Narrow" w:hAnsi="Arial Narrow"/>
                <w:sz w:val="18"/>
                <w:szCs w:val="18"/>
              </w:rPr>
              <w:t>NA</w:t>
            </w:r>
          </w:p>
        </w:tc>
        <w:tc>
          <w:tcPr>
            <w:tcW w:w="1185" w:type="dxa"/>
            <w:vMerge w:val="restart"/>
            <w:vAlign w:val="center"/>
          </w:tcPr>
          <w:p w14:paraId="15D997E5" w14:textId="64971C7F" w:rsidR="009D75DA" w:rsidRPr="00114A58" w:rsidRDefault="009D75DA" w:rsidP="009D75DA">
            <w:pPr>
              <w:rPr>
                <w:rFonts w:ascii="Arial Narrow" w:hAnsi="Arial Narrow"/>
                <w:sz w:val="18"/>
                <w:szCs w:val="18"/>
              </w:rPr>
            </w:pPr>
            <w:r w:rsidRPr="00114A58">
              <w:rPr>
                <w:rFonts w:ascii="Arial Narrow" w:hAnsi="Arial Narrow"/>
                <w:sz w:val="18"/>
                <w:szCs w:val="18"/>
              </w:rPr>
              <w:t>13</w:t>
            </w:r>
            <w:r w:rsidR="004C3B64">
              <w:rPr>
                <w:rFonts w:ascii="Arial Narrow" w:hAnsi="Arial Narrow"/>
                <w:sz w:val="18"/>
                <w:szCs w:val="18"/>
              </w:rPr>
              <w:t xml:space="preserve"> (2%)</w:t>
            </w:r>
          </w:p>
        </w:tc>
        <w:tc>
          <w:tcPr>
            <w:tcW w:w="1582" w:type="dxa"/>
          </w:tcPr>
          <w:p w14:paraId="57A4DE78" w14:textId="09AD3BFD" w:rsidR="009D75DA" w:rsidRPr="00114A58" w:rsidRDefault="009D75DA" w:rsidP="009D75DA">
            <w:pPr>
              <w:rPr>
                <w:rFonts w:ascii="Arial Narrow" w:hAnsi="Arial Narrow"/>
                <w:sz w:val="18"/>
                <w:szCs w:val="18"/>
              </w:rPr>
            </w:pPr>
            <w:r w:rsidRPr="00114A58">
              <w:rPr>
                <w:rFonts w:ascii="Arial Narrow" w:hAnsi="Arial Narrow"/>
                <w:sz w:val="18"/>
                <w:szCs w:val="18"/>
              </w:rPr>
              <w:t>442 (100%)</w:t>
            </w:r>
          </w:p>
        </w:tc>
      </w:tr>
      <w:tr w:rsidR="009D75DA" w:rsidRPr="00114A58" w14:paraId="46246915" w14:textId="77777777" w:rsidTr="00AE3EA8">
        <w:trPr>
          <w:trHeight w:val="221"/>
        </w:trPr>
        <w:tc>
          <w:tcPr>
            <w:tcW w:w="1555" w:type="dxa"/>
            <w:vMerge/>
          </w:tcPr>
          <w:p w14:paraId="7E6F7825" w14:textId="77777777" w:rsidR="009D75DA" w:rsidRPr="00114A58" w:rsidRDefault="009D75DA" w:rsidP="009D75DA">
            <w:pPr>
              <w:keepNext/>
              <w:spacing w:before="40" w:after="40"/>
              <w:rPr>
                <w:rFonts w:ascii="Arial Narrow" w:hAnsi="Arial Narrow"/>
                <w:sz w:val="18"/>
                <w:szCs w:val="18"/>
              </w:rPr>
            </w:pPr>
          </w:p>
        </w:tc>
        <w:tc>
          <w:tcPr>
            <w:tcW w:w="1559" w:type="dxa"/>
          </w:tcPr>
          <w:p w14:paraId="15612B5D" w14:textId="55E3214A" w:rsidR="009D75DA" w:rsidRPr="00114A58" w:rsidRDefault="009D75DA" w:rsidP="009D75DA">
            <w:pPr>
              <w:rPr>
                <w:rFonts w:ascii="Arial Narrow" w:hAnsi="Arial Narrow"/>
                <w:sz w:val="18"/>
                <w:szCs w:val="18"/>
              </w:rPr>
            </w:pPr>
            <w:r w:rsidRPr="00114A58">
              <w:rPr>
                <w:rFonts w:ascii="Arial Narrow" w:hAnsi="Arial Narrow"/>
                <w:sz w:val="18"/>
                <w:szCs w:val="18"/>
              </w:rPr>
              <w:t>PBO+ ATOR</w:t>
            </w:r>
          </w:p>
        </w:tc>
        <w:tc>
          <w:tcPr>
            <w:tcW w:w="1105" w:type="dxa"/>
          </w:tcPr>
          <w:p w14:paraId="4BC95571" w14:textId="0580FF8F" w:rsidR="009D75DA" w:rsidRPr="00114A58" w:rsidRDefault="009D75DA" w:rsidP="009D75DA">
            <w:pPr>
              <w:rPr>
                <w:rFonts w:ascii="Arial Narrow" w:hAnsi="Arial Narrow"/>
                <w:sz w:val="18"/>
                <w:szCs w:val="18"/>
              </w:rPr>
            </w:pPr>
            <w:r w:rsidRPr="00114A58">
              <w:rPr>
                <w:rFonts w:ascii="Arial Narrow" w:hAnsi="Arial Narrow"/>
                <w:sz w:val="18"/>
                <w:szCs w:val="18"/>
              </w:rPr>
              <w:t>219</w:t>
            </w:r>
          </w:p>
        </w:tc>
        <w:tc>
          <w:tcPr>
            <w:tcW w:w="1061" w:type="dxa"/>
          </w:tcPr>
          <w:p w14:paraId="05DFB4E8" w14:textId="79F91B3E" w:rsidR="009D75DA" w:rsidRPr="00114A58" w:rsidRDefault="009D75DA" w:rsidP="009D75DA">
            <w:pPr>
              <w:rPr>
                <w:rFonts w:ascii="Arial Narrow" w:hAnsi="Arial Narrow"/>
                <w:sz w:val="18"/>
                <w:szCs w:val="18"/>
              </w:rPr>
            </w:pPr>
            <w:r w:rsidRPr="00114A58">
              <w:rPr>
                <w:rFonts w:ascii="Arial Narrow" w:hAnsi="Arial Narrow"/>
                <w:sz w:val="18"/>
                <w:szCs w:val="18"/>
              </w:rPr>
              <w:t>1</w:t>
            </w:r>
            <w:r w:rsidR="004C3B64">
              <w:rPr>
                <w:rFonts w:ascii="Arial Narrow" w:hAnsi="Arial Narrow"/>
                <w:sz w:val="18"/>
                <w:szCs w:val="18"/>
              </w:rPr>
              <w:t xml:space="preserve"> (0.5%)</w:t>
            </w:r>
          </w:p>
        </w:tc>
        <w:tc>
          <w:tcPr>
            <w:tcW w:w="1446" w:type="dxa"/>
          </w:tcPr>
          <w:p w14:paraId="722BEE7C" w14:textId="570E3A1B" w:rsidR="009D75DA" w:rsidRPr="00114A58" w:rsidRDefault="009D75DA" w:rsidP="009D75DA">
            <w:pPr>
              <w:rPr>
                <w:rFonts w:ascii="Arial Narrow" w:hAnsi="Arial Narrow"/>
                <w:sz w:val="18"/>
                <w:szCs w:val="18"/>
              </w:rPr>
            </w:pPr>
            <w:r w:rsidRPr="00114A58">
              <w:rPr>
                <w:rFonts w:ascii="Arial Narrow" w:hAnsi="Arial Narrow"/>
                <w:sz w:val="18"/>
                <w:szCs w:val="18"/>
              </w:rPr>
              <w:t>NA</w:t>
            </w:r>
          </w:p>
        </w:tc>
        <w:tc>
          <w:tcPr>
            <w:tcW w:w="1185" w:type="dxa"/>
            <w:vMerge/>
          </w:tcPr>
          <w:p w14:paraId="1A6912D2" w14:textId="77777777" w:rsidR="009D75DA" w:rsidRPr="00114A58" w:rsidRDefault="009D75DA" w:rsidP="009D75DA">
            <w:pPr>
              <w:rPr>
                <w:rFonts w:ascii="Arial Narrow" w:hAnsi="Arial Narrow"/>
                <w:sz w:val="18"/>
                <w:szCs w:val="18"/>
              </w:rPr>
            </w:pPr>
          </w:p>
        </w:tc>
        <w:tc>
          <w:tcPr>
            <w:tcW w:w="1582" w:type="dxa"/>
          </w:tcPr>
          <w:p w14:paraId="4C03BADC" w14:textId="57D7F878" w:rsidR="009D75DA" w:rsidRPr="00114A58" w:rsidRDefault="009D75DA" w:rsidP="009D75DA">
            <w:pPr>
              <w:rPr>
                <w:rFonts w:ascii="Arial Narrow" w:hAnsi="Arial Narrow"/>
                <w:sz w:val="18"/>
                <w:szCs w:val="18"/>
              </w:rPr>
            </w:pPr>
            <w:r w:rsidRPr="00114A58">
              <w:rPr>
                <w:rFonts w:ascii="Arial Narrow" w:hAnsi="Arial Narrow"/>
                <w:sz w:val="18"/>
                <w:szCs w:val="18"/>
              </w:rPr>
              <w:t>219 (100%)</w:t>
            </w:r>
          </w:p>
        </w:tc>
      </w:tr>
      <w:tr w:rsidR="00791CF6" w:rsidRPr="00114A58" w14:paraId="5F7FAC43" w14:textId="77777777" w:rsidTr="00AE3EA8">
        <w:tc>
          <w:tcPr>
            <w:tcW w:w="1555" w:type="dxa"/>
            <w:vMerge w:val="restart"/>
          </w:tcPr>
          <w:p w14:paraId="55BEB27C" w14:textId="597C6263" w:rsidR="00791CF6" w:rsidRPr="00114A58" w:rsidRDefault="00791CF6" w:rsidP="00791CF6">
            <w:pPr>
              <w:keepNext/>
              <w:spacing w:before="40" w:after="40"/>
              <w:rPr>
                <w:rFonts w:ascii="Arial Narrow" w:hAnsi="Arial Narrow"/>
                <w:sz w:val="18"/>
                <w:szCs w:val="18"/>
              </w:rPr>
            </w:pPr>
            <w:r>
              <w:rPr>
                <w:rFonts w:ascii="Arial Narrow" w:hAnsi="Arial Narrow"/>
                <w:sz w:val="18"/>
                <w:szCs w:val="18"/>
              </w:rPr>
              <w:t>P806 Barrios 2005</w:t>
            </w:r>
          </w:p>
        </w:tc>
        <w:tc>
          <w:tcPr>
            <w:tcW w:w="1559" w:type="dxa"/>
          </w:tcPr>
          <w:p w14:paraId="0FD21092" w14:textId="0B08744A" w:rsidR="00791CF6" w:rsidRPr="00114A58" w:rsidRDefault="00A36E6E" w:rsidP="00791CF6">
            <w:pPr>
              <w:rPr>
                <w:rFonts w:ascii="Arial Narrow" w:hAnsi="Arial Narrow"/>
                <w:sz w:val="18"/>
                <w:szCs w:val="18"/>
              </w:rPr>
            </w:pPr>
            <w:r>
              <w:rPr>
                <w:rFonts w:ascii="Arial Narrow" w:hAnsi="Arial Narrow"/>
                <w:sz w:val="18"/>
                <w:szCs w:val="18"/>
              </w:rPr>
              <w:t>EZ</w:t>
            </w:r>
            <w:r w:rsidR="00791CF6">
              <w:rPr>
                <w:rFonts w:ascii="Arial Narrow" w:hAnsi="Arial Narrow"/>
                <w:sz w:val="18"/>
                <w:szCs w:val="18"/>
              </w:rPr>
              <w:t xml:space="preserve">+SIM </w:t>
            </w:r>
          </w:p>
        </w:tc>
        <w:tc>
          <w:tcPr>
            <w:tcW w:w="1105" w:type="dxa"/>
          </w:tcPr>
          <w:p w14:paraId="08D27C7F" w14:textId="545B8708" w:rsidR="00791CF6" w:rsidRPr="00114A58" w:rsidRDefault="00791CF6" w:rsidP="00791CF6">
            <w:pPr>
              <w:rPr>
                <w:rFonts w:ascii="Arial Narrow" w:hAnsi="Arial Narrow"/>
                <w:sz w:val="18"/>
                <w:szCs w:val="18"/>
              </w:rPr>
            </w:pPr>
            <w:r>
              <w:rPr>
                <w:rFonts w:ascii="Arial Narrow" w:hAnsi="Arial Narrow"/>
                <w:sz w:val="18"/>
                <w:szCs w:val="18"/>
              </w:rPr>
              <w:t>221</w:t>
            </w:r>
          </w:p>
        </w:tc>
        <w:tc>
          <w:tcPr>
            <w:tcW w:w="1061" w:type="dxa"/>
          </w:tcPr>
          <w:p w14:paraId="0DFEC43E" w14:textId="207D5737"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01BB4988" w14:textId="22B76B46" w:rsidR="00791CF6" w:rsidRPr="00791CF6" w:rsidRDefault="00791CF6" w:rsidP="00791CF6">
            <w:pPr>
              <w:rPr>
                <w:rFonts w:ascii="Arial Narrow" w:hAnsi="Arial Narrow" w:cs="Calibri"/>
                <w:spacing w:val="-1"/>
                <w:sz w:val="18"/>
                <w:szCs w:val="18"/>
              </w:rPr>
            </w:pPr>
            <w:r w:rsidRPr="00791CF6">
              <w:rPr>
                <w:rFonts w:ascii="Arial Narrow" w:hAnsi="Arial Narrow" w:cs="Calibri"/>
                <w:spacing w:val="-1"/>
                <w:sz w:val="18"/>
                <w:szCs w:val="18"/>
              </w:rPr>
              <w:t>0 (0.0)</w:t>
            </w:r>
          </w:p>
        </w:tc>
        <w:tc>
          <w:tcPr>
            <w:tcW w:w="1185" w:type="dxa"/>
          </w:tcPr>
          <w:p w14:paraId="09009311" w14:textId="719B25DB" w:rsidR="00791CF6" w:rsidRPr="00791CF6" w:rsidRDefault="00791CF6" w:rsidP="00791CF6">
            <w:pPr>
              <w:rPr>
                <w:rFonts w:ascii="Arial Narrow" w:hAnsi="Arial Narrow" w:cs="Calibri"/>
                <w:spacing w:val="-1"/>
                <w:sz w:val="18"/>
                <w:szCs w:val="18"/>
              </w:rPr>
            </w:pPr>
            <w:r w:rsidRPr="00791CF6">
              <w:rPr>
                <w:rFonts w:ascii="Arial Narrow" w:hAnsi="Arial Narrow" w:cs="Calibri"/>
                <w:spacing w:val="-1"/>
                <w:sz w:val="18"/>
                <w:szCs w:val="18"/>
              </w:rPr>
              <w:t>7 (3.2)</w:t>
            </w:r>
          </w:p>
        </w:tc>
        <w:tc>
          <w:tcPr>
            <w:tcW w:w="1582" w:type="dxa"/>
          </w:tcPr>
          <w:p w14:paraId="7616B08B" w14:textId="016C58FD" w:rsidR="00791CF6" w:rsidRPr="00114A58" w:rsidRDefault="00791CF6" w:rsidP="00791CF6">
            <w:pPr>
              <w:rPr>
                <w:rFonts w:ascii="Arial Narrow" w:hAnsi="Arial Narrow"/>
                <w:sz w:val="18"/>
                <w:szCs w:val="18"/>
              </w:rPr>
            </w:pPr>
            <w:r>
              <w:rPr>
                <w:rFonts w:ascii="Arial Narrow" w:hAnsi="Arial Narrow"/>
                <w:sz w:val="18"/>
                <w:szCs w:val="18"/>
              </w:rPr>
              <w:t>215 (97.2%)</w:t>
            </w:r>
          </w:p>
        </w:tc>
      </w:tr>
      <w:tr w:rsidR="00791CF6" w:rsidRPr="00114A58" w14:paraId="489817E7" w14:textId="77777777" w:rsidTr="00AE3EA8">
        <w:tc>
          <w:tcPr>
            <w:tcW w:w="1555" w:type="dxa"/>
            <w:vMerge/>
          </w:tcPr>
          <w:p w14:paraId="6DA6C278" w14:textId="77777777" w:rsidR="00791CF6" w:rsidRPr="00114A58" w:rsidRDefault="00791CF6" w:rsidP="00791CF6">
            <w:pPr>
              <w:keepNext/>
              <w:spacing w:before="40" w:after="40"/>
              <w:rPr>
                <w:rFonts w:ascii="Arial Narrow" w:hAnsi="Arial Narrow"/>
                <w:sz w:val="18"/>
                <w:szCs w:val="18"/>
              </w:rPr>
            </w:pPr>
          </w:p>
        </w:tc>
        <w:tc>
          <w:tcPr>
            <w:tcW w:w="1559" w:type="dxa"/>
          </w:tcPr>
          <w:p w14:paraId="317F676A" w14:textId="7FCE5610" w:rsidR="00791CF6" w:rsidRPr="00114A58" w:rsidRDefault="00791CF6" w:rsidP="00791CF6">
            <w:pPr>
              <w:rPr>
                <w:rFonts w:ascii="Arial Narrow" w:hAnsi="Arial Narrow"/>
                <w:sz w:val="18"/>
                <w:szCs w:val="18"/>
              </w:rPr>
            </w:pPr>
            <w:r w:rsidRPr="00114A58">
              <w:rPr>
                <w:rFonts w:ascii="Arial Narrow" w:hAnsi="Arial Narrow"/>
                <w:sz w:val="18"/>
                <w:szCs w:val="18"/>
              </w:rPr>
              <w:t>PBO+ ATOR</w:t>
            </w:r>
          </w:p>
        </w:tc>
        <w:tc>
          <w:tcPr>
            <w:tcW w:w="1105" w:type="dxa"/>
          </w:tcPr>
          <w:p w14:paraId="7FAF0939" w14:textId="56582621" w:rsidR="00791CF6" w:rsidRPr="00114A58" w:rsidRDefault="00791CF6" w:rsidP="00791CF6">
            <w:pPr>
              <w:rPr>
                <w:rFonts w:ascii="Arial Narrow" w:hAnsi="Arial Narrow"/>
                <w:sz w:val="18"/>
                <w:szCs w:val="18"/>
              </w:rPr>
            </w:pPr>
            <w:r>
              <w:rPr>
                <w:rFonts w:ascii="Arial Narrow" w:hAnsi="Arial Narrow"/>
                <w:sz w:val="18"/>
                <w:szCs w:val="18"/>
              </w:rPr>
              <w:t>214</w:t>
            </w:r>
          </w:p>
        </w:tc>
        <w:tc>
          <w:tcPr>
            <w:tcW w:w="1061" w:type="dxa"/>
          </w:tcPr>
          <w:p w14:paraId="7901C6FD" w14:textId="03878F15"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543BDEB5" w14:textId="6808430F" w:rsidR="00791CF6" w:rsidRPr="00791CF6" w:rsidRDefault="00791CF6" w:rsidP="00791CF6">
            <w:pPr>
              <w:rPr>
                <w:rFonts w:ascii="Arial Narrow" w:hAnsi="Arial Narrow" w:cs="Calibri"/>
                <w:spacing w:val="-1"/>
                <w:sz w:val="18"/>
                <w:szCs w:val="18"/>
              </w:rPr>
            </w:pPr>
            <w:r w:rsidRPr="00791CF6">
              <w:rPr>
                <w:rFonts w:ascii="Arial Narrow" w:hAnsi="Arial Narrow" w:cs="Calibri"/>
                <w:spacing w:val="-1"/>
                <w:sz w:val="18"/>
                <w:szCs w:val="18"/>
              </w:rPr>
              <w:t>0 (0.0)</w:t>
            </w:r>
          </w:p>
        </w:tc>
        <w:tc>
          <w:tcPr>
            <w:tcW w:w="1185" w:type="dxa"/>
          </w:tcPr>
          <w:p w14:paraId="17DB96E7" w14:textId="20018412" w:rsidR="00791CF6" w:rsidRPr="00791CF6" w:rsidRDefault="00791CF6" w:rsidP="00791CF6">
            <w:pPr>
              <w:rPr>
                <w:rFonts w:ascii="Arial Narrow" w:hAnsi="Arial Narrow" w:cs="Calibri"/>
                <w:spacing w:val="-1"/>
                <w:sz w:val="18"/>
                <w:szCs w:val="18"/>
              </w:rPr>
            </w:pPr>
            <w:r w:rsidRPr="00791CF6">
              <w:rPr>
                <w:rFonts w:ascii="Arial Narrow" w:hAnsi="Arial Narrow" w:cs="Calibri"/>
                <w:spacing w:val="-1"/>
                <w:sz w:val="18"/>
                <w:szCs w:val="18"/>
              </w:rPr>
              <w:t>9 (4.2)</w:t>
            </w:r>
          </w:p>
        </w:tc>
        <w:tc>
          <w:tcPr>
            <w:tcW w:w="1582" w:type="dxa"/>
          </w:tcPr>
          <w:p w14:paraId="5E38EAE4" w14:textId="42F28758" w:rsidR="00791CF6" w:rsidRPr="00114A58" w:rsidRDefault="00791CF6" w:rsidP="00791CF6">
            <w:pPr>
              <w:rPr>
                <w:rFonts w:ascii="Arial Narrow" w:hAnsi="Arial Narrow"/>
                <w:sz w:val="18"/>
                <w:szCs w:val="18"/>
              </w:rPr>
            </w:pPr>
            <w:r>
              <w:rPr>
                <w:rFonts w:ascii="Arial Narrow" w:hAnsi="Arial Narrow"/>
                <w:sz w:val="18"/>
                <w:szCs w:val="18"/>
              </w:rPr>
              <w:t>207 (96.7%)</w:t>
            </w:r>
          </w:p>
        </w:tc>
      </w:tr>
      <w:tr w:rsidR="00D743B2" w:rsidRPr="00114A58" w14:paraId="2D05824B" w14:textId="77777777" w:rsidTr="00AE3EA8">
        <w:tc>
          <w:tcPr>
            <w:tcW w:w="1555" w:type="dxa"/>
            <w:vMerge w:val="restart"/>
          </w:tcPr>
          <w:p w14:paraId="48EAC323" w14:textId="7DC13AEF" w:rsidR="00D743B2" w:rsidRPr="00114A58" w:rsidRDefault="00D743B2" w:rsidP="00D743B2">
            <w:pPr>
              <w:keepNext/>
              <w:spacing w:before="40" w:after="40"/>
              <w:rPr>
                <w:rFonts w:ascii="Arial Narrow" w:hAnsi="Arial Narrow"/>
                <w:sz w:val="18"/>
                <w:szCs w:val="18"/>
              </w:rPr>
            </w:pPr>
            <w:r w:rsidRPr="003931F1">
              <w:rPr>
                <w:rFonts w:ascii="Arial Narrow" w:hAnsi="Arial Narrow" w:cs="Calibri"/>
                <w:spacing w:val="-1"/>
                <w:sz w:val="18"/>
                <w:szCs w:val="18"/>
              </w:rPr>
              <w:t>Garcia 2016</w:t>
            </w:r>
          </w:p>
        </w:tc>
        <w:tc>
          <w:tcPr>
            <w:tcW w:w="1559" w:type="dxa"/>
          </w:tcPr>
          <w:p w14:paraId="714CFE03" w14:textId="78FEEC64" w:rsidR="00D743B2" w:rsidRPr="00114A58" w:rsidRDefault="00D743B2" w:rsidP="00D743B2">
            <w:pPr>
              <w:rPr>
                <w:rFonts w:ascii="Arial Narrow" w:hAnsi="Arial Narrow"/>
                <w:sz w:val="18"/>
                <w:szCs w:val="18"/>
              </w:rPr>
            </w:pPr>
            <w:r>
              <w:rPr>
                <w:rFonts w:ascii="Arial Narrow" w:hAnsi="Arial Narrow" w:cs="Calibri"/>
                <w:spacing w:val="-1"/>
                <w:sz w:val="18"/>
                <w:szCs w:val="18"/>
              </w:rPr>
              <w:t>EZ+SIM</w:t>
            </w:r>
          </w:p>
        </w:tc>
        <w:tc>
          <w:tcPr>
            <w:tcW w:w="1105" w:type="dxa"/>
          </w:tcPr>
          <w:p w14:paraId="31B9B34D" w14:textId="66BFA50C" w:rsidR="00D743B2" w:rsidRDefault="00D743B2" w:rsidP="00D743B2">
            <w:pPr>
              <w:rPr>
                <w:rFonts w:ascii="Arial Narrow" w:hAnsi="Arial Narrow"/>
                <w:sz w:val="18"/>
                <w:szCs w:val="18"/>
              </w:rPr>
            </w:pPr>
            <w:r w:rsidRPr="003931F1">
              <w:rPr>
                <w:rFonts w:ascii="Arial Narrow" w:hAnsi="Arial Narrow" w:cs="Calibri"/>
                <w:spacing w:val="-1"/>
                <w:sz w:val="18"/>
                <w:szCs w:val="18"/>
              </w:rPr>
              <w:t>16</w:t>
            </w:r>
          </w:p>
        </w:tc>
        <w:tc>
          <w:tcPr>
            <w:tcW w:w="1061" w:type="dxa"/>
          </w:tcPr>
          <w:p w14:paraId="3C204E57" w14:textId="612BACC7" w:rsidR="00D743B2" w:rsidRPr="003931F1" w:rsidRDefault="00D743B2" w:rsidP="00D743B2">
            <w:pPr>
              <w:rPr>
                <w:rFonts w:ascii="Arial Narrow" w:hAnsi="Arial Narrow" w:cs="Calibri"/>
                <w:spacing w:val="-1"/>
                <w:sz w:val="18"/>
                <w:szCs w:val="18"/>
              </w:rPr>
            </w:pPr>
            <w:r w:rsidRPr="003931F1">
              <w:rPr>
                <w:rFonts w:ascii="Arial Narrow" w:hAnsi="Arial Narrow" w:cs="Calibri"/>
                <w:spacing w:val="-1"/>
                <w:sz w:val="18"/>
                <w:szCs w:val="18"/>
              </w:rPr>
              <w:t>0</w:t>
            </w:r>
          </w:p>
        </w:tc>
        <w:tc>
          <w:tcPr>
            <w:tcW w:w="1446" w:type="dxa"/>
          </w:tcPr>
          <w:p w14:paraId="3E6A3061" w14:textId="63902BF4" w:rsidR="00D743B2" w:rsidRPr="00791CF6" w:rsidRDefault="00D743B2" w:rsidP="00D743B2">
            <w:pPr>
              <w:rPr>
                <w:rFonts w:ascii="Arial Narrow" w:hAnsi="Arial Narrow" w:cs="Calibri"/>
                <w:spacing w:val="-1"/>
                <w:sz w:val="18"/>
                <w:szCs w:val="18"/>
              </w:rPr>
            </w:pPr>
            <w:r w:rsidRPr="003931F1">
              <w:rPr>
                <w:rFonts w:ascii="Arial Narrow" w:hAnsi="Arial Narrow" w:cs="Calibri"/>
                <w:spacing w:val="-1"/>
                <w:sz w:val="18"/>
                <w:szCs w:val="18"/>
              </w:rPr>
              <w:t>0</w:t>
            </w:r>
          </w:p>
        </w:tc>
        <w:tc>
          <w:tcPr>
            <w:tcW w:w="1185" w:type="dxa"/>
          </w:tcPr>
          <w:p w14:paraId="0ACECBBD" w14:textId="2CF30B6E" w:rsidR="00D743B2" w:rsidRPr="00791CF6" w:rsidRDefault="00D743B2" w:rsidP="00D743B2">
            <w:pPr>
              <w:rPr>
                <w:rFonts w:ascii="Arial Narrow" w:hAnsi="Arial Narrow" w:cs="Calibri"/>
                <w:spacing w:val="-1"/>
                <w:sz w:val="18"/>
                <w:szCs w:val="18"/>
              </w:rPr>
            </w:pPr>
            <w:r w:rsidRPr="003931F1">
              <w:rPr>
                <w:rFonts w:ascii="Arial Narrow" w:hAnsi="Arial Narrow" w:cs="Calibri"/>
                <w:spacing w:val="-1"/>
                <w:sz w:val="18"/>
                <w:szCs w:val="18"/>
              </w:rPr>
              <w:t>0</w:t>
            </w:r>
          </w:p>
        </w:tc>
        <w:tc>
          <w:tcPr>
            <w:tcW w:w="1582" w:type="dxa"/>
          </w:tcPr>
          <w:p w14:paraId="3A6AC49D" w14:textId="030A41FF" w:rsidR="00D743B2" w:rsidRDefault="00D743B2" w:rsidP="00D743B2">
            <w:pPr>
              <w:rPr>
                <w:rFonts w:ascii="Arial Narrow" w:hAnsi="Arial Narrow"/>
                <w:sz w:val="18"/>
                <w:szCs w:val="18"/>
              </w:rPr>
            </w:pPr>
            <w:r w:rsidRPr="003931F1">
              <w:rPr>
                <w:rFonts w:ascii="Arial Narrow" w:hAnsi="Arial Narrow" w:cs="Calibri"/>
                <w:spacing w:val="-1"/>
                <w:sz w:val="18"/>
                <w:szCs w:val="18"/>
              </w:rPr>
              <w:t>16 (100%)</w:t>
            </w:r>
          </w:p>
        </w:tc>
      </w:tr>
      <w:tr w:rsidR="00D743B2" w:rsidRPr="00114A58" w14:paraId="4D1F2FD6" w14:textId="77777777" w:rsidTr="00AE3EA8">
        <w:tc>
          <w:tcPr>
            <w:tcW w:w="1555" w:type="dxa"/>
            <w:vMerge/>
          </w:tcPr>
          <w:p w14:paraId="3C0BC770" w14:textId="77777777" w:rsidR="00D743B2" w:rsidRPr="00114A58" w:rsidRDefault="00D743B2" w:rsidP="00D743B2">
            <w:pPr>
              <w:keepNext/>
              <w:spacing w:before="40" w:after="40"/>
              <w:rPr>
                <w:rFonts w:ascii="Arial Narrow" w:hAnsi="Arial Narrow"/>
                <w:sz w:val="18"/>
                <w:szCs w:val="18"/>
              </w:rPr>
            </w:pPr>
          </w:p>
        </w:tc>
        <w:tc>
          <w:tcPr>
            <w:tcW w:w="1559" w:type="dxa"/>
          </w:tcPr>
          <w:p w14:paraId="2AEEF027" w14:textId="3B928E9B" w:rsidR="00D743B2" w:rsidRPr="00114A58" w:rsidRDefault="00D743B2" w:rsidP="00D743B2">
            <w:pPr>
              <w:rPr>
                <w:rFonts w:ascii="Arial Narrow" w:hAnsi="Arial Narrow"/>
                <w:sz w:val="18"/>
                <w:szCs w:val="18"/>
              </w:rPr>
            </w:pPr>
            <w:r>
              <w:rPr>
                <w:rFonts w:ascii="Arial Narrow" w:hAnsi="Arial Narrow" w:cs="Calibri"/>
                <w:spacing w:val="-1"/>
                <w:sz w:val="18"/>
                <w:szCs w:val="18"/>
              </w:rPr>
              <w:t>SIM</w:t>
            </w:r>
          </w:p>
        </w:tc>
        <w:tc>
          <w:tcPr>
            <w:tcW w:w="1105" w:type="dxa"/>
          </w:tcPr>
          <w:p w14:paraId="2B7FC131" w14:textId="0075A848" w:rsidR="00D743B2" w:rsidRDefault="00D743B2" w:rsidP="00D743B2">
            <w:pPr>
              <w:rPr>
                <w:rFonts w:ascii="Arial Narrow" w:hAnsi="Arial Narrow"/>
                <w:sz w:val="18"/>
                <w:szCs w:val="18"/>
              </w:rPr>
            </w:pPr>
            <w:r w:rsidRPr="003931F1">
              <w:rPr>
                <w:rFonts w:ascii="Arial Narrow" w:hAnsi="Arial Narrow" w:cs="Calibri"/>
                <w:spacing w:val="-1"/>
                <w:sz w:val="18"/>
                <w:szCs w:val="18"/>
              </w:rPr>
              <w:t>16</w:t>
            </w:r>
          </w:p>
        </w:tc>
        <w:tc>
          <w:tcPr>
            <w:tcW w:w="1061" w:type="dxa"/>
          </w:tcPr>
          <w:p w14:paraId="5F23310B" w14:textId="3CC57FB7" w:rsidR="00D743B2" w:rsidRPr="003931F1" w:rsidRDefault="00D743B2" w:rsidP="00D743B2">
            <w:pPr>
              <w:rPr>
                <w:rFonts w:ascii="Arial Narrow" w:hAnsi="Arial Narrow" w:cs="Calibri"/>
                <w:spacing w:val="-1"/>
                <w:sz w:val="18"/>
                <w:szCs w:val="18"/>
              </w:rPr>
            </w:pPr>
            <w:r w:rsidRPr="003931F1">
              <w:rPr>
                <w:rFonts w:ascii="Arial Narrow" w:hAnsi="Arial Narrow" w:cs="Calibri"/>
                <w:spacing w:val="-1"/>
                <w:sz w:val="18"/>
                <w:szCs w:val="18"/>
              </w:rPr>
              <w:t>0</w:t>
            </w:r>
          </w:p>
        </w:tc>
        <w:tc>
          <w:tcPr>
            <w:tcW w:w="1446" w:type="dxa"/>
          </w:tcPr>
          <w:p w14:paraId="641D4E55" w14:textId="7FC153BD" w:rsidR="00D743B2" w:rsidRPr="00791CF6" w:rsidRDefault="00D743B2" w:rsidP="00D743B2">
            <w:pPr>
              <w:rPr>
                <w:rFonts w:ascii="Arial Narrow" w:hAnsi="Arial Narrow" w:cs="Calibri"/>
                <w:spacing w:val="-1"/>
                <w:sz w:val="18"/>
                <w:szCs w:val="18"/>
              </w:rPr>
            </w:pPr>
            <w:r w:rsidRPr="003931F1">
              <w:rPr>
                <w:rFonts w:ascii="Arial Narrow" w:hAnsi="Arial Narrow" w:cs="Calibri"/>
                <w:spacing w:val="-1"/>
                <w:sz w:val="18"/>
                <w:szCs w:val="18"/>
              </w:rPr>
              <w:t>0</w:t>
            </w:r>
          </w:p>
        </w:tc>
        <w:tc>
          <w:tcPr>
            <w:tcW w:w="1185" w:type="dxa"/>
          </w:tcPr>
          <w:p w14:paraId="5352FCD4" w14:textId="36B6712C" w:rsidR="00D743B2" w:rsidRPr="00791CF6" w:rsidRDefault="00D743B2" w:rsidP="00D743B2">
            <w:pPr>
              <w:rPr>
                <w:rFonts w:ascii="Arial Narrow" w:hAnsi="Arial Narrow" w:cs="Calibri"/>
                <w:spacing w:val="-1"/>
                <w:sz w:val="18"/>
                <w:szCs w:val="18"/>
              </w:rPr>
            </w:pPr>
            <w:r w:rsidRPr="003931F1">
              <w:rPr>
                <w:rFonts w:ascii="Arial Narrow" w:hAnsi="Arial Narrow" w:cs="Calibri"/>
                <w:spacing w:val="-1"/>
                <w:sz w:val="18"/>
                <w:szCs w:val="18"/>
              </w:rPr>
              <w:t>0</w:t>
            </w:r>
          </w:p>
        </w:tc>
        <w:tc>
          <w:tcPr>
            <w:tcW w:w="1582" w:type="dxa"/>
          </w:tcPr>
          <w:p w14:paraId="31BA24B6" w14:textId="10207409" w:rsidR="00D743B2" w:rsidRDefault="00D743B2" w:rsidP="00D743B2">
            <w:pPr>
              <w:rPr>
                <w:rFonts w:ascii="Arial Narrow" w:hAnsi="Arial Narrow"/>
                <w:sz w:val="18"/>
                <w:szCs w:val="18"/>
              </w:rPr>
            </w:pPr>
            <w:r w:rsidRPr="003931F1">
              <w:rPr>
                <w:rFonts w:ascii="Arial Narrow" w:hAnsi="Arial Narrow" w:cs="Calibri"/>
                <w:spacing w:val="-1"/>
                <w:sz w:val="18"/>
                <w:szCs w:val="18"/>
              </w:rPr>
              <w:t>16 (100%)</w:t>
            </w:r>
          </w:p>
        </w:tc>
      </w:tr>
      <w:tr w:rsidR="00D743B2" w:rsidRPr="00114A58" w14:paraId="443E0C32" w14:textId="77777777" w:rsidTr="00AE3EA8">
        <w:tc>
          <w:tcPr>
            <w:tcW w:w="1555" w:type="dxa"/>
            <w:vMerge w:val="restart"/>
            <w:vAlign w:val="center"/>
          </w:tcPr>
          <w:p w14:paraId="41B8CAA0" w14:textId="45E001C3" w:rsidR="00D743B2" w:rsidRPr="00114A58" w:rsidRDefault="00D743B2" w:rsidP="00D743B2">
            <w:pPr>
              <w:keepNext/>
              <w:spacing w:before="40" w:after="40"/>
              <w:rPr>
                <w:rFonts w:ascii="Arial Narrow" w:hAnsi="Arial Narrow"/>
                <w:sz w:val="18"/>
                <w:szCs w:val="18"/>
              </w:rPr>
            </w:pPr>
            <w:r w:rsidRPr="00317F73">
              <w:rPr>
                <w:rFonts w:ascii="Arial Narrow" w:hAnsi="Arial Narrow" w:cs="Calibri"/>
                <w:spacing w:val="-1"/>
                <w:sz w:val="18"/>
                <w:szCs w:val="18"/>
              </w:rPr>
              <w:t>Ostad 2009</w:t>
            </w:r>
          </w:p>
        </w:tc>
        <w:tc>
          <w:tcPr>
            <w:tcW w:w="1559" w:type="dxa"/>
          </w:tcPr>
          <w:p w14:paraId="69423D28" w14:textId="3DB05FCB" w:rsidR="00D743B2" w:rsidRPr="00114A58" w:rsidRDefault="00D743B2" w:rsidP="00D743B2">
            <w:pPr>
              <w:rPr>
                <w:rFonts w:ascii="Arial Narrow" w:hAnsi="Arial Narrow"/>
                <w:sz w:val="18"/>
                <w:szCs w:val="18"/>
              </w:rPr>
            </w:pPr>
            <w:r>
              <w:rPr>
                <w:rFonts w:ascii="Arial Narrow" w:hAnsi="Arial Narrow"/>
                <w:sz w:val="18"/>
                <w:szCs w:val="18"/>
              </w:rPr>
              <w:t>EZ</w:t>
            </w:r>
            <w:r w:rsidRPr="00114A58">
              <w:rPr>
                <w:rFonts w:ascii="Arial Narrow" w:hAnsi="Arial Narrow"/>
                <w:sz w:val="18"/>
                <w:szCs w:val="18"/>
              </w:rPr>
              <w:t xml:space="preserve">+ATOR </w:t>
            </w:r>
          </w:p>
        </w:tc>
        <w:tc>
          <w:tcPr>
            <w:tcW w:w="1105" w:type="dxa"/>
          </w:tcPr>
          <w:p w14:paraId="2D3109FD" w14:textId="3257D34D" w:rsidR="00D743B2" w:rsidRDefault="00D743B2" w:rsidP="00D743B2">
            <w:pPr>
              <w:rPr>
                <w:rFonts w:ascii="Arial Narrow" w:hAnsi="Arial Narrow"/>
                <w:sz w:val="18"/>
                <w:szCs w:val="18"/>
              </w:rPr>
            </w:pPr>
            <w:r>
              <w:rPr>
                <w:rFonts w:ascii="Arial Narrow" w:hAnsi="Arial Narrow" w:cs="Calibri"/>
                <w:spacing w:val="-1"/>
                <w:sz w:val="18"/>
                <w:szCs w:val="18"/>
              </w:rPr>
              <w:t>28</w:t>
            </w:r>
          </w:p>
        </w:tc>
        <w:tc>
          <w:tcPr>
            <w:tcW w:w="1061" w:type="dxa"/>
          </w:tcPr>
          <w:p w14:paraId="4D58FC50" w14:textId="6E5201AB" w:rsidR="00D743B2" w:rsidRPr="003931F1" w:rsidRDefault="00D743B2" w:rsidP="00D743B2">
            <w:pPr>
              <w:rPr>
                <w:rFonts w:ascii="Arial Narrow" w:hAnsi="Arial Narrow" w:cs="Calibri"/>
                <w:spacing w:val="-1"/>
                <w:sz w:val="18"/>
                <w:szCs w:val="18"/>
              </w:rPr>
            </w:pPr>
            <w:r w:rsidRPr="003931F1">
              <w:rPr>
                <w:rFonts w:ascii="Arial Narrow" w:hAnsi="Arial Narrow" w:cs="Calibri"/>
                <w:spacing w:val="-1"/>
                <w:sz w:val="18"/>
                <w:szCs w:val="18"/>
              </w:rPr>
              <w:t>NA</w:t>
            </w:r>
          </w:p>
        </w:tc>
        <w:tc>
          <w:tcPr>
            <w:tcW w:w="1446" w:type="dxa"/>
          </w:tcPr>
          <w:p w14:paraId="69D454E3" w14:textId="5B16EF03" w:rsidR="00D743B2" w:rsidRPr="00791CF6" w:rsidRDefault="00D743B2" w:rsidP="00D743B2">
            <w:pPr>
              <w:rPr>
                <w:rFonts w:ascii="Arial Narrow" w:hAnsi="Arial Narrow" w:cs="Calibri"/>
                <w:spacing w:val="-1"/>
                <w:sz w:val="18"/>
                <w:szCs w:val="18"/>
              </w:rPr>
            </w:pPr>
            <w:r w:rsidRPr="003931F1">
              <w:rPr>
                <w:rFonts w:ascii="Arial Narrow" w:hAnsi="Arial Narrow" w:cs="Calibri"/>
                <w:spacing w:val="-1"/>
                <w:sz w:val="18"/>
                <w:szCs w:val="18"/>
              </w:rPr>
              <w:t>NA</w:t>
            </w:r>
          </w:p>
        </w:tc>
        <w:tc>
          <w:tcPr>
            <w:tcW w:w="1185" w:type="dxa"/>
          </w:tcPr>
          <w:p w14:paraId="11C981C7" w14:textId="19DC2387" w:rsidR="00D743B2" w:rsidRPr="00791CF6" w:rsidRDefault="00D743B2" w:rsidP="00D743B2">
            <w:pPr>
              <w:rPr>
                <w:rFonts w:ascii="Arial Narrow" w:hAnsi="Arial Narrow" w:cs="Calibri"/>
                <w:spacing w:val="-1"/>
                <w:sz w:val="18"/>
                <w:szCs w:val="18"/>
              </w:rPr>
            </w:pPr>
            <w:r>
              <w:rPr>
                <w:rFonts w:ascii="Arial Narrow" w:hAnsi="Arial Narrow" w:cs="Calibri"/>
                <w:spacing w:val="-1"/>
                <w:sz w:val="18"/>
                <w:szCs w:val="18"/>
              </w:rPr>
              <w:t>4 (14%)</w:t>
            </w:r>
          </w:p>
        </w:tc>
        <w:tc>
          <w:tcPr>
            <w:tcW w:w="1582" w:type="dxa"/>
          </w:tcPr>
          <w:p w14:paraId="7A8465B0" w14:textId="2D4BB8ED" w:rsidR="00D743B2" w:rsidRDefault="00D743B2" w:rsidP="00D743B2">
            <w:pPr>
              <w:rPr>
                <w:rFonts w:ascii="Arial Narrow" w:hAnsi="Arial Narrow"/>
                <w:sz w:val="18"/>
                <w:szCs w:val="18"/>
              </w:rPr>
            </w:pPr>
            <w:r>
              <w:rPr>
                <w:rFonts w:ascii="Arial Narrow" w:hAnsi="Arial Narrow" w:cs="Calibri"/>
                <w:spacing w:val="-1"/>
                <w:sz w:val="18"/>
                <w:szCs w:val="18"/>
              </w:rPr>
              <w:t>24(86%)</w:t>
            </w:r>
          </w:p>
        </w:tc>
      </w:tr>
      <w:tr w:rsidR="00D743B2" w:rsidRPr="00114A58" w14:paraId="690113B1" w14:textId="77777777" w:rsidTr="00AE3EA8">
        <w:tc>
          <w:tcPr>
            <w:tcW w:w="1555" w:type="dxa"/>
            <w:vMerge/>
          </w:tcPr>
          <w:p w14:paraId="0C2A5A56" w14:textId="77777777" w:rsidR="00D743B2" w:rsidRPr="00114A58" w:rsidRDefault="00D743B2" w:rsidP="00D743B2">
            <w:pPr>
              <w:keepNext/>
              <w:spacing w:before="40" w:after="40"/>
              <w:rPr>
                <w:rFonts w:ascii="Arial Narrow" w:hAnsi="Arial Narrow"/>
                <w:sz w:val="18"/>
                <w:szCs w:val="18"/>
              </w:rPr>
            </w:pPr>
          </w:p>
        </w:tc>
        <w:tc>
          <w:tcPr>
            <w:tcW w:w="1559" w:type="dxa"/>
          </w:tcPr>
          <w:p w14:paraId="4FD841AD" w14:textId="4D022F7E" w:rsidR="00D743B2" w:rsidRPr="00114A58" w:rsidRDefault="00D743B2" w:rsidP="00D743B2">
            <w:pPr>
              <w:rPr>
                <w:rFonts w:ascii="Arial Narrow" w:hAnsi="Arial Narrow"/>
                <w:sz w:val="18"/>
                <w:szCs w:val="18"/>
              </w:rPr>
            </w:pPr>
            <w:r w:rsidRPr="00114A58">
              <w:rPr>
                <w:rFonts w:ascii="Arial Narrow" w:hAnsi="Arial Narrow"/>
                <w:sz w:val="18"/>
                <w:szCs w:val="18"/>
              </w:rPr>
              <w:t xml:space="preserve">PBO+ATOR </w:t>
            </w:r>
          </w:p>
        </w:tc>
        <w:tc>
          <w:tcPr>
            <w:tcW w:w="1105" w:type="dxa"/>
          </w:tcPr>
          <w:p w14:paraId="365C58AC" w14:textId="67E4D4FB" w:rsidR="00D743B2" w:rsidRDefault="00D743B2" w:rsidP="00D743B2">
            <w:pPr>
              <w:rPr>
                <w:rFonts w:ascii="Arial Narrow" w:hAnsi="Arial Narrow"/>
                <w:sz w:val="18"/>
                <w:szCs w:val="18"/>
              </w:rPr>
            </w:pPr>
            <w:r>
              <w:rPr>
                <w:rFonts w:ascii="Arial Narrow" w:hAnsi="Arial Narrow" w:cs="Calibri"/>
                <w:spacing w:val="-1"/>
                <w:sz w:val="18"/>
                <w:szCs w:val="18"/>
              </w:rPr>
              <w:t>29</w:t>
            </w:r>
          </w:p>
        </w:tc>
        <w:tc>
          <w:tcPr>
            <w:tcW w:w="1061" w:type="dxa"/>
          </w:tcPr>
          <w:p w14:paraId="0FC29BA0" w14:textId="50CB83B7" w:rsidR="00D743B2" w:rsidRPr="003931F1" w:rsidRDefault="00D743B2" w:rsidP="00D743B2">
            <w:pPr>
              <w:rPr>
                <w:rFonts w:ascii="Arial Narrow" w:hAnsi="Arial Narrow" w:cs="Calibri"/>
                <w:spacing w:val="-1"/>
                <w:sz w:val="18"/>
                <w:szCs w:val="18"/>
              </w:rPr>
            </w:pPr>
            <w:r w:rsidRPr="003931F1">
              <w:rPr>
                <w:rFonts w:ascii="Arial Narrow" w:hAnsi="Arial Narrow" w:cs="Calibri"/>
                <w:spacing w:val="-1"/>
                <w:sz w:val="18"/>
                <w:szCs w:val="18"/>
              </w:rPr>
              <w:t>NA</w:t>
            </w:r>
          </w:p>
        </w:tc>
        <w:tc>
          <w:tcPr>
            <w:tcW w:w="1446" w:type="dxa"/>
          </w:tcPr>
          <w:p w14:paraId="37D8F422" w14:textId="2A88D7DA" w:rsidR="00D743B2" w:rsidRPr="00791CF6" w:rsidRDefault="00D743B2" w:rsidP="00D743B2">
            <w:pPr>
              <w:rPr>
                <w:rFonts w:ascii="Arial Narrow" w:hAnsi="Arial Narrow" w:cs="Calibri"/>
                <w:spacing w:val="-1"/>
                <w:sz w:val="18"/>
                <w:szCs w:val="18"/>
              </w:rPr>
            </w:pPr>
            <w:r w:rsidRPr="003931F1">
              <w:rPr>
                <w:rFonts w:ascii="Arial Narrow" w:hAnsi="Arial Narrow" w:cs="Calibri"/>
                <w:spacing w:val="-1"/>
                <w:sz w:val="18"/>
                <w:szCs w:val="18"/>
              </w:rPr>
              <w:t>NA</w:t>
            </w:r>
          </w:p>
        </w:tc>
        <w:tc>
          <w:tcPr>
            <w:tcW w:w="1185" w:type="dxa"/>
          </w:tcPr>
          <w:p w14:paraId="191AA03C" w14:textId="5ECD8DE6" w:rsidR="00D743B2" w:rsidRPr="00791CF6" w:rsidRDefault="00D743B2" w:rsidP="00D743B2">
            <w:pPr>
              <w:rPr>
                <w:rFonts w:ascii="Arial Narrow" w:hAnsi="Arial Narrow" w:cs="Calibri"/>
                <w:spacing w:val="-1"/>
                <w:sz w:val="18"/>
                <w:szCs w:val="18"/>
              </w:rPr>
            </w:pPr>
            <w:r>
              <w:rPr>
                <w:rFonts w:ascii="Arial Narrow" w:hAnsi="Arial Narrow" w:cs="Calibri"/>
                <w:spacing w:val="-1"/>
                <w:sz w:val="18"/>
                <w:szCs w:val="18"/>
              </w:rPr>
              <w:t>5 (17%)</w:t>
            </w:r>
          </w:p>
        </w:tc>
        <w:tc>
          <w:tcPr>
            <w:tcW w:w="1582" w:type="dxa"/>
          </w:tcPr>
          <w:p w14:paraId="2D81D625" w14:textId="0EC9AA3E" w:rsidR="00D743B2" w:rsidRDefault="00D743B2" w:rsidP="00D743B2">
            <w:pPr>
              <w:rPr>
                <w:rFonts w:ascii="Arial Narrow" w:hAnsi="Arial Narrow"/>
                <w:sz w:val="18"/>
                <w:szCs w:val="18"/>
              </w:rPr>
            </w:pPr>
            <w:r>
              <w:rPr>
                <w:rFonts w:ascii="Arial Narrow" w:hAnsi="Arial Narrow" w:cs="Calibri"/>
                <w:spacing w:val="-1"/>
                <w:sz w:val="18"/>
                <w:szCs w:val="18"/>
              </w:rPr>
              <w:t>24(83%)</w:t>
            </w:r>
          </w:p>
        </w:tc>
      </w:tr>
      <w:tr w:rsidR="004022D1" w:rsidRPr="00114A58" w14:paraId="3CEA600E" w14:textId="77777777" w:rsidTr="00AE3EA8">
        <w:tc>
          <w:tcPr>
            <w:tcW w:w="1555" w:type="dxa"/>
            <w:vMerge w:val="restart"/>
          </w:tcPr>
          <w:p w14:paraId="1D62F8D0" w14:textId="20D2096A" w:rsidR="004022D1" w:rsidRPr="00114A58" w:rsidRDefault="004022D1" w:rsidP="00D743B2">
            <w:pPr>
              <w:keepNext/>
              <w:spacing w:before="40" w:after="40"/>
              <w:rPr>
                <w:rFonts w:ascii="Arial Narrow" w:hAnsi="Arial Narrow"/>
                <w:sz w:val="18"/>
                <w:szCs w:val="18"/>
              </w:rPr>
            </w:pPr>
            <w:r>
              <w:rPr>
                <w:rFonts w:ascii="Arial Narrow" w:hAnsi="Arial Narrow"/>
                <w:sz w:val="18"/>
                <w:szCs w:val="18"/>
              </w:rPr>
              <w:t>McCormack 2010</w:t>
            </w:r>
          </w:p>
        </w:tc>
        <w:tc>
          <w:tcPr>
            <w:tcW w:w="1559" w:type="dxa"/>
          </w:tcPr>
          <w:p w14:paraId="78F006D8" w14:textId="57C90E57" w:rsidR="004022D1" w:rsidRPr="00114A58" w:rsidRDefault="004022D1" w:rsidP="00D743B2">
            <w:pPr>
              <w:rPr>
                <w:rFonts w:ascii="Arial Narrow" w:hAnsi="Arial Narrow"/>
                <w:sz w:val="18"/>
                <w:szCs w:val="18"/>
              </w:rPr>
            </w:pPr>
            <w:r>
              <w:rPr>
                <w:rFonts w:ascii="Arial Narrow" w:hAnsi="Arial Narrow"/>
                <w:sz w:val="18"/>
                <w:szCs w:val="18"/>
              </w:rPr>
              <w:t xml:space="preserve">EZ+SIM </w:t>
            </w:r>
          </w:p>
        </w:tc>
        <w:tc>
          <w:tcPr>
            <w:tcW w:w="1105" w:type="dxa"/>
          </w:tcPr>
          <w:p w14:paraId="2B439105" w14:textId="66CB86CC" w:rsidR="004022D1" w:rsidRDefault="00977839" w:rsidP="00D743B2">
            <w:pPr>
              <w:rPr>
                <w:rFonts w:ascii="Arial Narrow" w:hAnsi="Arial Narrow" w:cs="Calibri"/>
                <w:spacing w:val="-1"/>
                <w:sz w:val="18"/>
                <w:szCs w:val="18"/>
              </w:rPr>
            </w:pPr>
            <w:r>
              <w:rPr>
                <w:rFonts w:ascii="Arial Narrow" w:hAnsi="Arial Narrow" w:cs="Calibri"/>
                <w:spacing w:val="-1"/>
                <w:sz w:val="18"/>
                <w:szCs w:val="18"/>
              </w:rPr>
              <w:t>261</w:t>
            </w:r>
          </w:p>
        </w:tc>
        <w:tc>
          <w:tcPr>
            <w:tcW w:w="1061" w:type="dxa"/>
          </w:tcPr>
          <w:p w14:paraId="5A1F2CBB" w14:textId="61EB4ED2" w:rsidR="004022D1" w:rsidRPr="003931F1" w:rsidRDefault="00977839" w:rsidP="00D743B2">
            <w:pPr>
              <w:rPr>
                <w:rFonts w:ascii="Arial Narrow" w:hAnsi="Arial Narrow" w:cs="Calibri"/>
                <w:spacing w:val="-1"/>
                <w:sz w:val="18"/>
                <w:szCs w:val="18"/>
              </w:rPr>
            </w:pPr>
            <w:r>
              <w:rPr>
                <w:rFonts w:ascii="Arial Narrow" w:hAnsi="Arial Narrow" w:cs="Calibri"/>
                <w:spacing w:val="-1"/>
                <w:sz w:val="18"/>
                <w:szCs w:val="18"/>
              </w:rPr>
              <w:t>2 (0.8%)</w:t>
            </w:r>
          </w:p>
        </w:tc>
        <w:tc>
          <w:tcPr>
            <w:tcW w:w="1446" w:type="dxa"/>
          </w:tcPr>
          <w:p w14:paraId="7903D972" w14:textId="5C213E34" w:rsidR="004022D1" w:rsidRPr="003931F1" w:rsidRDefault="00977839" w:rsidP="00D743B2">
            <w:pPr>
              <w:rPr>
                <w:rFonts w:ascii="Arial Narrow" w:hAnsi="Arial Narrow" w:cs="Calibri"/>
                <w:spacing w:val="-1"/>
                <w:sz w:val="18"/>
                <w:szCs w:val="18"/>
              </w:rPr>
            </w:pPr>
            <w:r>
              <w:rPr>
                <w:rFonts w:ascii="Arial Narrow" w:hAnsi="Arial Narrow" w:cs="Calibri"/>
                <w:spacing w:val="-1"/>
                <w:sz w:val="18"/>
                <w:szCs w:val="18"/>
              </w:rPr>
              <w:t>4 (1.5%)</w:t>
            </w:r>
          </w:p>
        </w:tc>
        <w:tc>
          <w:tcPr>
            <w:tcW w:w="1185" w:type="dxa"/>
          </w:tcPr>
          <w:p w14:paraId="23B9F09D" w14:textId="6F75E9E9" w:rsidR="004022D1" w:rsidRDefault="00977839" w:rsidP="00D743B2">
            <w:pPr>
              <w:rPr>
                <w:rFonts w:ascii="Arial Narrow" w:hAnsi="Arial Narrow" w:cs="Calibri"/>
                <w:spacing w:val="-1"/>
                <w:sz w:val="18"/>
                <w:szCs w:val="18"/>
              </w:rPr>
            </w:pPr>
            <w:r>
              <w:rPr>
                <w:rFonts w:ascii="Arial Narrow" w:hAnsi="Arial Narrow" w:cs="Calibri"/>
                <w:spacing w:val="-1"/>
                <w:sz w:val="18"/>
                <w:szCs w:val="18"/>
              </w:rPr>
              <w:t>12 (4.6%)</w:t>
            </w:r>
          </w:p>
        </w:tc>
        <w:tc>
          <w:tcPr>
            <w:tcW w:w="1582" w:type="dxa"/>
          </w:tcPr>
          <w:p w14:paraId="2F5076CD" w14:textId="155EC99C" w:rsidR="004022D1" w:rsidRDefault="00977839" w:rsidP="00D743B2">
            <w:pPr>
              <w:rPr>
                <w:rFonts w:ascii="Arial Narrow" w:hAnsi="Arial Narrow" w:cs="Calibri"/>
                <w:spacing w:val="-1"/>
                <w:sz w:val="18"/>
                <w:szCs w:val="18"/>
              </w:rPr>
            </w:pPr>
            <w:r>
              <w:rPr>
                <w:rFonts w:ascii="Arial Narrow" w:hAnsi="Arial Narrow" w:cs="Calibri"/>
                <w:spacing w:val="-1"/>
                <w:sz w:val="18"/>
                <w:szCs w:val="18"/>
              </w:rPr>
              <w:t>255 (97.7%)</w:t>
            </w:r>
          </w:p>
        </w:tc>
      </w:tr>
      <w:tr w:rsidR="004022D1" w:rsidRPr="00114A58" w14:paraId="5F8DFBAD" w14:textId="77777777" w:rsidTr="00AE3EA8">
        <w:tc>
          <w:tcPr>
            <w:tcW w:w="1555" w:type="dxa"/>
            <w:vMerge/>
          </w:tcPr>
          <w:p w14:paraId="2909C0E2" w14:textId="77777777" w:rsidR="004022D1" w:rsidRDefault="004022D1" w:rsidP="00D743B2">
            <w:pPr>
              <w:keepNext/>
              <w:spacing w:before="40" w:after="40"/>
              <w:rPr>
                <w:rFonts w:ascii="Arial Narrow" w:hAnsi="Arial Narrow"/>
                <w:sz w:val="18"/>
                <w:szCs w:val="18"/>
              </w:rPr>
            </w:pPr>
          </w:p>
        </w:tc>
        <w:tc>
          <w:tcPr>
            <w:tcW w:w="1559" w:type="dxa"/>
          </w:tcPr>
          <w:p w14:paraId="76396D73" w14:textId="426E7690" w:rsidR="004022D1" w:rsidRPr="00114A58" w:rsidRDefault="004022D1" w:rsidP="00D743B2">
            <w:pPr>
              <w:rPr>
                <w:rFonts w:ascii="Arial Narrow" w:hAnsi="Arial Narrow"/>
                <w:sz w:val="18"/>
                <w:szCs w:val="18"/>
              </w:rPr>
            </w:pPr>
            <w:r>
              <w:rPr>
                <w:rFonts w:ascii="Arial Narrow" w:hAnsi="Arial Narrow"/>
                <w:sz w:val="18"/>
                <w:szCs w:val="18"/>
              </w:rPr>
              <w:t>ATOR</w:t>
            </w:r>
          </w:p>
        </w:tc>
        <w:tc>
          <w:tcPr>
            <w:tcW w:w="1105" w:type="dxa"/>
          </w:tcPr>
          <w:p w14:paraId="1428BC55" w14:textId="28FF3FB7" w:rsidR="004022D1" w:rsidRDefault="00977839" w:rsidP="00D743B2">
            <w:pPr>
              <w:rPr>
                <w:rFonts w:ascii="Arial Narrow" w:hAnsi="Arial Narrow" w:cs="Calibri"/>
                <w:spacing w:val="-1"/>
                <w:sz w:val="18"/>
                <w:szCs w:val="18"/>
              </w:rPr>
            </w:pPr>
            <w:r>
              <w:rPr>
                <w:rFonts w:ascii="Arial Narrow" w:hAnsi="Arial Narrow" w:cs="Calibri"/>
                <w:spacing w:val="-1"/>
                <w:sz w:val="18"/>
                <w:szCs w:val="18"/>
              </w:rPr>
              <w:t>263</w:t>
            </w:r>
          </w:p>
        </w:tc>
        <w:tc>
          <w:tcPr>
            <w:tcW w:w="1061" w:type="dxa"/>
          </w:tcPr>
          <w:p w14:paraId="79CDBD8D" w14:textId="1D45D39A" w:rsidR="004022D1" w:rsidRPr="003931F1" w:rsidRDefault="00977839" w:rsidP="00D743B2">
            <w:pPr>
              <w:rPr>
                <w:rFonts w:ascii="Arial Narrow" w:hAnsi="Arial Narrow" w:cs="Calibri"/>
                <w:spacing w:val="-1"/>
                <w:sz w:val="18"/>
                <w:szCs w:val="18"/>
              </w:rPr>
            </w:pPr>
            <w:r>
              <w:rPr>
                <w:rFonts w:ascii="Arial Narrow" w:hAnsi="Arial Narrow" w:cs="Calibri"/>
                <w:spacing w:val="-1"/>
                <w:sz w:val="18"/>
                <w:szCs w:val="18"/>
              </w:rPr>
              <w:t>3 (1.1%)</w:t>
            </w:r>
          </w:p>
        </w:tc>
        <w:tc>
          <w:tcPr>
            <w:tcW w:w="1446" w:type="dxa"/>
          </w:tcPr>
          <w:p w14:paraId="64EDBEA9" w14:textId="246A3EE9" w:rsidR="004022D1" w:rsidRPr="003931F1" w:rsidRDefault="00977839" w:rsidP="00D743B2">
            <w:pPr>
              <w:rPr>
                <w:rFonts w:ascii="Arial Narrow" w:hAnsi="Arial Narrow" w:cs="Calibri"/>
                <w:spacing w:val="-1"/>
                <w:sz w:val="18"/>
                <w:szCs w:val="18"/>
              </w:rPr>
            </w:pPr>
            <w:r>
              <w:rPr>
                <w:rFonts w:ascii="Arial Narrow" w:hAnsi="Arial Narrow" w:cs="Calibri"/>
                <w:spacing w:val="-1"/>
                <w:sz w:val="18"/>
                <w:szCs w:val="18"/>
              </w:rPr>
              <w:t>1 (0.4%)</w:t>
            </w:r>
          </w:p>
        </w:tc>
        <w:tc>
          <w:tcPr>
            <w:tcW w:w="1185" w:type="dxa"/>
          </w:tcPr>
          <w:p w14:paraId="0FB83DBA" w14:textId="27A9809C" w:rsidR="004022D1" w:rsidRDefault="00977839" w:rsidP="00D743B2">
            <w:pPr>
              <w:rPr>
                <w:rFonts w:ascii="Arial Narrow" w:hAnsi="Arial Narrow" w:cs="Calibri"/>
                <w:spacing w:val="-1"/>
                <w:sz w:val="18"/>
                <w:szCs w:val="18"/>
              </w:rPr>
            </w:pPr>
            <w:r>
              <w:rPr>
                <w:rFonts w:ascii="Arial Narrow" w:hAnsi="Arial Narrow" w:cs="Calibri"/>
                <w:spacing w:val="-1"/>
                <w:sz w:val="18"/>
                <w:szCs w:val="18"/>
              </w:rPr>
              <w:t>11 (4.2%)</w:t>
            </w:r>
          </w:p>
        </w:tc>
        <w:tc>
          <w:tcPr>
            <w:tcW w:w="1582" w:type="dxa"/>
          </w:tcPr>
          <w:p w14:paraId="2A24C45D" w14:textId="3CADB23E" w:rsidR="004022D1" w:rsidRDefault="00977839" w:rsidP="00D743B2">
            <w:pPr>
              <w:rPr>
                <w:rFonts w:ascii="Arial Narrow" w:hAnsi="Arial Narrow" w:cs="Calibri"/>
                <w:spacing w:val="-1"/>
                <w:sz w:val="18"/>
                <w:szCs w:val="18"/>
              </w:rPr>
            </w:pPr>
            <w:r>
              <w:rPr>
                <w:rFonts w:ascii="Arial Narrow" w:hAnsi="Arial Narrow" w:cs="Calibri"/>
                <w:spacing w:val="-1"/>
                <w:sz w:val="18"/>
                <w:szCs w:val="18"/>
              </w:rPr>
              <w:t>259 (98.5%)</w:t>
            </w:r>
          </w:p>
        </w:tc>
      </w:tr>
      <w:tr w:rsidR="004022D1" w:rsidRPr="00114A58" w14:paraId="1AFBCE6B" w14:textId="77777777" w:rsidTr="00AE3EA8">
        <w:tc>
          <w:tcPr>
            <w:tcW w:w="1555" w:type="dxa"/>
            <w:vMerge/>
          </w:tcPr>
          <w:p w14:paraId="0660D952" w14:textId="77777777" w:rsidR="004022D1" w:rsidRDefault="004022D1" w:rsidP="00D743B2">
            <w:pPr>
              <w:keepNext/>
              <w:spacing w:before="40" w:after="40"/>
              <w:rPr>
                <w:rFonts w:ascii="Arial Narrow" w:hAnsi="Arial Narrow"/>
                <w:sz w:val="18"/>
                <w:szCs w:val="18"/>
              </w:rPr>
            </w:pPr>
          </w:p>
        </w:tc>
        <w:tc>
          <w:tcPr>
            <w:tcW w:w="1559" w:type="dxa"/>
          </w:tcPr>
          <w:p w14:paraId="4C7DD111" w14:textId="22C748DB" w:rsidR="004022D1" w:rsidRPr="00114A58" w:rsidRDefault="004022D1" w:rsidP="00D743B2">
            <w:pPr>
              <w:rPr>
                <w:rFonts w:ascii="Arial Narrow" w:hAnsi="Arial Narrow"/>
                <w:sz w:val="18"/>
                <w:szCs w:val="18"/>
              </w:rPr>
            </w:pPr>
            <w:r>
              <w:rPr>
                <w:rFonts w:ascii="Arial Narrow" w:hAnsi="Arial Narrow"/>
                <w:sz w:val="18"/>
                <w:szCs w:val="18"/>
              </w:rPr>
              <w:t>ROSU</w:t>
            </w:r>
          </w:p>
        </w:tc>
        <w:tc>
          <w:tcPr>
            <w:tcW w:w="1105" w:type="dxa"/>
          </w:tcPr>
          <w:p w14:paraId="11CA4E73" w14:textId="633C0FC4" w:rsidR="004022D1" w:rsidRDefault="00977839" w:rsidP="00D743B2">
            <w:pPr>
              <w:rPr>
                <w:rFonts w:ascii="Arial Narrow" w:hAnsi="Arial Narrow" w:cs="Calibri"/>
                <w:spacing w:val="-1"/>
                <w:sz w:val="18"/>
                <w:szCs w:val="18"/>
              </w:rPr>
            </w:pPr>
            <w:r>
              <w:rPr>
                <w:rFonts w:ascii="Arial Narrow" w:hAnsi="Arial Narrow" w:cs="Calibri"/>
                <w:spacing w:val="-1"/>
                <w:sz w:val="18"/>
                <w:szCs w:val="18"/>
              </w:rPr>
              <w:t>262</w:t>
            </w:r>
          </w:p>
        </w:tc>
        <w:tc>
          <w:tcPr>
            <w:tcW w:w="1061" w:type="dxa"/>
          </w:tcPr>
          <w:p w14:paraId="19303A04" w14:textId="3F8D10E2" w:rsidR="004022D1" w:rsidRPr="003931F1" w:rsidRDefault="00977839" w:rsidP="00D743B2">
            <w:pPr>
              <w:rPr>
                <w:rFonts w:ascii="Arial Narrow" w:hAnsi="Arial Narrow" w:cs="Calibri"/>
                <w:spacing w:val="-1"/>
                <w:sz w:val="18"/>
                <w:szCs w:val="18"/>
              </w:rPr>
            </w:pPr>
            <w:r>
              <w:rPr>
                <w:rFonts w:ascii="Arial Narrow" w:hAnsi="Arial Narrow" w:cs="Calibri"/>
                <w:spacing w:val="-1"/>
                <w:sz w:val="18"/>
                <w:szCs w:val="18"/>
              </w:rPr>
              <w:t>1 (0.4%)</w:t>
            </w:r>
          </w:p>
        </w:tc>
        <w:tc>
          <w:tcPr>
            <w:tcW w:w="1446" w:type="dxa"/>
          </w:tcPr>
          <w:p w14:paraId="6A2E73AF" w14:textId="53546888" w:rsidR="004022D1" w:rsidRPr="003931F1" w:rsidRDefault="00977839" w:rsidP="00D743B2">
            <w:pPr>
              <w:rPr>
                <w:rFonts w:ascii="Arial Narrow" w:hAnsi="Arial Narrow" w:cs="Calibri"/>
                <w:spacing w:val="-1"/>
                <w:sz w:val="18"/>
                <w:szCs w:val="18"/>
              </w:rPr>
            </w:pPr>
            <w:r>
              <w:rPr>
                <w:rFonts w:ascii="Arial Narrow" w:hAnsi="Arial Narrow" w:cs="Calibri"/>
                <w:spacing w:val="-1"/>
                <w:sz w:val="18"/>
                <w:szCs w:val="18"/>
              </w:rPr>
              <w:t>3 (1.1%)</w:t>
            </w:r>
          </w:p>
        </w:tc>
        <w:tc>
          <w:tcPr>
            <w:tcW w:w="1185" w:type="dxa"/>
          </w:tcPr>
          <w:p w14:paraId="1318DE50" w14:textId="6B826EF8" w:rsidR="004022D1" w:rsidRDefault="00977839" w:rsidP="00D743B2">
            <w:pPr>
              <w:rPr>
                <w:rFonts w:ascii="Arial Narrow" w:hAnsi="Arial Narrow" w:cs="Calibri"/>
                <w:spacing w:val="-1"/>
                <w:sz w:val="18"/>
                <w:szCs w:val="18"/>
              </w:rPr>
            </w:pPr>
            <w:r>
              <w:rPr>
                <w:rFonts w:ascii="Arial Narrow" w:hAnsi="Arial Narrow" w:cs="Calibri"/>
                <w:spacing w:val="-1"/>
                <w:sz w:val="18"/>
                <w:szCs w:val="18"/>
              </w:rPr>
              <w:t>11 (4.2%)</w:t>
            </w:r>
          </w:p>
        </w:tc>
        <w:tc>
          <w:tcPr>
            <w:tcW w:w="1582" w:type="dxa"/>
          </w:tcPr>
          <w:p w14:paraId="3C155F75" w14:textId="77D53974" w:rsidR="004022D1" w:rsidRDefault="00977839" w:rsidP="00D743B2">
            <w:pPr>
              <w:rPr>
                <w:rFonts w:ascii="Arial Narrow" w:hAnsi="Arial Narrow" w:cs="Calibri"/>
                <w:spacing w:val="-1"/>
                <w:sz w:val="18"/>
                <w:szCs w:val="18"/>
              </w:rPr>
            </w:pPr>
            <w:r>
              <w:rPr>
                <w:rFonts w:ascii="Arial Narrow" w:hAnsi="Arial Narrow" w:cs="Calibri"/>
                <w:spacing w:val="-1"/>
                <w:sz w:val="18"/>
                <w:szCs w:val="18"/>
              </w:rPr>
              <w:t>258 (98.5%)</w:t>
            </w:r>
          </w:p>
        </w:tc>
      </w:tr>
      <w:tr w:rsidR="00791CF6" w:rsidRPr="00114A58" w14:paraId="55940D9F" w14:textId="77777777" w:rsidTr="00687DFC">
        <w:trPr>
          <w:trHeight w:val="113"/>
        </w:trPr>
        <w:tc>
          <w:tcPr>
            <w:tcW w:w="9493" w:type="dxa"/>
            <w:gridSpan w:val="7"/>
            <w:vAlign w:val="center"/>
          </w:tcPr>
          <w:p w14:paraId="335817C1" w14:textId="623D05A5" w:rsidR="00687DFC" w:rsidRPr="00687DFC" w:rsidRDefault="00791CF6" w:rsidP="00687DFC">
            <w:pPr>
              <w:jc w:val="center"/>
              <w:rPr>
                <w:rFonts w:ascii="Arial Narrow" w:hAnsi="Arial Narrow"/>
                <w:b/>
                <w:sz w:val="18"/>
                <w:szCs w:val="18"/>
              </w:rPr>
            </w:pPr>
            <w:r w:rsidRPr="00687DFC">
              <w:rPr>
                <w:rFonts w:ascii="Arial Narrow" w:hAnsi="Arial Narrow"/>
                <w:b/>
                <w:sz w:val="18"/>
                <w:szCs w:val="18"/>
              </w:rPr>
              <w:t>fixed dose of statin +ezetimibe vs matching fixed statin dose</w:t>
            </w:r>
          </w:p>
        </w:tc>
      </w:tr>
      <w:tr w:rsidR="00791CF6" w:rsidRPr="00114A58" w14:paraId="1926E828" w14:textId="77777777" w:rsidTr="00AE3EA8">
        <w:tc>
          <w:tcPr>
            <w:tcW w:w="1555" w:type="dxa"/>
            <w:vMerge w:val="restart"/>
          </w:tcPr>
          <w:p w14:paraId="2CE4109E" w14:textId="1BEB4186" w:rsidR="00791CF6" w:rsidRPr="00114A58" w:rsidRDefault="00791CF6" w:rsidP="00791CF6">
            <w:pPr>
              <w:keepNext/>
              <w:spacing w:before="40" w:after="40"/>
              <w:rPr>
                <w:rFonts w:ascii="Arial Narrow" w:hAnsi="Arial Narrow"/>
                <w:sz w:val="18"/>
                <w:szCs w:val="18"/>
              </w:rPr>
            </w:pPr>
            <w:r w:rsidRPr="00114A58">
              <w:rPr>
                <w:rFonts w:ascii="Arial Narrow" w:eastAsia="Times New Roman" w:hAnsi="Arial Narrow" w:cs="Calibri"/>
                <w:spacing w:val="-1"/>
                <w:sz w:val="18"/>
                <w:szCs w:val="18"/>
              </w:rPr>
              <w:t xml:space="preserve">P692 Ballantyne 2003 </w:t>
            </w:r>
          </w:p>
        </w:tc>
        <w:tc>
          <w:tcPr>
            <w:tcW w:w="1559" w:type="dxa"/>
          </w:tcPr>
          <w:p w14:paraId="445E54B1" w14:textId="44BC1A1D" w:rsidR="00791CF6" w:rsidRPr="00114A58" w:rsidRDefault="00791CF6" w:rsidP="00791CF6">
            <w:pPr>
              <w:rPr>
                <w:rFonts w:ascii="Arial Narrow" w:hAnsi="Arial Narrow"/>
                <w:sz w:val="18"/>
                <w:szCs w:val="18"/>
              </w:rPr>
            </w:pPr>
            <w:r>
              <w:rPr>
                <w:rFonts w:ascii="Arial Narrow" w:hAnsi="Arial Narrow"/>
                <w:sz w:val="18"/>
                <w:szCs w:val="18"/>
              </w:rPr>
              <w:t>EZ</w:t>
            </w:r>
            <w:r w:rsidRPr="00114A58">
              <w:rPr>
                <w:rFonts w:ascii="Arial Narrow" w:hAnsi="Arial Narrow"/>
                <w:sz w:val="18"/>
                <w:szCs w:val="18"/>
              </w:rPr>
              <w:t>+ATOR (all)</w:t>
            </w:r>
          </w:p>
        </w:tc>
        <w:tc>
          <w:tcPr>
            <w:tcW w:w="1105" w:type="dxa"/>
          </w:tcPr>
          <w:p w14:paraId="71E3D53A" w14:textId="701901C6" w:rsidR="00791CF6" w:rsidRPr="00114A58" w:rsidRDefault="00791CF6" w:rsidP="00791CF6">
            <w:pPr>
              <w:rPr>
                <w:rFonts w:ascii="Arial Narrow" w:hAnsi="Arial Narrow"/>
                <w:sz w:val="18"/>
                <w:szCs w:val="18"/>
              </w:rPr>
            </w:pPr>
            <w:r w:rsidRPr="00114A58">
              <w:rPr>
                <w:rFonts w:ascii="Arial Narrow" w:hAnsi="Arial Narrow"/>
                <w:sz w:val="18"/>
                <w:szCs w:val="18"/>
              </w:rPr>
              <w:t>255</w:t>
            </w:r>
          </w:p>
        </w:tc>
        <w:tc>
          <w:tcPr>
            <w:tcW w:w="1061" w:type="dxa"/>
          </w:tcPr>
          <w:p w14:paraId="4C78047C" w14:textId="0A6604B7" w:rsidR="00791CF6" w:rsidRPr="00114A58" w:rsidRDefault="00791CF6" w:rsidP="00791CF6">
            <w:pPr>
              <w:rPr>
                <w:rFonts w:ascii="Arial Narrow" w:hAnsi="Arial Narrow"/>
                <w:sz w:val="18"/>
                <w:szCs w:val="18"/>
              </w:rPr>
            </w:pPr>
            <w:r w:rsidRPr="00114A58">
              <w:rPr>
                <w:rFonts w:ascii="Arial Narrow" w:hAnsi="Arial Narrow"/>
                <w:sz w:val="18"/>
                <w:szCs w:val="18"/>
              </w:rPr>
              <w:t>NA</w:t>
            </w:r>
          </w:p>
        </w:tc>
        <w:tc>
          <w:tcPr>
            <w:tcW w:w="1446" w:type="dxa"/>
          </w:tcPr>
          <w:p w14:paraId="3350F0F9" w14:textId="06CF96A8" w:rsidR="00791CF6" w:rsidRPr="00114A58" w:rsidRDefault="00791CF6" w:rsidP="00791CF6">
            <w:pPr>
              <w:rPr>
                <w:rFonts w:ascii="Arial Narrow" w:hAnsi="Arial Narrow"/>
                <w:sz w:val="18"/>
                <w:szCs w:val="18"/>
              </w:rPr>
            </w:pPr>
            <w:r w:rsidRPr="00114A58">
              <w:rPr>
                <w:rFonts w:ascii="Arial Narrow" w:hAnsi="Arial Narrow"/>
                <w:sz w:val="18"/>
                <w:szCs w:val="18"/>
              </w:rPr>
              <w:t>1 (0.4%)</w:t>
            </w:r>
          </w:p>
        </w:tc>
        <w:tc>
          <w:tcPr>
            <w:tcW w:w="1185" w:type="dxa"/>
          </w:tcPr>
          <w:p w14:paraId="433957D3" w14:textId="64D36B05" w:rsidR="00791CF6" w:rsidRPr="00114A58" w:rsidRDefault="00791CF6" w:rsidP="00791CF6">
            <w:pPr>
              <w:rPr>
                <w:rFonts w:ascii="Arial Narrow" w:hAnsi="Arial Narrow"/>
                <w:sz w:val="18"/>
                <w:szCs w:val="18"/>
              </w:rPr>
            </w:pPr>
            <w:r w:rsidRPr="00114A58">
              <w:rPr>
                <w:rFonts w:ascii="Arial Narrow" w:hAnsi="Arial Narrow"/>
                <w:sz w:val="18"/>
                <w:szCs w:val="18"/>
              </w:rPr>
              <w:t>23 (9%)</w:t>
            </w:r>
          </w:p>
        </w:tc>
        <w:tc>
          <w:tcPr>
            <w:tcW w:w="1582" w:type="dxa"/>
          </w:tcPr>
          <w:p w14:paraId="09EB0B8D" w14:textId="1DBD7D4E" w:rsidR="00791CF6" w:rsidRPr="00114A58" w:rsidRDefault="00791CF6" w:rsidP="00791CF6">
            <w:pPr>
              <w:rPr>
                <w:rFonts w:ascii="Arial Narrow" w:hAnsi="Arial Narrow"/>
                <w:sz w:val="18"/>
                <w:szCs w:val="18"/>
              </w:rPr>
            </w:pPr>
            <w:r w:rsidRPr="00114A58">
              <w:rPr>
                <w:rFonts w:ascii="Arial Narrow" w:hAnsi="Arial Narrow"/>
                <w:sz w:val="18"/>
                <w:szCs w:val="18"/>
              </w:rPr>
              <w:t>255 (100%)</w:t>
            </w:r>
          </w:p>
        </w:tc>
      </w:tr>
      <w:tr w:rsidR="00791CF6" w:rsidRPr="00114A58" w14:paraId="19D71B44" w14:textId="77777777" w:rsidTr="00AE3EA8">
        <w:tc>
          <w:tcPr>
            <w:tcW w:w="1555" w:type="dxa"/>
            <w:vMerge/>
          </w:tcPr>
          <w:p w14:paraId="31588ED0" w14:textId="77777777" w:rsidR="00791CF6" w:rsidRPr="00114A58" w:rsidRDefault="00791CF6" w:rsidP="00791CF6">
            <w:pPr>
              <w:keepNext/>
              <w:spacing w:before="40" w:after="40"/>
              <w:rPr>
                <w:rFonts w:ascii="Arial Narrow" w:hAnsi="Arial Narrow"/>
                <w:sz w:val="18"/>
                <w:szCs w:val="18"/>
              </w:rPr>
            </w:pPr>
          </w:p>
        </w:tc>
        <w:tc>
          <w:tcPr>
            <w:tcW w:w="1559" w:type="dxa"/>
          </w:tcPr>
          <w:p w14:paraId="2D6B9688" w14:textId="097CCEB0" w:rsidR="00791CF6" w:rsidRPr="00114A58" w:rsidRDefault="00791CF6" w:rsidP="00791CF6">
            <w:pPr>
              <w:rPr>
                <w:rFonts w:ascii="Arial Narrow" w:hAnsi="Arial Narrow"/>
                <w:sz w:val="18"/>
                <w:szCs w:val="18"/>
              </w:rPr>
            </w:pPr>
            <w:r w:rsidRPr="00114A58">
              <w:rPr>
                <w:rFonts w:ascii="Arial Narrow" w:hAnsi="Arial Narrow"/>
                <w:sz w:val="18"/>
                <w:szCs w:val="18"/>
              </w:rPr>
              <w:t>PBO+ATOR (all)</w:t>
            </w:r>
          </w:p>
        </w:tc>
        <w:tc>
          <w:tcPr>
            <w:tcW w:w="1105" w:type="dxa"/>
          </w:tcPr>
          <w:p w14:paraId="137AB880" w14:textId="1411F601" w:rsidR="00791CF6" w:rsidRPr="00114A58" w:rsidRDefault="00791CF6" w:rsidP="00791CF6">
            <w:pPr>
              <w:rPr>
                <w:rFonts w:ascii="Arial Narrow" w:hAnsi="Arial Narrow"/>
                <w:sz w:val="18"/>
                <w:szCs w:val="18"/>
              </w:rPr>
            </w:pPr>
            <w:r w:rsidRPr="00114A58">
              <w:rPr>
                <w:rFonts w:ascii="Arial Narrow" w:hAnsi="Arial Narrow"/>
                <w:sz w:val="18"/>
                <w:szCs w:val="18"/>
              </w:rPr>
              <w:t>248</w:t>
            </w:r>
          </w:p>
        </w:tc>
        <w:tc>
          <w:tcPr>
            <w:tcW w:w="1061" w:type="dxa"/>
          </w:tcPr>
          <w:p w14:paraId="6604B8DA" w14:textId="10174375" w:rsidR="00791CF6" w:rsidRPr="00114A58" w:rsidRDefault="00791CF6" w:rsidP="00791CF6">
            <w:pPr>
              <w:rPr>
                <w:rFonts w:ascii="Arial Narrow" w:hAnsi="Arial Narrow"/>
                <w:sz w:val="18"/>
                <w:szCs w:val="18"/>
              </w:rPr>
            </w:pPr>
            <w:r w:rsidRPr="00114A58">
              <w:rPr>
                <w:rFonts w:ascii="Arial Narrow" w:hAnsi="Arial Narrow"/>
                <w:sz w:val="18"/>
                <w:szCs w:val="18"/>
              </w:rPr>
              <w:t>NA</w:t>
            </w:r>
          </w:p>
        </w:tc>
        <w:tc>
          <w:tcPr>
            <w:tcW w:w="1446" w:type="dxa"/>
          </w:tcPr>
          <w:p w14:paraId="5E345F6E" w14:textId="678390BB" w:rsidR="00791CF6" w:rsidRPr="00114A58" w:rsidRDefault="00791CF6" w:rsidP="00791CF6">
            <w:pPr>
              <w:rPr>
                <w:rFonts w:ascii="Arial Narrow" w:hAnsi="Arial Narrow"/>
                <w:sz w:val="18"/>
                <w:szCs w:val="18"/>
              </w:rPr>
            </w:pPr>
            <w:r w:rsidRPr="00114A58">
              <w:rPr>
                <w:rFonts w:ascii="Arial Narrow" w:hAnsi="Arial Narrow"/>
                <w:sz w:val="18"/>
                <w:szCs w:val="18"/>
              </w:rPr>
              <w:t>2 (0.8%)</w:t>
            </w:r>
          </w:p>
        </w:tc>
        <w:tc>
          <w:tcPr>
            <w:tcW w:w="1185" w:type="dxa"/>
          </w:tcPr>
          <w:p w14:paraId="1A3DEFCE" w14:textId="3D543CBC" w:rsidR="00791CF6" w:rsidRPr="00114A58" w:rsidRDefault="00791CF6" w:rsidP="00791CF6">
            <w:pPr>
              <w:rPr>
                <w:rFonts w:ascii="Arial Narrow" w:hAnsi="Arial Narrow"/>
                <w:sz w:val="18"/>
                <w:szCs w:val="18"/>
              </w:rPr>
            </w:pPr>
            <w:r w:rsidRPr="00114A58">
              <w:rPr>
                <w:rFonts w:ascii="Arial Narrow" w:hAnsi="Arial Narrow"/>
                <w:sz w:val="18"/>
                <w:szCs w:val="18"/>
              </w:rPr>
              <w:t>19 (8%)</w:t>
            </w:r>
          </w:p>
        </w:tc>
        <w:tc>
          <w:tcPr>
            <w:tcW w:w="1582" w:type="dxa"/>
          </w:tcPr>
          <w:p w14:paraId="55257A71" w14:textId="63AADA3A" w:rsidR="00791CF6" w:rsidRPr="00114A58" w:rsidRDefault="00791CF6" w:rsidP="00791CF6">
            <w:pPr>
              <w:rPr>
                <w:rFonts w:ascii="Arial Narrow" w:hAnsi="Arial Narrow"/>
                <w:sz w:val="18"/>
                <w:szCs w:val="18"/>
              </w:rPr>
            </w:pPr>
            <w:r w:rsidRPr="00114A58">
              <w:rPr>
                <w:rFonts w:ascii="Arial Narrow" w:hAnsi="Arial Narrow"/>
                <w:sz w:val="18"/>
                <w:szCs w:val="18"/>
              </w:rPr>
              <w:t>248 (100%)</w:t>
            </w:r>
          </w:p>
        </w:tc>
      </w:tr>
      <w:tr w:rsidR="00791CF6" w:rsidRPr="00114A58" w14:paraId="6A9D3F71" w14:textId="77777777" w:rsidTr="00AE3EA8">
        <w:tc>
          <w:tcPr>
            <w:tcW w:w="1555" w:type="dxa"/>
            <w:vMerge w:val="restart"/>
          </w:tcPr>
          <w:p w14:paraId="0A47A36C" w14:textId="77A264D2" w:rsidR="00791CF6" w:rsidRPr="00114A58" w:rsidRDefault="00791CF6" w:rsidP="00791CF6">
            <w:pPr>
              <w:keepNext/>
              <w:spacing w:before="40" w:after="40"/>
              <w:rPr>
                <w:rFonts w:ascii="Arial Narrow" w:hAnsi="Arial Narrow"/>
                <w:sz w:val="18"/>
                <w:szCs w:val="18"/>
              </w:rPr>
            </w:pPr>
            <w:r>
              <w:rPr>
                <w:rFonts w:ascii="Arial Narrow" w:hAnsi="Arial Narrow" w:cs="Calibri"/>
                <w:spacing w:val="-1"/>
                <w:sz w:val="18"/>
                <w:szCs w:val="18"/>
              </w:rPr>
              <w:t>P038 Bays 2004</w:t>
            </w:r>
          </w:p>
        </w:tc>
        <w:tc>
          <w:tcPr>
            <w:tcW w:w="1559" w:type="dxa"/>
          </w:tcPr>
          <w:p w14:paraId="79552BFD" w14:textId="3CAE3145" w:rsidR="00791CF6" w:rsidRPr="00114A58" w:rsidRDefault="00791CF6" w:rsidP="00791CF6">
            <w:pPr>
              <w:rPr>
                <w:rFonts w:ascii="Arial Narrow" w:hAnsi="Arial Narrow"/>
                <w:sz w:val="18"/>
                <w:szCs w:val="18"/>
              </w:rPr>
            </w:pPr>
            <w:r>
              <w:rPr>
                <w:rFonts w:ascii="Arial Narrow" w:hAnsi="Arial Narrow"/>
                <w:sz w:val="18"/>
                <w:szCs w:val="18"/>
              </w:rPr>
              <w:t>EZ</w:t>
            </w:r>
            <w:r w:rsidRPr="00114A58">
              <w:rPr>
                <w:rFonts w:ascii="Arial Narrow" w:hAnsi="Arial Narrow"/>
                <w:sz w:val="18"/>
                <w:szCs w:val="18"/>
              </w:rPr>
              <w:t>+SIM (all)</w:t>
            </w:r>
          </w:p>
        </w:tc>
        <w:tc>
          <w:tcPr>
            <w:tcW w:w="1105" w:type="dxa"/>
          </w:tcPr>
          <w:p w14:paraId="53858D3C" w14:textId="7EB17A74" w:rsidR="00791CF6" w:rsidRPr="00114A58" w:rsidRDefault="00791CF6" w:rsidP="00791CF6">
            <w:pPr>
              <w:rPr>
                <w:rFonts w:ascii="Arial Narrow" w:hAnsi="Arial Narrow"/>
                <w:sz w:val="18"/>
                <w:szCs w:val="18"/>
              </w:rPr>
            </w:pPr>
            <w:r w:rsidRPr="00114A58">
              <w:rPr>
                <w:rFonts w:ascii="Arial Narrow" w:hAnsi="Arial Narrow"/>
                <w:sz w:val="18"/>
                <w:szCs w:val="18"/>
              </w:rPr>
              <w:t>609</w:t>
            </w:r>
          </w:p>
        </w:tc>
        <w:tc>
          <w:tcPr>
            <w:tcW w:w="1061" w:type="dxa"/>
          </w:tcPr>
          <w:p w14:paraId="4588083E" w14:textId="79B3ADF9" w:rsidR="00791CF6" w:rsidRPr="00114A58" w:rsidRDefault="00791CF6" w:rsidP="00791CF6">
            <w:pPr>
              <w:rPr>
                <w:rFonts w:ascii="Arial Narrow" w:hAnsi="Arial Narrow"/>
                <w:sz w:val="18"/>
                <w:szCs w:val="18"/>
              </w:rPr>
            </w:pPr>
            <w:r w:rsidRPr="00114A58">
              <w:rPr>
                <w:rFonts w:ascii="Arial Narrow" w:hAnsi="Arial Narrow"/>
                <w:sz w:val="18"/>
                <w:szCs w:val="18"/>
              </w:rPr>
              <w:t>5 (1%)</w:t>
            </w:r>
          </w:p>
        </w:tc>
        <w:tc>
          <w:tcPr>
            <w:tcW w:w="1446" w:type="dxa"/>
          </w:tcPr>
          <w:p w14:paraId="0EB11D60" w14:textId="7D2610C8" w:rsidR="00791CF6" w:rsidRPr="00114A58" w:rsidRDefault="00791CF6" w:rsidP="00791CF6">
            <w:pPr>
              <w:rPr>
                <w:rFonts w:ascii="Arial Narrow" w:hAnsi="Arial Narrow"/>
                <w:sz w:val="18"/>
                <w:szCs w:val="18"/>
              </w:rPr>
            </w:pPr>
            <w:r w:rsidRPr="00114A58">
              <w:rPr>
                <w:rFonts w:ascii="Arial Narrow" w:hAnsi="Arial Narrow"/>
                <w:sz w:val="18"/>
                <w:szCs w:val="18"/>
              </w:rPr>
              <w:t>1 (0.2%)</w:t>
            </w:r>
          </w:p>
        </w:tc>
        <w:tc>
          <w:tcPr>
            <w:tcW w:w="1185" w:type="dxa"/>
          </w:tcPr>
          <w:p w14:paraId="3BC0A01A" w14:textId="385EB514" w:rsidR="00791CF6" w:rsidRPr="00114A58" w:rsidRDefault="00791CF6" w:rsidP="00791CF6">
            <w:pPr>
              <w:rPr>
                <w:rFonts w:ascii="Arial Narrow" w:hAnsi="Arial Narrow"/>
                <w:sz w:val="18"/>
                <w:szCs w:val="18"/>
              </w:rPr>
            </w:pPr>
            <w:r w:rsidRPr="00114A58">
              <w:rPr>
                <w:rFonts w:ascii="Arial Narrow" w:hAnsi="Arial Narrow"/>
                <w:sz w:val="18"/>
                <w:szCs w:val="18"/>
              </w:rPr>
              <w:t>1 (0.2%)</w:t>
            </w:r>
          </w:p>
        </w:tc>
        <w:tc>
          <w:tcPr>
            <w:tcW w:w="1582" w:type="dxa"/>
          </w:tcPr>
          <w:p w14:paraId="67CAD012" w14:textId="245593D0" w:rsidR="00791CF6" w:rsidRPr="00114A58" w:rsidRDefault="00791CF6" w:rsidP="00791CF6">
            <w:pPr>
              <w:rPr>
                <w:rFonts w:ascii="Arial Narrow" w:hAnsi="Arial Narrow"/>
                <w:sz w:val="18"/>
                <w:szCs w:val="18"/>
              </w:rPr>
            </w:pPr>
            <w:r w:rsidRPr="00114A58">
              <w:rPr>
                <w:rFonts w:ascii="Arial Narrow" w:hAnsi="Arial Narrow"/>
                <w:sz w:val="18"/>
                <w:szCs w:val="18"/>
              </w:rPr>
              <w:t>604 (99%)</w:t>
            </w:r>
          </w:p>
        </w:tc>
      </w:tr>
      <w:tr w:rsidR="00791CF6" w:rsidRPr="00114A58" w14:paraId="648789B9" w14:textId="77777777" w:rsidTr="00AE3EA8">
        <w:tc>
          <w:tcPr>
            <w:tcW w:w="1555" w:type="dxa"/>
            <w:vMerge/>
          </w:tcPr>
          <w:p w14:paraId="761AC8A5" w14:textId="77777777" w:rsidR="00791CF6" w:rsidRPr="00114A58" w:rsidRDefault="00791CF6" w:rsidP="00791CF6">
            <w:pPr>
              <w:keepNext/>
              <w:spacing w:before="40" w:after="40"/>
              <w:rPr>
                <w:rFonts w:ascii="Arial Narrow" w:hAnsi="Arial Narrow"/>
                <w:sz w:val="18"/>
                <w:szCs w:val="18"/>
              </w:rPr>
            </w:pPr>
          </w:p>
        </w:tc>
        <w:tc>
          <w:tcPr>
            <w:tcW w:w="1559" w:type="dxa"/>
          </w:tcPr>
          <w:p w14:paraId="7C904631" w14:textId="02145A59" w:rsidR="00791CF6" w:rsidRPr="00114A58" w:rsidRDefault="00791CF6" w:rsidP="00791CF6">
            <w:pPr>
              <w:rPr>
                <w:rFonts w:ascii="Arial Narrow" w:hAnsi="Arial Narrow"/>
                <w:sz w:val="18"/>
                <w:szCs w:val="18"/>
              </w:rPr>
            </w:pPr>
            <w:r w:rsidRPr="00114A58">
              <w:rPr>
                <w:rFonts w:ascii="Arial Narrow" w:hAnsi="Arial Narrow"/>
                <w:sz w:val="18"/>
                <w:szCs w:val="18"/>
              </w:rPr>
              <w:t>PBO+SIM (all)</w:t>
            </w:r>
          </w:p>
        </w:tc>
        <w:tc>
          <w:tcPr>
            <w:tcW w:w="1105" w:type="dxa"/>
          </w:tcPr>
          <w:p w14:paraId="45E1C780" w14:textId="61DABC41" w:rsidR="00791CF6" w:rsidRPr="00114A58" w:rsidRDefault="00791CF6" w:rsidP="00791CF6">
            <w:pPr>
              <w:rPr>
                <w:rFonts w:ascii="Arial Narrow" w:hAnsi="Arial Narrow"/>
                <w:sz w:val="18"/>
                <w:szCs w:val="18"/>
              </w:rPr>
            </w:pPr>
            <w:r w:rsidRPr="00114A58">
              <w:rPr>
                <w:rFonts w:ascii="Arial Narrow" w:hAnsi="Arial Narrow"/>
                <w:sz w:val="18"/>
                <w:szCs w:val="18"/>
              </w:rPr>
              <w:t>622</w:t>
            </w:r>
          </w:p>
        </w:tc>
        <w:tc>
          <w:tcPr>
            <w:tcW w:w="1061" w:type="dxa"/>
          </w:tcPr>
          <w:p w14:paraId="01AF6387" w14:textId="679E01A4" w:rsidR="00791CF6" w:rsidRPr="00114A58" w:rsidRDefault="00791CF6" w:rsidP="00791CF6">
            <w:pPr>
              <w:rPr>
                <w:rFonts w:ascii="Arial Narrow" w:hAnsi="Arial Narrow"/>
                <w:sz w:val="18"/>
                <w:szCs w:val="18"/>
              </w:rPr>
            </w:pPr>
            <w:r w:rsidRPr="00114A58">
              <w:rPr>
                <w:rFonts w:ascii="Arial Narrow" w:hAnsi="Arial Narrow"/>
                <w:sz w:val="18"/>
                <w:szCs w:val="18"/>
              </w:rPr>
              <w:t>10</w:t>
            </w:r>
            <w:r w:rsidR="004C3B64">
              <w:rPr>
                <w:rFonts w:ascii="Arial Narrow" w:hAnsi="Arial Narrow"/>
                <w:sz w:val="18"/>
                <w:szCs w:val="18"/>
              </w:rPr>
              <w:t xml:space="preserve"> (2%)</w:t>
            </w:r>
          </w:p>
        </w:tc>
        <w:tc>
          <w:tcPr>
            <w:tcW w:w="1446" w:type="dxa"/>
          </w:tcPr>
          <w:p w14:paraId="4089E658" w14:textId="675167BF" w:rsidR="00791CF6" w:rsidRPr="00114A58" w:rsidRDefault="00791CF6" w:rsidP="00791CF6">
            <w:pPr>
              <w:rPr>
                <w:rFonts w:ascii="Arial Narrow" w:hAnsi="Arial Narrow"/>
                <w:sz w:val="18"/>
                <w:szCs w:val="18"/>
              </w:rPr>
            </w:pPr>
            <w:r w:rsidRPr="00114A58">
              <w:rPr>
                <w:rFonts w:ascii="Arial Narrow" w:hAnsi="Arial Narrow"/>
                <w:sz w:val="18"/>
                <w:szCs w:val="18"/>
              </w:rPr>
              <w:t>2 (0.3%)</w:t>
            </w:r>
          </w:p>
        </w:tc>
        <w:tc>
          <w:tcPr>
            <w:tcW w:w="1185" w:type="dxa"/>
          </w:tcPr>
          <w:p w14:paraId="05568F92" w14:textId="3905F828" w:rsidR="00791CF6" w:rsidRPr="00114A58" w:rsidRDefault="00791CF6" w:rsidP="00791CF6">
            <w:pPr>
              <w:rPr>
                <w:rFonts w:ascii="Arial Narrow" w:hAnsi="Arial Narrow"/>
                <w:sz w:val="18"/>
                <w:szCs w:val="18"/>
              </w:rPr>
            </w:pPr>
            <w:r w:rsidRPr="00114A58">
              <w:rPr>
                <w:rFonts w:ascii="Arial Narrow" w:hAnsi="Arial Narrow"/>
                <w:sz w:val="18"/>
                <w:szCs w:val="18"/>
              </w:rPr>
              <w:t>2 (0.3%)</w:t>
            </w:r>
          </w:p>
        </w:tc>
        <w:tc>
          <w:tcPr>
            <w:tcW w:w="1582" w:type="dxa"/>
          </w:tcPr>
          <w:p w14:paraId="64CE9719" w14:textId="350DF458" w:rsidR="00791CF6" w:rsidRPr="00114A58" w:rsidRDefault="00791CF6" w:rsidP="00791CF6">
            <w:pPr>
              <w:rPr>
                <w:rFonts w:ascii="Arial Narrow" w:hAnsi="Arial Narrow"/>
                <w:sz w:val="18"/>
                <w:szCs w:val="18"/>
              </w:rPr>
            </w:pPr>
            <w:r w:rsidRPr="00114A58">
              <w:rPr>
                <w:rFonts w:ascii="Arial Narrow" w:hAnsi="Arial Narrow"/>
                <w:sz w:val="18"/>
                <w:szCs w:val="18"/>
              </w:rPr>
              <w:t>612 (98%)</w:t>
            </w:r>
          </w:p>
        </w:tc>
      </w:tr>
      <w:tr w:rsidR="00791CF6" w:rsidRPr="00114A58" w14:paraId="70679F85" w14:textId="77777777" w:rsidTr="00AE3EA8">
        <w:tc>
          <w:tcPr>
            <w:tcW w:w="1555" w:type="dxa"/>
            <w:vMerge w:val="restart"/>
          </w:tcPr>
          <w:p w14:paraId="484325CA" w14:textId="2AB93227" w:rsidR="00791CF6" w:rsidRPr="00114A58" w:rsidRDefault="00791CF6" w:rsidP="00791CF6">
            <w:pPr>
              <w:keepNext/>
              <w:spacing w:before="40" w:after="40"/>
              <w:rPr>
                <w:rFonts w:ascii="Arial Narrow" w:eastAsia="Times New Roman" w:hAnsi="Arial Narrow" w:cs="Calibri"/>
                <w:spacing w:val="-1"/>
                <w:sz w:val="18"/>
                <w:szCs w:val="18"/>
              </w:rPr>
            </w:pPr>
            <w:r w:rsidRPr="003931F1">
              <w:rPr>
                <w:rFonts w:ascii="Arial Narrow" w:hAnsi="Arial Narrow" w:cs="Calibri"/>
                <w:spacing w:val="-1"/>
                <w:sz w:val="18"/>
                <w:szCs w:val="18"/>
              </w:rPr>
              <w:t>Chirinos 2010</w:t>
            </w:r>
          </w:p>
        </w:tc>
        <w:tc>
          <w:tcPr>
            <w:tcW w:w="1559" w:type="dxa"/>
          </w:tcPr>
          <w:p w14:paraId="530D8941" w14:textId="37F6F36B" w:rsidR="00791CF6" w:rsidRPr="00114A58" w:rsidRDefault="00791CF6" w:rsidP="00791CF6">
            <w:pPr>
              <w:rPr>
                <w:rFonts w:ascii="Arial Narrow" w:hAnsi="Arial Narrow"/>
                <w:sz w:val="18"/>
                <w:szCs w:val="18"/>
              </w:rPr>
            </w:pPr>
            <w:r>
              <w:rPr>
                <w:rFonts w:ascii="Arial Narrow" w:hAnsi="Arial Narrow" w:cs="Calibri"/>
                <w:spacing w:val="-1"/>
                <w:sz w:val="18"/>
                <w:szCs w:val="18"/>
              </w:rPr>
              <w:t>EZ</w:t>
            </w:r>
            <w:r w:rsidRPr="003931F1">
              <w:rPr>
                <w:rFonts w:ascii="Arial Narrow" w:hAnsi="Arial Narrow" w:cs="Calibri"/>
                <w:spacing w:val="-1"/>
                <w:sz w:val="18"/>
                <w:szCs w:val="18"/>
              </w:rPr>
              <w:t>+SIMV</w:t>
            </w:r>
          </w:p>
        </w:tc>
        <w:tc>
          <w:tcPr>
            <w:tcW w:w="1105" w:type="dxa"/>
          </w:tcPr>
          <w:p w14:paraId="49575868" w14:textId="474050CF"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28</w:t>
            </w:r>
          </w:p>
        </w:tc>
        <w:tc>
          <w:tcPr>
            <w:tcW w:w="1061" w:type="dxa"/>
          </w:tcPr>
          <w:p w14:paraId="36E766CC" w14:textId="0968EAEC"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665F71DB" w14:textId="19090B6C"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NA</w:t>
            </w:r>
          </w:p>
        </w:tc>
        <w:tc>
          <w:tcPr>
            <w:tcW w:w="1185" w:type="dxa"/>
          </w:tcPr>
          <w:p w14:paraId="769FBEEA" w14:textId="0B07DDBE"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4 (14.3%)</w:t>
            </w:r>
          </w:p>
        </w:tc>
        <w:tc>
          <w:tcPr>
            <w:tcW w:w="1582" w:type="dxa"/>
          </w:tcPr>
          <w:p w14:paraId="696C0779" w14:textId="47D27BA5"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28 (100%)</w:t>
            </w:r>
          </w:p>
        </w:tc>
      </w:tr>
      <w:tr w:rsidR="00791CF6" w:rsidRPr="00114A58" w14:paraId="0AE4CFB1" w14:textId="77777777" w:rsidTr="00AE3EA8">
        <w:tc>
          <w:tcPr>
            <w:tcW w:w="1555" w:type="dxa"/>
            <w:vMerge/>
          </w:tcPr>
          <w:p w14:paraId="718EE400" w14:textId="77777777" w:rsidR="00791CF6" w:rsidRPr="00114A58" w:rsidRDefault="00791CF6" w:rsidP="00791CF6">
            <w:pPr>
              <w:keepNext/>
              <w:spacing w:before="40" w:after="40"/>
              <w:rPr>
                <w:rFonts w:ascii="Arial Narrow" w:eastAsia="Times New Roman" w:hAnsi="Arial Narrow" w:cs="Calibri"/>
                <w:spacing w:val="-1"/>
                <w:sz w:val="18"/>
                <w:szCs w:val="18"/>
              </w:rPr>
            </w:pPr>
          </w:p>
        </w:tc>
        <w:tc>
          <w:tcPr>
            <w:tcW w:w="1559" w:type="dxa"/>
          </w:tcPr>
          <w:p w14:paraId="11CDDB2C" w14:textId="4D3EBFA2" w:rsidR="00791CF6" w:rsidRPr="00114A58" w:rsidRDefault="00791CF6" w:rsidP="00791CF6">
            <w:pPr>
              <w:rPr>
                <w:rFonts w:ascii="Arial Narrow" w:hAnsi="Arial Narrow"/>
                <w:sz w:val="18"/>
                <w:szCs w:val="18"/>
              </w:rPr>
            </w:pPr>
            <w:r>
              <w:rPr>
                <w:rFonts w:ascii="Arial Narrow" w:hAnsi="Arial Narrow" w:cs="Calibri"/>
                <w:spacing w:val="-1"/>
                <w:sz w:val="18"/>
                <w:szCs w:val="18"/>
              </w:rPr>
              <w:t>SIM</w:t>
            </w:r>
          </w:p>
        </w:tc>
        <w:tc>
          <w:tcPr>
            <w:tcW w:w="1105" w:type="dxa"/>
          </w:tcPr>
          <w:p w14:paraId="215DF48A" w14:textId="17E03969"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30</w:t>
            </w:r>
          </w:p>
        </w:tc>
        <w:tc>
          <w:tcPr>
            <w:tcW w:w="1061" w:type="dxa"/>
          </w:tcPr>
          <w:p w14:paraId="2C7B0589" w14:textId="100737CE"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0690237A" w14:textId="7FF49853"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NA</w:t>
            </w:r>
          </w:p>
        </w:tc>
        <w:tc>
          <w:tcPr>
            <w:tcW w:w="1185" w:type="dxa"/>
          </w:tcPr>
          <w:p w14:paraId="62ADB677" w14:textId="658494B9"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4 (13.3%)</w:t>
            </w:r>
          </w:p>
        </w:tc>
        <w:tc>
          <w:tcPr>
            <w:tcW w:w="1582" w:type="dxa"/>
          </w:tcPr>
          <w:p w14:paraId="3D3DE772" w14:textId="2A4A5EB1" w:rsidR="00791CF6" w:rsidRPr="00114A58" w:rsidRDefault="00791CF6" w:rsidP="00791CF6">
            <w:pPr>
              <w:rPr>
                <w:rFonts w:ascii="Arial Narrow" w:hAnsi="Arial Narrow"/>
                <w:sz w:val="18"/>
                <w:szCs w:val="18"/>
              </w:rPr>
            </w:pPr>
            <w:r w:rsidRPr="003931F1">
              <w:rPr>
                <w:rFonts w:ascii="Arial Narrow" w:hAnsi="Arial Narrow" w:cs="Calibri"/>
                <w:spacing w:val="-1"/>
                <w:sz w:val="18"/>
                <w:szCs w:val="18"/>
              </w:rPr>
              <w:t>30 (100%)</w:t>
            </w:r>
          </w:p>
        </w:tc>
      </w:tr>
      <w:tr w:rsidR="00791CF6" w:rsidRPr="00114A58" w14:paraId="28A5FB3A" w14:textId="77777777" w:rsidTr="00AE3EA8">
        <w:tc>
          <w:tcPr>
            <w:tcW w:w="1555" w:type="dxa"/>
            <w:vMerge w:val="restart"/>
          </w:tcPr>
          <w:p w14:paraId="70A567C6" w14:textId="7D248E64" w:rsidR="00791CF6" w:rsidRPr="00114A58" w:rsidRDefault="00791CF6" w:rsidP="00791CF6">
            <w:pPr>
              <w:keepNext/>
              <w:spacing w:before="40" w:after="40"/>
              <w:rPr>
                <w:rFonts w:ascii="Arial Narrow" w:eastAsia="Times New Roman" w:hAnsi="Arial Narrow" w:cs="Calibri"/>
                <w:spacing w:val="-1"/>
                <w:sz w:val="18"/>
                <w:szCs w:val="18"/>
              </w:rPr>
            </w:pPr>
            <w:r w:rsidRPr="00114A58">
              <w:rPr>
                <w:rFonts w:ascii="Arial Narrow" w:eastAsia="Times New Roman" w:hAnsi="Arial Narrow" w:cs="Calibri"/>
                <w:spacing w:val="-1"/>
                <w:sz w:val="18"/>
                <w:szCs w:val="18"/>
              </w:rPr>
              <w:t xml:space="preserve">P680 Davidson 2002 </w:t>
            </w:r>
          </w:p>
        </w:tc>
        <w:tc>
          <w:tcPr>
            <w:tcW w:w="1559" w:type="dxa"/>
          </w:tcPr>
          <w:p w14:paraId="148B0813" w14:textId="2964B16D" w:rsidR="00791CF6" w:rsidRPr="00114A58" w:rsidRDefault="00A36E6E" w:rsidP="00791CF6">
            <w:pPr>
              <w:rPr>
                <w:rFonts w:ascii="Arial Narrow" w:hAnsi="Arial Narrow"/>
                <w:sz w:val="18"/>
                <w:szCs w:val="18"/>
              </w:rPr>
            </w:pPr>
            <w:r>
              <w:rPr>
                <w:rFonts w:ascii="Arial Narrow" w:hAnsi="Arial Narrow"/>
                <w:sz w:val="18"/>
                <w:szCs w:val="18"/>
              </w:rPr>
              <w:t>EZ</w:t>
            </w:r>
            <w:r w:rsidR="00791CF6" w:rsidRPr="00114A58">
              <w:rPr>
                <w:rFonts w:ascii="Arial Narrow" w:hAnsi="Arial Narrow"/>
                <w:sz w:val="18"/>
                <w:szCs w:val="18"/>
              </w:rPr>
              <w:t>+SIM (all)</w:t>
            </w:r>
          </w:p>
        </w:tc>
        <w:tc>
          <w:tcPr>
            <w:tcW w:w="1105" w:type="dxa"/>
          </w:tcPr>
          <w:p w14:paraId="34C17F2B"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274</w:t>
            </w:r>
          </w:p>
        </w:tc>
        <w:tc>
          <w:tcPr>
            <w:tcW w:w="1061" w:type="dxa"/>
          </w:tcPr>
          <w:p w14:paraId="7E386C49"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NA</w:t>
            </w:r>
          </w:p>
        </w:tc>
        <w:tc>
          <w:tcPr>
            <w:tcW w:w="1446" w:type="dxa"/>
          </w:tcPr>
          <w:p w14:paraId="559F1A4A"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1 (0.4%)</w:t>
            </w:r>
          </w:p>
        </w:tc>
        <w:tc>
          <w:tcPr>
            <w:tcW w:w="1185" w:type="dxa"/>
          </w:tcPr>
          <w:p w14:paraId="53C066C4"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35 (13%)</w:t>
            </w:r>
          </w:p>
        </w:tc>
        <w:tc>
          <w:tcPr>
            <w:tcW w:w="1582" w:type="dxa"/>
          </w:tcPr>
          <w:p w14:paraId="17335DE6"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274 (100%)</w:t>
            </w:r>
          </w:p>
        </w:tc>
      </w:tr>
      <w:tr w:rsidR="00791CF6" w:rsidRPr="00114A58" w14:paraId="68D07054" w14:textId="77777777" w:rsidTr="00AE3EA8">
        <w:tc>
          <w:tcPr>
            <w:tcW w:w="1555" w:type="dxa"/>
            <w:vMerge/>
          </w:tcPr>
          <w:p w14:paraId="02A39C2B" w14:textId="77777777" w:rsidR="00791CF6" w:rsidRPr="00114A58" w:rsidRDefault="00791CF6" w:rsidP="00791CF6">
            <w:pPr>
              <w:rPr>
                <w:rFonts w:ascii="Arial Narrow" w:hAnsi="Arial Narrow" w:cs="Calibri"/>
                <w:spacing w:val="-1"/>
                <w:sz w:val="18"/>
                <w:szCs w:val="18"/>
              </w:rPr>
            </w:pPr>
          </w:p>
        </w:tc>
        <w:tc>
          <w:tcPr>
            <w:tcW w:w="1559" w:type="dxa"/>
          </w:tcPr>
          <w:p w14:paraId="59AAC4A8"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PBO+SIM (all)</w:t>
            </w:r>
          </w:p>
        </w:tc>
        <w:tc>
          <w:tcPr>
            <w:tcW w:w="1105" w:type="dxa"/>
          </w:tcPr>
          <w:p w14:paraId="0747533A"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263</w:t>
            </w:r>
          </w:p>
        </w:tc>
        <w:tc>
          <w:tcPr>
            <w:tcW w:w="1061" w:type="dxa"/>
          </w:tcPr>
          <w:p w14:paraId="56509BA8"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NA</w:t>
            </w:r>
          </w:p>
        </w:tc>
        <w:tc>
          <w:tcPr>
            <w:tcW w:w="1446" w:type="dxa"/>
          </w:tcPr>
          <w:p w14:paraId="6D704FB9"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3 (1.1%)</w:t>
            </w:r>
          </w:p>
        </w:tc>
        <w:tc>
          <w:tcPr>
            <w:tcW w:w="1185" w:type="dxa"/>
          </w:tcPr>
          <w:p w14:paraId="08AF684B"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26 (10%)</w:t>
            </w:r>
          </w:p>
        </w:tc>
        <w:tc>
          <w:tcPr>
            <w:tcW w:w="1582" w:type="dxa"/>
          </w:tcPr>
          <w:p w14:paraId="4C40B0EE"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263 (100%)</w:t>
            </w:r>
          </w:p>
        </w:tc>
      </w:tr>
      <w:tr w:rsidR="00791CF6" w:rsidRPr="00114A58" w14:paraId="218CA927" w14:textId="77777777" w:rsidTr="00AE3EA8">
        <w:tc>
          <w:tcPr>
            <w:tcW w:w="1555" w:type="dxa"/>
            <w:vMerge w:val="restart"/>
          </w:tcPr>
          <w:p w14:paraId="46762DF9" w14:textId="77777777" w:rsidR="00791CF6" w:rsidRPr="00114A58" w:rsidRDefault="00791CF6" w:rsidP="00791CF6">
            <w:pPr>
              <w:rPr>
                <w:rFonts w:ascii="Arial Narrow" w:hAnsi="Arial Narrow" w:cs="Calibri"/>
                <w:spacing w:val="-1"/>
                <w:sz w:val="18"/>
                <w:szCs w:val="18"/>
              </w:rPr>
            </w:pPr>
            <w:r w:rsidRPr="00114A58">
              <w:rPr>
                <w:rFonts w:ascii="Arial Narrow" w:hAnsi="Arial Narrow" w:cs="Calibri"/>
                <w:spacing w:val="-1"/>
                <w:sz w:val="18"/>
                <w:szCs w:val="18"/>
              </w:rPr>
              <w:t>P023 Feldman 2004</w:t>
            </w:r>
          </w:p>
          <w:p w14:paraId="3ECE8A7D" w14:textId="50840D15" w:rsidR="00791CF6" w:rsidRPr="00114A58" w:rsidRDefault="00791CF6" w:rsidP="00791CF6">
            <w:pPr>
              <w:rPr>
                <w:rFonts w:ascii="Arial Narrow" w:hAnsi="Arial Narrow" w:cs="Calibri"/>
                <w:spacing w:val="-1"/>
                <w:sz w:val="18"/>
                <w:szCs w:val="18"/>
              </w:rPr>
            </w:pPr>
          </w:p>
        </w:tc>
        <w:tc>
          <w:tcPr>
            <w:tcW w:w="1559" w:type="dxa"/>
          </w:tcPr>
          <w:p w14:paraId="14A3BFDE" w14:textId="2B34D6FD" w:rsidR="00791CF6" w:rsidRPr="00114A58" w:rsidRDefault="00A36E6E" w:rsidP="00791CF6">
            <w:pPr>
              <w:rPr>
                <w:rFonts w:ascii="Arial Narrow" w:hAnsi="Arial Narrow"/>
                <w:sz w:val="18"/>
                <w:szCs w:val="18"/>
              </w:rPr>
            </w:pPr>
            <w:r>
              <w:rPr>
                <w:rFonts w:ascii="Arial Narrow" w:hAnsi="Arial Narrow"/>
                <w:sz w:val="18"/>
                <w:szCs w:val="18"/>
              </w:rPr>
              <w:t>EZ</w:t>
            </w:r>
            <w:r w:rsidR="00791CF6" w:rsidRPr="00114A58">
              <w:rPr>
                <w:rFonts w:ascii="Arial Narrow" w:hAnsi="Arial Narrow"/>
                <w:sz w:val="18"/>
                <w:szCs w:val="18"/>
              </w:rPr>
              <w:t>+SIM (all)</w:t>
            </w:r>
          </w:p>
        </w:tc>
        <w:tc>
          <w:tcPr>
            <w:tcW w:w="1105" w:type="dxa"/>
          </w:tcPr>
          <w:p w14:paraId="6904750C"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457</w:t>
            </w:r>
          </w:p>
        </w:tc>
        <w:tc>
          <w:tcPr>
            <w:tcW w:w="1061" w:type="dxa"/>
          </w:tcPr>
          <w:p w14:paraId="6B0B3F8C"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NA</w:t>
            </w:r>
          </w:p>
        </w:tc>
        <w:tc>
          <w:tcPr>
            <w:tcW w:w="1446" w:type="dxa"/>
          </w:tcPr>
          <w:p w14:paraId="2991D72C"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7 (3.4%)</w:t>
            </w:r>
          </w:p>
        </w:tc>
        <w:tc>
          <w:tcPr>
            <w:tcW w:w="1185" w:type="dxa"/>
          </w:tcPr>
          <w:p w14:paraId="5AF86975"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60(13.1%)</w:t>
            </w:r>
          </w:p>
        </w:tc>
        <w:tc>
          <w:tcPr>
            <w:tcW w:w="1582" w:type="dxa"/>
          </w:tcPr>
          <w:p w14:paraId="06F2895F"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444 (97%)</w:t>
            </w:r>
          </w:p>
        </w:tc>
      </w:tr>
      <w:tr w:rsidR="00791CF6" w:rsidRPr="00114A58" w14:paraId="531EEA38" w14:textId="77777777" w:rsidTr="00AE3EA8">
        <w:tc>
          <w:tcPr>
            <w:tcW w:w="1555" w:type="dxa"/>
            <w:vMerge/>
          </w:tcPr>
          <w:p w14:paraId="2C41F404" w14:textId="77777777" w:rsidR="00791CF6" w:rsidRPr="00114A58" w:rsidRDefault="00791CF6" w:rsidP="00791CF6">
            <w:pPr>
              <w:rPr>
                <w:rFonts w:ascii="Arial Narrow" w:hAnsi="Arial Narrow" w:cs="Calibri"/>
                <w:spacing w:val="-1"/>
                <w:sz w:val="18"/>
                <w:szCs w:val="18"/>
              </w:rPr>
            </w:pPr>
          </w:p>
        </w:tc>
        <w:tc>
          <w:tcPr>
            <w:tcW w:w="1559" w:type="dxa"/>
          </w:tcPr>
          <w:p w14:paraId="793B15CA"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 xml:space="preserve">PBO+SIM </w:t>
            </w:r>
          </w:p>
        </w:tc>
        <w:tc>
          <w:tcPr>
            <w:tcW w:w="1105" w:type="dxa"/>
          </w:tcPr>
          <w:p w14:paraId="6ABFEC81"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253</w:t>
            </w:r>
          </w:p>
        </w:tc>
        <w:tc>
          <w:tcPr>
            <w:tcW w:w="1061" w:type="dxa"/>
          </w:tcPr>
          <w:p w14:paraId="5FE0F018"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NA</w:t>
            </w:r>
          </w:p>
        </w:tc>
        <w:tc>
          <w:tcPr>
            <w:tcW w:w="1446" w:type="dxa"/>
          </w:tcPr>
          <w:p w14:paraId="5367C3C0"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5 (1.9%)</w:t>
            </w:r>
          </w:p>
        </w:tc>
        <w:tc>
          <w:tcPr>
            <w:tcW w:w="1185" w:type="dxa"/>
          </w:tcPr>
          <w:p w14:paraId="4ECD8054"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34(13.4%)</w:t>
            </w:r>
          </w:p>
        </w:tc>
        <w:tc>
          <w:tcPr>
            <w:tcW w:w="1582" w:type="dxa"/>
          </w:tcPr>
          <w:p w14:paraId="3CC0FFB7" w14:textId="77777777" w:rsidR="00791CF6" w:rsidRPr="00114A58" w:rsidRDefault="00791CF6" w:rsidP="00791CF6">
            <w:pPr>
              <w:rPr>
                <w:rFonts w:ascii="Arial Narrow" w:hAnsi="Arial Narrow"/>
                <w:sz w:val="18"/>
                <w:szCs w:val="18"/>
              </w:rPr>
            </w:pPr>
            <w:r w:rsidRPr="00114A58">
              <w:rPr>
                <w:rFonts w:ascii="Arial Narrow" w:hAnsi="Arial Narrow"/>
                <w:sz w:val="18"/>
                <w:szCs w:val="18"/>
              </w:rPr>
              <w:t>246 (97%)</w:t>
            </w:r>
          </w:p>
        </w:tc>
      </w:tr>
      <w:tr w:rsidR="00A36E6E" w:rsidRPr="00114A58" w14:paraId="09FC677A" w14:textId="77777777" w:rsidTr="00AE3EA8">
        <w:tc>
          <w:tcPr>
            <w:tcW w:w="1555" w:type="dxa"/>
            <w:vMerge w:val="restart"/>
          </w:tcPr>
          <w:p w14:paraId="2D8606B5" w14:textId="566FE2B2" w:rsidR="00A36E6E" w:rsidRPr="00114A58" w:rsidRDefault="00A36E6E" w:rsidP="00A36E6E">
            <w:pPr>
              <w:rPr>
                <w:rFonts w:ascii="Arial Narrow" w:hAnsi="Arial Narrow" w:cs="Calibri"/>
                <w:spacing w:val="-1"/>
                <w:sz w:val="18"/>
                <w:szCs w:val="18"/>
              </w:rPr>
            </w:pPr>
            <w:r w:rsidRPr="00114A58">
              <w:rPr>
                <w:rFonts w:ascii="Arial Narrow" w:hAnsi="Arial Narrow"/>
                <w:sz w:val="18"/>
                <w:szCs w:val="18"/>
              </w:rPr>
              <w:t xml:space="preserve">P005 Goldberg 2004 </w:t>
            </w:r>
          </w:p>
        </w:tc>
        <w:tc>
          <w:tcPr>
            <w:tcW w:w="1559" w:type="dxa"/>
          </w:tcPr>
          <w:p w14:paraId="09BC2832" w14:textId="1D58B962" w:rsidR="00A36E6E" w:rsidRPr="00114A58" w:rsidRDefault="00A36E6E" w:rsidP="00A36E6E">
            <w:pPr>
              <w:rPr>
                <w:rFonts w:ascii="Arial Narrow" w:hAnsi="Arial Narrow"/>
                <w:sz w:val="18"/>
                <w:szCs w:val="18"/>
              </w:rPr>
            </w:pPr>
            <w:r w:rsidRPr="00114A58">
              <w:rPr>
                <w:rFonts w:ascii="Arial Narrow" w:hAnsi="Arial Narrow"/>
                <w:sz w:val="18"/>
                <w:szCs w:val="18"/>
              </w:rPr>
              <w:t>E</w:t>
            </w:r>
            <w:r>
              <w:rPr>
                <w:rFonts w:ascii="Arial Narrow" w:hAnsi="Arial Narrow"/>
                <w:sz w:val="18"/>
                <w:szCs w:val="18"/>
              </w:rPr>
              <w:t>Z</w:t>
            </w:r>
            <w:r w:rsidRPr="00114A58">
              <w:rPr>
                <w:rFonts w:ascii="Arial Narrow" w:hAnsi="Arial Narrow"/>
                <w:sz w:val="18"/>
                <w:szCs w:val="18"/>
              </w:rPr>
              <w:t>+SIM (all)</w:t>
            </w:r>
          </w:p>
        </w:tc>
        <w:tc>
          <w:tcPr>
            <w:tcW w:w="1105" w:type="dxa"/>
          </w:tcPr>
          <w:p w14:paraId="125EC2DC" w14:textId="6FCC9B99" w:rsidR="00A36E6E" w:rsidRPr="00114A58" w:rsidRDefault="00A36E6E" w:rsidP="00A36E6E">
            <w:pPr>
              <w:rPr>
                <w:rFonts w:ascii="Arial Narrow" w:hAnsi="Arial Narrow"/>
                <w:sz w:val="18"/>
                <w:szCs w:val="18"/>
              </w:rPr>
            </w:pPr>
            <w:r w:rsidRPr="00114A58">
              <w:rPr>
                <w:rFonts w:ascii="Arial Narrow" w:hAnsi="Arial Narrow"/>
                <w:sz w:val="18"/>
                <w:szCs w:val="18"/>
              </w:rPr>
              <w:t>353</w:t>
            </w:r>
          </w:p>
        </w:tc>
        <w:tc>
          <w:tcPr>
            <w:tcW w:w="1061" w:type="dxa"/>
          </w:tcPr>
          <w:p w14:paraId="58662A57" w14:textId="177A22DD" w:rsidR="00A36E6E" w:rsidRPr="00114A58" w:rsidRDefault="00A36E6E" w:rsidP="00A36E6E">
            <w:pPr>
              <w:rPr>
                <w:rFonts w:ascii="Arial Narrow" w:hAnsi="Arial Narrow"/>
                <w:sz w:val="18"/>
                <w:szCs w:val="18"/>
              </w:rPr>
            </w:pPr>
            <w:r w:rsidRPr="00114A58">
              <w:rPr>
                <w:rFonts w:ascii="Arial Narrow" w:hAnsi="Arial Narrow"/>
                <w:sz w:val="18"/>
                <w:szCs w:val="18"/>
              </w:rPr>
              <w:t>NA</w:t>
            </w:r>
          </w:p>
        </w:tc>
        <w:tc>
          <w:tcPr>
            <w:tcW w:w="1446" w:type="dxa"/>
          </w:tcPr>
          <w:p w14:paraId="62734330" w14:textId="43982983" w:rsidR="00A36E6E" w:rsidRPr="00114A58" w:rsidRDefault="00A36E6E" w:rsidP="00A36E6E">
            <w:pPr>
              <w:rPr>
                <w:rFonts w:ascii="Arial Narrow" w:hAnsi="Arial Narrow"/>
                <w:sz w:val="18"/>
                <w:szCs w:val="18"/>
              </w:rPr>
            </w:pPr>
            <w:r w:rsidRPr="00114A58">
              <w:rPr>
                <w:rFonts w:ascii="Arial Narrow" w:hAnsi="Arial Narrow"/>
                <w:sz w:val="18"/>
                <w:szCs w:val="18"/>
              </w:rPr>
              <w:t>3 (0.8%)</w:t>
            </w:r>
          </w:p>
        </w:tc>
        <w:tc>
          <w:tcPr>
            <w:tcW w:w="1185" w:type="dxa"/>
          </w:tcPr>
          <w:p w14:paraId="7AE584BE" w14:textId="3F7D6D64" w:rsidR="00A36E6E" w:rsidRPr="00114A58" w:rsidRDefault="00A36E6E" w:rsidP="00A36E6E">
            <w:pPr>
              <w:rPr>
                <w:rFonts w:ascii="Arial Narrow" w:hAnsi="Arial Narrow"/>
                <w:sz w:val="18"/>
                <w:szCs w:val="18"/>
              </w:rPr>
            </w:pPr>
            <w:r w:rsidRPr="00114A58">
              <w:rPr>
                <w:rFonts w:ascii="Arial Narrow" w:hAnsi="Arial Narrow"/>
                <w:sz w:val="18"/>
                <w:szCs w:val="18"/>
              </w:rPr>
              <w:t>30 (8%)</w:t>
            </w:r>
          </w:p>
        </w:tc>
        <w:tc>
          <w:tcPr>
            <w:tcW w:w="1582" w:type="dxa"/>
          </w:tcPr>
          <w:p w14:paraId="522253F9" w14:textId="49DA7742" w:rsidR="00A36E6E" w:rsidRPr="00114A58" w:rsidRDefault="00A36E6E" w:rsidP="00A36E6E">
            <w:pPr>
              <w:rPr>
                <w:rFonts w:ascii="Arial Narrow" w:hAnsi="Arial Narrow"/>
                <w:sz w:val="18"/>
                <w:szCs w:val="18"/>
              </w:rPr>
            </w:pPr>
            <w:r w:rsidRPr="00114A58">
              <w:rPr>
                <w:rFonts w:ascii="Arial Narrow" w:hAnsi="Arial Narrow"/>
                <w:sz w:val="18"/>
                <w:szCs w:val="18"/>
              </w:rPr>
              <w:t>352 (99%)</w:t>
            </w:r>
          </w:p>
        </w:tc>
      </w:tr>
      <w:tr w:rsidR="00A36E6E" w:rsidRPr="00114A58" w14:paraId="3D27B961" w14:textId="77777777" w:rsidTr="00AE3EA8">
        <w:tc>
          <w:tcPr>
            <w:tcW w:w="1555" w:type="dxa"/>
            <w:vMerge/>
          </w:tcPr>
          <w:p w14:paraId="331A7C00" w14:textId="77777777" w:rsidR="00A36E6E" w:rsidRPr="00114A58" w:rsidRDefault="00A36E6E" w:rsidP="00A36E6E">
            <w:pPr>
              <w:rPr>
                <w:rFonts w:ascii="Arial Narrow" w:hAnsi="Arial Narrow" w:cs="Calibri"/>
                <w:spacing w:val="-1"/>
                <w:sz w:val="18"/>
                <w:szCs w:val="18"/>
              </w:rPr>
            </w:pPr>
          </w:p>
        </w:tc>
        <w:tc>
          <w:tcPr>
            <w:tcW w:w="1559" w:type="dxa"/>
          </w:tcPr>
          <w:p w14:paraId="1A13ED2F" w14:textId="5D1E0853" w:rsidR="00A36E6E" w:rsidRPr="00114A58" w:rsidRDefault="00A36E6E" w:rsidP="00A36E6E">
            <w:pPr>
              <w:rPr>
                <w:rFonts w:ascii="Arial Narrow" w:hAnsi="Arial Narrow"/>
                <w:sz w:val="18"/>
                <w:szCs w:val="18"/>
              </w:rPr>
            </w:pPr>
            <w:r w:rsidRPr="00114A58">
              <w:rPr>
                <w:rFonts w:ascii="Arial Narrow" w:hAnsi="Arial Narrow"/>
                <w:sz w:val="18"/>
                <w:szCs w:val="18"/>
              </w:rPr>
              <w:t>PBO+SIM (all)</w:t>
            </w:r>
          </w:p>
        </w:tc>
        <w:tc>
          <w:tcPr>
            <w:tcW w:w="1105" w:type="dxa"/>
          </w:tcPr>
          <w:p w14:paraId="097EEE1B" w14:textId="643240D3" w:rsidR="00A36E6E" w:rsidRPr="00114A58" w:rsidRDefault="00A36E6E" w:rsidP="00A36E6E">
            <w:pPr>
              <w:rPr>
                <w:rFonts w:ascii="Arial Narrow" w:hAnsi="Arial Narrow"/>
                <w:sz w:val="18"/>
                <w:szCs w:val="18"/>
              </w:rPr>
            </w:pPr>
            <w:r w:rsidRPr="00114A58">
              <w:rPr>
                <w:rFonts w:ascii="Arial Narrow" w:hAnsi="Arial Narrow"/>
                <w:sz w:val="18"/>
                <w:szCs w:val="18"/>
              </w:rPr>
              <w:t>349</w:t>
            </w:r>
          </w:p>
        </w:tc>
        <w:tc>
          <w:tcPr>
            <w:tcW w:w="1061" w:type="dxa"/>
          </w:tcPr>
          <w:p w14:paraId="658146F7" w14:textId="76EDD556" w:rsidR="00A36E6E" w:rsidRPr="00114A58" w:rsidRDefault="00A36E6E" w:rsidP="00A36E6E">
            <w:pPr>
              <w:rPr>
                <w:rFonts w:ascii="Arial Narrow" w:hAnsi="Arial Narrow"/>
                <w:sz w:val="18"/>
                <w:szCs w:val="18"/>
              </w:rPr>
            </w:pPr>
            <w:r w:rsidRPr="00114A58">
              <w:rPr>
                <w:rFonts w:ascii="Arial Narrow" w:hAnsi="Arial Narrow"/>
                <w:sz w:val="18"/>
                <w:szCs w:val="18"/>
              </w:rPr>
              <w:t>NA</w:t>
            </w:r>
          </w:p>
        </w:tc>
        <w:tc>
          <w:tcPr>
            <w:tcW w:w="1446" w:type="dxa"/>
          </w:tcPr>
          <w:p w14:paraId="2B8C64AC" w14:textId="1D1E39A8" w:rsidR="00A36E6E" w:rsidRPr="00114A58" w:rsidRDefault="00A36E6E" w:rsidP="00A36E6E">
            <w:pPr>
              <w:rPr>
                <w:rFonts w:ascii="Arial Narrow" w:hAnsi="Arial Narrow"/>
                <w:sz w:val="18"/>
                <w:szCs w:val="18"/>
              </w:rPr>
            </w:pPr>
            <w:r w:rsidRPr="00114A58">
              <w:rPr>
                <w:rFonts w:ascii="Arial Narrow" w:hAnsi="Arial Narrow"/>
                <w:sz w:val="18"/>
                <w:szCs w:val="18"/>
              </w:rPr>
              <w:t>3 (0.9%)</w:t>
            </w:r>
          </w:p>
        </w:tc>
        <w:tc>
          <w:tcPr>
            <w:tcW w:w="1185" w:type="dxa"/>
          </w:tcPr>
          <w:p w14:paraId="43FEE663" w14:textId="2B96ADC9" w:rsidR="00A36E6E" w:rsidRPr="00114A58" w:rsidRDefault="00A36E6E" w:rsidP="00A36E6E">
            <w:pPr>
              <w:rPr>
                <w:rFonts w:ascii="Arial Narrow" w:hAnsi="Arial Narrow"/>
                <w:sz w:val="18"/>
                <w:szCs w:val="18"/>
              </w:rPr>
            </w:pPr>
            <w:r w:rsidRPr="00114A58">
              <w:rPr>
                <w:rFonts w:ascii="Arial Narrow" w:hAnsi="Arial Narrow"/>
                <w:sz w:val="18"/>
                <w:szCs w:val="18"/>
              </w:rPr>
              <w:t>27 (7.7%)</w:t>
            </w:r>
          </w:p>
        </w:tc>
        <w:tc>
          <w:tcPr>
            <w:tcW w:w="1582" w:type="dxa"/>
          </w:tcPr>
          <w:p w14:paraId="24D93DE1" w14:textId="4E95C3FF" w:rsidR="00A36E6E" w:rsidRPr="00114A58" w:rsidRDefault="00A36E6E" w:rsidP="00A36E6E">
            <w:pPr>
              <w:rPr>
                <w:rFonts w:ascii="Arial Narrow" w:hAnsi="Arial Narrow"/>
                <w:sz w:val="18"/>
                <w:szCs w:val="18"/>
              </w:rPr>
            </w:pPr>
            <w:r w:rsidRPr="00114A58">
              <w:rPr>
                <w:rFonts w:ascii="Arial Narrow" w:hAnsi="Arial Narrow"/>
                <w:sz w:val="18"/>
                <w:szCs w:val="18"/>
              </w:rPr>
              <w:t>345 (98.9%)</w:t>
            </w:r>
          </w:p>
        </w:tc>
      </w:tr>
      <w:tr w:rsidR="00A36E6E" w:rsidRPr="00114A58" w14:paraId="76093167" w14:textId="77777777" w:rsidTr="00AE3EA8">
        <w:tc>
          <w:tcPr>
            <w:tcW w:w="1555" w:type="dxa"/>
            <w:vMerge w:val="restart"/>
          </w:tcPr>
          <w:p w14:paraId="6D18E5D8" w14:textId="6E0B6E6A"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Kastelein 2008</w:t>
            </w:r>
          </w:p>
        </w:tc>
        <w:tc>
          <w:tcPr>
            <w:tcW w:w="1559" w:type="dxa"/>
          </w:tcPr>
          <w:p w14:paraId="6F36881A" w14:textId="533B5CEC" w:rsidR="00A36E6E" w:rsidRPr="003931F1" w:rsidRDefault="00A36E6E" w:rsidP="00A36E6E">
            <w:pPr>
              <w:rPr>
                <w:rFonts w:ascii="Arial Narrow" w:hAnsi="Arial Narrow" w:cs="Calibri"/>
                <w:spacing w:val="-1"/>
                <w:sz w:val="18"/>
                <w:szCs w:val="18"/>
              </w:rPr>
            </w:pPr>
            <w:r>
              <w:rPr>
                <w:rFonts w:ascii="Arial Narrow" w:hAnsi="Arial Narrow" w:cs="Calibri"/>
                <w:spacing w:val="-1"/>
                <w:sz w:val="18"/>
                <w:szCs w:val="18"/>
              </w:rPr>
              <w:t>EZ</w:t>
            </w:r>
            <w:r w:rsidR="00AF13A5">
              <w:rPr>
                <w:rFonts w:ascii="Arial Narrow" w:hAnsi="Arial Narrow" w:cs="Calibri"/>
                <w:spacing w:val="-1"/>
                <w:sz w:val="18"/>
                <w:szCs w:val="18"/>
              </w:rPr>
              <w:t>+SIM</w:t>
            </w:r>
          </w:p>
        </w:tc>
        <w:tc>
          <w:tcPr>
            <w:tcW w:w="1105" w:type="dxa"/>
          </w:tcPr>
          <w:p w14:paraId="1A10385F" w14:textId="27A3ACF7"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357</w:t>
            </w:r>
          </w:p>
        </w:tc>
        <w:tc>
          <w:tcPr>
            <w:tcW w:w="1061" w:type="dxa"/>
          </w:tcPr>
          <w:p w14:paraId="7B4F4FC7" w14:textId="4D2F5500"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1 (0.3%)</w:t>
            </w:r>
          </w:p>
        </w:tc>
        <w:tc>
          <w:tcPr>
            <w:tcW w:w="1446" w:type="dxa"/>
          </w:tcPr>
          <w:p w14:paraId="2CB47922" w14:textId="2BDCAF9A"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2 (0.6%)</w:t>
            </w:r>
          </w:p>
        </w:tc>
        <w:tc>
          <w:tcPr>
            <w:tcW w:w="1185" w:type="dxa"/>
          </w:tcPr>
          <w:p w14:paraId="2297E04D" w14:textId="4C496F2D"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41 (11.5%)</w:t>
            </w:r>
          </w:p>
        </w:tc>
        <w:tc>
          <w:tcPr>
            <w:tcW w:w="1582" w:type="dxa"/>
          </w:tcPr>
          <w:p w14:paraId="3784A05F" w14:textId="383AEF15"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357 (100%)</w:t>
            </w:r>
          </w:p>
        </w:tc>
      </w:tr>
      <w:tr w:rsidR="00A36E6E" w:rsidRPr="00114A58" w14:paraId="5B1DEDA4" w14:textId="77777777" w:rsidTr="00AE3EA8">
        <w:tc>
          <w:tcPr>
            <w:tcW w:w="1555" w:type="dxa"/>
            <w:vMerge/>
          </w:tcPr>
          <w:p w14:paraId="59B934E7" w14:textId="77777777" w:rsidR="00A36E6E" w:rsidRPr="003931F1" w:rsidRDefault="00A36E6E" w:rsidP="00A36E6E">
            <w:pPr>
              <w:rPr>
                <w:rFonts w:ascii="Arial Narrow" w:hAnsi="Arial Narrow" w:cs="Calibri"/>
                <w:spacing w:val="-1"/>
                <w:sz w:val="18"/>
                <w:szCs w:val="18"/>
              </w:rPr>
            </w:pPr>
          </w:p>
        </w:tc>
        <w:tc>
          <w:tcPr>
            <w:tcW w:w="1559" w:type="dxa"/>
          </w:tcPr>
          <w:p w14:paraId="312F5EC1" w14:textId="16C55C23" w:rsidR="00A36E6E" w:rsidRPr="003931F1" w:rsidRDefault="00AF13A5" w:rsidP="00A36E6E">
            <w:pPr>
              <w:rPr>
                <w:rFonts w:ascii="Arial Narrow" w:hAnsi="Arial Narrow" w:cs="Calibri"/>
                <w:spacing w:val="-1"/>
                <w:sz w:val="18"/>
                <w:szCs w:val="18"/>
              </w:rPr>
            </w:pPr>
            <w:r>
              <w:rPr>
                <w:rFonts w:ascii="Arial Narrow" w:hAnsi="Arial Narrow" w:cs="Calibri"/>
                <w:spacing w:val="-1"/>
                <w:sz w:val="18"/>
                <w:szCs w:val="18"/>
              </w:rPr>
              <w:t>PBO+SIM</w:t>
            </w:r>
          </w:p>
        </w:tc>
        <w:tc>
          <w:tcPr>
            <w:tcW w:w="1105" w:type="dxa"/>
          </w:tcPr>
          <w:p w14:paraId="0152EDFB" w14:textId="4AD727E0"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363</w:t>
            </w:r>
          </w:p>
        </w:tc>
        <w:tc>
          <w:tcPr>
            <w:tcW w:w="1061" w:type="dxa"/>
          </w:tcPr>
          <w:p w14:paraId="65805DD2" w14:textId="3B219E15"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2 (0.6%)</w:t>
            </w:r>
          </w:p>
        </w:tc>
        <w:tc>
          <w:tcPr>
            <w:tcW w:w="1446" w:type="dxa"/>
          </w:tcPr>
          <w:p w14:paraId="089C1E81" w14:textId="13BA6013"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2 (0.6%)</w:t>
            </w:r>
          </w:p>
        </w:tc>
        <w:tc>
          <w:tcPr>
            <w:tcW w:w="1185" w:type="dxa"/>
          </w:tcPr>
          <w:p w14:paraId="684AF84D" w14:textId="70048793"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64 (17.6%)</w:t>
            </w:r>
          </w:p>
        </w:tc>
        <w:tc>
          <w:tcPr>
            <w:tcW w:w="1582" w:type="dxa"/>
          </w:tcPr>
          <w:p w14:paraId="1F24A014" w14:textId="78D207F6"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363 (100%)</w:t>
            </w:r>
          </w:p>
        </w:tc>
      </w:tr>
      <w:tr w:rsidR="00A36E6E" w:rsidRPr="00114A58" w14:paraId="5C91B6B4" w14:textId="77777777" w:rsidTr="00AE3EA8">
        <w:tc>
          <w:tcPr>
            <w:tcW w:w="1555" w:type="dxa"/>
            <w:vMerge w:val="restart"/>
          </w:tcPr>
          <w:p w14:paraId="26328645" w14:textId="2C88686C"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Shankar 2007</w:t>
            </w:r>
          </w:p>
        </w:tc>
        <w:tc>
          <w:tcPr>
            <w:tcW w:w="1559" w:type="dxa"/>
          </w:tcPr>
          <w:p w14:paraId="7B55C8CC" w14:textId="7543C577" w:rsidR="00A36E6E" w:rsidRPr="003931F1" w:rsidRDefault="00A36E6E" w:rsidP="00A36E6E">
            <w:pPr>
              <w:rPr>
                <w:rFonts w:ascii="Arial Narrow" w:hAnsi="Arial Narrow" w:cs="Calibri"/>
                <w:spacing w:val="-1"/>
                <w:sz w:val="18"/>
                <w:szCs w:val="18"/>
              </w:rPr>
            </w:pPr>
            <w:r>
              <w:rPr>
                <w:rFonts w:ascii="Arial Narrow" w:hAnsi="Arial Narrow" w:cs="Calibri"/>
                <w:spacing w:val="-1"/>
                <w:sz w:val="18"/>
                <w:szCs w:val="18"/>
              </w:rPr>
              <w:t>EZ</w:t>
            </w:r>
            <w:r w:rsidR="00AF13A5">
              <w:rPr>
                <w:rFonts w:ascii="Arial Narrow" w:hAnsi="Arial Narrow" w:cs="Calibri"/>
                <w:spacing w:val="-1"/>
                <w:sz w:val="18"/>
                <w:szCs w:val="18"/>
              </w:rPr>
              <w:t>+SIM</w:t>
            </w:r>
          </w:p>
        </w:tc>
        <w:tc>
          <w:tcPr>
            <w:tcW w:w="1105" w:type="dxa"/>
          </w:tcPr>
          <w:p w14:paraId="2505421B" w14:textId="04867D9A"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114</w:t>
            </w:r>
          </w:p>
        </w:tc>
        <w:tc>
          <w:tcPr>
            <w:tcW w:w="1061" w:type="dxa"/>
          </w:tcPr>
          <w:p w14:paraId="55C5D35C" w14:textId="368D1FF0"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NA</w:t>
            </w:r>
          </w:p>
        </w:tc>
        <w:tc>
          <w:tcPr>
            <w:tcW w:w="1446" w:type="dxa"/>
            <w:vMerge w:val="restart"/>
            <w:vAlign w:val="center"/>
          </w:tcPr>
          <w:p w14:paraId="214A4A30" w14:textId="456EB8CD" w:rsidR="00A36E6E" w:rsidRPr="003931F1" w:rsidRDefault="00A36E6E" w:rsidP="004C3B64">
            <w:pPr>
              <w:rPr>
                <w:rFonts w:ascii="Arial Narrow" w:hAnsi="Arial Narrow" w:cs="Calibri"/>
                <w:spacing w:val="-1"/>
                <w:sz w:val="18"/>
                <w:szCs w:val="18"/>
              </w:rPr>
            </w:pPr>
            <w:r w:rsidRPr="003931F1">
              <w:rPr>
                <w:rFonts w:ascii="Arial Narrow" w:hAnsi="Arial Narrow" w:cs="Calibri"/>
                <w:spacing w:val="-1"/>
                <w:sz w:val="18"/>
                <w:szCs w:val="18"/>
              </w:rPr>
              <w:t>2</w:t>
            </w:r>
            <w:r w:rsidR="004C3B64">
              <w:rPr>
                <w:rFonts w:ascii="Arial Narrow" w:hAnsi="Arial Narrow" w:cs="Calibri"/>
                <w:spacing w:val="-1"/>
                <w:sz w:val="18"/>
                <w:szCs w:val="18"/>
              </w:rPr>
              <w:t xml:space="preserve"> (1%)</w:t>
            </w:r>
          </w:p>
        </w:tc>
        <w:tc>
          <w:tcPr>
            <w:tcW w:w="1185" w:type="dxa"/>
            <w:vMerge w:val="restart"/>
            <w:vAlign w:val="center"/>
          </w:tcPr>
          <w:p w14:paraId="3A0CDE24" w14:textId="7B84AF0D" w:rsidR="00A36E6E" w:rsidRPr="003931F1" w:rsidRDefault="00A36E6E" w:rsidP="004C3B64">
            <w:pPr>
              <w:rPr>
                <w:rFonts w:ascii="Arial Narrow" w:hAnsi="Arial Narrow" w:cs="Calibri"/>
                <w:spacing w:val="-1"/>
                <w:sz w:val="18"/>
                <w:szCs w:val="18"/>
              </w:rPr>
            </w:pPr>
            <w:r w:rsidRPr="003931F1">
              <w:rPr>
                <w:rFonts w:ascii="Arial Narrow" w:hAnsi="Arial Narrow" w:cs="Calibri"/>
                <w:spacing w:val="-1"/>
                <w:sz w:val="18"/>
                <w:szCs w:val="18"/>
              </w:rPr>
              <w:t>7</w:t>
            </w:r>
            <w:r w:rsidR="004C3B64">
              <w:rPr>
                <w:rFonts w:ascii="Arial Narrow" w:hAnsi="Arial Narrow" w:cs="Calibri"/>
                <w:spacing w:val="-1"/>
                <w:sz w:val="18"/>
                <w:szCs w:val="18"/>
              </w:rPr>
              <w:t xml:space="preserve"> (3%)</w:t>
            </w:r>
          </w:p>
        </w:tc>
        <w:tc>
          <w:tcPr>
            <w:tcW w:w="1582" w:type="dxa"/>
          </w:tcPr>
          <w:p w14:paraId="1AB2E897" w14:textId="5832A11A"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114 (100%)</w:t>
            </w:r>
          </w:p>
        </w:tc>
      </w:tr>
      <w:tr w:rsidR="00A36E6E" w:rsidRPr="00114A58" w14:paraId="25CEC6B8" w14:textId="77777777" w:rsidTr="00AE3EA8">
        <w:tc>
          <w:tcPr>
            <w:tcW w:w="1555" w:type="dxa"/>
            <w:vMerge/>
          </w:tcPr>
          <w:p w14:paraId="5D1B0D07" w14:textId="77777777" w:rsidR="00A36E6E" w:rsidRPr="003931F1" w:rsidRDefault="00A36E6E" w:rsidP="00A36E6E">
            <w:pPr>
              <w:rPr>
                <w:rFonts w:ascii="Arial Narrow" w:hAnsi="Arial Narrow" w:cs="Calibri"/>
                <w:spacing w:val="-1"/>
                <w:sz w:val="18"/>
                <w:szCs w:val="18"/>
              </w:rPr>
            </w:pPr>
          </w:p>
        </w:tc>
        <w:tc>
          <w:tcPr>
            <w:tcW w:w="1559" w:type="dxa"/>
          </w:tcPr>
          <w:p w14:paraId="71CFA61F" w14:textId="1F9DF62D" w:rsidR="00A36E6E" w:rsidRPr="003931F1" w:rsidRDefault="00AF13A5" w:rsidP="00A36E6E">
            <w:pPr>
              <w:rPr>
                <w:rFonts w:ascii="Arial Narrow" w:hAnsi="Arial Narrow" w:cs="Calibri"/>
                <w:spacing w:val="-1"/>
                <w:sz w:val="18"/>
                <w:szCs w:val="18"/>
              </w:rPr>
            </w:pPr>
            <w:r>
              <w:rPr>
                <w:rFonts w:ascii="Arial Narrow" w:hAnsi="Arial Narrow" w:cs="Calibri"/>
                <w:spacing w:val="-1"/>
                <w:sz w:val="18"/>
                <w:szCs w:val="18"/>
              </w:rPr>
              <w:t>SIM</w:t>
            </w:r>
          </w:p>
        </w:tc>
        <w:tc>
          <w:tcPr>
            <w:tcW w:w="1105" w:type="dxa"/>
          </w:tcPr>
          <w:p w14:paraId="4624F8A2" w14:textId="2B279993"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116</w:t>
            </w:r>
          </w:p>
        </w:tc>
        <w:tc>
          <w:tcPr>
            <w:tcW w:w="1061" w:type="dxa"/>
          </w:tcPr>
          <w:p w14:paraId="136344FB" w14:textId="293B60D0"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NA</w:t>
            </w:r>
          </w:p>
        </w:tc>
        <w:tc>
          <w:tcPr>
            <w:tcW w:w="1446" w:type="dxa"/>
            <w:vMerge/>
          </w:tcPr>
          <w:p w14:paraId="625A1AC3" w14:textId="0498292E" w:rsidR="00A36E6E" w:rsidRPr="003931F1" w:rsidRDefault="00A36E6E" w:rsidP="00A36E6E">
            <w:pPr>
              <w:rPr>
                <w:rFonts w:ascii="Arial Narrow" w:hAnsi="Arial Narrow" w:cs="Calibri"/>
                <w:spacing w:val="-1"/>
                <w:sz w:val="18"/>
                <w:szCs w:val="18"/>
              </w:rPr>
            </w:pPr>
          </w:p>
        </w:tc>
        <w:tc>
          <w:tcPr>
            <w:tcW w:w="1185" w:type="dxa"/>
            <w:vMerge/>
          </w:tcPr>
          <w:p w14:paraId="35C192EB" w14:textId="28BA0D2C" w:rsidR="00A36E6E" w:rsidRPr="003931F1" w:rsidRDefault="00A36E6E" w:rsidP="00A36E6E">
            <w:pPr>
              <w:rPr>
                <w:rFonts w:ascii="Arial Narrow" w:hAnsi="Arial Narrow" w:cs="Calibri"/>
                <w:spacing w:val="-1"/>
                <w:sz w:val="18"/>
                <w:szCs w:val="18"/>
              </w:rPr>
            </w:pPr>
          </w:p>
        </w:tc>
        <w:tc>
          <w:tcPr>
            <w:tcW w:w="1582" w:type="dxa"/>
          </w:tcPr>
          <w:p w14:paraId="5E2E004F" w14:textId="65FDDF2E" w:rsidR="00A36E6E" w:rsidRPr="003931F1" w:rsidRDefault="00A36E6E" w:rsidP="00A36E6E">
            <w:pPr>
              <w:rPr>
                <w:rFonts w:ascii="Arial Narrow" w:hAnsi="Arial Narrow" w:cs="Calibri"/>
                <w:spacing w:val="-1"/>
                <w:sz w:val="18"/>
                <w:szCs w:val="18"/>
              </w:rPr>
            </w:pPr>
            <w:r w:rsidRPr="003931F1">
              <w:rPr>
                <w:rFonts w:ascii="Arial Narrow" w:hAnsi="Arial Narrow" w:cs="Calibri"/>
                <w:spacing w:val="-1"/>
                <w:sz w:val="18"/>
                <w:szCs w:val="18"/>
              </w:rPr>
              <w:t>116 (100%)</w:t>
            </w:r>
          </w:p>
        </w:tc>
      </w:tr>
      <w:tr w:rsidR="00317F73" w:rsidRPr="00114A58" w14:paraId="5B5FEF5F" w14:textId="77777777" w:rsidTr="00AE3EA8">
        <w:tc>
          <w:tcPr>
            <w:tcW w:w="1555" w:type="dxa"/>
            <w:vMerge w:val="restart"/>
            <w:vAlign w:val="center"/>
          </w:tcPr>
          <w:p w14:paraId="08AA4987" w14:textId="7D1E1648" w:rsidR="00317F73" w:rsidRPr="003931F1" w:rsidRDefault="00317F73" w:rsidP="00317F73">
            <w:pPr>
              <w:jc w:val="center"/>
              <w:rPr>
                <w:rFonts w:ascii="Arial Narrow" w:hAnsi="Arial Narrow" w:cs="Calibri"/>
                <w:spacing w:val="-1"/>
                <w:sz w:val="18"/>
                <w:szCs w:val="18"/>
              </w:rPr>
            </w:pPr>
            <w:r>
              <w:rPr>
                <w:rFonts w:ascii="Arial Narrow" w:hAnsi="Arial Narrow" w:cs="Calibri"/>
                <w:spacing w:val="-1"/>
                <w:sz w:val="18"/>
                <w:szCs w:val="18"/>
              </w:rPr>
              <w:t>P023 Feldman 2004</w:t>
            </w:r>
          </w:p>
        </w:tc>
        <w:tc>
          <w:tcPr>
            <w:tcW w:w="1559" w:type="dxa"/>
            <w:vAlign w:val="center"/>
          </w:tcPr>
          <w:p w14:paraId="07D37ADE" w14:textId="514D3050" w:rsidR="00317F73" w:rsidRPr="00317F73" w:rsidRDefault="00317F73" w:rsidP="00317F73">
            <w:pPr>
              <w:rPr>
                <w:rFonts w:ascii="Arial Narrow" w:hAnsi="Arial Narrow" w:cs="Calibri"/>
                <w:spacing w:val="-1"/>
                <w:sz w:val="18"/>
                <w:szCs w:val="18"/>
              </w:rPr>
            </w:pPr>
            <w:r w:rsidRPr="00317F73">
              <w:rPr>
                <w:rFonts w:ascii="Arial Narrow" w:hAnsi="Arial Narrow" w:cs="Times New Roman"/>
                <w:sz w:val="18"/>
                <w:szCs w:val="18"/>
              </w:rPr>
              <w:t>SIM 20</w:t>
            </w:r>
          </w:p>
        </w:tc>
        <w:tc>
          <w:tcPr>
            <w:tcW w:w="1105" w:type="dxa"/>
          </w:tcPr>
          <w:p w14:paraId="571D3A50" w14:textId="143275BC" w:rsidR="00317F73" w:rsidRPr="003931F1" w:rsidRDefault="00317F73" w:rsidP="00317F73">
            <w:pPr>
              <w:rPr>
                <w:rFonts w:ascii="Arial Narrow" w:hAnsi="Arial Narrow" w:cs="Calibri"/>
                <w:spacing w:val="-1"/>
                <w:sz w:val="18"/>
                <w:szCs w:val="18"/>
              </w:rPr>
            </w:pPr>
            <w:r>
              <w:rPr>
                <w:rFonts w:ascii="Arial Narrow" w:hAnsi="Arial Narrow" w:cs="Calibri"/>
                <w:spacing w:val="-1"/>
                <w:sz w:val="18"/>
                <w:szCs w:val="18"/>
              </w:rPr>
              <w:t>253</w:t>
            </w:r>
          </w:p>
        </w:tc>
        <w:tc>
          <w:tcPr>
            <w:tcW w:w="1061" w:type="dxa"/>
          </w:tcPr>
          <w:p w14:paraId="1752FA96" w14:textId="65B2AF7F" w:rsidR="00317F73" w:rsidRPr="003931F1" w:rsidRDefault="00317F73" w:rsidP="00317F73">
            <w:pPr>
              <w:rPr>
                <w:rFonts w:ascii="Arial Narrow" w:hAnsi="Arial Narrow" w:cs="Calibri"/>
                <w:spacing w:val="-1"/>
                <w:sz w:val="18"/>
                <w:szCs w:val="18"/>
              </w:rPr>
            </w:pPr>
            <w:r w:rsidRPr="003931F1">
              <w:rPr>
                <w:rFonts w:ascii="Arial Narrow" w:hAnsi="Arial Narrow" w:cs="Calibri"/>
                <w:spacing w:val="-1"/>
                <w:sz w:val="18"/>
                <w:szCs w:val="18"/>
              </w:rPr>
              <w:t>NA</w:t>
            </w:r>
          </w:p>
        </w:tc>
        <w:tc>
          <w:tcPr>
            <w:tcW w:w="1446" w:type="dxa"/>
            <w:vAlign w:val="center"/>
          </w:tcPr>
          <w:p w14:paraId="65641911" w14:textId="163259D1" w:rsidR="00317F73" w:rsidRPr="00317F73" w:rsidRDefault="00317F73" w:rsidP="00317F73">
            <w:pPr>
              <w:rPr>
                <w:rFonts w:ascii="Arial Narrow" w:hAnsi="Arial Narrow"/>
                <w:sz w:val="18"/>
                <w:szCs w:val="18"/>
              </w:rPr>
            </w:pPr>
            <w:r w:rsidRPr="00317F73">
              <w:rPr>
                <w:rFonts w:ascii="Arial Narrow" w:hAnsi="Arial Narrow"/>
                <w:sz w:val="18"/>
                <w:szCs w:val="18"/>
              </w:rPr>
              <w:t>5 (1.9%)</w:t>
            </w:r>
          </w:p>
        </w:tc>
        <w:tc>
          <w:tcPr>
            <w:tcW w:w="1185" w:type="dxa"/>
            <w:vAlign w:val="center"/>
          </w:tcPr>
          <w:p w14:paraId="4C229371" w14:textId="6B436489" w:rsidR="00317F73" w:rsidRPr="00317F73" w:rsidRDefault="00317F73" w:rsidP="00317F73">
            <w:pPr>
              <w:rPr>
                <w:rFonts w:ascii="Arial Narrow" w:hAnsi="Arial Narrow"/>
                <w:sz w:val="18"/>
                <w:szCs w:val="18"/>
              </w:rPr>
            </w:pPr>
            <w:r w:rsidRPr="00317F73">
              <w:rPr>
                <w:rFonts w:ascii="Arial Narrow" w:hAnsi="Arial Narrow"/>
                <w:sz w:val="18"/>
                <w:szCs w:val="18"/>
              </w:rPr>
              <w:t>34 (13.4%)</w:t>
            </w:r>
          </w:p>
        </w:tc>
        <w:tc>
          <w:tcPr>
            <w:tcW w:w="1582" w:type="dxa"/>
          </w:tcPr>
          <w:p w14:paraId="657F2FF6" w14:textId="7C9D822A" w:rsidR="00317F73" w:rsidRPr="003931F1" w:rsidRDefault="00317F73" w:rsidP="00317F73">
            <w:pPr>
              <w:rPr>
                <w:rFonts w:ascii="Arial Narrow" w:hAnsi="Arial Narrow" w:cs="Calibri"/>
                <w:spacing w:val="-1"/>
                <w:sz w:val="18"/>
                <w:szCs w:val="18"/>
              </w:rPr>
            </w:pPr>
            <w:r>
              <w:rPr>
                <w:rFonts w:ascii="Arial Narrow" w:hAnsi="Arial Narrow" w:cs="Calibri"/>
                <w:spacing w:val="-1"/>
                <w:sz w:val="18"/>
                <w:szCs w:val="18"/>
              </w:rPr>
              <w:t>246 (97%)</w:t>
            </w:r>
          </w:p>
        </w:tc>
      </w:tr>
      <w:tr w:rsidR="00317F73" w:rsidRPr="00114A58" w14:paraId="14E57D72" w14:textId="77777777" w:rsidTr="00AE3EA8">
        <w:tc>
          <w:tcPr>
            <w:tcW w:w="1555" w:type="dxa"/>
            <w:vMerge/>
          </w:tcPr>
          <w:p w14:paraId="0A6EE4C9" w14:textId="77777777" w:rsidR="00317F73" w:rsidRPr="003931F1" w:rsidRDefault="00317F73" w:rsidP="00317F73">
            <w:pPr>
              <w:rPr>
                <w:rFonts w:ascii="Arial Narrow" w:hAnsi="Arial Narrow" w:cs="Calibri"/>
                <w:spacing w:val="-1"/>
                <w:sz w:val="18"/>
                <w:szCs w:val="18"/>
              </w:rPr>
            </w:pPr>
          </w:p>
        </w:tc>
        <w:tc>
          <w:tcPr>
            <w:tcW w:w="1559" w:type="dxa"/>
            <w:vAlign w:val="center"/>
          </w:tcPr>
          <w:p w14:paraId="5B4B9B41" w14:textId="43F5C77C" w:rsidR="00317F73" w:rsidRPr="00317F73" w:rsidRDefault="00317F73" w:rsidP="00317F73">
            <w:pPr>
              <w:rPr>
                <w:rFonts w:ascii="Arial Narrow" w:hAnsi="Arial Narrow" w:cs="Calibri"/>
                <w:spacing w:val="-1"/>
                <w:sz w:val="18"/>
                <w:szCs w:val="18"/>
              </w:rPr>
            </w:pPr>
            <w:r w:rsidRPr="00317F73">
              <w:rPr>
                <w:rFonts w:ascii="Arial Narrow" w:hAnsi="Arial Narrow" w:cs="Times New Roman"/>
                <w:sz w:val="18"/>
                <w:szCs w:val="18"/>
              </w:rPr>
              <w:t>EZ+SIM10</w:t>
            </w:r>
          </w:p>
        </w:tc>
        <w:tc>
          <w:tcPr>
            <w:tcW w:w="1105" w:type="dxa"/>
          </w:tcPr>
          <w:p w14:paraId="7E8FFB34" w14:textId="6EDB7719" w:rsidR="00317F73" w:rsidRPr="003931F1" w:rsidRDefault="00317F73" w:rsidP="00317F73">
            <w:pPr>
              <w:rPr>
                <w:rFonts w:ascii="Arial Narrow" w:hAnsi="Arial Narrow" w:cs="Calibri"/>
                <w:spacing w:val="-1"/>
                <w:sz w:val="18"/>
                <w:szCs w:val="18"/>
              </w:rPr>
            </w:pPr>
            <w:r>
              <w:rPr>
                <w:rFonts w:ascii="Arial Narrow" w:hAnsi="Arial Narrow" w:cs="Calibri"/>
                <w:spacing w:val="-1"/>
                <w:sz w:val="18"/>
                <w:szCs w:val="18"/>
              </w:rPr>
              <w:t>251</w:t>
            </w:r>
          </w:p>
        </w:tc>
        <w:tc>
          <w:tcPr>
            <w:tcW w:w="1061" w:type="dxa"/>
          </w:tcPr>
          <w:p w14:paraId="74A4FDFC" w14:textId="13039499" w:rsidR="00317F73" w:rsidRPr="003931F1" w:rsidRDefault="00317F73" w:rsidP="00317F73">
            <w:pPr>
              <w:rPr>
                <w:rFonts w:ascii="Arial Narrow" w:hAnsi="Arial Narrow" w:cs="Calibri"/>
                <w:spacing w:val="-1"/>
                <w:sz w:val="18"/>
                <w:szCs w:val="18"/>
              </w:rPr>
            </w:pPr>
            <w:r w:rsidRPr="003931F1">
              <w:rPr>
                <w:rFonts w:ascii="Arial Narrow" w:hAnsi="Arial Narrow" w:cs="Calibri"/>
                <w:spacing w:val="-1"/>
                <w:sz w:val="18"/>
                <w:szCs w:val="18"/>
              </w:rPr>
              <w:t>NA</w:t>
            </w:r>
          </w:p>
        </w:tc>
        <w:tc>
          <w:tcPr>
            <w:tcW w:w="1446" w:type="dxa"/>
          </w:tcPr>
          <w:p w14:paraId="78B0B5BD" w14:textId="1CA4EB2F" w:rsidR="00317F73" w:rsidRPr="00317F73" w:rsidRDefault="00317F73" w:rsidP="00317F73">
            <w:pPr>
              <w:rPr>
                <w:rFonts w:ascii="Arial Narrow" w:hAnsi="Arial Narrow"/>
                <w:sz w:val="18"/>
                <w:szCs w:val="18"/>
              </w:rPr>
            </w:pPr>
            <w:r w:rsidRPr="00317F73">
              <w:rPr>
                <w:rFonts w:ascii="Arial Narrow" w:hAnsi="Arial Narrow"/>
                <w:sz w:val="18"/>
                <w:szCs w:val="18"/>
              </w:rPr>
              <w:t>6 (2.4%)</w:t>
            </w:r>
          </w:p>
        </w:tc>
        <w:tc>
          <w:tcPr>
            <w:tcW w:w="1185" w:type="dxa"/>
          </w:tcPr>
          <w:p w14:paraId="2E3903FB" w14:textId="2A62D95C" w:rsidR="00317F73" w:rsidRPr="00317F73" w:rsidRDefault="00317F73" w:rsidP="00317F73">
            <w:pPr>
              <w:rPr>
                <w:rFonts w:ascii="Arial Narrow" w:hAnsi="Arial Narrow"/>
                <w:sz w:val="18"/>
                <w:szCs w:val="18"/>
              </w:rPr>
            </w:pPr>
            <w:r w:rsidRPr="00317F73">
              <w:rPr>
                <w:rFonts w:ascii="Arial Narrow" w:hAnsi="Arial Narrow"/>
                <w:sz w:val="18"/>
                <w:szCs w:val="18"/>
              </w:rPr>
              <w:t>38 (15.1%)</w:t>
            </w:r>
          </w:p>
        </w:tc>
        <w:tc>
          <w:tcPr>
            <w:tcW w:w="1582" w:type="dxa"/>
          </w:tcPr>
          <w:p w14:paraId="5C5A7273" w14:textId="41978529" w:rsidR="00317F73" w:rsidRPr="003931F1" w:rsidRDefault="00317F73" w:rsidP="00317F73">
            <w:pPr>
              <w:rPr>
                <w:rFonts w:ascii="Arial Narrow" w:hAnsi="Arial Narrow" w:cs="Calibri"/>
                <w:spacing w:val="-1"/>
                <w:sz w:val="18"/>
                <w:szCs w:val="18"/>
              </w:rPr>
            </w:pPr>
            <w:r>
              <w:rPr>
                <w:rFonts w:ascii="Arial Narrow" w:hAnsi="Arial Narrow" w:cs="Calibri"/>
                <w:spacing w:val="-1"/>
                <w:sz w:val="18"/>
                <w:szCs w:val="18"/>
              </w:rPr>
              <w:t>242 (96%)</w:t>
            </w:r>
          </w:p>
        </w:tc>
      </w:tr>
      <w:tr w:rsidR="00317F73" w:rsidRPr="00114A58" w14:paraId="3D6088BB" w14:textId="77777777" w:rsidTr="00AE3EA8">
        <w:tc>
          <w:tcPr>
            <w:tcW w:w="1555" w:type="dxa"/>
            <w:vMerge/>
          </w:tcPr>
          <w:p w14:paraId="0BB84967" w14:textId="77777777" w:rsidR="00317F73" w:rsidRPr="00114A58" w:rsidRDefault="00317F73" w:rsidP="00317F73">
            <w:pPr>
              <w:rPr>
                <w:rFonts w:ascii="Arial Narrow" w:hAnsi="Arial Narrow" w:cs="Calibri"/>
                <w:spacing w:val="-1"/>
                <w:sz w:val="16"/>
                <w:szCs w:val="16"/>
              </w:rPr>
            </w:pPr>
          </w:p>
        </w:tc>
        <w:tc>
          <w:tcPr>
            <w:tcW w:w="1559" w:type="dxa"/>
            <w:vAlign w:val="center"/>
          </w:tcPr>
          <w:p w14:paraId="37E4AD4A" w14:textId="46F2C234" w:rsidR="00317F73" w:rsidRPr="00317F73" w:rsidRDefault="00317F73" w:rsidP="00317F73">
            <w:pPr>
              <w:rPr>
                <w:rFonts w:ascii="Arial Narrow" w:hAnsi="Arial Narrow"/>
                <w:sz w:val="18"/>
                <w:szCs w:val="18"/>
              </w:rPr>
            </w:pPr>
            <w:r w:rsidRPr="00317F73">
              <w:rPr>
                <w:rFonts w:ascii="Arial Narrow" w:hAnsi="Arial Narrow" w:cs="Times New Roman"/>
                <w:sz w:val="18"/>
                <w:szCs w:val="18"/>
              </w:rPr>
              <w:t>EZ+SIM 20</w:t>
            </w:r>
          </w:p>
        </w:tc>
        <w:tc>
          <w:tcPr>
            <w:tcW w:w="1105" w:type="dxa"/>
          </w:tcPr>
          <w:p w14:paraId="5AD8C48D" w14:textId="7474F70F" w:rsidR="00317F73" w:rsidRPr="00114A58" w:rsidRDefault="00317F73" w:rsidP="00317F73">
            <w:pPr>
              <w:rPr>
                <w:rFonts w:ascii="Arial Narrow" w:hAnsi="Arial Narrow"/>
                <w:sz w:val="18"/>
                <w:szCs w:val="18"/>
              </w:rPr>
            </w:pPr>
            <w:r>
              <w:rPr>
                <w:rFonts w:ascii="Arial Narrow" w:hAnsi="Arial Narrow"/>
                <w:sz w:val="18"/>
                <w:szCs w:val="18"/>
              </w:rPr>
              <w:t>109</w:t>
            </w:r>
          </w:p>
        </w:tc>
        <w:tc>
          <w:tcPr>
            <w:tcW w:w="1061" w:type="dxa"/>
          </w:tcPr>
          <w:p w14:paraId="48F938CD" w14:textId="55F5230B" w:rsidR="00317F73" w:rsidRPr="00114A58" w:rsidRDefault="00317F73" w:rsidP="00317F73">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1C04F9AD" w14:textId="5E2AB72E" w:rsidR="00317F73" w:rsidRPr="00114A58" w:rsidRDefault="00317F73" w:rsidP="00317F73">
            <w:pPr>
              <w:rPr>
                <w:rFonts w:ascii="Arial Narrow" w:hAnsi="Arial Narrow"/>
                <w:sz w:val="18"/>
                <w:szCs w:val="18"/>
              </w:rPr>
            </w:pPr>
            <w:r>
              <w:rPr>
                <w:rFonts w:ascii="Arial Narrow" w:hAnsi="Arial Narrow"/>
                <w:sz w:val="18"/>
                <w:szCs w:val="18"/>
              </w:rPr>
              <w:t>0 (0%)</w:t>
            </w:r>
          </w:p>
        </w:tc>
        <w:tc>
          <w:tcPr>
            <w:tcW w:w="1185" w:type="dxa"/>
          </w:tcPr>
          <w:p w14:paraId="05EB163A" w14:textId="6C87A9C8" w:rsidR="00317F73" w:rsidRPr="00114A58" w:rsidRDefault="00317F73" w:rsidP="00317F73">
            <w:pPr>
              <w:rPr>
                <w:rFonts w:ascii="Arial Narrow" w:hAnsi="Arial Narrow"/>
                <w:sz w:val="18"/>
                <w:szCs w:val="18"/>
              </w:rPr>
            </w:pPr>
            <w:r w:rsidRPr="00317F73">
              <w:rPr>
                <w:rFonts w:ascii="Arial Narrow" w:hAnsi="Arial Narrow"/>
                <w:sz w:val="18"/>
                <w:szCs w:val="18"/>
              </w:rPr>
              <w:t>8 (7.3%)</w:t>
            </w:r>
          </w:p>
        </w:tc>
        <w:tc>
          <w:tcPr>
            <w:tcW w:w="1582" w:type="dxa"/>
          </w:tcPr>
          <w:p w14:paraId="26C06146" w14:textId="6CDC5221" w:rsidR="00317F73" w:rsidRPr="00114A58" w:rsidRDefault="00317F73" w:rsidP="00317F73">
            <w:pPr>
              <w:rPr>
                <w:rFonts w:ascii="Arial Narrow" w:hAnsi="Arial Narrow"/>
                <w:sz w:val="18"/>
                <w:szCs w:val="18"/>
              </w:rPr>
            </w:pPr>
            <w:r>
              <w:rPr>
                <w:rFonts w:ascii="Arial Narrow" w:hAnsi="Arial Narrow"/>
                <w:sz w:val="18"/>
                <w:szCs w:val="18"/>
              </w:rPr>
              <w:t>108 (99%)</w:t>
            </w:r>
          </w:p>
        </w:tc>
      </w:tr>
      <w:tr w:rsidR="00317F73" w:rsidRPr="00114A58" w14:paraId="15FFD96F" w14:textId="77777777" w:rsidTr="00AE3EA8">
        <w:tc>
          <w:tcPr>
            <w:tcW w:w="1555" w:type="dxa"/>
            <w:vMerge/>
          </w:tcPr>
          <w:p w14:paraId="4C5339F5" w14:textId="77777777" w:rsidR="00317F73" w:rsidRPr="00114A58" w:rsidRDefault="00317F73" w:rsidP="00317F73">
            <w:pPr>
              <w:rPr>
                <w:rFonts w:ascii="Arial Narrow" w:hAnsi="Arial Narrow" w:cs="Calibri"/>
                <w:spacing w:val="-1"/>
                <w:sz w:val="16"/>
                <w:szCs w:val="16"/>
              </w:rPr>
            </w:pPr>
          </w:p>
        </w:tc>
        <w:tc>
          <w:tcPr>
            <w:tcW w:w="1559" w:type="dxa"/>
            <w:vAlign w:val="center"/>
          </w:tcPr>
          <w:p w14:paraId="2FE34924" w14:textId="257DF08F" w:rsidR="00317F73" w:rsidRPr="00317F73" w:rsidRDefault="00317F73" w:rsidP="00317F73">
            <w:pPr>
              <w:rPr>
                <w:rFonts w:ascii="Arial Narrow" w:hAnsi="Arial Narrow" w:cs="Times New Roman"/>
                <w:sz w:val="18"/>
                <w:szCs w:val="18"/>
              </w:rPr>
            </w:pPr>
            <w:r w:rsidRPr="00317F73">
              <w:rPr>
                <w:rFonts w:ascii="Arial Narrow" w:hAnsi="Arial Narrow" w:cs="Times New Roman"/>
                <w:sz w:val="18"/>
                <w:szCs w:val="18"/>
              </w:rPr>
              <w:t>EZ +SIM 40</w:t>
            </w:r>
          </w:p>
        </w:tc>
        <w:tc>
          <w:tcPr>
            <w:tcW w:w="1105" w:type="dxa"/>
          </w:tcPr>
          <w:p w14:paraId="3D79BB73" w14:textId="285B8E2E" w:rsidR="00317F73" w:rsidRPr="00114A58" w:rsidRDefault="00317F73" w:rsidP="00317F73">
            <w:pPr>
              <w:rPr>
                <w:rFonts w:ascii="Arial Narrow" w:hAnsi="Arial Narrow"/>
                <w:sz w:val="18"/>
                <w:szCs w:val="18"/>
              </w:rPr>
            </w:pPr>
            <w:r>
              <w:rPr>
                <w:rFonts w:ascii="Arial Narrow" w:hAnsi="Arial Narrow"/>
                <w:sz w:val="18"/>
                <w:szCs w:val="18"/>
              </w:rPr>
              <w:t>97</w:t>
            </w:r>
          </w:p>
        </w:tc>
        <w:tc>
          <w:tcPr>
            <w:tcW w:w="1061" w:type="dxa"/>
          </w:tcPr>
          <w:p w14:paraId="02190EA9" w14:textId="384E35B6" w:rsidR="00317F73" w:rsidRPr="00114A58" w:rsidRDefault="00317F73" w:rsidP="00317F73">
            <w:pPr>
              <w:rPr>
                <w:rFonts w:ascii="Arial Narrow" w:hAnsi="Arial Narrow"/>
                <w:sz w:val="18"/>
                <w:szCs w:val="18"/>
              </w:rPr>
            </w:pPr>
            <w:r w:rsidRPr="003931F1">
              <w:rPr>
                <w:rFonts w:ascii="Arial Narrow" w:hAnsi="Arial Narrow" w:cs="Calibri"/>
                <w:spacing w:val="-1"/>
                <w:sz w:val="18"/>
                <w:szCs w:val="18"/>
              </w:rPr>
              <w:t>NA</w:t>
            </w:r>
          </w:p>
        </w:tc>
        <w:tc>
          <w:tcPr>
            <w:tcW w:w="1446" w:type="dxa"/>
          </w:tcPr>
          <w:p w14:paraId="165421BE" w14:textId="634E8F10" w:rsidR="00317F73" w:rsidRPr="00114A58" w:rsidRDefault="00317F73" w:rsidP="00317F73">
            <w:pPr>
              <w:rPr>
                <w:rFonts w:ascii="Arial Narrow" w:hAnsi="Arial Narrow"/>
                <w:sz w:val="18"/>
                <w:szCs w:val="18"/>
              </w:rPr>
            </w:pPr>
            <w:r>
              <w:rPr>
                <w:rFonts w:ascii="Arial Narrow" w:hAnsi="Arial Narrow"/>
                <w:sz w:val="18"/>
                <w:szCs w:val="18"/>
              </w:rPr>
              <w:t>1 (1%)</w:t>
            </w:r>
          </w:p>
        </w:tc>
        <w:tc>
          <w:tcPr>
            <w:tcW w:w="1185" w:type="dxa"/>
          </w:tcPr>
          <w:p w14:paraId="349F4048" w14:textId="427C01EE" w:rsidR="00317F73" w:rsidRPr="00114A58" w:rsidRDefault="00317F73" w:rsidP="00317F73">
            <w:pPr>
              <w:rPr>
                <w:rFonts w:ascii="Arial Narrow" w:hAnsi="Arial Narrow"/>
                <w:sz w:val="18"/>
                <w:szCs w:val="18"/>
              </w:rPr>
            </w:pPr>
            <w:r w:rsidRPr="00317F73">
              <w:rPr>
                <w:rFonts w:ascii="Arial Narrow" w:hAnsi="Arial Narrow"/>
                <w:sz w:val="18"/>
                <w:szCs w:val="18"/>
              </w:rPr>
              <w:t>14 (14.4%)</w:t>
            </w:r>
          </w:p>
        </w:tc>
        <w:tc>
          <w:tcPr>
            <w:tcW w:w="1582" w:type="dxa"/>
          </w:tcPr>
          <w:p w14:paraId="5C71D4DC" w14:textId="5B47ACD4" w:rsidR="00317F73" w:rsidRPr="00114A58" w:rsidRDefault="00317F73" w:rsidP="00317F73">
            <w:pPr>
              <w:rPr>
                <w:rFonts w:ascii="Arial Narrow" w:hAnsi="Arial Narrow"/>
                <w:sz w:val="18"/>
                <w:szCs w:val="18"/>
              </w:rPr>
            </w:pPr>
            <w:r>
              <w:rPr>
                <w:rFonts w:ascii="Arial Narrow" w:hAnsi="Arial Narrow"/>
                <w:sz w:val="18"/>
                <w:szCs w:val="18"/>
              </w:rPr>
              <w:t>96 (99%)</w:t>
            </w:r>
          </w:p>
        </w:tc>
      </w:tr>
    </w:tbl>
    <w:p w14:paraId="489FB584" w14:textId="77777777" w:rsidR="003C096C" w:rsidRDefault="003C096C" w:rsidP="003C096C">
      <w:pPr>
        <w:spacing w:after="0"/>
        <w:jc w:val="both"/>
      </w:pPr>
    </w:p>
    <w:p w14:paraId="2A582665" w14:textId="1F4E10CF" w:rsidR="00114A58" w:rsidRDefault="003C096C" w:rsidP="003C096C">
      <w:pPr>
        <w:spacing w:after="0"/>
        <w:jc w:val="both"/>
      </w:pPr>
      <w:r w:rsidRPr="003C096C">
        <w:t xml:space="preserve">For some trials, </w:t>
      </w:r>
      <w:r>
        <w:t xml:space="preserve">the patient </w:t>
      </w:r>
      <w:r w:rsidRPr="003C096C">
        <w:t xml:space="preserve">flow information was available only for </w:t>
      </w:r>
      <w:r>
        <w:t xml:space="preserve">the </w:t>
      </w:r>
      <w:r w:rsidRPr="003C096C">
        <w:t xml:space="preserve">combined </w:t>
      </w:r>
      <w:r>
        <w:t>arms</w:t>
      </w:r>
      <w:r w:rsidRPr="003C096C">
        <w:t xml:space="preserve">.  </w:t>
      </w:r>
      <w:r>
        <w:t xml:space="preserve">All </w:t>
      </w:r>
      <w:r w:rsidR="00435096">
        <w:t xml:space="preserve">large </w:t>
      </w:r>
      <w:r>
        <w:t xml:space="preserve">trials </w:t>
      </w:r>
      <w:r w:rsidR="00435096">
        <w:t xml:space="preserve">(N&gt;100) </w:t>
      </w:r>
      <w:r>
        <w:t xml:space="preserve">included of a high proportion </w:t>
      </w:r>
      <w:r w:rsidR="00435096">
        <w:t xml:space="preserve">(&gt;95%) </w:t>
      </w:r>
      <w:r>
        <w:t>of the randomised patients</w:t>
      </w:r>
      <w:r w:rsidRPr="003C096C">
        <w:t xml:space="preserve"> </w:t>
      </w:r>
      <w:r w:rsidR="00435096">
        <w:t>in the analysis. The analysis set from the small size trials could be as low as 83% (</w:t>
      </w:r>
      <w:r w:rsidR="00435096" w:rsidRPr="00435096">
        <w:t>Ostad 2009</w:t>
      </w:r>
      <w:r w:rsidR="00435096">
        <w:t>), although many of the smaller size tr</w:t>
      </w:r>
      <w:r w:rsidR="00F846F9">
        <w:t>ia</w:t>
      </w:r>
      <w:r w:rsidR="00435096">
        <w:t>ls maintained an ITT principle. The</w:t>
      </w:r>
      <w:r w:rsidR="00435096" w:rsidRPr="00435096">
        <w:t xml:space="preserve"> rate of discontinuation</w:t>
      </w:r>
      <w:r w:rsidR="00435096">
        <w:t>, where reported,</w:t>
      </w:r>
      <w:r w:rsidR="00435096" w:rsidRPr="00435096">
        <w:t xml:space="preserve"> ranged from</w:t>
      </w:r>
      <w:r w:rsidR="00222343">
        <w:t xml:space="preserve"> 0.2% (Bays, 2004) to</w:t>
      </w:r>
      <w:r w:rsidR="00435096" w:rsidRPr="00435096">
        <w:t xml:space="preserve"> </w:t>
      </w:r>
      <w:r w:rsidR="00222343">
        <w:t>25% (</w:t>
      </w:r>
      <w:r w:rsidR="00435096">
        <w:t>Cannon 2015, the 7 year IMPROVE-IT trial)</w:t>
      </w:r>
      <w:r w:rsidR="00F846F9">
        <w:t xml:space="preserve"> and 27% (Stein</w:t>
      </w:r>
      <w:r w:rsidR="00222343">
        <w:t xml:space="preserve"> 2004</w:t>
      </w:r>
      <w:r w:rsidR="000E5001">
        <w:t>, 14 week</w:t>
      </w:r>
      <w:r w:rsidR="00F846F9">
        <w:t xml:space="preserve"> trial</w:t>
      </w:r>
      <w:r w:rsidR="00222343">
        <w:t xml:space="preserve">). </w:t>
      </w:r>
    </w:p>
    <w:p w14:paraId="10424519" w14:textId="77777777" w:rsidR="007209C8" w:rsidRDefault="00A46565" w:rsidP="003C096C">
      <w:pPr>
        <w:pStyle w:val="Heading1"/>
      </w:pPr>
      <w:bookmarkStart w:id="58" w:name="_Toc467857756"/>
      <w:r>
        <w:t>2.4. Trial characteristics</w:t>
      </w:r>
      <w:bookmarkEnd w:id="58"/>
      <w:r>
        <w:t xml:space="preserve"> </w:t>
      </w:r>
    </w:p>
    <w:p w14:paraId="6C3A3C03" w14:textId="77777777" w:rsidR="003C096C" w:rsidRDefault="003C096C" w:rsidP="003C096C">
      <w:pPr>
        <w:spacing w:after="0"/>
        <w:jc w:val="both"/>
      </w:pPr>
    </w:p>
    <w:p w14:paraId="63CD4A44" w14:textId="6D21797D" w:rsidR="00CF7154" w:rsidRDefault="003C096C" w:rsidP="001E6DD8">
      <w:pPr>
        <w:spacing w:after="0" w:line="240" w:lineRule="auto"/>
        <w:jc w:val="both"/>
      </w:pPr>
      <w:r w:rsidRPr="00516A18">
        <w:t xml:space="preserve">Table </w:t>
      </w:r>
      <w:r w:rsidR="00516A18" w:rsidRPr="00516A18">
        <w:t>A4.1</w:t>
      </w:r>
      <w:r w:rsidRPr="00516A18">
        <w:t xml:space="preserve"> in Appendix</w:t>
      </w:r>
      <w:r w:rsidR="00516A18" w:rsidRPr="00516A18">
        <w:t xml:space="preserve"> 4</w:t>
      </w:r>
      <w:r>
        <w:t xml:space="preserve"> shows a brief description of each of the </w:t>
      </w:r>
      <w:r w:rsidR="00516A18">
        <w:t>30</w:t>
      </w:r>
      <w:r>
        <w:t xml:space="preserve"> trials, inclusion and exclusion criteria and assessment of the degree of </w:t>
      </w:r>
      <w:r w:rsidR="00CF7154">
        <w:t>each</w:t>
      </w:r>
      <w:r>
        <w:t xml:space="preserve"> trial population </w:t>
      </w:r>
      <w:r w:rsidR="00222343">
        <w:t xml:space="preserve">overlapping </w:t>
      </w:r>
      <w:r>
        <w:t>with the target population</w:t>
      </w:r>
      <w:r w:rsidR="00222343">
        <w:t xml:space="preserve"> </w:t>
      </w:r>
      <w:r w:rsidR="00CF7154">
        <w:t>for the r</w:t>
      </w:r>
      <w:r w:rsidR="00222343">
        <w:t>eview</w:t>
      </w:r>
      <w:r w:rsidR="001E6DD8">
        <w:t>.</w:t>
      </w:r>
    </w:p>
    <w:p w14:paraId="4A7B0CA0" w14:textId="77777777" w:rsidR="001E6DD8" w:rsidRPr="001E6DD8" w:rsidRDefault="001E6DD8" w:rsidP="001E6DD8">
      <w:pPr>
        <w:spacing w:after="0" w:line="240" w:lineRule="auto"/>
        <w:jc w:val="both"/>
      </w:pPr>
    </w:p>
    <w:p w14:paraId="22872B27" w14:textId="675B9FAF" w:rsidR="00790ABE" w:rsidRDefault="000C5DDD" w:rsidP="000E5001">
      <w:pPr>
        <w:jc w:val="both"/>
      </w:pPr>
      <w:r w:rsidRPr="00F846F9">
        <w:t>Table</w:t>
      </w:r>
      <w:r w:rsidR="008831DE" w:rsidRPr="00F846F9">
        <w:t>s</w:t>
      </w:r>
      <w:r w:rsidRPr="00F846F9">
        <w:t xml:space="preserve"> 2</w:t>
      </w:r>
      <w:r w:rsidR="008831DE" w:rsidRPr="00F846F9">
        <w:t>.4.1- 2.4.2</w:t>
      </w:r>
      <w:r w:rsidR="00400A0D" w:rsidRPr="00912F4E">
        <w:t xml:space="preserve"> s</w:t>
      </w:r>
      <w:r w:rsidR="008831DE">
        <w:t>how</w:t>
      </w:r>
      <w:r w:rsidR="00400A0D">
        <w:t xml:space="preserve"> c</w:t>
      </w:r>
      <w:r w:rsidR="00400A0D" w:rsidRPr="0004489B">
        <w:t xml:space="preserve">haracteristics of </w:t>
      </w:r>
      <w:r w:rsidR="00400A0D">
        <w:t xml:space="preserve">the identified </w:t>
      </w:r>
      <w:r w:rsidR="00400A0D" w:rsidRPr="0004489B">
        <w:t xml:space="preserve">trials </w:t>
      </w:r>
      <w:r w:rsidR="00400A0D">
        <w:t xml:space="preserve">that </w:t>
      </w:r>
      <w:r w:rsidR="00400A0D" w:rsidRPr="0004489B">
        <w:t>formed</w:t>
      </w:r>
      <w:r w:rsidR="00400A0D">
        <w:t xml:space="preserve"> the </w:t>
      </w:r>
      <w:r w:rsidR="00400A0D" w:rsidRPr="0004489B">
        <w:t>evidence basis</w:t>
      </w:r>
      <w:r w:rsidR="00A621B3">
        <w:t xml:space="preserve"> for the report</w:t>
      </w:r>
      <w:r w:rsidR="00400A0D">
        <w:t xml:space="preserve">. </w:t>
      </w:r>
      <w:r w:rsidR="00400A0D" w:rsidRPr="0025496B">
        <w:t xml:space="preserve">The </w:t>
      </w:r>
      <w:r w:rsidR="0025496B">
        <w:t>RCTs</w:t>
      </w:r>
      <w:r w:rsidR="00400A0D" w:rsidRPr="0025496B">
        <w:t xml:space="preserve"> were grouped according to the </w:t>
      </w:r>
      <w:r w:rsidR="00A621B3" w:rsidRPr="0025496B">
        <w:t>study design</w:t>
      </w:r>
      <w:r w:rsidR="008831DE" w:rsidRPr="0025496B">
        <w:t>.</w:t>
      </w:r>
      <w:r w:rsidR="008831DE">
        <w:t xml:space="preserve"> The following characteristics of the RCTs are also included</w:t>
      </w:r>
      <w:r w:rsidR="0025496B">
        <w:t xml:space="preserve"> in the tables</w:t>
      </w:r>
      <w:r w:rsidR="008831DE">
        <w:t xml:space="preserve">: the type of the prevention population (primary or secondary); the line of </w:t>
      </w:r>
      <w:r w:rsidR="0025496B">
        <w:t xml:space="preserve">ezetimibe </w:t>
      </w:r>
      <w:r w:rsidR="008831DE">
        <w:t>therapy (</w:t>
      </w:r>
      <w:r w:rsidR="0025496B">
        <w:t xml:space="preserve">the </w:t>
      </w:r>
      <w:r w:rsidR="008831DE">
        <w:t>f</w:t>
      </w:r>
      <w:r w:rsidR="00A621B3" w:rsidRPr="008831DE">
        <w:t xml:space="preserve">irst-line treatment </w:t>
      </w:r>
      <w:r w:rsidR="0025496B">
        <w:t xml:space="preserve">assigned to </w:t>
      </w:r>
      <w:r w:rsidR="008831DE">
        <w:t xml:space="preserve">statin-naïve or </w:t>
      </w:r>
      <w:r w:rsidR="008831DE" w:rsidRPr="005430B1">
        <w:t>patients</w:t>
      </w:r>
      <w:r w:rsidR="008831DE">
        <w:t xml:space="preserve"> who undertook a </w:t>
      </w:r>
      <w:r w:rsidR="00F846F9">
        <w:t>wash</w:t>
      </w:r>
      <w:r w:rsidR="008831DE" w:rsidRPr="005430B1">
        <w:t xml:space="preserve">-out </w:t>
      </w:r>
      <w:r w:rsidR="008831DE">
        <w:t xml:space="preserve">period or </w:t>
      </w:r>
      <w:r w:rsidR="0025496B">
        <w:t xml:space="preserve">the </w:t>
      </w:r>
      <w:r w:rsidR="008831DE" w:rsidRPr="008831DE">
        <w:t>s</w:t>
      </w:r>
      <w:r w:rsidR="00400A0D" w:rsidRPr="008831DE">
        <w:t xml:space="preserve">econd-line </w:t>
      </w:r>
      <w:r w:rsidR="008831DE" w:rsidRPr="008831DE">
        <w:t xml:space="preserve">therapy </w:t>
      </w:r>
      <w:r w:rsidR="008831DE">
        <w:t xml:space="preserve">with ezetimibe added to </w:t>
      </w:r>
      <w:r w:rsidR="0025496B">
        <w:t>a</w:t>
      </w:r>
      <w:r w:rsidR="008831DE">
        <w:t xml:space="preserve"> background statin).</w:t>
      </w:r>
      <w:r w:rsidR="0025496B">
        <w:t xml:space="preserve"> Min and max LDL-C values reflect the selection criteria, if reported. </w:t>
      </w:r>
      <w:r w:rsidR="007971CC">
        <w:t>The equivalent to the m</w:t>
      </w:r>
      <w:r w:rsidR="0025496B">
        <w:t xml:space="preserve">ean 5 year risk of </w:t>
      </w:r>
      <w:r w:rsidR="00F6176B">
        <w:t xml:space="preserve">a </w:t>
      </w:r>
      <w:r w:rsidR="0025496B">
        <w:t>CV event</w:t>
      </w:r>
      <w:r w:rsidR="007971CC">
        <w:t xml:space="preserve"> (as recommended by the NVDPA-2012)</w:t>
      </w:r>
      <w:r w:rsidR="0025496B">
        <w:t xml:space="preserve"> was not reported in any of the RCTs; the trials that included the risk assessment based on epidemiological evidence (</w:t>
      </w:r>
      <w:r w:rsidR="00F846F9">
        <w:t>e.g</w:t>
      </w:r>
      <w:r w:rsidR="00F6176B">
        <w:t xml:space="preserve">. formulae derived from </w:t>
      </w:r>
      <w:r w:rsidR="00F6176B" w:rsidRPr="00F6176B">
        <w:t>Framingham Heart Study Anderson 1991</w:t>
      </w:r>
      <w:r w:rsidR="00F6176B">
        <w:t xml:space="preserve">, </w:t>
      </w:r>
      <w:r w:rsidR="00F6176B" w:rsidRPr="00F6176B">
        <w:t xml:space="preserve">D’Agostino 2000) </w:t>
      </w:r>
      <w:r w:rsidR="00F6176B">
        <w:t xml:space="preserve">aligned the selection criteria with the American guidelines, that use the combination of conditions known to predict CHD and the thresholds (in %) for a 10 year CHD risk using the </w:t>
      </w:r>
      <w:r w:rsidR="00F6176B" w:rsidRPr="00F6176B">
        <w:t>Fra</w:t>
      </w:r>
      <w:r w:rsidR="00F6176B">
        <w:t>mingham risk equation</w:t>
      </w:r>
      <w:r w:rsidR="00F846F9">
        <w:t xml:space="preserve"> and  the Pooled  Cohort Equations at the later </w:t>
      </w:r>
      <w:r w:rsidR="00A453D4">
        <w:t>stage</w:t>
      </w:r>
      <w:r w:rsidR="00A279FF">
        <w:t xml:space="preserve">. </w:t>
      </w:r>
      <w:r w:rsidR="00A453D4">
        <w:t xml:space="preserve">Tables </w:t>
      </w:r>
      <w:r w:rsidR="00A453D4" w:rsidRPr="000E5001">
        <w:t>2.4.1- 2.4.2</w:t>
      </w:r>
      <w:r w:rsidR="00A453D4">
        <w:t xml:space="preserve"> identify the studies that</w:t>
      </w:r>
      <w:r w:rsidR="004F039E">
        <w:t xml:space="preserve"> </w:t>
      </w:r>
      <w:r w:rsidR="00A453D4">
        <w:t>assessed patients</w:t>
      </w:r>
      <w:r w:rsidR="004F039E">
        <w:t xml:space="preserve"> </w:t>
      </w:r>
      <w:r w:rsidR="00A453D4">
        <w:t>using the risk equations</w:t>
      </w:r>
      <w:r w:rsidR="004F039E">
        <w:t>.</w:t>
      </w:r>
      <w:r w:rsidR="004F039E" w:rsidRPr="00912F4E">
        <w:t xml:space="preserve"> </w:t>
      </w:r>
      <w:r w:rsidR="00A279FF">
        <w:t xml:space="preserve">Other </w:t>
      </w:r>
      <w:r w:rsidR="004F039E">
        <w:t xml:space="preserve">included </w:t>
      </w:r>
      <w:r w:rsidR="00A279FF">
        <w:t>trials specifically targeted the population identified as “high”</w:t>
      </w:r>
      <w:r w:rsidR="00A138A6">
        <w:t xml:space="preserve">, </w:t>
      </w:r>
      <w:r w:rsidR="00A279FF">
        <w:t xml:space="preserve">“medium” </w:t>
      </w:r>
      <w:r w:rsidR="00A138A6">
        <w:t xml:space="preserve">or </w:t>
      </w:r>
      <w:r w:rsidR="00A279FF">
        <w:t xml:space="preserve">“low” risk based </w:t>
      </w:r>
      <w:r w:rsidR="004F039E">
        <w:t xml:space="preserve">(explicitly or implicitly) </w:t>
      </w:r>
      <w:r w:rsidR="00A279FF">
        <w:t xml:space="preserve">on </w:t>
      </w:r>
      <w:r w:rsidR="007971CC">
        <w:t>the</w:t>
      </w:r>
      <w:r w:rsidR="004F039E">
        <w:t xml:space="preserve"> </w:t>
      </w:r>
      <w:r w:rsidR="004F039E" w:rsidRPr="004F039E">
        <w:t>NCEP ATP III criteria</w:t>
      </w:r>
      <w:r w:rsidR="004F039E">
        <w:t xml:space="preserve"> that combine cholesterol level with clinical conditions and other factors known to increase the risk of CHD, but do not utilise a risk assessment algorithm</w:t>
      </w:r>
      <w:r w:rsidR="004F039E" w:rsidRPr="004F039E">
        <w:t xml:space="preserve"> </w:t>
      </w:r>
      <w:r w:rsidR="004F039E">
        <w:t xml:space="preserve">based on </w:t>
      </w:r>
      <w:r w:rsidR="00A453D4">
        <w:t>a mathematical formula</w:t>
      </w:r>
      <w:r w:rsidR="004F039E">
        <w:t>.</w:t>
      </w:r>
    </w:p>
    <w:p w14:paraId="7D0660AE" w14:textId="0EC5682A" w:rsidR="00D14F08" w:rsidRDefault="00037B82" w:rsidP="00A453D4">
      <w:pPr>
        <w:jc w:val="both"/>
      </w:pPr>
      <w:r>
        <w:t xml:space="preserve">Primary or secondary endpoints in all RCTs included the mean percentage change from baseline in LDL-cholesterol and other surrogate outcomes identified for the review:  total cholesterol (TC) and high density lipoprotein cholesterol (HDL-C). Other lipid parameters such as the ratio of TC:HDL-C and the median change from baseline in triglycerides (TG) were also reported </w:t>
      </w:r>
      <w:r w:rsidR="00745110">
        <w:t xml:space="preserve">in some of the identified trials </w:t>
      </w:r>
      <w:r>
        <w:t xml:space="preserve">but were outside the scope of the review. </w:t>
      </w:r>
    </w:p>
    <w:p w14:paraId="7B49DDBC" w14:textId="284F1D3E" w:rsidR="00D14F08" w:rsidRDefault="00D14F08" w:rsidP="00D14F08">
      <w:pPr>
        <w:jc w:val="both"/>
      </w:pPr>
    </w:p>
    <w:p w14:paraId="1B302EFC" w14:textId="77777777" w:rsidR="00790ABE" w:rsidRDefault="00790ABE" w:rsidP="00400A0D">
      <w:pPr>
        <w:sectPr w:rsidR="00790ABE" w:rsidSect="00790ABE">
          <w:endnotePr>
            <w:numFmt w:val="decimal"/>
          </w:endnotePr>
          <w:pgSz w:w="11906" w:h="16838"/>
          <w:pgMar w:top="1440" w:right="1134" w:bottom="1440" w:left="1440" w:header="709" w:footer="709" w:gutter="0"/>
          <w:cols w:space="708"/>
          <w:docGrid w:linePitch="360"/>
        </w:sectPr>
      </w:pPr>
    </w:p>
    <w:p w14:paraId="65B1544F" w14:textId="715102BB" w:rsidR="009B2C7E" w:rsidRPr="0083333B" w:rsidRDefault="000C5DDD" w:rsidP="00400A0D">
      <w:pPr>
        <w:pStyle w:val="Caption"/>
        <w:ind w:hanging="720"/>
        <w:rPr>
          <w:sz w:val="22"/>
          <w:szCs w:val="22"/>
        </w:rPr>
      </w:pPr>
      <w:r w:rsidRPr="0083333B">
        <w:rPr>
          <w:sz w:val="22"/>
          <w:szCs w:val="22"/>
        </w:rPr>
        <w:lastRenderedPageBreak/>
        <w:t>Table 2.4.1</w:t>
      </w:r>
      <w:r w:rsidR="00A37471" w:rsidRPr="0083333B">
        <w:rPr>
          <w:sz w:val="22"/>
          <w:szCs w:val="22"/>
        </w:rPr>
        <w:t xml:space="preserve"> C</w:t>
      </w:r>
      <w:r w:rsidR="00400A0D" w:rsidRPr="0083333B">
        <w:rPr>
          <w:sz w:val="22"/>
          <w:szCs w:val="22"/>
        </w:rPr>
        <w:t xml:space="preserve">haracteristics </w:t>
      </w:r>
      <w:r w:rsidR="00A37471" w:rsidRPr="0083333B">
        <w:rPr>
          <w:sz w:val="22"/>
          <w:szCs w:val="22"/>
        </w:rPr>
        <w:t>of trials of ezetimibe in combination with a statin</w:t>
      </w:r>
    </w:p>
    <w:tbl>
      <w:tblPr>
        <w:tblW w:w="5124" w:type="pct"/>
        <w:tblInd w:w="28" w:type="dxa"/>
        <w:tblCellMar>
          <w:left w:w="0" w:type="dxa"/>
          <w:right w:w="0" w:type="dxa"/>
        </w:tblCellMar>
        <w:tblLook w:val="04A0" w:firstRow="1" w:lastRow="0" w:firstColumn="1" w:lastColumn="0" w:noHBand="0" w:noVBand="1"/>
      </w:tblPr>
      <w:tblGrid>
        <w:gridCol w:w="1104"/>
        <w:gridCol w:w="758"/>
        <w:gridCol w:w="959"/>
        <w:gridCol w:w="655"/>
        <w:gridCol w:w="902"/>
        <w:gridCol w:w="1278"/>
        <w:gridCol w:w="1002"/>
        <w:gridCol w:w="997"/>
        <w:gridCol w:w="991"/>
        <w:gridCol w:w="1014"/>
        <w:gridCol w:w="2137"/>
        <w:gridCol w:w="1565"/>
        <w:gridCol w:w="1000"/>
      </w:tblGrid>
      <w:tr w:rsidR="00534207" w:rsidRPr="009B2C7E" w14:paraId="04BF2024" w14:textId="77777777" w:rsidTr="00E0757E">
        <w:tc>
          <w:tcPr>
            <w:tcW w:w="384" w:type="pct"/>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2E12040E" w14:textId="77777777" w:rsidR="009B2C7E" w:rsidRPr="009B2C7E" w:rsidRDefault="009B2C7E" w:rsidP="009B2C7E">
            <w:pPr>
              <w:spacing w:after="0" w:line="264" w:lineRule="auto"/>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Trial</w:t>
            </w:r>
          </w:p>
        </w:tc>
        <w:tc>
          <w:tcPr>
            <w:tcW w:w="264" w:type="pct"/>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04326462" w14:textId="77777777" w:rsidR="009B2C7E" w:rsidRPr="009B2C7E" w:rsidRDefault="009B2C7E" w:rsidP="009B2C7E">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b/>
                <w:bCs/>
                <w:sz w:val="20"/>
                <w:szCs w:val="18"/>
                <w:lang w:val="en-US" w:eastAsia="en-US"/>
              </w:rPr>
              <w:t>Design</w:t>
            </w:r>
          </w:p>
        </w:tc>
        <w:tc>
          <w:tcPr>
            <w:tcW w:w="334" w:type="pct"/>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1C41A82B"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Duration of follow-up</w:t>
            </w:r>
          </w:p>
        </w:tc>
        <w:tc>
          <w:tcPr>
            <w:tcW w:w="228" w:type="pct"/>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1DDD45AD"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N</w:t>
            </w:r>
          </w:p>
        </w:tc>
        <w:tc>
          <w:tcPr>
            <w:tcW w:w="2153" w:type="pct"/>
            <w:gridSpan w:val="6"/>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4CC6BF56"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Patient population</w:t>
            </w:r>
          </w:p>
        </w:tc>
        <w:tc>
          <w:tcPr>
            <w:tcW w:w="744" w:type="pct"/>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7FA716A3"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Interventions</w:t>
            </w:r>
          </w:p>
        </w:tc>
        <w:tc>
          <w:tcPr>
            <w:tcW w:w="894" w:type="pct"/>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481C6798"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Outcomes</w:t>
            </w:r>
          </w:p>
        </w:tc>
      </w:tr>
      <w:tr w:rsidR="00534207" w:rsidRPr="009B2C7E" w14:paraId="39468F41" w14:textId="77777777" w:rsidTr="00E0757E">
        <w:tc>
          <w:tcPr>
            <w:tcW w:w="384" w:type="pct"/>
            <w:vMerge/>
            <w:tcBorders>
              <w:top w:val="single" w:sz="8" w:space="0" w:color="auto"/>
              <w:left w:val="single" w:sz="8" w:space="0" w:color="auto"/>
              <w:bottom w:val="single" w:sz="4" w:space="0" w:color="auto"/>
              <w:right w:val="single" w:sz="8" w:space="0" w:color="auto"/>
            </w:tcBorders>
            <w:vAlign w:val="center"/>
            <w:hideMark/>
          </w:tcPr>
          <w:p w14:paraId="3340CA76" w14:textId="77777777" w:rsidR="009B2C7E" w:rsidRPr="009B2C7E" w:rsidRDefault="009B2C7E" w:rsidP="009B2C7E">
            <w:pPr>
              <w:spacing w:after="0" w:line="240" w:lineRule="auto"/>
              <w:rPr>
                <w:rFonts w:ascii="Arial Narrow" w:hAnsi="Arial Narrow" w:cs="Times New Roman"/>
                <w:b/>
                <w:bCs/>
                <w:sz w:val="20"/>
                <w:szCs w:val="18"/>
                <w:lang w:val="en-US" w:eastAsia="en-US"/>
              </w:rPr>
            </w:pPr>
          </w:p>
        </w:tc>
        <w:tc>
          <w:tcPr>
            <w:tcW w:w="264" w:type="pct"/>
            <w:vMerge/>
            <w:tcBorders>
              <w:top w:val="single" w:sz="8" w:space="0" w:color="auto"/>
              <w:left w:val="nil"/>
              <w:bottom w:val="single" w:sz="4" w:space="0" w:color="auto"/>
              <w:right w:val="single" w:sz="8" w:space="0" w:color="auto"/>
            </w:tcBorders>
            <w:vAlign w:val="center"/>
            <w:hideMark/>
          </w:tcPr>
          <w:p w14:paraId="57A3F259" w14:textId="77777777" w:rsidR="009B2C7E" w:rsidRPr="009B2C7E" w:rsidRDefault="009B2C7E" w:rsidP="009B2C7E">
            <w:pPr>
              <w:spacing w:after="0" w:line="240" w:lineRule="auto"/>
              <w:rPr>
                <w:rFonts w:ascii="Arial Narrow" w:hAnsi="Arial Narrow" w:cs="Times New Roman"/>
                <w:sz w:val="20"/>
                <w:szCs w:val="18"/>
                <w:lang w:val="en-US" w:eastAsia="en-US"/>
              </w:rPr>
            </w:pPr>
          </w:p>
        </w:tc>
        <w:tc>
          <w:tcPr>
            <w:tcW w:w="334" w:type="pct"/>
            <w:vMerge/>
            <w:tcBorders>
              <w:top w:val="single" w:sz="8" w:space="0" w:color="auto"/>
              <w:left w:val="nil"/>
              <w:bottom w:val="single" w:sz="4" w:space="0" w:color="auto"/>
              <w:right w:val="single" w:sz="8" w:space="0" w:color="auto"/>
            </w:tcBorders>
            <w:vAlign w:val="center"/>
            <w:hideMark/>
          </w:tcPr>
          <w:p w14:paraId="4795263C" w14:textId="77777777" w:rsidR="009B2C7E" w:rsidRPr="009B2C7E" w:rsidRDefault="009B2C7E" w:rsidP="009B2C7E">
            <w:pPr>
              <w:spacing w:after="0" w:line="240" w:lineRule="auto"/>
              <w:rPr>
                <w:rFonts w:ascii="Arial Narrow" w:hAnsi="Arial Narrow" w:cs="Times New Roman"/>
                <w:b/>
                <w:bCs/>
                <w:sz w:val="20"/>
                <w:szCs w:val="18"/>
                <w:lang w:val="en-US" w:eastAsia="en-US"/>
              </w:rPr>
            </w:pPr>
          </w:p>
        </w:tc>
        <w:tc>
          <w:tcPr>
            <w:tcW w:w="0" w:type="auto"/>
            <w:vMerge/>
            <w:tcBorders>
              <w:top w:val="single" w:sz="8" w:space="0" w:color="auto"/>
              <w:left w:val="nil"/>
              <w:bottom w:val="single" w:sz="4" w:space="0" w:color="auto"/>
              <w:right w:val="single" w:sz="8" w:space="0" w:color="auto"/>
            </w:tcBorders>
            <w:vAlign w:val="center"/>
            <w:hideMark/>
          </w:tcPr>
          <w:p w14:paraId="3FE8A6D6" w14:textId="77777777" w:rsidR="009B2C7E" w:rsidRPr="009B2C7E" w:rsidRDefault="009B2C7E" w:rsidP="009B2C7E">
            <w:pPr>
              <w:spacing w:after="0" w:line="240" w:lineRule="auto"/>
              <w:rPr>
                <w:rFonts w:ascii="Arial Narrow" w:hAnsi="Arial Narrow" w:cs="Times New Roman"/>
                <w:b/>
                <w:bCs/>
                <w:sz w:val="20"/>
                <w:szCs w:val="18"/>
                <w:lang w:val="en-US" w:eastAsia="en-US"/>
              </w:rPr>
            </w:pPr>
          </w:p>
        </w:tc>
        <w:tc>
          <w:tcPr>
            <w:tcW w:w="314" w:type="pct"/>
            <w:tcBorders>
              <w:top w:val="nil"/>
              <w:left w:val="nil"/>
              <w:bottom w:val="single" w:sz="4" w:space="0" w:color="auto"/>
              <w:right w:val="single" w:sz="8" w:space="0" w:color="auto"/>
            </w:tcBorders>
            <w:tcMar>
              <w:top w:w="0" w:type="dxa"/>
              <w:left w:w="28" w:type="dxa"/>
              <w:bottom w:w="0" w:type="dxa"/>
              <w:right w:w="28" w:type="dxa"/>
            </w:tcMar>
            <w:vAlign w:val="center"/>
            <w:hideMark/>
          </w:tcPr>
          <w:p w14:paraId="5B552DD1"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1</w:t>
            </w:r>
            <w:r w:rsidRPr="009B2C7E">
              <w:rPr>
                <w:rFonts w:ascii="Calibri" w:hAnsi="Calibri" w:cs="Times New Roman"/>
                <w:b/>
                <w:bCs/>
                <w:sz w:val="20"/>
                <w:szCs w:val="18"/>
                <w:lang w:val="en-US" w:eastAsia="en-US"/>
              </w:rPr>
              <w:t>°</w:t>
            </w:r>
            <w:r w:rsidRPr="009B2C7E">
              <w:rPr>
                <w:rFonts w:ascii="Arial Narrow" w:hAnsi="Arial Narrow" w:cs="Times New Roman"/>
                <w:b/>
                <w:bCs/>
                <w:sz w:val="20"/>
                <w:szCs w:val="18"/>
                <w:lang w:val="en-US" w:eastAsia="en-US"/>
              </w:rPr>
              <w:t>, 2</w:t>
            </w:r>
            <w:r w:rsidRPr="009B2C7E">
              <w:rPr>
                <w:rFonts w:ascii="Calibri" w:hAnsi="Calibri" w:cs="Times New Roman"/>
                <w:b/>
                <w:bCs/>
                <w:sz w:val="20"/>
                <w:szCs w:val="18"/>
                <w:lang w:val="en-US" w:eastAsia="en-US"/>
              </w:rPr>
              <w:t>°</w:t>
            </w:r>
            <w:r w:rsidRPr="009B2C7E">
              <w:rPr>
                <w:rFonts w:ascii="Arial Narrow" w:hAnsi="Arial Narrow" w:cs="Times New Roman"/>
                <w:b/>
                <w:bCs/>
                <w:sz w:val="20"/>
                <w:szCs w:val="18"/>
                <w:lang w:val="en-US" w:eastAsia="en-US"/>
              </w:rPr>
              <w:t xml:space="preserve"> or mixed</w:t>
            </w:r>
          </w:p>
        </w:tc>
        <w:tc>
          <w:tcPr>
            <w:tcW w:w="445" w:type="pct"/>
            <w:tcBorders>
              <w:top w:val="nil"/>
              <w:left w:val="nil"/>
              <w:bottom w:val="single" w:sz="4" w:space="0" w:color="auto"/>
              <w:right w:val="single" w:sz="8" w:space="0" w:color="auto"/>
            </w:tcBorders>
            <w:tcMar>
              <w:top w:w="0" w:type="dxa"/>
              <w:left w:w="28" w:type="dxa"/>
              <w:bottom w:w="0" w:type="dxa"/>
              <w:right w:w="28" w:type="dxa"/>
            </w:tcMar>
            <w:vAlign w:val="center"/>
            <w:hideMark/>
          </w:tcPr>
          <w:p w14:paraId="6DCB8F1A" w14:textId="2B785A6C"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Age</w:t>
            </w:r>
            <w:r w:rsidR="00BB4365">
              <w:rPr>
                <w:rFonts w:ascii="Arial Narrow" w:hAnsi="Arial Narrow" w:cs="Times New Roman"/>
                <w:b/>
                <w:bCs/>
                <w:sz w:val="20"/>
                <w:szCs w:val="18"/>
                <w:lang w:val="en-US" w:eastAsia="en-US"/>
              </w:rPr>
              <w:t xml:space="preserve"> (SD, range)</w:t>
            </w:r>
          </w:p>
        </w:tc>
        <w:tc>
          <w:tcPr>
            <w:tcW w:w="349" w:type="pct"/>
            <w:tcBorders>
              <w:top w:val="nil"/>
              <w:left w:val="nil"/>
              <w:bottom w:val="single" w:sz="4" w:space="0" w:color="auto"/>
              <w:right w:val="single" w:sz="8" w:space="0" w:color="auto"/>
            </w:tcBorders>
            <w:tcMar>
              <w:top w:w="0" w:type="dxa"/>
              <w:left w:w="28" w:type="dxa"/>
              <w:bottom w:w="0" w:type="dxa"/>
              <w:right w:w="28" w:type="dxa"/>
            </w:tcMar>
            <w:vAlign w:val="center"/>
            <w:hideMark/>
          </w:tcPr>
          <w:p w14:paraId="45D13CDD" w14:textId="77777777" w:rsidR="00F903C8" w:rsidRDefault="009B2C7E" w:rsidP="009B2C7E">
            <w:pPr>
              <w:spacing w:after="0" w:line="264" w:lineRule="auto"/>
              <w:jc w:val="center"/>
              <w:rPr>
                <w:rFonts w:ascii="Arial Narrow" w:hAnsi="Arial Narrow" w:cs="Times New Roman"/>
                <w:b/>
                <w:bCs/>
                <w:sz w:val="20"/>
                <w:szCs w:val="18"/>
                <w:lang w:val="en-US" w:eastAsia="en-US"/>
              </w:rPr>
            </w:pPr>
            <w:r w:rsidRPr="00790ABE">
              <w:rPr>
                <w:rFonts w:ascii="Arial Narrow" w:hAnsi="Arial Narrow" w:cs="Times New Roman"/>
                <w:b/>
                <w:bCs/>
                <w:sz w:val="20"/>
                <w:szCs w:val="18"/>
                <w:lang w:val="en-US" w:eastAsia="en-US"/>
              </w:rPr>
              <w:t>Min</w:t>
            </w:r>
            <w:r w:rsidRPr="009B2C7E">
              <w:rPr>
                <w:rFonts w:ascii="Arial Narrow" w:hAnsi="Arial Narrow" w:cs="Times New Roman"/>
                <w:b/>
                <w:bCs/>
                <w:sz w:val="20"/>
                <w:szCs w:val="18"/>
                <w:lang w:val="en-US" w:eastAsia="en-US"/>
              </w:rPr>
              <w:t xml:space="preserve"> LDL</w:t>
            </w:r>
            <w:r w:rsidR="005921DA">
              <w:rPr>
                <w:rFonts w:ascii="Arial Narrow" w:hAnsi="Arial Narrow" w:cs="Times New Roman"/>
                <w:b/>
                <w:bCs/>
                <w:sz w:val="20"/>
                <w:szCs w:val="18"/>
                <w:lang w:val="en-US" w:eastAsia="en-US"/>
              </w:rPr>
              <w:t>-c</w:t>
            </w:r>
            <w:r w:rsidRPr="009B2C7E">
              <w:rPr>
                <w:rFonts w:ascii="Arial Narrow" w:hAnsi="Arial Narrow" w:cs="Times New Roman"/>
                <w:b/>
                <w:bCs/>
                <w:sz w:val="20"/>
                <w:szCs w:val="18"/>
                <w:lang w:val="en-US" w:eastAsia="en-US"/>
              </w:rPr>
              <w:t xml:space="preserve"> </w:t>
            </w:r>
          </w:p>
          <w:p w14:paraId="353DD307" w14:textId="0718CB8C"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at baseline</w:t>
            </w:r>
          </w:p>
        </w:tc>
        <w:tc>
          <w:tcPr>
            <w:tcW w:w="347" w:type="pct"/>
            <w:tcBorders>
              <w:top w:val="nil"/>
              <w:left w:val="nil"/>
              <w:bottom w:val="single" w:sz="4" w:space="0" w:color="auto"/>
              <w:right w:val="single" w:sz="8" w:space="0" w:color="auto"/>
            </w:tcBorders>
            <w:tcMar>
              <w:top w:w="0" w:type="dxa"/>
              <w:left w:w="28" w:type="dxa"/>
              <w:bottom w:w="0" w:type="dxa"/>
              <w:right w:w="28" w:type="dxa"/>
            </w:tcMar>
            <w:vAlign w:val="center"/>
            <w:hideMark/>
          </w:tcPr>
          <w:p w14:paraId="5D45647E" w14:textId="77777777" w:rsidR="00F903C8" w:rsidRDefault="009B2C7E" w:rsidP="005921DA">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Max LDL</w:t>
            </w:r>
            <w:r w:rsidR="005921DA">
              <w:rPr>
                <w:rFonts w:ascii="Arial Narrow" w:hAnsi="Arial Narrow" w:cs="Times New Roman"/>
                <w:b/>
                <w:bCs/>
                <w:sz w:val="20"/>
                <w:szCs w:val="18"/>
                <w:lang w:val="en-US" w:eastAsia="en-US"/>
              </w:rPr>
              <w:t xml:space="preserve">-c </w:t>
            </w:r>
          </w:p>
          <w:p w14:paraId="1FD593AE" w14:textId="4A2D1D2D" w:rsidR="009B2C7E" w:rsidRPr="009B2C7E" w:rsidRDefault="009B2C7E" w:rsidP="005921DA">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at baseline</w:t>
            </w:r>
          </w:p>
        </w:tc>
        <w:tc>
          <w:tcPr>
            <w:tcW w:w="345" w:type="pct"/>
            <w:tcBorders>
              <w:top w:val="nil"/>
              <w:left w:val="nil"/>
              <w:bottom w:val="single" w:sz="4" w:space="0" w:color="auto"/>
              <w:right w:val="single" w:sz="8" w:space="0" w:color="auto"/>
            </w:tcBorders>
            <w:tcMar>
              <w:top w:w="0" w:type="dxa"/>
              <w:left w:w="28" w:type="dxa"/>
              <w:bottom w:w="0" w:type="dxa"/>
              <w:right w:w="28" w:type="dxa"/>
            </w:tcMar>
            <w:vAlign w:val="center"/>
            <w:hideMark/>
          </w:tcPr>
          <w:p w14:paraId="5F8F2F69"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Other</w:t>
            </w:r>
          </w:p>
        </w:tc>
        <w:tc>
          <w:tcPr>
            <w:tcW w:w="352" w:type="pct"/>
            <w:tcBorders>
              <w:top w:val="nil"/>
              <w:left w:val="nil"/>
              <w:bottom w:val="single" w:sz="4" w:space="0" w:color="auto"/>
              <w:right w:val="single" w:sz="8" w:space="0" w:color="auto"/>
            </w:tcBorders>
            <w:tcMar>
              <w:top w:w="0" w:type="dxa"/>
              <w:left w:w="28" w:type="dxa"/>
              <w:bottom w:w="0" w:type="dxa"/>
              <w:right w:w="28" w:type="dxa"/>
            </w:tcMar>
            <w:hideMark/>
          </w:tcPr>
          <w:p w14:paraId="131AA7A3" w14:textId="38E61616"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CV risk at baseline</w:t>
            </w:r>
          </w:p>
        </w:tc>
        <w:tc>
          <w:tcPr>
            <w:tcW w:w="744" w:type="pct"/>
            <w:vMerge/>
            <w:tcBorders>
              <w:top w:val="single" w:sz="8" w:space="0" w:color="auto"/>
              <w:left w:val="nil"/>
              <w:bottom w:val="single" w:sz="4" w:space="0" w:color="auto"/>
              <w:right w:val="single" w:sz="8" w:space="0" w:color="auto"/>
            </w:tcBorders>
            <w:vAlign w:val="center"/>
            <w:hideMark/>
          </w:tcPr>
          <w:p w14:paraId="009DDF8D" w14:textId="77777777" w:rsidR="009B2C7E" w:rsidRPr="009B2C7E" w:rsidRDefault="009B2C7E" w:rsidP="009B2C7E">
            <w:pPr>
              <w:spacing w:after="0" w:line="240" w:lineRule="auto"/>
              <w:rPr>
                <w:rFonts w:ascii="Arial Narrow" w:hAnsi="Arial Narrow" w:cs="Times New Roman"/>
                <w:b/>
                <w:bCs/>
                <w:sz w:val="20"/>
                <w:szCs w:val="18"/>
                <w:lang w:val="en-US" w:eastAsia="en-US"/>
              </w:rPr>
            </w:pPr>
          </w:p>
        </w:tc>
        <w:tc>
          <w:tcPr>
            <w:tcW w:w="545" w:type="pct"/>
            <w:tcBorders>
              <w:top w:val="nil"/>
              <w:left w:val="nil"/>
              <w:bottom w:val="single" w:sz="4" w:space="0" w:color="auto"/>
              <w:right w:val="single" w:sz="8" w:space="0" w:color="auto"/>
            </w:tcBorders>
            <w:tcMar>
              <w:top w:w="0" w:type="dxa"/>
              <w:left w:w="28" w:type="dxa"/>
              <w:bottom w:w="0" w:type="dxa"/>
              <w:right w:w="28" w:type="dxa"/>
            </w:tcMar>
            <w:vAlign w:val="center"/>
            <w:hideMark/>
          </w:tcPr>
          <w:p w14:paraId="4ECB46B7" w14:textId="77777777" w:rsidR="00534207"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 xml:space="preserve">Change in </w:t>
            </w:r>
          </w:p>
          <w:p w14:paraId="4395D4B4" w14:textId="6764A9AD"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LDL-c</w:t>
            </w:r>
          </w:p>
        </w:tc>
        <w:tc>
          <w:tcPr>
            <w:tcW w:w="348" w:type="pct"/>
            <w:tcBorders>
              <w:top w:val="nil"/>
              <w:left w:val="nil"/>
              <w:bottom w:val="single" w:sz="4" w:space="0" w:color="auto"/>
              <w:right w:val="single" w:sz="8" w:space="0" w:color="auto"/>
            </w:tcBorders>
            <w:tcMar>
              <w:top w:w="0" w:type="dxa"/>
              <w:left w:w="28" w:type="dxa"/>
              <w:bottom w:w="0" w:type="dxa"/>
              <w:right w:w="28" w:type="dxa"/>
            </w:tcMar>
            <w:vAlign w:val="center"/>
            <w:hideMark/>
          </w:tcPr>
          <w:p w14:paraId="660DC4DF"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Reduction in CV endpoints</w:t>
            </w:r>
          </w:p>
        </w:tc>
      </w:tr>
      <w:tr w:rsidR="009B2C7E" w:rsidRPr="009B2C7E" w14:paraId="0E460F59" w14:textId="77777777" w:rsidTr="00E0757E">
        <w:trPr>
          <w:trHeight w:val="492"/>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62F28E32" w14:textId="282D7592" w:rsidR="009B2C7E" w:rsidRPr="009B2C7E" w:rsidRDefault="005921DA" w:rsidP="00454420">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 xml:space="preserve">up-titrating </w:t>
            </w:r>
            <w:r w:rsidR="00454420">
              <w:rPr>
                <w:rFonts w:ascii="Arial Narrow" w:hAnsi="Arial Narrow" w:cs="Times New Roman"/>
                <w:b/>
                <w:bCs/>
                <w:sz w:val="20"/>
                <w:szCs w:val="18"/>
                <w:lang w:val="en-US" w:eastAsia="en-US"/>
              </w:rPr>
              <w:t xml:space="preserve">dose of  </w:t>
            </w:r>
            <w:r w:rsidRPr="009B2C7E">
              <w:rPr>
                <w:rFonts w:ascii="Arial Narrow" w:hAnsi="Arial Narrow" w:cs="Times New Roman"/>
                <w:b/>
                <w:bCs/>
                <w:sz w:val="20"/>
                <w:szCs w:val="18"/>
                <w:lang w:val="en-US" w:eastAsia="en-US"/>
              </w:rPr>
              <w:t>statin</w:t>
            </w:r>
            <w:r w:rsidR="00454420">
              <w:rPr>
                <w:rFonts w:ascii="Arial Narrow" w:hAnsi="Arial Narrow" w:cs="Times New Roman"/>
                <w:b/>
                <w:bCs/>
                <w:sz w:val="20"/>
                <w:szCs w:val="18"/>
                <w:lang w:val="en-US" w:eastAsia="en-US"/>
              </w:rPr>
              <w:t xml:space="preserve"> </w:t>
            </w:r>
            <w:r>
              <w:rPr>
                <w:rFonts w:ascii="Arial Narrow" w:hAnsi="Arial Narrow" w:cs="Times New Roman"/>
                <w:b/>
                <w:bCs/>
                <w:sz w:val="20"/>
                <w:szCs w:val="18"/>
                <w:lang w:val="en-US" w:eastAsia="en-US"/>
              </w:rPr>
              <w:t>+</w:t>
            </w:r>
            <w:r w:rsidRPr="009B2C7E">
              <w:rPr>
                <w:rFonts w:ascii="Arial Narrow" w:hAnsi="Arial Narrow" w:cs="Times New Roman"/>
                <w:b/>
                <w:bCs/>
                <w:sz w:val="20"/>
                <w:szCs w:val="18"/>
                <w:lang w:val="en-US" w:eastAsia="en-US"/>
              </w:rPr>
              <w:t xml:space="preserve"> </w:t>
            </w:r>
            <w:r w:rsidR="00454420">
              <w:rPr>
                <w:rFonts w:ascii="Arial Narrow" w:hAnsi="Arial Narrow" w:cs="Times New Roman"/>
                <w:b/>
                <w:bCs/>
                <w:sz w:val="20"/>
                <w:szCs w:val="18"/>
                <w:lang w:val="en-US" w:eastAsia="en-US"/>
              </w:rPr>
              <w:t xml:space="preserve">ezetimibe </w:t>
            </w:r>
            <w:r w:rsidR="009B2C7E" w:rsidRPr="009B2C7E">
              <w:rPr>
                <w:rFonts w:ascii="Arial Narrow" w:hAnsi="Arial Narrow" w:cs="Times New Roman"/>
                <w:b/>
                <w:bCs/>
                <w:sz w:val="20"/>
                <w:szCs w:val="18"/>
                <w:lang w:val="en-US" w:eastAsia="en-US"/>
              </w:rPr>
              <w:t xml:space="preserve">vs up-titrating </w:t>
            </w:r>
            <w:r w:rsidR="00454420">
              <w:rPr>
                <w:rFonts w:ascii="Arial Narrow" w:hAnsi="Arial Narrow" w:cs="Times New Roman"/>
                <w:b/>
                <w:bCs/>
                <w:sz w:val="20"/>
                <w:szCs w:val="18"/>
                <w:lang w:val="en-US" w:eastAsia="en-US"/>
              </w:rPr>
              <w:t xml:space="preserve">dose of </w:t>
            </w:r>
            <w:r w:rsidR="009B2C7E" w:rsidRPr="009B2C7E">
              <w:rPr>
                <w:rFonts w:ascii="Arial Narrow" w:hAnsi="Arial Narrow" w:cs="Times New Roman"/>
                <w:b/>
                <w:bCs/>
                <w:sz w:val="20"/>
                <w:szCs w:val="18"/>
                <w:lang w:val="en-US" w:eastAsia="en-US"/>
              </w:rPr>
              <w:t>statin</w:t>
            </w:r>
          </w:p>
        </w:tc>
      </w:tr>
      <w:tr w:rsidR="00534207" w:rsidRPr="009B2C7E" w14:paraId="6CC7DF34" w14:textId="77777777" w:rsidTr="00E0757E">
        <w:tc>
          <w:tcPr>
            <w:tcW w:w="384" w:type="pct"/>
            <w:vMerge w:val="restart"/>
            <w:tcBorders>
              <w:top w:val="single" w:sz="4" w:space="0" w:color="auto"/>
              <w:left w:val="single" w:sz="4" w:space="0" w:color="auto"/>
              <w:right w:val="single" w:sz="4" w:space="0" w:color="auto"/>
            </w:tcBorders>
            <w:vAlign w:val="center"/>
          </w:tcPr>
          <w:p w14:paraId="30C7947D" w14:textId="710CD9EF" w:rsidR="009B2C7E" w:rsidRPr="009B2C7E" w:rsidRDefault="005921DA" w:rsidP="009B2C7E">
            <w:pPr>
              <w:spacing w:after="0" w:line="240"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P025 </w:t>
            </w:r>
            <w:r w:rsidR="009B2C7E" w:rsidRPr="009B2C7E">
              <w:rPr>
                <w:rFonts w:ascii="Arial Narrow" w:hAnsi="Arial Narrow" w:cs="Times New Roman"/>
                <w:sz w:val="20"/>
                <w:szCs w:val="18"/>
                <w:lang w:val="en-US" w:eastAsia="en-US"/>
              </w:rPr>
              <w:t>Ballantyne 2004</w:t>
            </w:r>
          </w:p>
          <w:p w14:paraId="73983A00" w14:textId="3FD61840" w:rsidR="009B2C7E" w:rsidRPr="009B2C7E" w:rsidRDefault="009B2C7E" w:rsidP="009B2C7E">
            <w:pPr>
              <w:spacing w:after="0" w:line="240" w:lineRule="auto"/>
              <w:rPr>
                <w:rFonts w:ascii="Arial Narrow" w:hAnsi="Arial Narrow" w:cs="Times New Roman"/>
                <w:sz w:val="20"/>
                <w:szCs w:val="18"/>
                <w:lang w:val="en-US" w:eastAsia="en-US"/>
              </w:rPr>
            </w:pPr>
          </w:p>
        </w:tc>
        <w:tc>
          <w:tcPr>
            <w:tcW w:w="264" w:type="pct"/>
            <w:vMerge w:val="restart"/>
            <w:tcBorders>
              <w:top w:val="single" w:sz="4" w:space="0" w:color="auto"/>
              <w:left w:val="single" w:sz="4" w:space="0" w:color="auto"/>
              <w:right w:val="single" w:sz="4" w:space="0" w:color="auto"/>
            </w:tcBorders>
            <w:vAlign w:val="center"/>
          </w:tcPr>
          <w:p w14:paraId="31F613DA" w14:textId="77777777" w:rsidR="009B2C7E" w:rsidRPr="009B2C7E" w:rsidRDefault="009B2C7E" w:rsidP="00BB4365">
            <w:pPr>
              <w:spacing w:after="0" w:line="240"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w:t>
            </w:r>
          </w:p>
        </w:tc>
        <w:tc>
          <w:tcPr>
            <w:tcW w:w="334" w:type="pct"/>
            <w:vMerge w:val="restart"/>
            <w:tcBorders>
              <w:top w:val="single" w:sz="4" w:space="0" w:color="auto"/>
              <w:left w:val="single" w:sz="4" w:space="0" w:color="auto"/>
              <w:right w:val="single" w:sz="4" w:space="0" w:color="auto"/>
            </w:tcBorders>
            <w:vAlign w:val="center"/>
          </w:tcPr>
          <w:p w14:paraId="486463CB" w14:textId="77777777" w:rsidR="009B2C7E" w:rsidRPr="009B2C7E" w:rsidRDefault="009B2C7E" w:rsidP="00454420">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24 weeks</w:t>
            </w:r>
          </w:p>
        </w:tc>
        <w:tc>
          <w:tcPr>
            <w:tcW w:w="0" w:type="auto"/>
            <w:tcBorders>
              <w:top w:val="single" w:sz="4" w:space="0" w:color="auto"/>
              <w:left w:val="single" w:sz="4" w:space="0" w:color="auto"/>
              <w:bottom w:val="single" w:sz="4" w:space="0" w:color="auto"/>
              <w:right w:val="single" w:sz="4" w:space="0" w:color="auto"/>
            </w:tcBorders>
          </w:tcPr>
          <w:p w14:paraId="4E55352B" w14:textId="77777777" w:rsidR="009B2C7E" w:rsidRPr="009B2C7E" w:rsidRDefault="009B2C7E" w:rsidP="005921DA">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263</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5E584F8"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3º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2AE979"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59.4±10.62</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64B9675"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3.36-4.91</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CD7D5A1"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NR</w:t>
            </w:r>
          </w:p>
        </w:tc>
        <w:tc>
          <w:tcPr>
            <w:tcW w:w="345"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F2B5422"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C478399" w14:textId="0A1E724A" w:rsidR="009B2C7E" w:rsidRPr="009B2C7E" w:rsidRDefault="009B2C7E" w:rsidP="009B2C7E">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10</w:t>
            </w:r>
            <w:r w:rsidR="00A138A6">
              <w:rPr>
                <w:rFonts w:ascii="Arial Narrow" w:hAnsi="Arial Narrow" w:cs="Times New Roman"/>
                <w:sz w:val="20"/>
                <w:szCs w:val="18"/>
                <w:lang w:val="en-US" w:eastAsia="en-US"/>
              </w:rPr>
              <w:t>-20</w:t>
            </w:r>
            <w:r w:rsidRPr="009B2C7E">
              <w:rPr>
                <w:rFonts w:ascii="Arial Narrow" w:hAnsi="Arial Narrow" w:cs="Times New Roman"/>
                <w:sz w:val="20"/>
                <w:szCs w:val="18"/>
                <w:lang w:val="en-US" w:eastAsia="en-US"/>
              </w:rPr>
              <w:t>%</w:t>
            </w:r>
            <w:r w:rsidR="00A138A6">
              <w:rPr>
                <w:rFonts w:ascii="Arial Narrow" w:hAnsi="Arial Narrow" w:cs="Times New Roman"/>
                <w:sz w:val="20"/>
                <w:szCs w:val="18"/>
                <w:lang w:val="en-US" w:eastAsia="en-US"/>
              </w:rPr>
              <w:t>^</w:t>
            </w:r>
          </w:p>
          <w:p w14:paraId="5E909052" w14:textId="7852D0EF"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(10-year</w:t>
            </w:r>
            <w:r w:rsidR="00A138A6">
              <w:rPr>
                <w:rFonts w:ascii="Arial Narrow" w:hAnsi="Arial Narrow" w:cs="Times New Roman"/>
                <w:sz w:val="20"/>
                <w:szCs w:val="18"/>
                <w:lang w:val="en-US" w:eastAsia="en-US"/>
              </w:rPr>
              <w:t xml:space="preserve"> risk</w:t>
            </w:r>
            <w:r w:rsidRPr="009B2C7E">
              <w:rPr>
                <w:rFonts w:ascii="Arial Narrow" w:hAnsi="Arial Narrow" w:cs="Times New Roman"/>
                <w:sz w:val="20"/>
                <w:szCs w:val="18"/>
                <w:lang w:val="en-US" w:eastAsia="en-US"/>
              </w:rPr>
              <w:t>)</w:t>
            </w:r>
          </w:p>
        </w:tc>
        <w:tc>
          <w:tcPr>
            <w:tcW w:w="744" w:type="pct"/>
            <w:tcBorders>
              <w:top w:val="single" w:sz="4" w:space="0" w:color="auto"/>
              <w:left w:val="single" w:sz="4" w:space="0" w:color="auto"/>
              <w:bottom w:val="single" w:sz="4" w:space="0" w:color="auto"/>
              <w:right w:val="single" w:sz="4" w:space="0" w:color="auto"/>
            </w:tcBorders>
            <w:vAlign w:val="center"/>
          </w:tcPr>
          <w:p w14:paraId="6AFD90D9" w14:textId="352CE9DC" w:rsidR="009B2C7E" w:rsidRPr="009B2C7E" w:rsidRDefault="00F903C8" w:rsidP="009601A5">
            <w:pPr>
              <w:spacing w:after="0" w:line="240" w:lineRule="auto"/>
              <w:jc w:val="center"/>
              <w:rPr>
                <w:rFonts w:ascii="Arial Narrow" w:hAnsi="Arial Narrow" w:cs="Times New Roman"/>
                <w:b/>
                <w:bCs/>
                <w:sz w:val="20"/>
                <w:szCs w:val="18"/>
                <w:lang w:val="en-US" w:eastAsia="en-US"/>
              </w:rPr>
            </w:pPr>
            <w:r>
              <w:rPr>
                <w:rFonts w:ascii="Arial Narrow" w:hAnsi="Arial Narrow" w:cs="Times New Roman"/>
                <w:sz w:val="20"/>
                <w:szCs w:val="18"/>
                <w:lang w:val="en-US" w:eastAsia="en-US"/>
              </w:rPr>
              <w:t>EZ</w:t>
            </w:r>
            <w:r w:rsidR="009B2C7E" w:rsidRPr="009B2C7E">
              <w:rPr>
                <w:rFonts w:ascii="Arial Narrow" w:hAnsi="Arial Narrow" w:cs="Times New Roman"/>
                <w:sz w:val="20"/>
                <w:szCs w:val="18"/>
                <w:lang w:val="en-US" w:eastAsia="en-US"/>
              </w:rPr>
              <w:t xml:space="preserve"> 10+</w:t>
            </w:r>
            <w:r w:rsidR="009601A5">
              <w:rPr>
                <w:rFonts w:ascii="Arial Narrow" w:hAnsi="Arial Narrow" w:cs="Times New Roman"/>
                <w:sz w:val="20"/>
                <w:szCs w:val="18"/>
                <w:lang w:val="en-US" w:eastAsia="en-US"/>
              </w:rPr>
              <w:t xml:space="preserve">SIM </w:t>
            </w:r>
            <w:r w:rsidR="009B2C7E" w:rsidRPr="009B2C7E">
              <w:rPr>
                <w:rFonts w:ascii="Arial Narrow" w:hAnsi="Arial Narrow" w:cs="Times New Roman"/>
                <w:sz w:val="20"/>
                <w:szCs w:val="18"/>
                <w:lang w:val="en-US" w:eastAsia="en-US"/>
              </w:rPr>
              <w:t>10</w:t>
            </w:r>
          </w:p>
        </w:tc>
        <w:tc>
          <w:tcPr>
            <w:tcW w:w="545"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CAAC6BA" w14:textId="77777777" w:rsidR="009B2C7E" w:rsidRPr="009B2C7E" w:rsidRDefault="009B2C7E" w:rsidP="0045442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6</w:t>
            </w:r>
          </w:p>
          <w:p w14:paraId="5E9684A4" w14:textId="77777777" w:rsidR="009B2C7E" w:rsidRPr="009B2C7E" w:rsidRDefault="009B2C7E" w:rsidP="0045442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p w14:paraId="4F6B74D3" w14:textId="77777777" w:rsidR="009B2C7E" w:rsidRPr="009B2C7E" w:rsidRDefault="009B2C7E" w:rsidP="0045442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18</w:t>
            </w:r>
          </w:p>
          <w:p w14:paraId="686D960C" w14:textId="77777777" w:rsidR="009B2C7E" w:rsidRPr="009B2C7E" w:rsidRDefault="009B2C7E" w:rsidP="00454420">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At week 24</w:t>
            </w:r>
          </w:p>
        </w:tc>
        <w:tc>
          <w:tcPr>
            <w:tcW w:w="348"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F222A91"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Not assessed</w:t>
            </w:r>
          </w:p>
        </w:tc>
      </w:tr>
      <w:tr w:rsidR="00534207" w:rsidRPr="009B2C7E" w14:paraId="1B91D75E" w14:textId="77777777" w:rsidTr="00E0757E">
        <w:tc>
          <w:tcPr>
            <w:tcW w:w="384" w:type="pct"/>
            <w:vMerge/>
            <w:tcBorders>
              <w:left w:val="single" w:sz="4" w:space="0" w:color="auto"/>
              <w:right w:val="single" w:sz="4" w:space="0" w:color="auto"/>
            </w:tcBorders>
            <w:vAlign w:val="center"/>
          </w:tcPr>
          <w:p w14:paraId="4ACAC89F" w14:textId="77777777" w:rsidR="009B2C7E" w:rsidRPr="009B2C7E" w:rsidRDefault="009B2C7E" w:rsidP="009B2C7E">
            <w:pPr>
              <w:spacing w:after="0" w:line="240" w:lineRule="auto"/>
              <w:rPr>
                <w:rFonts w:ascii="Arial Narrow" w:hAnsi="Arial Narrow" w:cs="Times New Roman"/>
                <w:b/>
                <w:bCs/>
                <w:sz w:val="20"/>
                <w:szCs w:val="18"/>
                <w:lang w:val="en-US" w:eastAsia="en-US"/>
              </w:rPr>
            </w:pPr>
          </w:p>
        </w:tc>
        <w:tc>
          <w:tcPr>
            <w:tcW w:w="264" w:type="pct"/>
            <w:vMerge/>
            <w:tcBorders>
              <w:left w:val="single" w:sz="4" w:space="0" w:color="auto"/>
              <w:right w:val="single" w:sz="4" w:space="0" w:color="auto"/>
            </w:tcBorders>
            <w:vAlign w:val="center"/>
          </w:tcPr>
          <w:p w14:paraId="607F69FB" w14:textId="77777777" w:rsidR="009B2C7E" w:rsidRPr="009B2C7E" w:rsidRDefault="009B2C7E" w:rsidP="00BB4365">
            <w:pPr>
              <w:spacing w:after="0" w:line="240"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vAlign w:val="center"/>
          </w:tcPr>
          <w:p w14:paraId="1311A372" w14:textId="77777777" w:rsidR="009B2C7E" w:rsidRPr="009B2C7E" w:rsidRDefault="009B2C7E" w:rsidP="00454420">
            <w:pPr>
              <w:spacing w:after="0" w:line="240" w:lineRule="auto"/>
              <w:jc w:val="center"/>
              <w:rPr>
                <w:rFonts w:ascii="Arial Narrow" w:hAnsi="Arial Narrow" w:cs="Times New Roman"/>
                <w:b/>
                <w:bCs/>
                <w:sz w:val="20"/>
                <w:szCs w:val="18"/>
                <w:lang w:val="en-US" w:eastAsia="en-US"/>
              </w:rPr>
            </w:pPr>
          </w:p>
        </w:tc>
        <w:tc>
          <w:tcPr>
            <w:tcW w:w="0" w:type="auto"/>
            <w:tcBorders>
              <w:top w:val="single" w:sz="4" w:space="0" w:color="auto"/>
              <w:left w:val="single" w:sz="4" w:space="0" w:color="auto"/>
              <w:bottom w:val="single" w:sz="4" w:space="0" w:color="auto"/>
              <w:right w:val="single" w:sz="4" w:space="0" w:color="auto"/>
            </w:tcBorders>
          </w:tcPr>
          <w:p w14:paraId="26B7F70D" w14:textId="77777777" w:rsidR="009B2C7E" w:rsidRPr="009B2C7E" w:rsidRDefault="009B2C7E" w:rsidP="005921DA">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263</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7A8D6EC2"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EDEFBCB"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59.9±10.88</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6B6E6333"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04E08E2C"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45" w:type="pct"/>
            <w:vMerge/>
            <w:tcBorders>
              <w:left w:val="single" w:sz="4" w:space="0" w:color="auto"/>
              <w:right w:val="single" w:sz="4" w:space="0" w:color="auto"/>
            </w:tcBorders>
            <w:tcMar>
              <w:top w:w="0" w:type="dxa"/>
              <w:left w:w="28" w:type="dxa"/>
              <w:bottom w:w="0" w:type="dxa"/>
              <w:right w:w="28" w:type="dxa"/>
            </w:tcMar>
            <w:vAlign w:val="center"/>
          </w:tcPr>
          <w:p w14:paraId="35BADE2A"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5CE9C33A"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vAlign w:val="center"/>
          </w:tcPr>
          <w:p w14:paraId="0EF37D56" w14:textId="37F832AC" w:rsidR="009B2C7E" w:rsidRPr="009B2C7E" w:rsidRDefault="00F903C8" w:rsidP="009601A5">
            <w:pPr>
              <w:spacing w:after="0" w:line="240" w:lineRule="auto"/>
              <w:jc w:val="center"/>
              <w:rPr>
                <w:rFonts w:ascii="Arial Narrow" w:hAnsi="Arial Narrow" w:cs="Times New Roman"/>
                <w:b/>
                <w:bCs/>
                <w:sz w:val="20"/>
                <w:szCs w:val="18"/>
                <w:lang w:val="en-US" w:eastAsia="en-US"/>
              </w:rPr>
            </w:pPr>
            <w:r>
              <w:rPr>
                <w:rFonts w:ascii="Arial Narrow" w:hAnsi="Arial Narrow" w:cs="Times New Roman"/>
                <w:sz w:val="20"/>
                <w:szCs w:val="18"/>
                <w:lang w:val="en-US" w:eastAsia="en-US"/>
              </w:rPr>
              <w:t>EZ</w:t>
            </w:r>
            <w:r w:rsidR="005C1565">
              <w:rPr>
                <w:rFonts w:ascii="Arial Narrow" w:hAnsi="Arial Narrow" w:cs="Times New Roman"/>
                <w:sz w:val="20"/>
                <w:szCs w:val="18"/>
                <w:lang w:val="en-US" w:eastAsia="en-US"/>
              </w:rPr>
              <w:t xml:space="preserve"> 10+</w:t>
            </w:r>
            <w:r w:rsidR="009601A5">
              <w:rPr>
                <w:rFonts w:ascii="Arial Narrow" w:hAnsi="Arial Narrow" w:cs="Times New Roman"/>
                <w:sz w:val="20"/>
                <w:szCs w:val="18"/>
                <w:lang w:val="en-US" w:eastAsia="en-US"/>
              </w:rPr>
              <w:t xml:space="preserve">SIM </w:t>
            </w:r>
            <w:r w:rsidR="009B2C7E" w:rsidRPr="009B2C7E">
              <w:rPr>
                <w:rFonts w:ascii="Arial Narrow" w:hAnsi="Arial Narrow" w:cs="Times New Roman"/>
                <w:sz w:val="20"/>
                <w:szCs w:val="18"/>
                <w:lang w:val="en-US" w:eastAsia="en-US"/>
              </w:rPr>
              <w:t>20</w:t>
            </w:r>
          </w:p>
        </w:tc>
        <w:tc>
          <w:tcPr>
            <w:tcW w:w="545" w:type="pct"/>
            <w:vMerge/>
            <w:tcBorders>
              <w:left w:val="single" w:sz="4" w:space="0" w:color="auto"/>
              <w:right w:val="single" w:sz="4" w:space="0" w:color="auto"/>
            </w:tcBorders>
            <w:tcMar>
              <w:top w:w="0" w:type="dxa"/>
              <w:left w:w="28" w:type="dxa"/>
              <w:bottom w:w="0" w:type="dxa"/>
              <w:right w:w="28" w:type="dxa"/>
            </w:tcMar>
            <w:vAlign w:val="center"/>
          </w:tcPr>
          <w:p w14:paraId="2E1C09FC" w14:textId="77777777" w:rsidR="009B2C7E" w:rsidRPr="009B2C7E" w:rsidRDefault="009B2C7E" w:rsidP="00454420">
            <w:pPr>
              <w:spacing w:after="0" w:line="264" w:lineRule="auto"/>
              <w:jc w:val="center"/>
              <w:rPr>
                <w:rFonts w:ascii="Arial Narrow" w:hAnsi="Arial Narrow" w:cs="Times New Roman"/>
                <w:b/>
                <w:bCs/>
                <w:sz w:val="20"/>
                <w:szCs w:val="18"/>
                <w:lang w:val="en-US" w:eastAsia="en-US"/>
              </w:rPr>
            </w:pPr>
          </w:p>
        </w:tc>
        <w:tc>
          <w:tcPr>
            <w:tcW w:w="348" w:type="pct"/>
            <w:vMerge/>
            <w:tcBorders>
              <w:left w:val="single" w:sz="4" w:space="0" w:color="auto"/>
              <w:right w:val="single" w:sz="4" w:space="0" w:color="auto"/>
            </w:tcBorders>
            <w:tcMar>
              <w:top w:w="0" w:type="dxa"/>
              <w:left w:w="28" w:type="dxa"/>
              <w:bottom w:w="0" w:type="dxa"/>
              <w:right w:w="28" w:type="dxa"/>
            </w:tcMar>
            <w:vAlign w:val="center"/>
          </w:tcPr>
          <w:p w14:paraId="04B7D5CD"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r>
      <w:tr w:rsidR="00534207" w:rsidRPr="009B2C7E" w14:paraId="6AA8AB04" w14:textId="77777777" w:rsidTr="00E0757E">
        <w:tc>
          <w:tcPr>
            <w:tcW w:w="384" w:type="pct"/>
            <w:vMerge/>
            <w:tcBorders>
              <w:left w:val="single" w:sz="4" w:space="0" w:color="auto"/>
              <w:bottom w:val="single" w:sz="4" w:space="0" w:color="auto"/>
              <w:right w:val="single" w:sz="4" w:space="0" w:color="auto"/>
            </w:tcBorders>
            <w:vAlign w:val="center"/>
          </w:tcPr>
          <w:p w14:paraId="44FFE5F9" w14:textId="77777777" w:rsidR="009B2C7E" w:rsidRPr="009B2C7E" w:rsidRDefault="009B2C7E" w:rsidP="009B2C7E">
            <w:pPr>
              <w:spacing w:after="0" w:line="240" w:lineRule="auto"/>
              <w:rPr>
                <w:rFonts w:ascii="Arial Narrow" w:hAnsi="Arial Narrow" w:cs="Times New Roman"/>
                <w:b/>
                <w:bCs/>
                <w:sz w:val="20"/>
                <w:szCs w:val="18"/>
                <w:lang w:val="en-US" w:eastAsia="en-US"/>
              </w:rPr>
            </w:pPr>
          </w:p>
        </w:tc>
        <w:tc>
          <w:tcPr>
            <w:tcW w:w="264" w:type="pct"/>
            <w:vMerge/>
            <w:tcBorders>
              <w:left w:val="single" w:sz="4" w:space="0" w:color="auto"/>
              <w:bottom w:val="single" w:sz="4" w:space="0" w:color="auto"/>
              <w:right w:val="single" w:sz="4" w:space="0" w:color="auto"/>
            </w:tcBorders>
            <w:vAlign w:val="center"/>
          </w:tcPr>
          <w:p w14:paraId="28265D79" w14:textId="77777777" w:rsidR="009B2C7E" w:rsidRPr="009B2C7E" w:rsidRDefault="009B2C7E" w:rsidP="00BB4365">
            <w:pPr>
              <w:spacing w:after="0" w:line="240"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vAlign w:val="center"/>
          </w:tcPr>
          <w:p w14:paraId="62DCA087" w14:textId="77777777" w:rsidR="009B2C7E" w:rsidRPr="009B2C7E" w:rsidRDefault="009B2C7E" w:rsidP="00454420">
            <w:pPr>
              <w:spacing w:after="0" w:line="240" w:lineRule="auto"/>
              <w:jc w:val="center"/>
              <w:rPr>
                <w:rFonts w:ascii="Arial Narrow" w:hAnsi="Arial Narrow" w:cs="Times New Roman"/>
                <w:b/>
                <w:bCs/>
                <w:sz w:val="20"/>
                <w:szCs w:val="18"/>
                <w:lang w:val="en-US" w:eastAsia="en-US"/>
              </w:rPr>
            </w:pPr>
          </w:p>
        </w:tc>
        <w:tc>
          <w:tcPr>
            <w:tcW w:w="0" w:type="auto"/>
            <w:tcBorders>
              <w:top w:val="single" w:sz="4" w:space="0" w:color="auto"/>
              <w:left w:val="single" w:sz="4" w:space="0" w:color="auto"/>
              <w:bottom w:val="single" w:sz="4" w:space="0" w:color="auto"/>
              <w:right w:val="single" w:sz="4" w:space="0" w:color="auto"/>
            </w:tcBorders>
          </w:tcPr>
          <w:p w14:paraId="45075660" w14:textId="77777777" w:rsidR="009B2C7E" w:rsidRPr="009B2C7E" w:rsidRDefault="009B2C7E" w:rsidP="005921DA">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262</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58979F7"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618D172"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60.8±9.99</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127DEA7"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1957726"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45"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E08B569"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F24575C"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vAlign w:val="center"/>
          </w:tcPr>
          <w:p w14:paraId="70383292" w14:textId="2E96D779" w:rsidR="009B2C7E" w:rsidRPr="009B2C7E" w:rsidRDefault="00BB4365" w:rsidP="00BB4365">
            <w:pPr>
              <w:spacing w:after="0" w:line="240" w:lineRule="auto"/>
              <w:jc w:val="center"/>
              <w:rPr>
                <w:rFonts w:ascii="Arial Narrow" w:hAnsi="Arial Narrow" w:cs="Times New Roman"/>
                <w:b/>
                <w:bCs/>
                <w:sz w:val="20"/>
                <w:szCs w:val="18"/>
                <w:lang w:val="en-US" w:eastAsia="en-US"/>
              </w:rPr>
            </w:pPr>
            <w:r>
              <w:rPr>
                <w:rFonts w:ascii="Arial Narrow" w:hAnsi="Arial Narrow" w:cs="Times New Roman"/>
                <w:sz w:val="20"/>
                <w:szCs w:val="18"/>
                <w:lang w:val="en-US" w:eastAsia="en-US"/>
              </w:rPr>
              <w:t xml:space="preserve">PBO + </w:t>
            </w:r>
            <w:r w:rsidR="009B2C7E" w:rsidRPr="009B2C7E">
              <w:rPr>
                <w:rFonts w:ascii="Arial Narrow" w:hAnsi="Arial Narrow" w:cs="Times New Roman"/>
                <w:sz w:val="20"/>
                <w:szCs w:val="18"/>
                <w:lang w:val="en-US" w:eastAsia="en-US"/>
              </w:rPr>
              <w:t>ATOR 10</w:t>
            </w:r>
            <w:r>
              <w:rPr>
                <w:rFonts w:ascii="Arial Narrow" w:hAnsi="Arial Narrow" w:cs="Times New Roman"/>
                <w:sz w:val="20"/>
                <w:szCs w:val="18"/>
                <w:lang w:val="en-US" w:eastAsia="en-US"/>
              </w:rPr>
              <w:t xml:space="preserve"> </w:t>
            </w:r>
          </w:p>
        </w:tc>
        <w:tc>
          <w:tcPr>
            <w:tcW w:w="545"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6F8F630" w14:textId="77777777" w:rsidR="009B2C7E" w:rsidRPr="009B2C7E" w:rsidRDefault="009B2C7E" w:rsidP="00454420">
            <w:pPr>
              <w:spacing w:after="0" w:line="264" w:lineRule="auto"/>
              <w:jc w:val="center"/>
              <w:rPr>
                <w:rFonts w:ascii="Arial Narrow" w:hAnsi="Arial Narrow" w:cs="Times New Roman"/>
                <w:b/>
                <w:bCs/>
                <w:sz w:val="20"/>
                <w:szCs w:val="18"/>
                <w:lang w:val="en-US" w:eastAsia="en-US"/>
              </w:rPr>
            </w:pPr>
          </w:p>
        </w:tc>
        <w:tc>
          <w:tcPr>
            <w:tcW w:w="348"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8095FB0"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r>
      <w:tr w:rsidR="00534207" w:rsidRPr="009B2C7E" w14:paraId="73818A6C" w14:textId="77777777" w:rsidTr="00E0757E">
        <w:tc>
          <w:tcPr>
            <w:tcW w:w="384" w:type="pct"/>
            <w:vMerge w:val="restart"/>
            <w:tcBorders>
              <w:top w:val="single" w:sz="4" w:space="0" w:color="auto"/>
              <w:left w:val="single" w:sz="4" w:space="0" w:color="auto"/>
              <w:right w:val="single" w:sz="4" w:space="0" w:color="auto"/>
            </w:tcBorders>
            <w:vAlign w:val="center"/>
          </w:tcPr>
          <w:p w14:paraId="63B5AE9D" w14:textId="69068BBC" w:rsidR="009B2C7E" w:rsidRPr="009B2C7E" w:rsidRDefault="009B2C7E" w:rsidP="005921DA">
            <w:pPr>
              <w:spacing w:after="0" w:line="240" w:lineRule="auto"/>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McKenney  2007</w:t>
            </w:r>
          </w:p>
        </w:tc>
        <w:tc>
          <w:tcPr>
            <w:tcW w:w="264" w:type="pct"/>
            <w:vMerge w:val="restart"/>
            <w:tcBorders>
              <w:top w:val="single" w:sz="4" w:space="0" w:color="auto"/>
              <w:left w:val="single" w:sz="4" w:space="0" w:color="auto"/>
              <w:right w:val="single" w:sz="4" w:space="0" w:color="auto"/>
            </w:tcBorders>
            <w:vAlign w:val="center"/>
          </w:tcPr>
          <w:p w14:paraId="4BF8A808" w14:textId="77777777" w:rsidR="009B2C7E" w:rsidRPr="009B2C7E" w:rsidRDefault="009B2C7E" w:rsidP="00BB4365">
            <w:pPr>
              <w:spacing w:after="0" w:line="240"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OL, P</w:t>
            </w:r>
          </w:p>
        </w:tc>
        <w:tc>
          <w:tcPr>
            <w:tcW w:w="334" w:type="pct"/>
            <w:vMerge w:val="restart"/>
            <w:tcBorders>
              <w:top w:val="single" w:sz="4" w:space="0" w:color="auto"/>
              <w:left w:val="single" w:sz="4" w:space="0" w:color="auto"/>
              <w:right w:val="single" w:sz="4" w:space="0" w:color="auto"/>
            </w:tcBorders>
            <w:vAlign w:val="center"/>
          </w:tcPr>
          <w:p w14:paraId="1D53236F" w14:textId="77777777" w:rsidR="009B2C7E" w:rsidRPr="009B2C7E" w:rsidRDefault="009B2C7E" w:rsidP="00454420">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12 weeks</w:t>
            </w:r>
          </w:p>
        </w:tc>
        <w:tc>
          <w:tcPr>
            <w:tcW w:w="0" w:type="auto"/>
            <w:tcBorders>
              <w:top w:val="single" w:sz="4" w:space="0" w:color="auto"/>
              <w:left w:val="single" w:sz="4" w:space="0" w:color="auto"/>
              <w:bottom w:val="single" w:sz="4" w:space="0" w:color="auto"/>
              <w:right w:val="single" w:sz="4" w:space="0" w:color="auto"/>
            </w:tcBorders>
          </w:tcPr>
          <w:p w14:paraId="19831BB7" w14:textId="77777777" w:rsidR="009B2C7E" w:rsidRPr="009B2C7E" w:rsidRDefault="009B2C7E" w:rsidP="005921DA">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72</w:t>
            </w:r>
          </w:p>
        </w:tc>
        <w:tc>
          <w:tcPr>
            <w:tcW w:w="314" w:type="pct"/>
            <w:tcBorders>
              <w:top w:val="single" w:sz="4" w:space="0" w:color="auto"/>
              <w:left w:val="single" w:sz="4" w:space="0" w:color="auto"/>
              <w:right w:val="single" w:sz="4" w:space="0" w:color="auto"/>
            </w:tcBorders>
            <w:tcMar>
              <w:top w:w="0" w:type="dxa"/>
              <w:left w:w="28" w:type="dxa"/>
              <w:bottom w:w="0" w:type="dxa"/>
              <w:right w:w="28" w:type="dxa"/>
            </w:tcMar>
            <w:vAlign w:val="center"/>
          </w:tcPr>
          <w:p w14:paraId="55CAEC68"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3º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4DC4312"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59±10</w:t>
            </w:r>
          </w:p>
        </w:tc>
        <w:tc>
          <w:tcPr>
            <w:tcW w:w="349" w:type="pct"/>
            <w:tcBorders>
              <w:top w:val="single" w:sz="4" w:space="0" w:color="auto"/>
              <w:left w:val="single" w:sz="4" w:space="0" w:color="auto"/>
              <w:right w:val="single" w:sz="4" w:space="0" w:color="auto"/>
            </w:tcBorders>
            <w:tcMar>
              <w:top w:w="0" w:type="dxa"/>
              <w:left w:w="28" w:type="dxa"/>
              <w:bottom w:w="0" w:type="dxa"/>
              <w:right w:w="28" w:type="dxa"/>
            </w:tcMar>
            <w:vAlign w:val="center"/>
          </w:tcPr>
          <w:p w14:paraId="7105FBF4"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3.4-4.9</w:t>
            </w:r>
          </w:p>
        </w:tc>
        <w:tc>
          <w:tcPr>
            <w:tcW w:w="347" w:type="pct"/>
            <w:tcBorders>
              <w:top w:val="single" w:sz="4" w:space="0" w:color="auto"/>
              <w:left w:val="single" w:sz="4" w:space="0" w:color="auto"/>
              <w:right w:val="single" w:sz="4" w:space="0" w:color="auto"/>
            </w:tcBorders>
            <w:tcMar>
              <w:top w:w="0" w:type="dxa"/>
              <w:left w:w="28" w:type="dxa"/>
              <w:bottom w:w="0" w:type="dxa"/>
              <w:right w:w="28" w:type="dxa"/>
            </w:tcMar>
            <w:vAlign w:val="center"/>
          </w:tcPr>
          <w:p w14:paraId="0D9FA77F"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NR</w:t>
            </w:r>
          </w:p>
        </w:tc>
        <w:tc>
          <w:tcPr>
            <w:tcW w:w="345"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0E95D52"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3ADF6BE"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vAlign w:val="center"/>
          </w:tcPr>
          <w:p w14:paraId="53DFBCB3" w14:textId="67AFE488" w:rsidR="009B2C7E" w:rsidRPr="009B2C7E" w:rsidRDefault="00F903C8" w:rsidP="00BB4365">
            <w:pPr>
              <w:spacing w:after="0" w:line="240" w:lineRule="auto"/>
              <w:jc w:val="center"/>
              <w:rPr>
                <w:rFonts w:ascii="Arial Narrow" w:hAnsi="Arial Narrow" w:cs="Times New Roman"/>
                <w:b/>
                <w:bCs/>
                <w:sz w:val="20"/>
                <w:szCs w:val="18"/>
                <w:lang w:val="en-US" w:eastAsia="en-US"/>
              </w:rPr>
            </w:pPr>
            <w:r>
              <w:rPr>
                <w:rFonts w:ascii="Arial Narrow" w:hAnsi="Arial Narrow" w:cs="Times New Roman"/>
                <w:sz w:val="20"/>
                <w:szCs w:val="18"/>
                <w:lang w:val="en-US" w:eastAsia="en-US"/>
              </w:rPr>
              <w:t>EZ</w:t>
            </w:r>
            <w:r w:rsidR="00317F73">
              <w:rPr>
                <w:rFonts w:ascii="Arial Narrow" w:hAnsi="Arial Narrow" w:cs="Times New Roman"/>
                <w:sz w:val="20"/>
                <w:szCs w:val="18"/>
                <w:lang w:val="en-US" w:eastAsia="en-US"/>
              </w:rPr>
              <w:t xml:space="preserve"> 10+SIM</w:t>
            </w:r>
            <w:r w:rsidR="009B2C7E" w:rsidRPr="009B2C7E">
              <w:rPr>
                <w:rFonts w:ascii="Arial Narrow" w:hAnsi="Arial Narrow" w:cs="Times New Roman"/>
                <w:sz w:val="20"/>
                <w:szCs w:val="18"/>
                <w:lang w:val="en-US" w:eastAsia="en-US"/>
              </w:rPr>
              <w:t xml:space="preserve"> 20</w:t>
            </w:r>
          </w:p>
        </w:tc>
        <w:tc>
          <w:tcPr>
            <w:tcW w:w="545"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9570B86" w14:textId="77777777" w:rsidR="009B2C7E" w:rsidRPr="009B2C7E" w:rsidRDefault="009B2C7E" w:rsidP="0045442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8</w:t>
            </w:r>
          </w:p>
          <w:p w14:paraId="2B61EE1F" w14:textId="77777777" w:rsidR="009B2C7E" w:rsidRPr="009B2C7E" w:rsidRDefault="009B2C7E" w:rsidP="00454420">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At week 12</w:t>
            </w:r>
          </w:p>
        </w:tc>
        <w:tc>
          <w:tcPr>
            <w:tcW w:w="348"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6F8D7F4"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Not assessed</w:t>
            </w:r>
          </w:p>
        </w:tc>
      </w:tr>
      <w:tr w:rsidR="00534207" w:rsidRPr="009B2C7E" w14:paraId="62674B07" w14:textId="77777777" w:rsidTr="00E0757E">
        <w:tc>
          <w:tcPr>
            <w:tcW w:w="384" w:type="pct"/>
            <w:vMerge/>
            <w:tcBorders>
              <w:left w:val="single" w:sz="4" w:space="0" w:color="auto"/>
              <w:bottom w:val="single" w:sz="4" w:space="0" w:color="auto"/>
              <w:right w:val="single" w:sz="4" w:space="0" w:color="auto"/>
            </w:tcBorders>
            <w:vAlign w:val="center"/>
          </w:tcPr>
          <w:p w14:paraId="4BA848D2" w14:textId="77777777" w:rsidR="009B2C7E" w:rsidRPr="009B2C7E" w:rsidRDefault="009B2C7E" w:rsidP="009B2C7E">
            <w:pPr>
              <w:spacing w:after="0" w:line="240" w:lineRule="auto"/>
              <w:rPr>
                <w:rFonts w:ascii="Arial Narrow" w:hAnsi="Arial Narrow" w:cs="Times New Roman"/>
                <w:b/>
                <w:bCs/>
                <w:sz w:val="20"/>
                <w:szCs w:val="18"/>
                <w:lang w:val="en-US" w:eastAsia="en-US"/>
              </w:rPr>
            </w:pPr>
          </w:p>
        </w:tc>
        <w:tc>
          <w:tcPr>
            <w:tcW w:w="264" w:type="pct"/>
            <w:vMerge/>
            <w:tcBorders>
              <w:left w:val="single" w:sz="4" w:space="0" w:color="auto"/>
              <w:bottom w:val="single" w:sz="4" w:space="0" w:color="auto"/>
              <w:right w:val="single" w:sz="4" w:space="0" w:color="auto"/>
            </w:tcBorders>
            <w:vAlign w:val="center"/>
          </w:tcPr>
          <w:p w14:paraId="11FE763C" w14:textId="77777777" w:rsidR="009B2C7E" w:rsidRPr="009B2C7E" w:rsidRDefault="009B2C7E" w:rsidP="00BB4365">
            <w:pPr>
              <w:spacing w:after="0" w:line="240"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vAlign w:val="center"/>
          </w:tcPr>
          <w:p w14:paraId="6A0A9C62" w14:textId="77777777" w:rsidR="009B2C7E" w:rsidRPr="009B2C7E" w:rsidRDefault="009B2C7E" w:rsidP="00454420">
            <w:pPr>
              <w:spacing w:after="0" w:line="240" w:lineRule="auto"/>
              <w:jc w:val="center"/>
              <w:rPr>
                <w:rFonts w:ascii="Arial Narrow" w:hAnsi="Arial Narrow" w:cs="Times New Roman"/>
                <w:b/>
                <w:bCs/>
                <w:sz w:val="20"/>
                <w:szCs w:val="18"/>
                <w:lang w:val="en-US" w:eastAsia="en-US"/>
              </w:rPr>
            </w:pPr>
          </w:p>
        </w:tc>
        <w:tc>
          <w:tcPr>
            <w:tcW w:w="0" w:type="auto"/>
            <w:tcBorders>
              <w:top w:val="single" w:sz="4" w:space="0" w:color="auto"/>
              <w:left w:val="single" w:sz="4" w:space="0" w:color="auto"/>
              <w:bottom w:val="single" w:sz="4" w:space="0" w:color="auto"/>
              <w:right w:val="single" w:sz="4" w:space="0" w:color="auto"/>
            </w:tcBorders>
          </w:tcPr>
          <w:p w14:paraId="341E4B78" w14:textId="77777777" w:rsidR="009B2C7E" w:rsidRPr="009B2C7E" w:rsidRDefault="009B2C7E" w:rsidP="005921DA">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73</w:t>
            </w:r>
          </w:p>
        </w:tc>
        <w:tc>
          <w:tcPr>
            <w:tcW w:w="314" w:type="pct"/>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9421BB4"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82D8B74"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59±11</w:t>
            </w:r>
          </w:p>
        </w:tc>
        <w:tc>
          <w:tcPr>
            <w:tcW w:w="349" w:type="pct"/>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64BAA6C"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47" w:type="pct"/>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FD5BD6F"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45"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5D1411C"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7BBBDB0"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vAlign w:val="center"/>
          </w:tcPr>
          <w:p w14:paraId="78690624" w14:textId="1E76696B" w:rsidR="009B2C7E" w:rsidRPr="009B2C7E" w:rsidRDefault="009B2C7E" w:rsidP="00C70A6A">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ROSU</w:t>
            </w:r>
            <w:r w:rsidR="00317F73">
              <w:rPr>
                <w:rFonts w:ascii="Arial Narrow" w:hAnsi="Arial Narrow" w:cs="Times New Roman"/>
                <w:sz w:val="20"/>
                <w:szCs w:val="18"/>
                <w:lang w:val="en-US" w:eastAsia="en-US"/>
              </w:rPr>
              <w:t>V</w:t>
            </w:r>
            <w:r w:rsidRPr="009B2C7E">
              <w:rPr>
                <w:rFonts w:ascii="Arial Narrow" w:hAnsi="Arial Narrow" w:cs="Times New Roman"/>
                <w:sz w:val="20"/>
                <w:szCs w:val="18"/>
                <w:lang w:val="en-US" w:eastAsia="en-US"/>
              </w:rPr>
              <w:t xml:space="preserve"> 10</w:t>
            </w:r>
          </w:p>
        </w:tc>
        <w:tc>
          <w:tcPr>
            <w:tcW w:w="545"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01D80FF" w14:textId="77777777" w:rsidR="009B2C7E" w:rsidRPr="009B2C7E" w:rsidRDefault="009B2C7E" w:rsidP="00454420">
            <w:pPr>
              <w:spacing w:after="0" w:line="264" w:lineRule="auto"/>
              <w:jc w:val="center"/>
              <w:rPr>
                <w:rFonts w:ascii="Arial Narrow" w:hAnsi="Arial Narrow" w:cs="Times New Roman"/>
                <w:b/>
                <w:bCs/>
                <w:sz w:val="20"/>
                <w:szCs w:val="18"/>
                <w:lang w:val="en-US" w:eastAsia="en-US"/>
              </w:rPr>
            </w:pPr>
          </w:p>
        </w:tc>
        <w:tc>
          <w:tcPr>
            <w:tcW w:w="348"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6EAA276"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r>
      <w:tr w:rsidR="00534207" w:rsidRPr="009B2C7E" w14:paraId="6E55B1AE" w14:textId="77777777" w:rsidTr="00E0757E">
        <w:tc>
          <w:tcPr>
            <w:tcW w:w="384" w:type="pct"/>
            <w:vMerge w:val="restart"/>
            <w:tcBorders>
              <w:top w:val="single" w:sz="4" w:space="0" w:color="auto"/>
              <w:left w:val="single" w:sz="4" w:space="0" w:color="auto"/>
              <w:right w:val="single" w:sz="4" w:space="0" w:color="auto"/>
            </w:tcBorders>
            <w:vAlign w:val="center"/>
          </w:tcPr>
          <w:p w14:paraId="2FB6344B" w14:textId="13BB720E" w:rsidR="009B2C7E" w:rsidRPr="009B2C7E" w:rsidRDefault="005921DA" w:rsidP="009B2C7E">
            <w:pPr>
              <w:spacing w:after="0" w:line="240"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P693</w:t>
            </w:r>
            <w:r>
              <w:rPr>
                <w:rFonts w:ascii="Arial Narrow" w:hAnsi="Arial Narrow" w:cs="Times New Roman"/>
                <w:sz w:val="20"/>
                <w:szCs w:val="18"/>
                <w:lang w:val="en-US" w:eastAsia="en-US"/>
              </w:rPr>
              <w:t xml:space="preserve"> </w:t>
            </w:r>
            <w:r w:rsidR="009B2C7E" w:rsidRPr="009B2C7E">
              <w:rPr>
                <w:rFonts w:ascii="Arial Narrow" w:hAnsi="Arial Narrow" w:cs="Times New Roman"/>
                <w:sz w:val="20"/>
                <w:szCs w:val="18"/>
                <w:lang w:val="en-US" w:eastAsia="en-US"/>
              </w:rPr>
              <w:t>Stein 2004</w:t>
            </w:r>
          </w:p>
          <w:p w14:paraId="7C00F889" w14:textId="61E4633C" w:rsidR="009B2C7E" w:rsidRPr="009B2C7E" w:rsidRDefault="009B2C7E" w:rsidP="005921DA">
            <w:pPr>
              <w:spacing w:after="0" w:line="240" w:lineRule="auto"/>
              <w:rPr>
                <w:rFonts w:ascii="Arial Narrow" w:hAnsi="Arial Narrow" w:cs="Times New Roman"/>
                <w:b/>
                <w:bCs/>
                <w:sz w:val="20"/>
                <w:szCs w:val="18"/>
                <w:lang w:val="en-US" w:eastAsia="en-US"/>
              </w:rPr>
            </w:pPr>
          </w:p>
        </w:tc>
        <w:tc>
          <w:tcPr>
            <w:tcW w:w="264" w:type="pct"/>
            <w:vMerge w:val="restart"/>
            <w:tcBorders>
              <w:top w:val="single" w:sz="4" w:space="0" w:color="auto"/>
              <w:left w:val="single" w:sz="4" w:space="0" w:color="auto"/>
              <w:right w:val="single" w:sz="4" w:space="0" w:color="auto"/>
            </w:tcBorders>
            <w:vAlign w:val="center"/>
          </w:tcPr>
          <w:p w14:paraId="4C4B9110" w14:textId="77777777" w:rsidR="009B2C7E" w:rsidRPr="009B2C7E" w:rsidRDefault="009B2C7E" w:rsidP="00BB4365">
            <w:pPr>
              <w:spacing w:after="0" w:line="240"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w:t>
            </w:r>
          </w:p>
        </w:tc>
        <w:tc>
          <w:tcPr>
            <w:tcW w:w="334" w:type="pct"/>
            <w:vMerge w:val="restart"/>
            <w:tcBorders>
              <w:top w:val="single" w:sz="4" w:space="0" w:color="auto"/>
              <w:left w:val="single" w:sz="4" w:space="0" w:color="auto"/>
              <w:right w:val="single" w:sz="4" w:space="0" w:color="auto"/>
            </w:tcBorders>
            <w:vAlign w:val="center"/>
          </w:tcPr>
          <w:p w14:paraId="0A08DEDE" w14:textId="77777777" w:rsidR="009B2C7E" w:rsidRPr="009B2C7E" w:rsidRDefault="009B2C7E" w:rsidP="00454420">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14 weeks</w:t>
            </w:r>
          </w:p>
        </w:tc>
        <w:tc>
          <w:tcPr>
            <w:tcW w:w="0" w:type="auto"/>
            <w:tcBorders>
              <w:top w:val="single" w:sz="4" w:space="0" w:color="auto"/>
              <w:left w:val="single" w:sz="4" w:space="0" w:color="auto"/>
              <w:bottom w:val="single" w:sz="4" w:space="0" w:color="auto"/>
              <w:right w:val="single" w:sz="4" w:space="0" w:color="auto"/>
            </w:tcBorders>
          </w:tcPr>
          <w:p w14:paraId="115AAC24" w14:textId="77777777" w:rsidR="009B2C7E" w:rsidRPr="009B2C7E" w:rsidRDefault="009B2C7E" w:rsidP="005921DA">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305</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E8A8B1D"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3º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407AD8F"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53.0(18-82)</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599E825"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3.36</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C6B98D3"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NR</w:t>
            </w:r>
          </w:p>
        </w:tc>
        <w:tc>
          <w:tcPr>
            <w:tcW w:w="345"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6D2B822"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2</w:t>
            </w:r>
            <w:r w:rsidRPr="009B2C7E">
              <w:rPr>
                <w:rFonts w:ascii="Arial Narrow" w:hAnsi="Arial Narrow" w:cs="Times New Roman"/>
                <w:sz w:val="20"/>
                <w:szCs w:val="18"/>
                <w:vertAlign w:val="superscript"/>
                <w:lang w:val="en-US" w:eastAsia="en-US"/>
              </w:rPr>
              <w:t>nd</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CEED655"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vAlign w:val="center"/>
          </w:tcPr>
          <w:p w14:paraId="41A13699" w14:textId="4FF34CDF" w:rsidR="009B2C7E" w:rsidRPr="009B2C7E" w:rsidRDefault="00F903C8" w:rsidP="00BB4365">
            <w:pPr>
              <w:spacing w:after="0" w:line="240" w:lineRule="auto"/>
              <w:jc w:val="center"/>
              <w:rPr>
                <w:rFonts w:ascii="Arial Narrow" w:hAnsi="Arial Narrow" w:cs="Times New Roman"/>
                <w:b/>
                <w:bCs/>
                <w:sz w:val="20"/>
                <w:szCs w:val="18"/>
                <w:lang w:val="en-US" w:eastAsia="en-US"/>
              </w:rPr>
            </w:pPr>
            <w:r>
              <w:rPr>
                <w:rFonts w:ascii="Arial Narrow" w:hAnsi="Arial Narrow" w:cs="Times New Roman"/>
                <w:sz w:val="20"/>
                <w:szCs w:val="18"/>
                <w:lang w:val="en-US" w:eastAsia="en-US"/>
              </w:rPr>
              <w:t>EZ</w:t>
            </w:r>
            <w:r w:rsidR="009B2C7E" w:rsidRPr="009B2C7E">
              <w:rPr>
                <w:rFonts w:ascii="Arial Narrow" w:hAnsi="Arial Narrow" w:cs="Times New Roman"/>
                <w:sz w:val="20"/>
                <w:szCs w:val="18"/>
                <w:lang w:val="en-US" w:eastAsia="en-US"/>
              </w:rPr>
              <w:t xml:space="preserve"> 10+ATOR 10</w:t>
            </w:r>
          </w:p>
        </w:tc>
        <w:tc>
          <w:tcPr>
            <w:tcW w:w="545"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0B85C81" w14:textId="77777777" w:rsidR="009B2C7E" w:rsidRPr="009B2C7E" w:rsidRDefault="009B2C7E" w:rsidP="00454420">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At week 14</w:t>
            </w:r>
          </w:p>
        </w:tc>
        <w:tc>
          <w:tcPr>
            <w:tcW w:w="348"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BC1A14C"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Not assessed</w:t>
            </w:r>
          </w:p>
        </w:tc>
      </w:tr>
      <w:tr w:rsidR="00534207" w:rsidRPr="009B2C7E" w14:paraId="1979EE7A" w14:textId="77777777" w:rsidTr="00E0757E">
        <w:tc>
          <w:tcPr>
            <w:tcW w:w="384" w:type="pct"/>
            <w:vMerge/>
            <w:tcBorders>
              <w:left w:val="single" w:sz="4" w:space="0" w:color="auto"/>
              <w:bottom w:val="single" w:sz="4" w:space="0" w:color="auto"/>
              <w:right w:val="single" w:sz="4" w:space="0" w:color="auto"/>
            </w:tcBorders>
            <w:vAlign w:val="center"/>
          </w:tcPr>
          <w:p w14:paraId="688E4E94" w14:textId="77777777" w:rsidR="009B2C7E" w:rsidRPr="009B2C7E" w:rsidRDefault="009B2C7E" w:rsidP="009B2C7E">
            <w:pPr>
              <w:spacing w:after="0" w:line="240" w:lineRule="auto"/>
              <w:rPr>
                <w:rFonts w:ascii="Arial Narrow" w:hAnsi="Arial Narrow" w:cs="Times New Roman"/>
                <w:b/>
                <w:bCs/>
                <w:sz w:val="20"/>
                <w:szCs w:val="18"/>
                <w:lang w:val="en-US" w:eastAsia="en-US"/>
              </w:rPr>
            </w:pPr>
          </w:p>
        </w:tc>
        <w:tc>
          <w:tcPr>
            <w:tcW w:w="264" w:type="pct"/>
            <w:vMerge/>
            <w:tcBorders>
              <w:left w:val="single" w:sz="4" w:space="0" w:color="auto"/>
              <w:bottom w:val="single" w:sz="4" w:space="0" w:color="auto"/>
              <w:right w:val="single" w:sz="4" w:space="0" w:color="auto"/>
            </w:tcBorders>
            <w:vAlign w:val="center"/>
          </w:tcPr>
          <w:p w14:paraId="36697309" w14:textId="77777777" w:rsidR="009B2C7E" w:rsidRPr="009B2C7E" w:rsidRDefault="009B2C7E" w:rsidP="00BB4365">
            <w:pPr>
              <w:spacing w:after="0" w:line="240"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vAlign w:val="center"/>
          </w:tcPr>
          <w:p w14:paraId="066EEFFF" w14:textId="77777777" w:rsidR="009B2C7E" w:rsidRPr="009B2C7E" w:rsidRDefault="009B2C7E" w:rsidP="00454420">
            <w:pPr>
              <w:spacing w:after="0" w:line="240" w:lineRule="auto"/>
              <w:jc w:val="center"/>
              <w:rPr>
                <w:rFonts w:ascii="Arial Narrow" w:hAnsi="Arial Narrow" w:cs="Times New Roman"/>
                <w:b/>
                <w:bCs/>
                <w:sz w:val="20"/>
                <w:szCs w:val="18"/>
                <w:lang w:val="en-US" w:eastAsia="en-US"/>
              </w:rPr>
            </w:pPr>
          </w:p>
        </w:tc>
        <w:tc>
          <w:tcPr>
            <w:tcW w:w="0" w:type="auto"/>
            <w:tcBorders>
              <w:top w:val="single" w:sz="4" w:space="0" w:color="auto"/>
              <w:left w:val="single" w:sz="4" w:space="0" w:color="auto"/>
              <w:bottom w:val="single" w:sz="4" w:space="0" w:color="auto"/>
              <w:right w:val="single" w:sz="4" w:space="0" w:color="auto"/>
            </w:tcBorders>
          </w:tcPr>
          <w:p w14:paraId="68F9C74D" w14:textId="77777777" w:rsidR="009B2C7E" w:rsidRPr="009B2C7E" w:rsidRDefault="009B2C7E" w:rsidP="005921DA">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316</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15FC19E"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193B2C6"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51.6(18-80)</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A3E30BD"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EE0C88F"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45"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07AE034"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4F804F5"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vAlign w:val="center"/>
          </w:tcPr>
          <w:p w14:paraId="09E2EB39" w14:textId="2B6AAA5D" w:rsidR="009B2C7E" w:rsidRPr="009B2C7E" w:rsidRDefault="00C70A6A" w:rsidP="00BB4365">
            <w:pPr>
              <w:spacing w:after="0" w:line="240" w:lineRule="auto"/>
              <w:jc w:val="center"/>
              <w:rPr>
                <w:rFonts w:ascii="Arial Narrow" w:hAnsi="Arial Narrow" w:cs="Times New Roman"/>
                <w:b/>
                <w:bCs/>
                <w:sz w:val="20"/>
                <w:szCs w:val="18"/>
                <w:lang w:val="en-US" w:eastAsia="en-US"/>
              </w:rPr>
            </w:pPr>
            <w:r>
              <w:rPr>
                <w:rFonts w:ascii="Arial Narrow" w:hAnsi="Arial Narrow" w:cs="Times New Roman"/>
                <w:sz w:val="20"/>
                <w:szCs w:val="18"/>
                <w:lang w:val="en-US" w:eastAsia="en-US"/>
              </w:rPr>
              <w:t xml:space="preserve">PBO + </w:t>
            </w:r>
            <w:r w:rsidR="009B2C7E" w:rsidRPr="009B2C7E">
              <w:rPr>
                <w:rFonts w:ascii="Arial Narrow" w:hAnsi="Arial Narrow" w:cs="Times New Roman"/>
                <w:sz w:val="20"/>
                <w:szCs w:val="18"/>
                <w:lang w:val="en-US" w:eastAsia="en-US"/>
              </w:rPr>
              <w:t>ATOR 20</w:t>
            </w:r>
          </w:p>
        </w:tc>
        <w:tc>
          <w:tcPr>
            <w:tcW w:w="545"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166905E" w14:textId="77777777" w:rsidR="009B2C7E" w:rsidRPr="009B2C7E" w:rsidRDefault="009B2C7E" w:rsidP="00454420">
            <w:pPr>
              <w:spacing w:after="0" w:line="264" w:lineRule="auto"/>
              <w:jc w:val="center"/>
              <w:rPr>
                <w:rFonts w:ascii="Arial Narrow" w:hAnsi="Arial Narrow" w:cs="Times New Roman"/>
                <w:b/>
                <w:bCs/>
                <w:sz w:val="20"/>
                <w:szCs w:val="18"/>
                <w:lang w:val="en-US" w:eastAsia="en-US"/>
              </w:rPr>
            </w:pPr>
          </w:p>
        </w:tc>
        <w:tc>
          <w:tcPr>
            <w:tcW w:w="348"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6BD5BDD"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r>
      <w:tr w:rsidR="00534207" w:rsidRPr="009B2C7E" w14:paraId="043E74DF" w14:textId="77777777" w:rsidTr="00E0757E">
        <w:trPr>
          <w:trHeight w:val="337"/>
        </w:trPr>
        <w:tc>
          <w:tcPr>
            <w:tcW w:w="384" w:type="pct"/>
            <w:vMerge w:val="restart"/>
            <w:tcBorders>
              <w:left w:val="single" w:sz="4" w:space="0" w:color="auto"/>
              <w:right w:val="single" w:sz="4" w:space="0" w:color="auto"/>
            </w:tcBorders>
            <w:vAlign w:val="center"/>
          </w:tcPr>
          <w:p w14:paraId="75BE72D8" w14:textId="11AF9624" w:rsidR="009B2C7E" w:rsidRPr="009B2C7E" w:rsidRDefault="009B2C7E" w:rsidP="005C7E45">
            <w:pPr>
              <w:spacing w:after="0" w:line="240" w:lineRule="auto"/>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Cannon 2015</w:t>
            </w:r>
            <w:r w:rsidR="00BB4365">
              <w:rPr>
                <w:rFonts w:ascii="Arial Narrow" w:hAnsi="Arial Narrow"/>
                <w:sz w:val="20"/>
                <w:szCs w:val="20"/>
                <w:lang w:val="en-US"/>
              </w:rPr>
              <w:t xml:space="preserve"> IMPROVE-IT</w:t>
            </w:r>
          </w:p>
        </w:tc>
        <w:tc>
          <w:tcPr>
            <w:tcW w:w="264" w:type="pct"/>
            <w:vMerge w:val="restart"/>
            <w:tcBorders>
              <w:left w:val="single" w:sz="4" w:space="0" w:color="auto"/>
              <w:right w:val="single" w:sz="4" w:space="0" w:color="auto"/>
            </w:tcBorders>
            <w:vAlign w:val="center"/>
          </w:tcPr>
          <w:p w14:paraId="2648AEF9" w14:textId="2573221C" w:rsidR="009B2C7E" w:rsidRPr="009B2C7E" w:rsidRDefault="00BB4365" w:rsidP="00BB4365">
            <w:pPr>
              <w:spacing w:after="0" w:line="240" w:lineRule="auto"/>
              <w:jc w:val="center"/>
              <w:rPr>
                <w:rFonts w:ascii="Arial Narrow" w:hAnsi="Arial Narrow" w:cs="Times New Roman"/>
                <w:sz w:val="20"/>
                <w:szCs w:val="18"/>
                <w:lang w:val="en-US" w:eastAsia="en-US"/>
              </w:rPr>
            </w:pPr>
            <w:r>
              <w:rPr>
                <w:rFonts w:ascii="Arial Narrow" w:hAnsi="Arial Narrow"/>
                <w:sz w:val="20"/>
                <w:szCs w:val="20"/>
                <w:lang w:val="en-US"/>
              </w:rPr>
              <w:t>MC, R, P, DB</w:t>
            </w:r>
          </w:p>
        </w:tc>
        <w:tc>
          <w:tcPr>
            <w:tcW w:w="334" w:type="pct"/>
            <w:vMerge w:val="restart"/>
            <w:tcBorders>
              <w:left w:val="single" w:sz="4" w:space="0" w:color="auto"/>
              <w:right w:val="single" w:sz="4" w:space="0" w:color="auto"/>
            </w:tcBorders>
            <w:vAlign w:val="center"/>
          </w:tcPr>
          <w:p w14:paraId="4D6D4C84" w14:textId="77777777" w:rsidR="009B2C7E" w:rsidRPr="009B2C7E" w:rsidRDefault="009B2C7E" w:rsidP="00454420">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2.5 years</w:t>
            </w:r>
          </w:p>
        </w:tc>
        <w:tc>
          <w:tcPr>
            <w:tcW w:w="0" w:type="auto"/>
            <w:tcBorders>
              <w:top w:val="single" w:sz="4" w:space="0" w:color="auto"/>
              <w:left w:val="single" w:sz="4" w:space="0" w:color="auto"/>
              <w:bottom w:val="single" w:sz="4" w:space="0" w:color="auto"/>
              <w:right w:val="single" w:sz="4" w:space="0" w:color="auto"/>
            </w:tcBorders>
          </w:tcPr>
          <w:p w14:paraId="751D376C" w14:textId="77777777" w:rsidR="009B2C7E" w:rsidRPr="009B2C7E" w:rsidRDefault="009B2C7E" w:rsidP="005921DA">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9077</w:t>
            </w:r>
          </w:p>
        </w:tc>
        <w:tc>
          <w:tcPr>
            <w:tcW w:w="314" w:type="pct"/>
            <w:vMerge w:val="restart"/>
            <w:tcBorders>
              <w:left w:val="single" w:sz="4" w:space="0" w:color="auto"/>
              <w:right w:val="single" w:sz="4" w:space="0" w:color="auto"/>
            </w:tcBorders>
            <w:tcMar>
              <w:top w:w="0" w:type="dxa"/>
              <w:left w:w="28" w:type="dxa"/>
              <w:bottom w:w="0" w:type="dxa"/>
              <w:right w:w="28" w:type="dxa"/>
            </w:tcMar>
            <w:vAlign w:val="center"/>
          </w:tcPr>
          <w:p w14:paraId="7CE41168"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 xml:space="preserve">2º </w:t>
            </w:r>
            <w:r w:rsidRPr="005921DA">
              <w:rPr>
                <w:rFonts w:ascii="Arial Narrow" w:hAnsi="Arial Narrow" w:cs="Times New Roman"/>
                <w:sz w:val="18"/>
                <w:szCs w:val="18"/>
                <w:lang w:val="en-US" w:eastAsia="en-US"/>
              </w:rPr>
              <w:t>(ACS within past 10 days)</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47CC7A1"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63.6±9.8</w:t>
            </w:r>
          </w:p>
        </w:tc>
        <w:tc>
          <w:tcPr>
            <w:tcW w:w="349" w:type="pct"/>
            <w:vMerge w:val="restart"/>
            <w:tcBorders>
              <w:left w:val="single" w:sz="4" w:space="0" w:color="auto"/>
              <w:right w:val="single" w:sz="4" w:space="0" w:color="auto"/>
            </w:tcBorders>
            <w:tcMar>
              <w:top w:w="0" w:type="dxa"/>
              <w:left w:w="28" w:type="dxa"/>
              <w:bottom w:w="0" w:type="dxa"/>
              <w:right w:w="28" w:type="dxa"/>
            </w:tcMar>
            <w:vAlign w:val="center"/>
          </w:tcPr>
          <w:p w14:paraId="52034746"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1.3</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62D235D3"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2.6</w:t>
            </w:r>
          </w:p>
        </w:tc>
        <w:tc>
          <w:tcPr>
            <w:tcW w:w="345" w:type="pct"/>
            <w:vMerge w:val="restart"/>
            <w:tcBorders>
              <w:left w:val="single" w:sz="4" w:space="0" w:color="auto"/>
              <w:right w:val="single" w:sz="4" w:space="0" w:color="auto"/>
            </w:tcBorders>
            <w:tcMar>
              <w:top w:w="0" w:type="dxa"/>
              <w:left w:w="28" w:type="dxa"/>
              <w:bottom w:w="0" w:type="dxa"/>
              <w:right w:w="28" w:type="dxa"/>
            </w:tcMar>
            <w:vAlign w:val="center"/>
          </w:tcPr>
          <w:p w14:paraId="3567C0FC" w14:textId="7CEC4EC4" w:rsidR="009B2C7E" w:rsidRPr="009B2C7E" w:rsidRDefault="005C1565" w:rsidP="009B2C7E">
            <w:pPr>
              <w:spacing w:after="0" w:line="264" w:lineRule="auto"/>
              <w:jc w:val="center"/>
              <w:rPr>
                <w:rFonts w:ascii="Arial Narrow" w:hAnsi="Arial Narrow" w:cs="Times New Roman"/>
                <w:b/>
                <w:bCs/>
                <w:sz w:val="20"/>
                <w:szCs w:val="18"/>
                <w:lang w:val="en-US" w:eastAsia="en-US"/>
              </w:rPr>
            </w:pPr>
            <w:r>
              <w:rPr>
                <w:rFonts w:ascii="Arial Narrow" w:hAnsi="Arial Narrow" w:cs="Times New Roman"/>
                <w:sz w:val="20"/>
                <w:szCs w:val="18"/>
                <w:lang w:val="en-US" w:eastAsia="en-US"/>
              </w:rPr>
              <w:t>1</w:t>
            </w:r>
            <w:r w:rsidRPr="005C1565">
              <w:rPr>
                <w:rFonts w:ascii="Arial Narrow" w:hAnsi="Arial Narrow" w:cs="Times New Roman"/>
                <w:sz w:val="20"/>
                <w:szCs w:val="18"/>
                <w:vertAlign w:val="superscript"/>
                <w:lang w:val="en-US" w:eastAsia="en-US"/>
              </w:rPr>
              <w:t>st</w:t>
            </w:r>
            <w:r>
              <w:rPr>
                <w:rFonts w:ascii="Arial Narrow" w:hAnsi="Arial Narrow" w:cs="Times New Roman"/>
                <w:sz w:val="20"/>
                <w:szCs w:val="18"/>
                <w:lang w:val="en-US" w:eastAsia="en-US"/>
              </w:rPr>
              <w:t xml:space="preserve"> &amp; </w:t>
            </w:r>
            <w:r w:rsidR="009B2C7E" w:rsidRPr="009B2C7E">
              <w:rPr>
                <w:rFonts w:ascii="Arial Narrow" w:hAnsi="Arial Narrow" w:cs="Times New Roman"/>
                <w:sz w:val="20"/>
                <w:szCs w:val="18"/>
                <w:lang w:val="en-US" w:eastAsia="en-US"/>
              </w:rPr>
              <w:t>2</w:t>
            </w:r>
            <w:r w:rsidR="009B2C7E" w:rsidRPr="009B2C7E">
              <w:rPr>
                <w:rFonts w:ascii="Arial Narrow" w:hAnsi="Arial Narrow" w:cs="Times New Roman"/>
                <w:sz w:val="20"/>
                <w:szCs w:val="18"/>
                <w:vertAlign w:val="superscript"/>
                <w:lang w:val="en-US" w:eastAsia="en-US"/>
              </w:rPr>
              <w:t>nd</w:t>
            </w:r>
            <w:r w:rsidR="009B2C7E" w:rsidRPr="009B2C7E">
              <w:rPr>
                <w:rFonts w:ascii="Arial Narrow" w:hAnsi="Arial Narrow" w:cs="Times New Roman"/>
                <w:sz w:val="20"/>
                <w:szCs w:val="18"/>
                <w:lang w:val="en-US" w:eastAsia="en-US"/>
              </w:rPr>
              <w:t xml:space="preserve"> line treatment</w:t>
            </w:r>
          </w:p>
        </w:tc>
        <w:tc>
          <w:tcPr>
            <w:tcW w:w="352" w:type="pct"/>
            <w:vMerge w:val="restart"/>
            <w:tcBorders>
              <w:left w:val="single" w:sz="4" w:space="0" w:color="auto"/>
              <w:right w:val="single" w:sz="4" w:space="0" w:color="auto"/>
            </w:tcBorders>
            <w:shd w:val="clear" w:color="auto" w:fill="auto"/>
            <w:tcMar>
              <w:top w:w="0" w:type="dxa"/>
              <w:left w:w="28" w:type="dxa"/>
              <w:bottom w:w="0" w:type="dxa"/>
              <w:right w:w="28" w:type="dxa"/>
            </w:tcMar>
            <w:vAlign w:val="center"/>
          </w:tcPr>
          <w:p w14:paraId="68635B83" w14:textId="797D050A" w:rsidR="009B2C7E" w:rsidRPr="00BB4365" w:rsidRDefault="00BB4365" w:rsidP="009B2C7E">
            <w:pPr>
              <w:spacing w:after="0" w:line="264" w:lineRule="auto"/>
              <w:jc w:val="center"/>
              <w:rPr>
                <w:rFonts w:ascii="Arial Narrow" w:hAnsi="Arial Narrow" w:cs="Times New Roman"/>
                <w:b/>
                <w:bCs/>
                <w:i/>
                <w:sz w:val="20"/>
                <w:szCs w:val="18"/>
                <w:lang w:val="en-US" w:eastAsia="en-US"/>
              </w:rPr>
            </w:pPr>
            <w:r w:rsidRPr="00A138A6">
              <w:rPr>
                <w:rFonts w:ascii="Arial Narrow" w:hAnsi="Arial Narrow" w:cs="Times New Roman"/>
                <w:i/>
                <w:sz w:val="20"/>
                <w:szCs w:val="18"/>
                <w:lang w:val="en-US" w:eastAsia="en-US"/>
              </w:rPr>
              <w:t>High</w:t>
            </w:r>
          </w:p>
        </w:tc>
        <w:tc>
          <w:tcPr>
            <w:tcW w:w="744" w:type="pct"/>
            <w:tcBorders>
              <w:top w:val="single" w:sz="4" w:space="0" w:color="auto"/>
              <w:left w:val="single" w:sz="4" w:space="0" w:color="auto"/>
              <w:bottom w:val="single" w:sz="4" w:space="0" w:color="auto"/>
              <w:right w:val="single" w:sz="4" w:space="0" w:color="auto"/>
            </w:tcBorders>
            <w:vAlign w:val="center"/>
          </w:tcPr>
          <w:p w14:paraId="46BA93DF" w14:textId="4A5ABBE1" w:rsidR="009B2C7E" w:rsidRPr="009B2C7E" w:rsidRDefault="00C70A6A" w:rsidP="00BB4365">
            <w:pPr>
              <w:spacing w:after="0" w:line="240" w:lineRule="auto"/>
              <w:jc w:val="center"/>
              <w:rPr>
                <w:rFonts w:ascii="Arial Narrow" w:hAnsi="Arial Narrow" w:cs="Times New Roman"/>
                <w:b/>
                <w:bCs/>
                <w:sz w:val="20"/>
                <w:szCs w:val="18"/>
                <w:lang w:val="en-US" w:eastAsia="en-US"/>
              </w:rPr>
            </w:pPr>
            <w:r>
              <w:rPr>
                <w:rFonts w:ascii="Arial Narrow" w:hAnsi="Arial Narrow" w:cs="Times New Roman"/>
                <w:sz w:val="20"/>
                <w:szCs w:val="18"/>
                <w:lang w:val="en-US" w:eastAsia="en-US"/>
              </w:rPr>
              <w:t xml:space="preserve">PBO + </w:t>
            </w:r>
            <w:r w:rsidR="00317F73">
              <w:rPr>
                <w:rFonts w:ascii="Arial Narrow" w:hAnsi="Arial Narrow" w:cs="Times New Roman"/>
                <w:sz w:val="20"/>
                <w:szCs w:val="18"/>
                <w:lang w:val="en-US" w:eastAsia="en-US"/>
              </w:rPr>
              <w:t>SIM</w:t>
            </w:r>
            <w:r w:rsidR="009B2C7E" w:rsidRPr="009B2C7E">
              <w:rPr>
                <w:rFonts w:ascii="Arial Narrow" w:hAnsi="Arial Narrow" w:cs="Times New Roman"/>
                <w:sz w:val="20"/>
                <w:szCs w:val="18"/>
                <w:lang w:val="en-US" w:eastAsia="en-US"/>
              </w:rPr>
              <w:t xml:space="preserve"> 40</w:t>
            </w:r>
            <w:r w:rsidR="00BB4365">
              <w:rPr>
                <w:rFonts w:ascii="Arial Narrow" w:hAnsi="Arial Narrow" w:cs="Times New Roman"/>
                <w:sz w:val="20"/>
                <w:szCs w:val="18"/>
                <w:lang w:val="en-US" w:eastAsia="en-US"/>
              </w:rPr>
              <w:t>*</w:t>
            </w:r>
          </w:p>
        </w:tc>
        <w:tc>
          <w:tcPr>
            <w:tcW w:w="545" w:type="pct"/>
            <w:vMerge w:val="restart"/>
            <w:tcBorders>
              <w:left w:val="single" w:sz="4" w:space="0" w:color="auto"/>
              <w:right w:val="single" w:sz="4" w:space="0" w:color="auto"/>
            </w:tcBorders>
            <w:tcMar>
              <w:top w:w="0" w:type="dxa"/>
              <w:left w:w="28" w:type="dxa"/>
              <w:bottom w:w="0" w:type="dxa"/>
              <w:right w:w="28" w:type="dxa"/>
            </w:tcMar>
            <w:vAlign w:val="center"/>
          </w:tcPr>
          <w:p w14:paraId="7EC79F56" w14:textId="43060034" w:rsidR="009B2C7E" w:rsidRPr="009B2C7E" w:rsidRDefault="009B2C7E" w:rsidP="0045442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year 1</w:t>
            </w:r>
          </w:p>
          <w:p w14:paraId="4B389177" w14:textId="77777777" w:rsidR="009B2C7E" w:rsidRPr="009B2C7E" w:rsidRDefault="009B2C7E" w:rsidP="00454420">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At year 7</w:t>
            </w:r>
          </w:p>
        </w:tc>
        <w:tc>
          <w:tcPr>
            <w:tcW w:w="348" w:type="pct"/>
            <w:vMerge w:val="restart"/>
            <w:tcBorders>
              <w:left w:val="single" w:sz="4" w:space="0" w:color="auto"/>
              <w:right w:val="single" w:sz="4" w:space="0" w:color="auto"/>
            </w:tcBorders>
            <w:tcMar>
              <w:top w:w="0" w:type="dxa"/>
              <w:left w:w="28" w:type="dxa"/>
              <w:bottom w:w="0" w:type="dxa"/>
              <w:right w:w="28" w:type="dxa"/>
            </w:tcMar>
            <w:vAlign w:val="center"/>
          </w:tcPr>
          <w:p w14:paraId="5431595F"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At year 7</w:t>
            </w:r>
          </w:p>
        </w:tc>
      </w:tr>
      <w:tr w:rsidR="00534207" w:rsidRPr="009B2C7E" w14:paraId="16AF7211" w14:textId="77777777" w:rsidTr="00E0757E">
        <w:trPr>
          <w:trHeight w:val="207"/>
        </w:trPr>
        <w:tc>
          <w:tcPr>
            <w:tcW w:w="384" w:type="pct"/>
            <w:vMerge/>
            <w:tcBorders>
              <w:left w:val="single" w:sz="4" w:space="0" w:color="auto"/>
              <w:bottom w:val="single" w:sz="4" w:space="0" w:color="auto"/>
              <w:right w:val="single" w:sz="4" w:space="0" w:color="auto"/>
            </w:tcBorders>
            <w:vAlign w:val="center"/>
          </w:tcPr>
          <w:p w14:paraId="6B163CF1" w14:textId="77777777" w:rsidR="009B2C7E" w:rsidRPr="009B2C7E" w:rsidRDefault="009B2C7E" w:rsidP="009B2C7E">
            <w:pPr>
              <w:spacing w:after="0" w:line="240" w:lineRule="auto"/>
              <w:rPr>
                <w:rFonts w:ascii="Arial Narrow" w:hAnsi="Arial Narrow" w:cs="Times New Roman"/>
                <w:b/>
                <w:bCs/>
                <w:sz w:val="20"/>
                <w:szCs w:val="18"/>
                <w:lang w:val="en-US" w:eastAsia="en-US"/>
              </w:rPr>
            </w:pPr>
          </w:p>
        </w:tc>
        <w:tc>
          <w:tcPr>
            <w:tcW w:w="264" w:type="pct"/>
            <w:vMerge/>
            <w:tcBorders>
              <w:left w:val="single" w:sz="4" w:space="0" w:color="auto"/>
              <w:bottom w:val="single" w:sz="4" w:space="0" w:color="auto"/>
              <w:right w:val="single" w:sz="4" w:space="0" w:color="auto"/>
            </w:tcBorders>
            <w:vAlign w:val="center"/>
          </w:tcPr>
          <w:p w14:paraId="4F2CD0A7" w14:textId="77777777" w:rsidR="009B2C7E" w:rsidRPr="009B2C7E" w:rsidRDefault="009B2C7E" w:rsidP="009B2C7E">
            <w:pPr>
              <w:spacing w:after="0" w:line="240" w:lineRule="auto"/>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vAlign w:val="center"/>
          </w:tcPr>
          <w:p w14:paraId="054D6E1D" w14:textId="77777777" w:rsidR="009B2C7E" w:rsidRPr="009B2C7E" w:rsidRDefault="009B2C7E" w:rsidP="009B2C7E">
            <w:pPr>
              <w:spacing w:after="0" w:line="240" w:lineRule="auto"/>
              <w:rPr>
                <w:rFonts w:ascii="Arial Narrow" w:hAnsi="Arial Narrow" w:cs="Times New Roman"/>
                <w:b/>
                <w:bCs/>
                <w:sz w:val="20"/>
                <w:szCs w:val="18"/>
                <w:lang w:val="en-US" w:eastAsia="en-US"/>
              </w:rPr>
            </w:pPr>
          </w:p>
        </w:tc>
        <w:tc>
          <w:tcPr>
            <w:tcW w:w="0" w:type="auto"/>
            <w:tcBorders>
              <w:top w:val="single" w:sz="4" w:space="0" w:color="auto"/>
              <w:left w:val="single" w:sz="4" w:space="0" w:color="auto"/>
              <w:bottom w:val="single" w:sz="4" w:space="0" w:color="auto"/>
              <w:right w:val="single" w:sz="4" w:space="0" w:color="auto"/>
            </w:tcBorders>
          </w:tcPr>
          <w:p w14:paraId="0686010A" w14:textId="77777777" w:rsidR="009B2C7E" w:rsidRPr="009B2C7E" w:rsidRDefault="009B2C7E" w:rsidP="005921DA">
            <w:pPr>
              <w:spacing w:after="0" w:line="240"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9067</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DE2A071"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A31F7A6"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63.6±9.7</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9F68B06"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240385A"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45"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4BEA000"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52" w:type="pct"/>
            <w:vMerge/>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00CE887"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744" w:type="pct"/>
            <w:tcBorders>
              <w:top w:val="single" w:sz="8" w:space="0" w:color="auto"/>
              <w:left w:val="single" w:sz="4" w:space="0" w:color="auto"/>
              <w:bottom w:val="single" w:sz="4" w:space="0" w:color="auto"/>
              <w:right w:val="single" w:sz="8" w:space="0" w:color="auto"/>
            </w:tcBorders>
            <w:vAlign w:val="center"/>
          </w:tcPr>
          <w:p w14:paraId="6A417CA6" w14:textId="47527A44" w:rsidR="009B2C7E" w:rsidRPr="009B2C7E" w:rsidRDefault="00F903C8" w:rsidP="00BB4365">
            <w:pPr>
              <w:spacing w:after="0" w:line="240" w:lineRule="auto"/>
              <w:jc w:val="center"/>
              <w:rPr>
                <w:rFonts w:ascii="Arial Narrow" w:hAnsi="Arial Narrow" w:cs="Times New Roman"/>
                <w:b/>
                <w:bCs/>
                <w:sz w:val="20"/>
                <w:szCs w:val="18"/>
                <w:lang w:val="en-US" w:eastAsia="en-US"/>
              </w:rPr>
            </w:pPr>
            <w:r>
              <w:rPr>
                <w:rFonts w:ascii="Arial Narrow" w:hAnsi="Arial Narrow" w:cs="Times New Roman"/>
                <w:sz w:val="20"/>
                <w:szCs w:val="18"/>
                <w:lang w:val="en-US" w:eastAsia="en-US"/>
              </w:rPr>
              <w:t>EZ</w:t>
            </w:r>
            <w:r w:rsidR="00317F73">
              <w:rPr>
                <w:rFonts w:ascii="Arial Narrow" w:hAnsi="Arial Narrow" w:cs="Times New Roman"/>
                <w:sz w:val="20"/>
                <w:szCs w:val="18"/>
                <w:lang w:val="en-US" w:eastAsia="en-US"/>
              </w:rPr>
              <w:t xml:space="preserve"> 10+SIM</w:t>
            </w:r>
            <w:r w:rsidR="009B2C7E" w:rsidRPr="009B2C7E">
              <w:rPr>
                <w:rFonts w:ascii="Arial Narrow" w:hAnsi="Arial Narrow" w:cs="Times New Roman"/>
                <w:sz w:val="20"/>
                <w:szCs w:val="18"/>
                <w:lang w:val="en-US" w:eastAsia="en-US"/>
              </w:rPr>
              <w:t xml:space="preserve"> 40</w:t>
            </w:r>
            <w:r w:rsidR="00BB4365">
              <w:rPr>
                <w:rFonts w:ascii="Arial Narrow" w:hAnsi="Arial Narrow" w:cs="Times New Roman"/>
                <w:sz w:val="20"/>
                <w:szCs w:val="18"/>
                <w:lang w:val="en-US" w:eastAsia="en-US"/>
              </w:rPr>
              <w:t>*</w:t>
            </w:r>
          </w:p>
        </w:tc>
        <w:tc>
          <w:tcPr>
            <w:tcW w:w="545"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D57E4F0"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c>
          <w:tcPr>
            <w:tcW w:w="348"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FF6B5F5" w14:textId="77777777" w:rsidR="009B2C7E" w:rsidRPr="009B2C7E" w:rsidRDefault="009B2C7E" w:rsidP="009B2C7E">
            <w:pPr>
              <w:spacing w:after="0" w:line="264" w:lineRule="auto"/>
              <w:jc w:val="center"/>
              <w:rPr>
                <w:rFonts w:ascii="Arial Narrow" w:hAnsi="Arial Narrow" w:cs="Times New Roman"/>
                <w:b/>
                <w:bCs/>
                <w:sz w:val="20"/>
                <w:szCs w:val="18"/>
                <w:lang w:val="en-US" w:eastAsia="en-US"/>
              </w:rPr>
            </w:pPr>
          </w:p>
        </w:tc>
      </w:tr>
    </w:tbl>
    <w:tbl>
      <w:tblPr>
        <w:tblStyle w:val="TableGrid"/>
        <w:tblW w:w="14317" w:type="dxa"/>
        <w:tblInd w:w="-5" w:type="dxa"/>
        <w:tblLook w:val="04A0" w:firstRow="1" w:lastRow="0" w:firstColumn="1" w:lastColumn="0" w:noHBand="0" w:noVBand="1"/>
      </w:tblPr>
      <w:tblGrid>
        <w:gridCol w:w="14317"/>
      </w:tblGrid>
      <w:tr w:rsidR="001C1F31" w14:paraId="3C494A7A" w14:textId="77777777" w:rsidTr="00E0757E">
        <w:trPr>
          <w:cnfStyle w:val="100000000000" w:firstRow="1" w:lastRow="0" w:firstColumn="0" w:lastColumn="0" w:oddVBand="0" w:evenVBand="0" w:oddHBand="0" w:evenHBand="0" w:firstRowFirstColumn="0" w:firstRowLastColumn="0" w:lastRowFirstColumn="0" w:lastRowLastColumn="0"/>
          <w:trHeight w:val="379"/>
        </w:trPr>
        <w:tc>
          <w:tcPr>
            <w:tcW w:w="14317" w:type="dxa"/>
            <w:tcBorders>
              <w:top w:val="single" w:sz="4" w:space="0" w:color="auto"/>
              <w:left w:val="single" w:sz="4" w:space="0" w:color="auto"/>
              <w:bottom w:val="single" w:sz="4" w:space="0" w:color="auto"/>
              <w:right w:val="single" w:sz="4" w:space="0" w:color="auto"/>
            </w:tcBorders>
            <w:shd w:val="clear" w:color="auto" w:fill="auto"/>
            <w:vAlign w:val="center"/>
          </w:tcPr>
          <w:p w14:paraId="246E7348" w14:textId="35FEA30B" w:rsidR="001C1F31" w:rsidRPr="001C1F31" w:rsidRDefault="001C1F31" w:rsidP="00427657">
            <w:pPr>
              <w:spacing w:line="264" w:lineRule="auto"/>
              <w:jc w:val="center"/>
            </w:pPr>
            <w:r>
              <w:rPr>
                <w:rFonts w:ascii="Arial Narrow" w:hAnsi="Arial Narrow" w:cs="Times New Roman"/>
                <w:bCs/>
                <w:sz w:val="20"/>
                <w:szCs w:val="18"/>
              </w:rPr>
              <w:t>fixed</w:t>
            </w:r>
            <w:r w:rsidRPr="001C1F31">
              <w:rPr>
                <w:rFonts w:ascii="Arial Narrow" w:hAnsi="Arial Narrow" w:cs="Times New Roman"/>
                <w:bCs/>
                <w:sz w:val="20"/>
                <w:szCs w:val="18"/>
              </w:rPr>
              <w:t xml:space="preserve"> dose of  statin + ezetimibe vs up-titrating statin</w:t>
            </w:r>
            <w:r w:rsidR="00427657">
              <w:rPr>
                <w:rFonts w:ascii="Arial Narrow" w:hAnsi="Arial Narrow" w:cs="Times New Roman"/>
                <w:bCs/>
                <w:sz w:val="20"/>
                <w:szCs w:val="18"/>
              </w:rPr>
              <w:t xml:space="preserve"> </w:t>
            </w:r>
            <w:r w:rsidR="00427657" w:rsidRPr="00427657">
              <w:rPr>
                <w:rFonts w:ascii="Arial Narrow" w:hAnsi="Arial Narrow" w:cs="Times New Roman"/>
                <w:bCs/>
                <w:sz w:val="20"/>
                <w:szCs w:val="18"/>
              </w:rPr>
              <w:t>either in terms of dose or in terms of potency</w:t>
            </w:r>
          </w:p>
        </w:tc>
      </w:tr>
    </w:tbl>
    <w:tbl>
      <w:tblPr>
        <w:tblW w:w="5119" w:type="pct"/>
        <w:tblInd w:w="33" w:type="dxa"/>
        <w:tblCellMar>
          <w:left w:w="0" w:type="dxa"/>
          <w:right w:w="0" w:type="dxa"/>
        </w:tblCellMar>
        <w:tblLook w:val="04A0" w:firstRow="1" w:lastRow="0" w:firstColumn="1" w:lastColumn="0" w:noHBand="0" w:noVBand="1"/>
      </w:tblPr>
      <w:tblGrid>
        <w:gridCol w:w="1102"/>
        <w:gridCol w:w="758"/>
        <w:gridCol w:w="958"/>
        <w:gridCol w:w="654"/>
        <w:gridCol w:w="901"/>
        <w:gridCol w:w="1277"/>
        <w:gridCol w:w="1001"/>
        <w:gridCol w:w="996"/>
        <w:gridCol w:w="993"/>
        <w:gridCol w:w="1010"/>
        <w:gridCol w:w="2135"/>
        <w:gridCol w:w="1567"/>
        <w:gridCol w:w="996"/>
      </w:tblGrid>
      <w:tr w:rsidR="00E13102" w:rsidRPr="009B2C7E" w14:paraId="4C296FE1"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5184E5C" w14:textId="77777777" w:rsidR="00553C9A" w:rsidRDefault="00553C9A" w:rsidP="00553C9A">
            <w:pPr>
              <w:spacing w:line="264" w:lineRule="auto"/>
              <w:rPr>
                <w:rFonts w:ascii="Arial Narrow" w:hAnsi="Arial Narrow"/>
                <w:sz w:val="20"/>
                <w:szCs w:val="18"/>
                <w:lang w:val="en-US"/>
              </w:rPr>
            </w:pPr>
            <w:r>
              <w:rPr>
                <w:rFonts w:ascii="Arial Narrow" w:hAnsi="Arial Narrow"/>
                <w:sz w:val="20"/>
                <w:szCs w:val="18"/>
                <w:lang w:val="en-US"/>
              </w:rPr>
              <w:t>P090</w:t>
            </w:r>
          </w:p>
          <w:p w14:paraId="43AD48E4" w14:textId="7083155B" w:rsidR="00553C9A" w:rsidRPr="00553C9A" w:rsidRDefault="00553C9A" w:rsidP="00553C9A">
            <w:pPr>
              <w:spacing w:line="264" w:lineRule="auto"/>
              <w:rPr>
                <w:rFonts w:ascii="Arial Narrow" w:hAnsi="Arial Narrow"/>
                <w:sz w:val="20"/>
                <w:szCs w:val="18"/>
                <w:lang w:val="en-US"/>
              </w:rPr>
            </w:pPr>
            <w:r w:rsidRPr="00F56594">
              <w:rPr>
                <w:rFonts w:ascii="Arial Narrow" w:hAnsi="Arial Narrow"/>
                <w:sz w:val="20"/>
                <w:szCs w:val="18"/>
                <w:lang w:val="en-US"/>
              </w:rPr>
              <w:t>Leiter 2008</w:t>
            </w:r>
            <w:r>
              <w:rPr>
                <w:rFonts w:ascii="Arial Narrow" w:hAnsi="Arial Narrow"/>
                <w:sz w:val="20"/>
                <w:szCs w:val="18"/>
                <w:lang w:val="en-US"/>
              </w:rPr>
              <w:t xml:space="preserve"> </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9D23D39" w14:textId="5A8EDF41" w:rsidR="00553C9A" w:rsidRPr="009B2C7E" w:rsidRDefault="00553C9A" w:rsidP="00553C9A">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MC, R, DB, P</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183B136" w14:textId="3617A265" w:rsidR="00553C9A" w:rsidRPr="009B2C7E" w:rsidRDefault="00553C9A" w:rsidP="00553C9A">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6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43247F8" w14:textId="12F51631" w:rsidR="00553C9A" w:rsidRPr="009B2C7E" w:rsidRDefault="00553C9A" w:rsidP="00553C9A">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288</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7FFEFC0" w14:textId="5DABEBAF" w:rsidR="00553C9A" w:rsidRPr="009B2C7E" w:rsidRDefault="00EA7C91" w:rsidP="00553C9A">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1</w:t>
            </w:r>
            <w:r w:rsidR="00553C9A" w:rsidRPr="0025496B">
              <w:rPr>
                <w:rFonts w:ascii="Arial Narrow" w:hAnsi="Arial Narrow" w:cs="Times New Roman"/>
                <w:sz w:val="20"/>
                <w:szCs w:val="18"/>
                <w:lang w:val="en-US" w:eastAsia="en-US"/>
              </w:rPr>
              <w:t>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09D7FED" w14:textId="2712906F" w:rsidR="00553C9A" w:rsidRPr="009B2C7E" w:rsidRDefault="00553C9A" w:rsidP="00553C9A">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61±10</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5418581" w14:textId="7AE8F56F" w:rsidR="00553C9A" w:rsidRPr="009B2C7E" w:rsidRDefault="00553C9A" w:rsidP="00553C9A">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1.81</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DABA0F8" w14:textId="561CA0AE" w:rsidR="00553C9A" w:rsidRPr="009B2C7E" w:rsidRDefault="00553C9A" w:rsidP="00553C9A">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4.14</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C4B34B7" w14:textId="234D08B5" w:rsidR="00553C9A" w:rsidRPr="009B2C7E" w:rsidRDefault="00553C9A" w:rsidP="00553C9A">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2</w:t>
            </w:r>
            <w:r w:rsidRPr="00F56594">
              <w:rPr>
                <w:rFonts w:ascii="Arial Narrow" w:hAnsi="Arial Narrow"/>
                <w:sz w:val="20"/>
                <w:szCs w:val="18"/>
                <w:vertAlign w:val="superscript"/>
                <w:lang w:val="en-US"/>
              </w:rPr>
              <w:t>nd</w:t>
            </w:r>
            <w:r w:rsidRPr="00F56594">
              <w:rPr>
                <w:rFonts w:ascii="Arial Narrow" w:hAnsi="Arial Narrow"/>
                <w:sz w:val="20"/>
                <w:szCs w:val="18"/>
                <w:lang w:val="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29DF9A0" w14:textId="77777777" w:rsidR="00A138A6" w:rsidRDefault="00A138A6" w:rsidP="00A138A6">
            <w:pPr>
              <w:spacing w:after="0" w:line="264" w:lineRule="auto"/>
              <w:jc w:val="center"/>
              <w:rPr>
                <w:rFonts w:ascii="Arial Narrow" w:hAnsi="Arial Narrow"/>
                <w:sz w:val="20"/>
                <w:szCs w:val="18"/>
                <w:lang w:val="en-US"/>
              </w:rPr>
            </w:pPr>
            <w:r>
              <w:rPr>
                <w:rFonts w:ascii="Arial Narrow" w:hAnsi="Arial Narrow"/>
                <w:sz w:val="20"/>
                <w:szCs w:val="18"/>
                <w:lang w:val="en-US"/>
              </w:rPr>
              <w:t>High</w:t>
            </w:r>
          </w:p>
          <w:p w14:paraId="5D53C4E5" w14:textId="77777777" w:rsidR="00553C9A" w:rsidRPr="00F56594" w:rsidRDefault="00553C9A" w:rsidP="00A138A6">
            <w:pPr>
              <w:spacing w:after="0" w:line="264" w:lineRule="auto"/>
              <w:jc w:val="center"/>
              <w:rPr>
                <w:rFonts w:ascii="Arial Narrow" w:hAnsi="Arial Narrow"/>
                <w:sz w:val="20"/>
                <w:szCs w:val="18"/>
                <w:lang w:val="en-US"/>
              </w:rPr>
            </w:pPr>
            <w:r w:rsidRPr="00F56594">
              <w:rPr>
                <w:rFonts w:ascii="Arial Narrow" w:hAnsi="Arial Narrow"/>
                <w:sz w:val="20"/>
                <w:szCs w:val="18"/>
                <w:lang w:val="en-US"/>
              </w:rPr>
              <w:t>&gt;20%</w:t>
            </w:r>
          </w:p>
          <w:p w14:paraId="1C323C9B" w14:textId="71B5676B" w:rsidR="00553C9A" w:rsidRPr="009B2C7E" w:rsidRDefault="00553C9A" w:rsidP="00A138A6">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(10 year)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E4BBDFB" w14:textId="4609E69A" w:rsidR="00553C9A" w:rsidRDefault="00317F73" w:rsidP="00553C9A">
            <w:pPr>
              <w:spacing w:after="0" w:line="264" w:lineRule="auto"/>
              <w:jc w:val="center"/>
              <w:rPr>
                <w:rFonts w:ascii="Arial Narrow" w:hAnsi="Arial Narrow" w:cs="Times New Roman"/>
                <w:sz w:val="20"/>
                <w:szCs w:val="18"/>
                <w:lang w:val="en-US" w:eastAsia="en-US"/>
              </w:rPr>
            </w:pPr>
            <w:r>
              <w:rPr>
                <w:rFonts w:ascii="Arial Narrow" w:hAnsi="Arial Narrow"/>
                <w:sz w:val="20"/>
                <w:szCs w:val="18"/>
                <w:lang w:val="en-US"/>
              </w:rPr>
              <w:t>EZ</w:t>
            </w:r>
            <w:r w:rsidR="00553C9A" w:rsidRPr="00F56594">
              <w:rPr>
                <w:rFonts w:ascii="Arial Narrow" w:hAnsi="Arial Narrow"/>
                <w:sz w:val="20"/>
                <w:szCs w:val="18"/>
                <w:lang w:val="en-US"/>
              </w:rPr>
              <w:t xml:space="preserve"> 10+ATOR 40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AC41E73" w14:textId="6E77792A" w:rsidR="00553C9A" w:rsidRPr="009B2C7E" w:rsidRDefault="00553C9A" w:rsidP="00553C9A">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At week 6</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0D0FA91" w14:textId="78703392" w:rsidR="00553C9A" w:rsidRPr="009B2C7E" w:rsidRDefault="00553C9A" w:rsidP="00553C9A">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Not assessed</w:t>
            </w:r>
          </w:p>
        </w:tc>
      </w:tr>
      <w:tr w:rsidR="00E13102" w:rsidRPr="009B2C7E" w14:paraId="6AFDC099"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0B77E777" w14:textId="317E528E" w:rsidR="00553C9A" w:rsidRPr="009B2C7E" w:rsidRDefault="00553C9A" w:rsidP="00553C9A">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11F7805F" w14:textId="77777777" w:rsidR="00553C9A" w:rsidRPr="009B2C7E" w:rsidRDefault="00553C9A" w:rsidP="00553C9A">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5F048291" w14:textId="77777777" w:rsidR="00553C9A" w:rsidRPr="009B2C7E" w:rsidRDefault="00553C9A" w:rsidP="00553C9A">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B11EE82" w14:textId="5F611FE7" w:rsidR="00553C9A" w:rsidRPr="009B2C7E" w:rsidRDefault="00553C9A" w:rsidP="00553C9A">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291</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09F7D868" w14:textId="77777777" w:rsidR="00553C9A" w:rsidRPr="009B2C7E" w:rsidRDefault="00553C9A" w:rsidP="00553C9A">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435C5D5" w14:textId="0E3BAC2C" w:rsidR="00553C9A" w:rsidRPr="009B2C7E" w:rsidRDefault="00553C9A" w:rsidP="00553C9A">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62±9</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1DF32AC3" w14:textId="77777777" w:rsidR="00553C9A" w:rsidRPr="009B2C7E" w:rsidRDefault="00553C9A" w:rsidP="00553C9A">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14BC3F07" w14:textId="77777777" w:rsidR="00553C9A" w:rsidRPr="009B2C7E" w:rsidRDefault="00553C9A" w:rsidP="00553C9A">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14CAAE43" w14:textId="77777777" w:rsidR="00553C9A" w:rsidRPr="009B2C7E" w:rsidRDefault="00553C9A" w:rsidP="00553C9A">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3E8BF517" w14:textId="77777777" w:rsidR="00553C9A" w:rsidRPr="009B2C7E" w:rsidRDefault="00553C9A" w:rsidP="00553C9A">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464867" w14:textId="35F441BA" w:rsidR="00553C9A" w:rsidRDefault="00553C9A" w:rsidP="00553C9A">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F56594">
              <w:rPr>
                <w:rFonts w:ascii="Arial Narrow" w:hAnsi="Arial Narrow"/>
                <w:sz w:val="20"/>
                <w:szCs w:val="18"/>
                <w:lang w:val="en-US"/>
              </w:rPr>
              <w:t>ATOR 80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1554511E" w14:textId="77777777" w:rsidR="00553C9A" w:rsidRPr="009B2C7E" w:rsidRDefault="00553C9A" w:rsidP="00553C9A">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5EB89A21" w14:textId="77777777" w:rsidR="00553C9A" w:rsidRPr="009B2C7E" w:rsidRDefault="00553C9A" w:rsidP="00553C9A">
            <w:pPr>
              <w:spacing w:after="0" w:line="264" w:lineRule="auto"/>
              <w:jc w:val="center"/>
              <w:rPr>
                <w:rFonts w:ascii="Arial Narrow" w:hAnsi="Arial Narrow" w:cs="Times New Roman"/>
                <w:sz w:val="20"/>
                <w:szCs w:val="18"/>
                <w:lang w:val="en-US" w:eastAsia="en-US"/>
              </w:rPr>
            </w:pPr>
          </w:p>
        </w:tc>
      </w:tr>
      <w:tr w:rsidR="00E13102" w:rsidRPr="009B2C7E" w14:paraId="78B56E7E"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33CA2CC" w14:textId="77777777" w:rsidR="001C1F31" w:rsidRPr="009B2C7E" w:rsidRDefault="001C1F31" w:rsidP="001C1F31">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Teramoto 2012</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83E16D1"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OL, P</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0FE3E4D"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12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4A8C972"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47</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A44DA1A"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E70006C"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62.7±11.4</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9CCF511"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2.59</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6E2721A"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84042FC" w14:textId="33729DAA" w:rsidR="001C1F31" w:rsidRPr="0019135F" w:rsidRDefault="0041627A" w:rsidP="001C1F31">
            <w:pPr>
              <w:spacing w:after="0" w:line="264" w:lineRule="auto"/>
              <w:jc w:val="center"/>
              <w:rPr>
                <w:rFonts w:ascii="Arial Narrow" w:hAnsi="Arial Narrow" w:cs="Times New Roman"/>
                <w:color w:val="FF0000"/>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4569AD5"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97EBCAF"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10+ATOR 10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E198793"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472F1DC"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3A359E95"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635CD56D" w14:textId="77777777" w:rsidR="001C1F31" w:rsidRPr="009B2C7E" w:rsidRDefault="001C1F31" w:rsidP="001C1F31">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7B74A7F6"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455C81C0"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8EA867C"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46</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2835ED75"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7E37400"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59.3±11.8</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2BE5FD51"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3133D3AF"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2C4CB073"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1519F762"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03428A5" w14:textId="1ABC6580"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ATOR 20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0C0804B5"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2AA94129"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r>
      <w:tr w:rsidR="00E13102" w:rsidRPr="009B2C7E" w14:paraId="429B1388"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611880E" w14:textId="77777777" w:rsidR="001C1F31" w:rsidRPr="009B2C7E" w:rsidRDefault="001C1F31" w:rsidP="001C1F31">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99D5754"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42C0DFB"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9210F35"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32</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451207E"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7588379"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61.1±12.0</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9B8A2FB"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B5151D9"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9BDC36F"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FFF2562"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A49F2F4" w14:textId="70CF598D"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ROSU</w:t>
            </w:r>
            <w:r w:rsidR="00F036E7">
              <w:rPr>
                <w:rFonts w:ascii="Arial Narrow" w:hAnsi="Arial Narrow" w:cs="Times New Roman"/>
                <w:sz w:val="20"/>
                <w:szCs w:val="18"/>
                <w:lang w:val="en-US" w:eastAsia="en-US"/>
              </w:rPr>
              <w:t>V</w:t>
            </w:r>
            <w:r w:rsidRPr="009B2C7E">
              <w:rPr>
                <w:rFonts w:ascii="Arial Narrow" w:hAnsi="Arial Narrow" w:cs="Times New Roman"/>
                <w:sz w:val="20"/>
                <w:szCs w:val="18"/>
                <w:lang w:val="en-US" w:eastAsia="en-US"/>
              </w:rPr>
              <w:t xml:space="preserve"> 2.5</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1FA1FA8"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39D3F89"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r>
      <w:tr w:rsidR="00E13102" w:rsidRPr="009B2C7E" w14:paraId="70C1202D" w14:textId="77777777" w:rsidTr="005903E2">
        <w:trPr>
          <w:trHeight w:val="386"/>
        </w:trPr>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A954710" w14:textId="77777777" w:rsidR="001C1F31" w:rsidRDefault="001C1F31" w:rsidP="001C1F31">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P079</w:t>
            </w:r>
          </w:p>
          <w:p w14:paraId="1BD3E125" w14:textId="77777777" w:rsidR="001C1F31" w:rsidRPr="009B2C7E" w:rsidRDefault="001C1F31" w:rsidP="001C1F31">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Conard 2008 </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A7101FD"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P,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C660D91"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2235889"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98</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1081F9E"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FB1AB72"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56±10</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E0B03FC"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2.59</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7A4D701"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4.14</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9D90FF6"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w:t>
            </w:r>
            <w:r w:rsidRPr="009B2C7E">
              <w:rPr>
                <w:rFonts w:ascii="Arial Narrow" w:hAnsi="Arial Narrow" w:cs="Times New Roman"/>
                <w:sz w:val="20"/>
                <w:szCs w:val="18"/>
                <w:vertAlign w:val="superscript"/>
                <w:lang w:val="en-US" w:eastAsia="en-US"/>
              </w:rPr>
              <w:t>nd</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7463EF7"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Moderately high risk </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EA411A"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 ATOR 20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1D06533"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6</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2C73ECD"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4EE4862C" w14:textId="77777777" w:rsidTr="005903E2">
        <w:trPr>
          <w:trHeight w:val="405"/>
        </w:trPr>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BFC5928" w14:textId="77777777" w:rsidR="001C1F31" w:rsidRPr="009B2C7E" w:rsidRDefault="001C1F31" w:rsidP="001C1F31">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AF52248"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930FA54"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70017A5"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98</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997F873"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6230FA4"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58±10</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A1C0BCD"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0FD8FD0"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A82FE51"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E636EE0"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7A14E2F"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ATOR 40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2412D81"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97B6BD4"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r>
      <w:tr w:rsidR="00E13102" w:rsidRPr="009B2C7E" w14:paraId="287FDD96" w14:textId="77777777" w:rsidTr="005903E2">
        <w:trPr>
          <w:trHeight w:val="313"/>
        </w:trPr>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FFC1DE0" w14:textId="24211DBB" w:rsidR="00FC526B" w:rsidRPr="005C7E45" w:rsidRDefault="00FC526B" w:rsidP="00FC526B">
            <w:pPr>
              <w:spacing w:after="0" w:line="264" w:lineRule="auto"/>
              <w:rPr>
                <w:rFonts w:ascii="Arial Narrow" w:hAnsi="Arial Narrow" w:cs="Times New Roman"/>
                <w:sz w:val="20"/>
                <w:szCs w:val="18"/>
                <w:highlight w:val="yellow"/>
                <w:lang w:val="en-US" w:eastAsia="en-US"/>
              </w:rPr>
            </w:pPr>
            <w:r w:rsidRPr="00F56594">
              <w:rPr>
                <w:rFonts w:ascii="Arial Narrow" w:hAnsi="Arial Narrow"/>
                <w:sz w:val="20"/>
                <w:szCs w:val="18"/>
                <w:lang w:val="en-US"/>
              </w:rPr>
              <w:t>Pe</w:t>
            </w:r>
            <w:r>
              <w:rPr>
                <w:rFonts w:ascii="Arial Narrow" w:hAnsi="Arial Narrow"/>
                <w:sz w:val="20"/>
                <w:szCs w:val="18"/>
                <w:lang w:val="en-US"/>
              </w:rPr>
              <w:t>saro</w:t>
            </w:r>
            <w:r w:rsidRPr="00F56594">
              <w:rPr>
                <w:rFonts w:ascii="Arial Narrow" w:hAnsi="Arial Narrow"/>
                <w:sz w:val="20"/>
                <w:szCs w:val="18"/>
                <w:lang w:val="en-US"/>
              </w:rPr>
              <w:t xml:space="preserve"> 2013</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612F6AF" w14:textId="1DB28C5C" w:rsidR="00FC526B" w:rsidRPr="009B2C7E" w:rsidRDefault="00FC526B" w:rsidP="00FC526B">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R,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08E8F62" w14:textId="041C9279" w:rsidR="00FC526B" w:rsidRPr="009B2C7E" w:rsidRDefault="00FC526B" w:rsidP="00FC526B">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81F8D87" w14:textId="1CF0AC3B" w:rsidR="00FC526B" w:rsidRPr="009B2C7E" w:rsidRDefault="00FC526B" w:rsidP="00FC526B">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37</w:t>
            </w:r>
          </w:p>
        </w:tc>
        <w:tc>
          <w:tcPr>
            <w:tcW w:w="314" w:type="pct"/>
            <w:vMerge w:val="restart"/>
            <w:tcBorders>
              <w:left w:val="single" w:sz="4" w:space="0" w:color="auto"/>
              <w:right w:val="single" w:sz="4" w:space="0" w:color="auto"/>
            </w:tcBorders>
            <w:tcMar>
              <w:top w:w="0" w:type="dxa"/>
              <w:left w:w="28" w:type="dxa"/>
              <w:bottom w:w="0" w:type="dxa"/>
              <w:right w:w="28" w:type="dxa"/>
            </w:tcMar>
            <w:vAlign w:val="center"/>
          </w:tcPr>
          <w:p w14:paraId="3D852F3D" w14:textId="6C9C4AAF" w:rsidR="00FC526B" w:rsidRPr="009B2C7E" w:rsidRDefault="00FC526B" w:rsidP="00FC526B">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2</w:t>
            </w:r>
            <w:r w:rsidRPr="009B2C7E">
              <w:rPr>
                <w:rFonts w:ascii="Arial Narrow" w:hAnsi="Arial Narrow" w:cs="Times New Roman"/>
                <w:sz w:val="20"/>
                <w:szCs w:val="18"/>
                <w:lang w:val="en-US" w:eastAsia="en-US"/>
              </w:rPr>
              <w:t>º</w:t>
            </w:r>
            <w:r>
              <w:rPr>
                <w:rFonts w:ascii="Arial Narrow" w:hAnsi="Arial Narrow" w:cs="Times New Roman"/>
                <w:sz w:val="20"/>
                <w:szCs w:val="18"/>
                <w:lang w:val="en-US" w:eastAsia="en-US"/>
              </w:rPr>
              <w:t>(CHD)</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971FDAB" w14:textId="7B8625B0" w:rsidR="00FC526B" w:rsidRPr="009B2C7E" w:rsidRDefault="00FC526B" w:rsidP="00FC526B">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64.5±9</w:t>
            </w:r>
          </w:p>
        </w:tc>
        <w:tc>
          <w:tcPr>
            <w:tcW w:w="349" w:type="pct"/>
            <w:vMerge w:val="restart"/>
            <w:tcBorders>
              <w:left w:val="single" w:sz="4" w:space="0" w:color="auto"/>
              <w:right w:val="single" w:sz="4" w:space="0" w:color="auto"/>
            </w:tcBorders>
            <w:tcMar>
              <w:top w:w="0" w:type="dxa"/>
              <w:left w:w="28" w:type="dxa"/>
              <w:bottom w:w="0" w:type="dxa"/>
              <w:right w:w="28" w:type="dxa"/>
            </w:tcMar>
            <w:vAlign w:val="center"/>
          </w:tcPr>
          <w:p w14:paraId="651D6009" w14:textId="0884990C" w:rsidR="00FC526B" w:rsidRPr="009B2C7E" w:rsidRDefault="00FC526B" w:rsidP="00FC526B">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1.81</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32FA2E15" w14:textId="4BAE56B9" w:rsidR="00FC526B" w:rsidRPr="009B2C7E" w:rsidRDefault="000B7BE3" w:rsidP="00FC526B">
            <w:pPr>
              <w:spacing w:after="0" w:line="264" w:lineRule="auto"/>
              <w:jc w:val="center"/>
              <w:rPr>
                <w:rFonts w:ascii="Arial Narrow" w:hAnsi="Arial Narrow" w:cs="Times New Roman"/>
                <w:sz w:val="20"/>
                <w:szCs w:val="18"/>
                <w:lang w:val="en-US" w:eastAsia="en-US"/>
              </w:rPr>
            </w:pPr>
            <w:r>
              <w:rPr>
                <w:rFonts w:ascii="Arial Narrow" w:hAnsi="Arial Narrow"/>
                <w:sz w:val="20"/>
                <w:szCs w:val="18"/>
                <w:lang w:val="en-US"/>
              </w:rPr>
              <w:t>NR</w:t>
            </w:r>
          </w:p>
        </w:tc>
        <w:tc>
          <w:tcPr>
            <w:tcW w:w="346" w:type="pct"/>
            <w:vMerge w:val="restart"/>
            <w:tcBorders>
              <w:left w:val="single" w:sz="4" w:space="0" w:color="auto"/>
              <w:right w:val="single" w:sz="4" w:space="0" w:color="auto"/>
            </w:tcBorders>
            <w:tcMar>
              <w:top w:w="0" w:type="dxa"/>
              <w:left w:w="28" w:type="dxa"/>
              <w:bottom w:w="0" w:type="dxa"/>
              <w:right w:w="28" w:type="dxa"/>
            </w:tcMar>
            <w:vAlign w:val="center"/>
          </w:tcPr>
          <w:p w14:paraId="42C6BC49"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w:t>
            </w:r>
            <w:r w:rsidRPr="009B2C7E">
              <w:rPr>
                <w:rFonts w:ascii="Arial Narrow" w:hAnsi="Arial Narrow" w:cs="Times New Roman"/>
                <w:sz w:val="20"/>
                <w:szCs w:val="18"/>
                <w:vertAlign w:val="superscript"/>
                <w:lang w:val="en-US" w:eastAsia="en-US"/>
              </w:rPr>
              <w:t>nd</w:t>
            </w:r>
            <w:r w:rsidRPr="009B2C7E">
              <w:rPr>
                <w:rFonts w:ascii="Arial Narrow" w:hAnsi="Arial Narrow" w:cs="Times New Roman"/>
                <w:sz w:val="20"/>
                <w:szCs w:val="18"/>
                <w:lang w:val="en-US" w:eastAsia="en-US"/>
              </w:rPr>
              <w:t xml:space="preserve"> line treatment</w:t>
            </w:r>
          </w:p>
        </w:tc>
        <w:tc>
          <w:tcPr>
            <w:tcW w:w="352" w:type="pct"/>
            <w:vMerge w:val="restart"/>
            <w:tcBorders>
              <w:left w:val="single" w:sz="4" w:space="0" w:color="auto"/>
              <w:right w:val="single" w:sz="4" w:space="0" w:color="auto"/>
            </w:tcBorders>
            <w:tcMar>
              <w:top w:w="0" w:type="dxa"/>
              <w:left w:w="28" w:type="dxa"/>
              <w:bottom w:w="0" w:type="dxa"/>
              <w:right w:w="28" w:type="dxa"/>
            </w:tcMar>
            <w:vAlign w:val="center"/>
          </w:tcPr>
          <w:p w14:paraId="5D32227F"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7624424" w14:textId="737C4E66" w:rsidR="00FC526B" w:rsidRPr="009B2C7E" w:rsidRDefault="00F036E7" w:rsidP="00FC526B">
            <w:pPr>
              <w:spacing w:after="0" w:line="264" w:lineRule="auto"/>
              <w:jc w:val="center"/>
              <w:rPr>
                <w:rFonts w:ascii="Arial Narrow" w:hAnsi="Arial Narrow" w:cs="Times New Roman"/>
                <w:sz w:val="20"/>
                <w:szCs w:val="18"/>
                <w:lang w:val="en-US" w:eastAsia="en-US"/>
              </w:rPr>
            </w:pPr>
            <w:r>
              <w:rPr>
                <w:rFonts w:ascii="Arial Narrow" w:hAnsi="Arial Narrow"/>
                <w:sz w:val="20"/>
                <w:szCs w:val="18"/>
                <w:lang w:val="en-US"/>
              </w:rPr>
              <w:t>EZ 10+SIM</w:t>
            </w:r>
            <w:r w:rsidR="00FC526B" w:rsidRPr="00F56594">
              <w:rPr>
                <w:rFonts w:ascii="Arial Narrow" w:hAnsi="Arial Narrow"/>
                <w:sz w:val="20"/>
                <w:szCs w:val="18"/>
                <w:lang w:val="en-US"/>
              </w:rPr>
              <w:t xml:space="preserve"> 20</w:t>
            </w:r>
          </w:p>
        </w:tc>
        <w:tc>
          <w:tcPr>
            <w:tcW w:w="546" w:type="pct"/>
            <w:vMerge w:val="restart"/>
            <w:tcBorders>
              <w:left w:val="single" w:sz="4" w:space="0" w:color="auto"/>
              <w:right w:val="single" w:sz="4" w:space="0" w:color="auto"/>
            </w:tcBorders>
            <w:tcMar>
              <w:top w:w="0" w:type="dxa"/>
              <w:left w:w="28" w:type="dxa"/>
              <w:bottom w:w="0" w:type="dxa"/>
              <w:right w:w="28" w:type="dxa"/>
            </w:tcMar>
            <w:vAlign w:val="center"/>
          </w:tcPr>
          <w:p w14:paraId="3FDD0965" w14:textId="206FE802" w:rsidR="00FC526B" w:rsidRPr="009B2C7E" w:rsidRDefault="00FC526B" w:rsidP="00FC526B">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At week 6</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1DBE4C3F"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0D5E34E6"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C648F05" w14:textId="77777777" w:rsidR="00FC526B" w:rsidRPr="009B2C7E" w:rsidRDefault="00FC526B" w:rsidP="00FC526B">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8CF9040"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DDDD47E"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22DDF89" w14:textId="580C203C" w:rsidR="00FC526B" w:rsidRPr="009B2C7E" w:rsidRDefault="00FC526B" w:rsidP="00FC526B">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31</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4E5449D"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A861D90" w14:textId="6460DB07" w:rsidR="00FC526B" w:rsidRPr="009B2C7E" w:rsidRDefault="00FC526B" w:rsidP="00FC526B">
            <w:pPr>
              <w:spacing w:after="0" w:line="264" w:lineRule="auto"/>
              <w:jc w:val="center"/>
              <w:rPr>
                <w:rFonts w:ascii="Arial Narrow" w:hAnsi="Arial Narrow" w:cs="Times New Roman"/>
                <w:sz w:val="20"/>
                <w:szCs w:val="18"/>
                <w:lang w:val="en-US" w:eastAsia="en-US"/>
              </w:rPr>
            </w:pPr>
            <w:r w:rsidRPr="00F56594">
              <w:rPr>
                <w:rFonts w:ascii="Arial Narrow" w:hAnsi="Arial Narrow"/>
                <w:sz w:val="20"/>
                <w:szCs w:val="18"/>
                <w:lang w:val="en-US"/>
              </w:rPr>
              <w:t>61.8±10</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629180D"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18C4C37"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E54BB3D"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39FE450"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80679AD" w14:textId="4A17E785" w:rsidR="00FC526B" w:rsidRPr="009B2C7E" w:rsidRDefault="00FC526B" w:rsidP="00FC526B">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00F036E7">
              <w:rPr>
                <w:rFonts w:ascii="Arial Narrow" w:hAnsi="Arial Narrow"/>
                <w:sz w:val="20"/>
                <w:szCs w:val="18"/>
                <w:lang w:val="en-US"/>
              </w:rPr>
              <w:t>SIM</w:t>
            </w:r>
            <w:r w:rsidRPr="00F56594">
              <w:rPr>
                <w:rFonts w:ascii="Arial Narrow" w:hAnsi="Arial Narrow"/>
                <w:sz w:val="20"/>
                <w:szCs w:val="18"/>
                <w:lang w:val="en-US"/>
              </w:rPr>
              <w:t xml:space="preserve"> 80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B76A68F"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1E08515" w14:textId="77777777" w:rsidR="00FC526B" w:rsidRPr="009B2C7E" w:rsidRDefault="00FC526B" w:rsidP="00FC526B">
            <w:pPr>
              <w:spacing w:after="0" w:line="264" w:lineRule="auto"/>
              <w:jc w:val="center"/>
              <w:rPr>
                <w:rFonts w:ascii="Arial Narrow" w:hAnsi="Arial Narrow" w:cs="Times New Roman"/>
                <w:sz w:val="20"/>
                <w:szCs w:val="18"/>
                <w:lang w:val="en-US" w:eastAsia="en-US"/>
              </w:rPr>
            </w:pPr>
          </w:p>
        </w:tc>
      </w:tr>
      <w:tr w:rsidR="00E13102" w:rsidRPr="009B2C7E" w14:paraId="38E44B9A" w14:textId="77777777" w:rsidTr="005903E2">
        <w:trPr>
          <w:trHeight w:val="407"/>
        </w:trPr>
        <w:tc>
          <w:tcPr>
            <w:tcW w:w="384" w:type="pct"/>
            <w:vMerge w:val="restart"/>
            <w:tcBorders>
              <w:left w:val="single" w:sz="4" w:space="0" w:color="auto"/>
              <w:right w:val="single" w:sz="4" w:space="0" w:color="auto"/>
            </w:tcBorders>
            <w:tcMar>
              <w:top w:w="0" w:type="dxa"/>
              <w:left w:w="28" w:type="dxa"/>
              <w:bottom w:w="0" w:type="dxa"/>
              <w:right w:w="28" w:type="dxa"/>
            </w:tcMar>
            <w:vAlign w:val="center"/>
          </w:tcPr>
          <w:p w14:paraId="72200CDB" w14:textId="77777777" w:rsidR="001C1F31" w:rsidRDefault="001C1F31" w:rsidP="001C1F31">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P021</w:t>
            </w:r>
          </w:p>
          <w:p w14:paraId="529A1B54" w14:textId="77777777" w:rsidR="001C1F31" w:rsidRPr="009B2C7E" w:rsidRDefault="001C1F31" w:rsidP="001C1F31">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Gaudiani 2005 </w:t>
            </w:r>
          </w:p>
        </w:tc>
        <w:tc>
          <w:tcPr>
            <w:tcW w:w="264" w:type="pct"/>
            <w:vMerge w:val="restart"/>
            <w:tcBorders>
              <w:left w:val="single" w:sz="4" w:space="0" w:color="auto"/>
              <w:right w:val="single" w:sz="4" w:space="0" w:color="auto"/>
            </w:tcBorders>
            <w:tcMar>
              <w:top w:w="0" w:type="dxa"/>
              <w:left w:w="28" w:type="dxa"/>
              <w:bottom w:w="0" w:type="dxa"/>
              <w:right w:w="28" w:type="dxa"/>
            </w:tcMar>
            <w:vAlign w:val="center"/>
          </w:tcPr>
          <w:p w14:paraId="7D174366"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 P</w:t>
            </w:r>
          </w:p>
        </w:tc>
        <w:tc>
          <w:tcPr>
            <w:tcW w:w="334" w:type="pct"/>
            <w:vMerge w:val="restart"/>
            <w:tcBorders>
              <w:left w:val="single" w:sz="4" w:space="0" w:color="auto"/>
              <w:right w:val="single" w:sz="4" w:space="0" w:color="auto"/>
            </w:tcBorders>
            <w:tcMar>
              <w:top w:w="0" w:type="dxa"/>
              <w:left w:w="28" w:type="dxa"/>
              <w:bottom w:w="0" w:type="dxa"/>
              <w:right w:w="28" w:type="dxa"/>
            </w:tcMar>
            <w:vAlign w:val="center"/>
          </w:tcPr>
          <w:p w14:paraId="008190C0"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24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59AD06C"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110</w:t>
            </w:r>
          </w:p>
        </w:tc>
        <w:tc>
          <w:tcPr>
            <w:tcW w:w="314" w:type="pct"/>
            <w:vMerge w:val="restart"/>
            <w:tcBorders>
              <w:left w:val="single" w:sz="4" w:space="0" w:color="auto"/>
              <w:right w:val="single" w:sz="4" w:space="0" w:color="auto"/>
            </w:tcBorders>
            <w:tcMar>
              <w:top w:w="0" w:type="dxa"/>
              <w:left w:w="28" w:type="dxa"/>
              <w:bottom w:w="0" w:type="dxa"/>
              <w:right w:w="28" w:type="dxa"/>
            </w:tcMar>
            <w:vAlign w:val="center"/>
          </w:tcPr>
          <w:p w14:paraId="1F3A7B55" w14:textId="533AC1B7" w:rsidR="001C1F31" w:rsidRPr="009B2C7E" w:rsidRDefault="008A58DA" w:rsidP="001C1F3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3</w:t>
            </w:r>
            <w:r w:rsidR="001C1F31" w:rsidRPr="009B2C7E">
              <w:rPr>
                <w:rFonts w:ascii="Arial Narrow" w:hAnsi="Arial Narrow" w:cs="Times New Roman"/>
                <w:sz w:val="20"/>
                <w:szCs w:val="18"/>
                <w:lang w:val="en-US" w:eastAsia="en-US"/>
              </w:rPr>
              <w:t>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19A1E6A"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58.3(37-78)</w:t>
            </w:r>
          </w:p>
        </w:tc>
        <w:tc>
          <w:tcPr>
            <w:tcW w:w="349" w:type="pct"/>
            <w:vMerge w:val="restart"/>
            <w:tcBorders>
              <w:left w:val="single" w:sz="4" w:space="0" w:color="auto"/>
              <w:right w:val="single" w:sz="4" w:space="0" w:color="auto"/>
            </w:tcBorders>
            <w:tcMar>
              <w:top w:w="0" w:type="dxa"/>
              <w:left w:w="28" w:type="dxa"/>
              <w:bottom w:w="0" w:type="dxa"/>
              <w:right w:w="28" w:type="dxa"/>
            </w:tcMar>
            <w:vAlign w:val="center"/>
          </w:tcPr>
          <w:p w14:paraId="308D9B58"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2.6</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438D3E19"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left w:val="single" w:sz="4" w:space="0" w:color="auto"/>
              <w:right w:val="single" w:sz="4" w:space="0" w:color="auto"/>
            </w:tcBorders>
            <w:tcMar>
              <w:top w:w="0" w:type="dxa"/>
              <w:left w:w="28" w:type="dxa"/>
              <w:bottom w:w="0" w:type="dxa"/>
              <w:right w:w="28" w:type="dxa"/>
            </w:tcMar>
            <w:vAlign w:val="center"/>
          </w:tcPr>
          <w:p w14:paraId="1C940CFA"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w:t>
            </w:r>
            <w:r w:rsidRPr="009B2C7E">
              <w:rPr>
                <w:rFonts w:ascii="Arial Narrow" w:hAnsi="Arial Narrow" w:cs="Times New Roman"/>
                <w:sz w:val="20"/>
                <w:szCs w:val="18"/>
                <w:vertAlign w:val="superscript"/>
                <w:lang w:val="en-US" w:eastAsia="en-US"/>
              </w:rPr>
              <w:t>nd</w:t>
            </w:r>
            <w:r w:rsidRPr="009B2C7E">
              <w:rPr>
                <w:rFonts w:ascii="Arial Narrow" w:hAnsi="Arial Narrow" w:cs="Times New Roman"/>
                <w:sz w:val="20"/>
                <w:szCs w:val="18"/>
                <w:lang w:val="en-US" w:eastAsia="en-US"/>
              </w:rPr>
              <w:t xml:space="preserve"> line treatment</w:t>
            </w:r>
          </w:p>
        </w:tc>
        <w:tc>
          <w:tcPr>
            <w:tcW w:w="352" w:type="pct"/>
            <w:vMerge w:val="restart"/>
            <w:tcBorders>
              <w:left w:val="single" w:sz="4" w:space="0" w:color="auto"/>
              <w:right w:val="single" w:sz="4" w:space="0" w:color="auto"/>
            </w:tcBorders>
            <w:tcMar>
              <w:top w:w="0" w:type="dxa"/>
              <w:left w:w="28" w:type="dxa"/>
              <w:bottom w:w="0" w:type="dxa"/>
              <w:right w:w="28" w:type="dxa"/>
            </w:tcMar>
            <w:vAlign w:val="center"/>
          </w:tcPr>
          <w:p w14:paraId="76C2A457"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4278F6C" w14:textId="00F1F794" w:rsidR="001C1F31" w:rsidRPr="009B2C7E" w:rsidRDefault="001C1F31" w:rsidP="001C1F3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00F036E7">
              <w:rPr>
                <w:rFonts w:ascii="Arial Narrow" w:hAnsi="Arial Narrow" w:cs="Times New Roman"/>
                <w:sz w:val="20"/>
                <w:szCs w:val="18"/>
                <w:lang w:val="en-US" w:eastAsia="en-US"/>
              </w:rPr>
              <w:t>SIM</w:t>
            </w:r>
            <w:r w:rsidRPr="009B2C7E">
              <w:rPr>
                <w:rFonts w:ascii="Arial Narrow" w:hAnsi="Arial Narrow" w:cs="Times New Roman"/>
                <w:sz w:val="20"/>
                <w:szCs w:val="18"/>
                <w:lang w:val="en-US" w:eastAsia="en-US"/>
              </w:rPr>
              <w:t xml:space="preserve"> 40</w:t>
            </w:r>
          </w:p>
        </w:tc>
        <w:tc>
          <w:tcPr>
            <w:tcW w:w="546" w:type="pct"/>
            <w:vMerge w:val="restart"/>
            <w:tcBorders>
              <w:left w:val="single" w:sz="4" w:space="0" w:color="auto"/>
              <w:right w:val="single" w:sz="4" w:space="0" w:color="auto"/>
            </w:tcBorders>
            <w:tcMar>
              <w:top w:w="0" w:type="dxa"/>
              <w:left w:w="28" w:type="dxa"/>
              <w:bottom w:w="0" w:type="dxa"/>
              <w:right w:w="28" w:type="dxa"/>
            </w:tcMar>
            <w:vAlign w:val="center"/>
          </w:tcPr>
          <w:p w14:paraId="1CB5F8C7"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24</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0C15BC45"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084B3630"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935370D" w14:textId="77777777" w:rsidR="001C1F31" w:rsidRPr="009B2C7E" w:rsidRDefault="001C1F31" w:rsidP="001C1F31">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98DBAF8"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D4AC6B6"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8B60F74"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104</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B7BBF18"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55EA90D"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57.8(35-80)</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B882D71"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2441A18"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9AA06F3"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AD97869"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3ED2FB6"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10+SIM 20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D4C0B3F"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9583738"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r>
      <w:tr w:rsidR="00E13102" w:rsidRPr="009B2C7E" w14:paraId="04E062C5" w14:textId="77777777" w:rsidTr="005903E2">
        <w:tc>
          <w:tcPr>
            <w:tcW w:w="384" w:type="pct"/>
            <w:vMerge w:val="restart"/>
            <w:tcBorders>
              <w:left w:val="single" w:sz="4" w:space="0" w:color="auto"/>
              <w:right w:val="single" w:sz="4" w:space="0" w:color="auto"/>
            </w:tcBorders>
            <w:tcMar>
              <w:top w:w="0" w:type="dxa"/>
              <w:left w:w="28" w:type="dxa"/>
              <w:bottom w:w="0" w:type="dxa"/>
              <w:right w:w="28" w:type="dxa"/>
            </w:tcMar>
            <w:vAlign w:val="center"/>
          </w:tcPr>
          <w:p w14:paraId="58249EA6" w14:textId="77777777" w:rsidR="001C1F31" w:rsidRDefault="001C1F31" w:rsidP="001C1F31">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P700</w:t>
            </w:r>
          </w:p>
          <w:p w14:paraId="0FE71ECC" w14:textId="77777777" w:rsidR="001C1F31" w:rsidRPr="009B2C7E" w:rsidRDefault="001C1F31" w:rsidP="001C1F31">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Dobs 2003 </w:t>
            </w:r>
          </w:p>
        </w:tc>
        <w:tc>
          <w:tcPr>
            <w:tcW w:w="264" w:type="pct"/>
            <w:vMerge w:val="restart"/>
            <w:tcBorders>
              <w:left w:val="single" w:sz="4" w:space="0" w:color="auto"/>
              <w:right w:val="single" w:sz="4" w:space="0" w:color="auto"/>
            </w:tcBorders>
            <w:tcMar>
              <w:top w:w="0" w:type="dxa"/>
              <w:left w:w="28" w:type="dxa"/>
              <w:bottom w:w="0" w:type="dxa"/>
              <w:right w:w="28" w:type="dxa"/>
            </w:tcMar>
            <w:vAlign w:val="center"/>
          </w:tcPr>
          <w:p w14:paraId="30953F71"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R, DB</w:t>
            </w:r>
          </w:p>
        </w:tc>
        <w:tc>
          <w:tcPr>
            <w:tcW w:w="334" w:type="pct"/>
            <w:vMerge w:val="restart"/>
            <w:tcBorders>
              <w:left w:val="single" w:sz="4" w:space="0" w:color="auto"/>
              <w:right w:val="single" w:sz="4" w:space="0" w:color="auto"/>
            </w:tcBorders>
            <w:tcMar>
              <w:top w:w="0" w:type="dxa"/>
              <w:left w:w="28" w:type="dxa"/>
              <w:bottom w:w="0" w:type="dxa"/>
              <w:right w:w="28" w:type="dxa"/>
            </w:tcMar>
            <w:vAlign w:val="center"/>
          </w:tcPr>
          <w:p w14:paraId="68AFA8E4"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4 weeks </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5EF20AD"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66</w:t>
            </w:r>
          </w:p>
        </w:tc>
        <w:tc>
          <w:tcPr>
            <w:tcW w:w="314" w:type="pct"/>
            <w:vMerge w:val="restart"/>
            <w:tcBorders>
              <w:left w:val="single" w:sz="4" w:space="0" w:color="auto"/>
              <w:right w:val="single" w:sz="4" w:space="0" w:color="auto"/>
            </w:tcBorders>
            <w:tcMar>
              <w:top w:w="0" w:type="dxa"/>
              <w:left w:w="28" w:type="dxa"/>
              <w:bottom w:w="0" w:type="dxa"/>
              <w:right w:w="28" w:type="dxa"/>
            </w:tcMar>
            <w:vAlign w:val="center"/>
          </w:tcPr>
          <w:p w14:paraId="31C54B44"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8E52EF1"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9" w:type="pct"/>
            <w:vMerge w:val="restart"/>
            <w:tcBorders>
              <w:left w:val="single" w:sz="4" w:space="0" w:color="auto"/>
              <w:right w:val="single" w:sz="4" w:space="0" w:color="auto"/>
            </w:tcBorders>
            <w:tcMar>
              <w:top w:w="0" w:type="dxa"/>
              <w:left w:w="28" w:type="dxa"/>
              <w:bottom w:w="0" w:type="dxa"/>
              <w:right w:w="28" w:type="dxa"/>
            </w:tcMar>
            <w:vAlign w:val="center"/>
          </w:tcPr>
          <w:p w14:paraId="0B46B915"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3.36</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333712E7"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left w:val="single" w:sz="4" w:space="0" w:color="auto"/>
              <w:right w:val="single" w:sz="4" w:space="0" w:color="auto"/>
            </w:tcBorders>
            <w:tcMar>
              <w:top w:w="0" w:type="dxa"/>
              <w:left w:w="28" w:type="dxa"/>
              <w:bottom w:w="0" w:type="dxa"/>
              <w:right w:w="28" w:type="dxa"/>
            </w:tcMar>
            <w:vAlign w:val="center"/>
          </w:tcPr>
          <w:p w14:paraId="62DCEB34"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left w:val="single" w:sz="4" w:space="0" w:color="auto"/>
              <w:right w:val="single" w:sz="4" w:space="0" w:color="auto"/>
            </w:tcBorders>
            <w:tcMar>
              <w:top w:w="0" w:type="dxa"/>
              <w:left w:w="28" w:type="dxa"/>
              <w:bottom w:w="0" w:type="dxa"/>
              <w:right w:w="28" w:type="dxa"/>
            </w:tcMar>
            <w:vAlign w:val="center"/>
          </w:tcPr>
          <w:p w14:paraId="50380813" w14:textId="42A92445" w:rsidR="001C1F31" w:rsidRPr="00A138A6" w:rsidRDefault="00A138A6" w:rsidP="001C1F31">
            <w:pPr>
              <w:spacing w:after="0" w:line="264" w:lineRule="auto"/>
              <w:jc w:val="center"/>
              <w:rPr>
                <w:rFonts w:ascii="Arial Narrow" w:hAnsi="Arial Narrow" w:cs="Times New Roman"/>
                <w:i/>
                <w:sz w:val="20"/>
                <w:szCs w:val="18"/>
                <w:lang w:val="en-US" w:eastAsia="en-US"/>
              </w:rPr>
            </w:pPr>
            <w:r w:rsidRPr="00A138A6">
              <w:rPr>
                <w:rFonts w:ascii="Arial Narrow" w:hAnsi="Arial Narrow" w:cs="Times New Roman"/>
                <w:i/>
                <w:sz w:val="20"/>
                <w:szCs w:val="18"/>
                <w:lang w:val="en-US" w:eastAsia="en-US"/>
              </w:rPr>
              <w:t>High</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09AA71C" w14:textId="5E6A0028" w:rsidR="001C1F31" w:rsidRPr="009B2C7E" w:rsidRDefault="001C1F31" w:rsidP="001C1F3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00F036E7">
              <w:rPr>
                <w:rFonts w:ascii="Arial Narrow" w:hAnsi="Arial Narrow" w:cs="Times New Roman"/>
                <w:sz w:val="20"/>
                <w:szCs w:val="18"/>
                <w:lang w:val="en-US" w:eastAsia="en-US"/>
              </w:rPr>
              <w:t xml:space="preserve"> 10+SIM</w:t>
            </w:r>
            <w:r w:rsidRPr="009B2C7E">
              <w:rPr>
                <w:rFonts w:ascii="Arial Narrow" w:hAnsi="Arial Narrow" w:cs="Times New Roman"/>
                <w:sz w:val="20"/>
                <w:szCs w:val="18"/>
                <w:lang w:val="en-US" w:eastAsia="en-US"/>
              </w:rPr>
              <w:t xml:space="preserve"> 20</w:t>
            </w:r>
          </w:p>
        </w:tc>
        <w:tc>
          <w:tcPr>
            <w:tcW w:w="546" w:type="pct"/>
            <w:vMerge w:val="restart"/>
            <w:tcBorders>
              <w:left w:val="single" w:sz="4" w:space="0" w:color="auto"/>
              <w:right w:val="single" w:sz="4" w:space="0" w:color="auto"/>
            </w:tcBorders>
            <w:tcMar>
              <w:top w:w="0" w:type="dxa"/>
              <w:left w:w="28" w:type="dxa"/>
              <w:bottom w:w="0" w:type="dxa"/>
              <w:right w:w="28" w:type="dxa"/>
            </w:tcMar>
            <w:vAlign w:val="center"/>
          </w:tcPr>
          <w:p w14:paraId="1809875C"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4</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409A9203"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0DAE06ED"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F39E5B3" w14:textId="77777777" w:rsidR="001C1F31" w:rsidRPr="009B2C7E" w:rsidRDefault="001C1F31" w:rsidP="001C1F31">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B2DDE77"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9BC5E4A"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79F54E"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34</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3C4828F"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4D17DE5"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3D77AC7"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C8E1429"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1A84A00"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02BCB6D"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B27DDE0" w14:textId="228DAB8B" w:rsidR="001C1F31" w:rsidRPr="009B2C7E" w:rsidRDefault="001C1F31" w:rsidP="001C1F3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00F036E7">
              <w:rPr>
                <w:rFonts w:ascii="Arial Narrow" w:hAnsi="Arial Narrow" w:cs="Times New Roman"/>
                <w:sz w:val="20"/>
                <w:szCs w:val="18"/>
                <w:lang w:val="en-US" w:eastAsia="en-US"/>
              </w:rPr>
              <w:t>SIM</w:t>
            </w:r>
            <w:r w:rsidRPr="009B2C7E">
              <w:rPr>
                <w:rFonts w:ascii="Arial Narrow" w:hAnsi="Arial Narrow" w:cs="Times New Roman"/>
                <w:sz w:val="20"/>
                <w:szCs w:val="18"/>
                <w:lang w:val="en-US" w:eastAsia="en-US"/>
              </w:rPr>
              <w:t xml:space="preserve"> 40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377CCF0"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5FE090C" w14:textId="77777777" w:rsidR="001C1F31" w:rsidRPr="009B2C7E" w:rsidRDefault="001C1F31" w:rsidP="001C1F31">
            <w:pPr>
              <w:spacing w:after="0" w:line="264" w:lineRule="auto"/>
              <w:jc w:val="center"/>
              <w:rPr>
                <w:rFonts w:ascii="Arial Narrow" w:hAnsi="Arial Narrow" w:cs="Times New Roman"/>
                <w:sz w:val="20"/>
                <w:szCs w:val="18"/>
                <w:lang w:val="en-US" w:eastAsia="en-US"/>
              </w:rPr>
            </w:pPr>
          </w:p>
        </w:tc>
      </w:tr>
      <w:tr w:rsidR="00E13102" w:rsidRPr="009B2C7E" w14:paraId="2F967A04"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F410A96" w14:textId="77777777" w:rsidR="00BD5175" w:rsidRDefault="00BD5175" w:rsidP="00BD5175">
            <w:pPr>
              <w:spacing w:after="0" w:line="264" w:lineRule="auto"/>
              <w:rPr>
                <w:rFonts w:ascii="Arial Narrow" w:hAnsi="Arial Narrow" w:cs="Times New Roman"/>
                <w:sz w:val="20"/>
                <w:szCs w:val="18"/>
                <w:lang w:val="nl-NL" w:eastAsia="en-US"/>
              </w:rPr>
            </w:pPr>
            <w:r>
              <w:rPr>
                <w:rFonts w:ascii="Arial Narrow" w:hAnsi="Arial Narrow" w:cs="Times New Roman"/>
                <w:sz w:val="20"/>
                <w:szCs w:val="18"/>
                <w:lang w:val="nl-NL" w:eastAsia="en-US"/>
              </w:rPr>
              <w:t xml:space="preserve">P112 </w:t>
            </w:r>
          </w:p>
          <w:p w14:paraId="1D3FF18A" w14:textId="77777777" w:rsidR="00BD5175" w:rsidRPr="009B2C7E" w:rsidRDefault="00BD5175" w:rsidP="00BD5175">
            <w:pPr>
              <w:spacing w:after="0" w:line="264" w:lineRule="auto"/>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 xml:space="preserve">Zieve 2010 </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921F4D4"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MC, R, P,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6BA3D9C"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 xml:space="preserve">12 weeks </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1DA6649"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526</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292C57B"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en-US" w:eastAsia="en-US"/>
              </w:rPr>
              <w:t>3º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3AEB3AF"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71</w:t>
            </w:r>
            <w:r w:rsidRPr="009B2C7E">
              <w:rPr>
                <w:rFonts w:ascii="Arial Narrow" w:hAnsi="Arial Narrow" w:cs="Times New Roman"/>
                <w:sz w:val="20"/>
                <w:szCs w:val="18"/>
                <w:lang w:val="en-US" w:eastAsia="en-US"/>
              </w:rPr>
              <w:t>±5</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0301CA9"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1.81-2.59</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0C8794F"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4.14-4.91</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5E26D32"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en-US" w:eastAsia="en-US"/>
              </w:rPr>
              <w:t>2</w:t>
            </w:r>
            <w:r w:rsidRPr="009B2C7E">
              <w:rPr>
                <w:rFonts w:ascii="Arial Narrow" w:hAnsi="Arial Narrow" w:cs="Times New Roman"/>
                <w:sz w:val="20"/>
                <w:szCs w:val="18"/>
                <w:vertAlign w:val="superscript"/>
                <w:lang w:val="en-US" w:eastAsia="en-US"/>
              </w:rPr>
              <w:t>nd</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B8A2F1F" w14:textId="6F3E78EC" w:rsidR="00E0757E" w:rsidRDefault="00E0757E" w:rsidP="00BD5175">
            <w:pPr>
              <w:spacing w:after="0" w:line="264" w:lineRule="auto"/>
              <w:jc w:val="center"/>
              <w:rPr>
                <w:rFonts w:ascii="Arial Narrow" w:hAnsi="Arial Narrow" w:cs="Times New Roman"/>
                <w:sz w:val="20"/>
                <w:szCs w:val="18"/>
                <w:lang w:val="nl-NL" w:eastAsia="en-US"/>
              </w:rPr>
            </w:pPr>
            <w:r>
              <w:rPr>
                <w:rFonts w:ascii="Arial Narrow" w:hAnsi="Arial Narrow" w:cs="Times New Roman"/>
                <w:sz w:val="20"/>
                <w:szCs w:val="18"/>
                <w:lang w:val="nl-NL" w:eastAsia="en-US"/>
              </w:rPr>
              <w:t>High</w:t>
            </w:r>
          </w:p>
          <w:p w14:paraId="7A83D20E"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&gt;20%</w:t>
            </w:r>
          </w:p>
          <w:p w14:paraId="2E1E65F3"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(10-year)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F39EB13"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Pr>
                <w:rFonts w:ascii="Arial Narrow" w:hAnsi="Arial Narrow" w:cs="Times New Roman"/>
                <w:sz w:val="20"/>
                <w:szCs w:val="18"/>
                <w:lang w:val="nl-NL" w:eastAsia="en-US"/>
              </w:rPr>
              <w:t>EZ</w:t>
            </w:r>
            <w:r w:rsidRPr="009B2C7E">
              <w:rPr>
                <w:rFonts w:ascii="Arial Narrow" w:hAnsi="Arial Narrow" w:cs="Times New Roman"/>
                <w:sz w:val="20"/>
                <w:szCs w:val="18"/>
                <w:lang w:val="nl-NL" w:eastAsia="en-US"/>
              </w:rPr>
              <w:t xml:space="preserve"> 10+ATOR 10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BFC22E6"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At week 12</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2D3BA15"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en-US" w:eastAsia="en-US"/>
              </w:rPr>
              <w:t>Not assessed</w:t>
            </w:r>
          </w:p>
        </w:tc>
      </w:tr>
      <w:tr w:rsidR="00E13102" w:rsidRPr="009B2C7E" w14:paraId="4F856BCD"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AD3C2BF" w14:textId="77777777" w:rsidR="00BD5175" w:rsidRPr="009B2C7E" w:rsidRDefault="00BD5175" w:rsidP="00BD5175">
            <w:pPr>
              <w:spacing w:after="0" w:line="264" w:lineRule="auto"/>
              <w:rPr>
                <w:rFonts w:ascii="Arial Narrow" w:hAnsi="Arial Narrow" w:cs="Times New Roman"/>
                <w:sz w:val="20"/>
                <w:szCs w:val="18"/>
                <w:lang w:val="nl-NL"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8E2E450"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35DC37A"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F21072C"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527</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11CF362"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EB1CC9E"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r w:rsidRPr="009B2C7E">
              <w:rPr>
                <w:rFonts w:ascii="Arial Narrow" w:hAnsi="Arial Narrow" w:cs="Times New Roman"/>
                <w:sz w:val="20"/>
                <w:szCs w:val="18"/>
                <w:lang w:val="nl-NL" w:eastAsia="en-US"/>
              </w:rPr>
              <w:t>71</w:t>
            </w:r>
            <w:r w:rsidRPr="009B2C7E">
              <w:rPr>
                <w:rFonts w:ascii="Arial Narrow" w:hAnsi="Arial Narrow" w:cs="Times New Roman"/>
                <w:sz w:val="20"/>
                <w:szCs w:val="18"/>
                <w:lang w:val="en-US" w:eastAsia="en-US"/>
              </w:rPr>
              <w:t>±5</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603B751"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79C8A2C"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B6D9B78"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6F20A23"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E7B9565" w14:textId="758F2843" w:rsidR="00BD5175" w:rsidRPr="009B2C7E" w:rsidRDefault="00BD5175" w:rsidP="00BD5175">
            <w:pPr>
              <w:spacing w:after="0" w:line="264" w:lineRule="auto"/>
              <w:jc w:val="center"/>
              <w:rPr>
                <w:rFonts w:ascii="Arial Narrow" w:hAnsi="Arial Narrow" w:cs="Times New Roman"/>
                <w:sz w:val="20"/>
                <w:szCs w:val="18"/>
                <w:lang w:val="nl-NL"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nl-NL" w:eastAsia="en-US"/>
              </w:rPr>
              <w:t>ATOR 20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61EEB68"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B39B299" w14:textId="77777777" w:rsidR="00BD5175" w:rsidRPr="009B2C7E" w:rsidRDefault="00BD5175" w:rsidP="00BD5175">
            <w:pPr>
              <w:spacing w:after="0" w:line="264" w:lineRule="auto"/>
              <w:jc w:val="center"/>
              <w:rPr>
                <w:rFonts w:ascii="Arial Narrow" w:hAnsi="Arial Narrow" w:cs="Times New Roman"/>
                <w:sz w:val="20"/>
                <w:szCs w:val="18"/>
                <w:lang w:val="nl-NL" w:eastAsia="en-US"/>
              </w:rPr>
            </w:pPr>
          </w:p>
        </w:tc>
      </w:tr>
      <w:tr w:rsidR="00E13102" w:rsidRPr="009B2C7E" w14:paraId="24CC3CE9" w14:textId="77777777" w:rsidTr="005903E2">
        <w:tc>
          <w:tcPr>
            <w:tcW w:w="384" w:type="pct"/>
            <w:vMerge w:val="restart"/>
            <w:tcBorders>
              <w:left w:val="single" w:sz="4" w:space="0" w:color="auto"/>
              <w:right w:val="single" w:sz="4" w:space="0" w:color="auto"/>
            </w:tcBorders>
            <w:tcMar>
              <w:top w:w="0" w:type="dxa"/>
              <w:left w:w="28" w:type="dxa"/>
              <w:bottom w:w="0" w:type="dxa"/>
              <w:right w:w="28" w:type="dxa"/>
            </w:tcMar>
            <w:vAlign w:val="center"/>
          </w:tcPr>
          <w:p w14:paraId="14B0595F" w14:textId="77777777" w:rsidR="00BD5175" w:rsidRPr="009B2C7E" w:rsidRDefault="00BD5175" w:rsidP="00BD5175">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Farnier 2009</w:t>
            </w:r>
          </w:p>
        </w:tc>
        <w:tc>
          <w:tcPr>
            <w:tcW w:w="264" w:type="pct"/>
            <w:vMerge w:val="restart"/>
            <w:tcBorders>
              <w:left w:val="single" w:sz="4" w:space="0" w:color="auto"/>
              <w:right w:val="single" w:sz="4" w:space="0" w:color="auto"/>
            </w:tcBorders>
            <w:tcMar>
              <w:top w:w="0" w:type="dxa"/>
              <w:left w:w="28" w:type="dxa"/>
              <w:bottom w:w="0" w:type="dxa"/>
              <w:right w:w="28" w:type="dxa"/>
            </w:tcMar>
            <w:vAlign w:val="center"/>
          </w:tcPr>
          <w:p w14:paraId="4C6142D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P, DB,</w:t>
            </w:r>
          </w:p>
        </w:tc>
        <w:tc>
          <w:tcPr>
            <w:tcW w:w="334" w:type="pct"/>
            <w:vMerge w:val="restart"/>
            <w:tcBorders>
              <w:left w:val="single" w:sz="4" w:space="0" w:color="auto"/>
              <w:right w:val="single" w:sz="4" w:space="0" w:color="auto"/>
            </w:tcBorders>
            <w:tcMar>
              <w:top w:w="0" w:type="dxa"/>
              <w:left w:w="28" w:type="dxa"/>
              <w:bottom w:w="0" w:type="dxa"/>
              <w:right w:w="28" w:type="dxa"/>
            </w:tcMar>
            <w:vAlign w:val="center"/>
          </w:tcPr>
          <w:p w14:paraId="4A4D135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9EB81B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314</w:t>
            </w:r>
          </w:p>
        </w:tc>
        <w:tc>
          <w:tcPr>
            <w:tcW w:w="314" w:type="pct"/>
            <w:vMerge w:val="restart"/>
            <w:tcBorders>
              <w:left w:val="single" w:sz="4" w:space="0" w:color="auto"/>
              <w:right w:val="single" w:sz="4" w:space="0" w:color="auto"/>
            </w:tcBorders>
            <w:tcMar>
              <w:top w:w="0" w:type="dxa"/>
              <w:left w:w="28" w:type="dxa"/>
              <w:bottom w:w="0" w:type="dxa"/>
              <w:right w:w="28" w:type="dxa"/>
            </w:tcMar>
            <w:vAlign w:val="center"/>
          </w:tcPr>
          <w:p w14:paraId="2ADB26AA"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467068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63.2±9.8</w:t>
            </w:r>
          </w:p>
        </w:tc>
        <w:tc>
          <w:tcPr>
            <w:tcW w:w="349" w:type="pct"/>
            <w:vMerge w:val="restart"/>
            <w:tcBorders>
              <w:left w:val="single" w:sz="4" w:space="0" w:color="auto"/>
              <w:right w:val="single" w:sz="4" w:space="0" w:color="auto"/>
            </w:tcBorders>
            <w:tcMar>
              <w:top w:w="0" w:type="dxa"/>
              <w:left w:w="28" w:type="dxa"/>
              <w:bottom w:w="0" w:type="dxa"/>
              <w:right w:w="28" w:type="dxa"/>
            </w:tcMar>
            <w:vAlign w:val="center"/>
          </w:tcPr>
          <w:p w14:paraId="6F730AF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2.59</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2B77907A"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4.92</w:t>
            </w:r>
          </w:p>
        </w:tc>
        <w:tc>
          <w:tcPr>
            <w:tcW w:w="346" w:type="pct"/>
            <w:vMerge w:val="restart"/>
            <w:tcBorders>
              <w:left w:val="single" w:sz="4" w:space="0" w:color="auto"/>
              <w:right w:val="single" w:sz="4" w:space="0" w:color="auto"/>
            </w:tcBorders>
            <w:tcMar>
              <w:top w:w="0" w:type="dxa"/>
              <w:left w:w="28" w:type="dxa"/>
              <w:bottom w:w="0" w:type="dxa"/>
              <w:right w:w="28" w:type="dxa"/>
            </w:tcMar>
            <w:vAlign w:val="center"/>
          </w:tcPr>
          <w:p w14:paraId="24EE526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w:t>
            </w:r>
            <w:r w:rsidRPr="009B2C7E">
              <w:rPr>
                <w:rFonts w:ascii="Arial Narrow" w:hAnsi="Arial Narrow" w:cs="Times New Roman"/>
                <w:sz w:val="20"/>
                <w:szCs w:val="18"/>
                <w:vertAlign w:val="superscript"/>
                <w:lang w:val="en-US" w:eastAsia="en-US"/>
              </w:rPr>
              <w:t>nd</w:t>
            </w:r>
            <w:r w:rsidRPr="009B2C7E">
              <w:rPr>
                <w:rFonts w:ascii="Arial Narrow" w:hAnsi="Arial Narrow" w:cs="Times New Roman"/>
                <w:sz w:val="20"/>
                <w:szCs w:val="18"/>
                <w:lang w:val="en-US" w:eastAsia="en-US"/>
              </w:rPr>
              <w:t xml:space="preserve"> line treatment</w:t>
            </w:r>
          </w:p>
        </w:tc>
        <w:tc>
          <w:tcPr>
            <w:tcW w:w="352" w:type="pct"/>
            <w:vMerge w:val="restart"/>
            <w:tcBorders>
              <w:left w:val="single" w:sz="4" w:space="0" w:color="auto"/>
              <w:right w:val="single" w:sz="4" w:space="0" w:color="auto"/>
            </w:tcBorders>
            <w:tcMar>
              <w:top w:w="0" w:type="dxa"/>
              <w:left w:w="28" w:type="dxa"/>
              <w:bottom w:w="0" w:type="dxa"/>
              <w:right w:w="28" w:type="dxa"/>
            </w:tcMar>
            <w:vAlign w:val="center"/>
          </w:tcPr>
          <w:p w14:paraId="4AB1EC92" w14:textId="26CD7A2D" w:rsidR="00E0757E" w:rsidRDefault="00E0757E"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High</w:t>
            </w:r>
          </w:p>
          <w:p w14:paraId="65DB976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&gt;20%</w:t>
            </w:r>
          </w:p>
          <w:p w14:paraId="344C126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(10-year)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56BA86D" w14:textId="6BF668CE" w:rsidR="00BD5175" w:rsidRPr="009B2C7E" w:rsidRDefault="00BD5175" w:rsidP="00F036E7">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10+SIM 20</w:t>
            </w:r>
          </w:p>
        </w:tc>
        <w:tc>
          <w:tcPr>
            <w:tcW w:w="546" w:type="pct"/>
            <w:vMerge w:val="restart"/>
            <w:tcBorders>
              <w:left w:val="single" w:sz="4" w:space="0" w:color="auto"/>
              <w:right w:val="single" w:sz="4" w:space="0" w:color="auto"/>
            </w:tcBorders>
            <w:tcMar>
              <w:top w:w="0" w:type="dxa"/>
              <w:left w:w="28" w:type="dxa"/>
              <w:bottom w:w="0" w:type="dxa"/>
              <w:right w:w="28" w:type="dxa"/>
            </w:tcMar>
            <w:vAlign w:val="center"/>
          </w:tcPr>
          <w:p w14:paraId="6E294CB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6</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4170F0A2"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14C07DE2"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A498A1D"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24461B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465618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05B4CC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304</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99DBC9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358090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63.1±10</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36013A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7DF0F5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35D3C0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AD498D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8F7F761" w14:textId="671F8A6A"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ROSU</w:t>
            </w:r>
            <w:r w:rsidR="00F036E7" w:rsidRPr="009B2C7E">
              <w:rPr>
                <w:rFonts w:ascii="Arial Narrow" w:hAnsi="Arial Narrow" w:cs="Times New Roman"/>
                <w:sz w:val="20"/>
                <w:szCs w:val="18"/>
                <w:lang w:val="en-US" w:eastAsia="en-US"/>
              </w:rPr>
              <w:t>V</w:t>
            </w:r>
            <w:r w:rsidRPr="009B2C7E">
              <w:rPr>
                <w:rFonts w:ascii="Arial Narrow" w:hAnsi="Arial Narrow" w:cs="Times New Roman"/>
                <w:sz w:val="20"/>
                <w:szCs w:val="18"/>
                <w:lang w:val="en-US" w:eastAsia="en-US"/>
              </w:rPr>
              <w:t xml:space="preserve"> 10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BD9E91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1D0725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0829FAAD"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7A9F2A3" w14:textId="77777777" w:rsidR="00BD5175" w:rsidRPr="009B2C7E" w:rsidRDefault="00BD5175" w:rsidP="00BD5175">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Catapano 2006</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DCE1F2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MC, R, P,DB, </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78DB6A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2A58AF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492</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3D2406A" w14:textId="7366D961" w:rsidR="00BD5175" w:rsidRPr="009B2C7E" w:rsidRDefault="0025496B"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1</w:t>
            </w:r>
            <w:r w:rsidR="00BD5175" w:rsidRPr="009B2C7E">
              <w:rPr>
                <w:rFonts w:ascii="Arial Narrow" w:hAnsi="Arial Narrow" w:cs="Times New Roman"/>
                <w:sz w:val="20"/>
                <w:szCs w:val="18"/>
                <w:lang w:val="en-US" w:eastAsia="en-US"/>
              </w:rPr>
              <w:t>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3FDEBF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55.6±10.3</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F51305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3.75</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8B7CDB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6.47</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E5B14E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73EE48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2D2B2E3" w14:textId="21157CA1"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ROSU</w:t>
            </w:r>
            <w:r w:rsidR="00F036E7">
              <w:rPr>
                <w:rFonts w:ascii="Arial Narrow" w:hAnsi="Arial Narrow" w:cs="Times New Roman"/>
                <w:sz w:val="20"/>
                <w:szCs w:val="18"/>
                <w:lang w:val="en-US" w:eastAsia="en-US"/>
              </w:rPr>
              <w:t>V</w:t>
            </w:r>
            <w:r w:rsidRPr="009B2C7E">
              <w:rPr>
                <w:rFonts w:ascii="Arial Narrow" w:hAnsi="Arial Narrow" w:cs="Times New Roman"/>
                <w:sz w:val="20"/>
                <w:szCs w:val="18"/>
                <w:lang w:val="en-US" w:eastAsia="en-US"/>
              </w:rPr>
              <w:t xml:space="preserve"> 10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8259B1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6</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5BC698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7D801D6D"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4D827804"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214321F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277C06B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1B1EA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492</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1772F982"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DA9CB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54.9±10.4</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4DBBAE1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3412815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44F9EB42"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42C3235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32F6458" w14:textId="4D28CC0B"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00F036E7">
              <w:rPr>
                <w:rFonts w:ascii="Arial Narrow" w:hAnsi="Arial Narrow" w:cs="Times New Roman"/>
                <w:sz w:val="20"/>
                <w:szCs w:val="18"/>
                <w:lang w:val="en-US" w:eastAsia="en-US"/>
              </w:rPr>
              <w:t xml:space="preserve"> 10+SIM</w:t>
            </w:r>
            <w:r w:rsidRPr="009B2C7E">
              <w:rPr>
                <w:rFonts w:ascii="Arial Narrow" w:hAnsi="Arial Narrow" w:cs="Times New Roman"/>
                <w:sz w:val="20"/>
                <w:szCs w:val="18"/>
                <w:lang w:val="en-US" w:eastAsia="en-US"/>
              </w:rPr>
              <w:t xml:space="preserve"> 20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5C29767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3DB2555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0F49B256"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36F5DB5B"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10ECF62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6DACADB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91BE2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495</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36394C5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F33765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55.8±10.4</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044F7FF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78ECB51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2BED14F2"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414941A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269B223" w14:textId="3128A14E"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ROSU</w:t>
            </w:r>
            <w:r w:rsidR="00F036E7">
              <w:rPr>
                <w:rFonts w:ascii="Arial Narrow" w:hAnsi="Arial Narrow" w:cs="Times New Roman"/>
                <w:sz w:val="20"/>
                <w:szCs w:val="18"/>
                <w:lang w:val="en-US" w:eastAsia="en-US"/>
              </w:rPr>
              <w:t>V</w:t>
            </w:r>
            <w:r w:rsidRPr="009B2C7E">
              <w:rPr>
                <w:rFonts w:ascii="Arial Narrow" w:hAnsi="Arial Narrow" w:cs="Times New Roman"/>
                <w:sz w:val="20"/>
                <w:szCs w:val="18"/>
                <w:lang w:val="en-US" w:eastAsia="en-US"/>
              </w:rPr>
              <w:t xml:space="preserve"> 20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1BE3C13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0B77D59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666A8279"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194B54BA"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79FE21F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256AA62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774E55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493</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2A8ECC7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345C75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56.2±10.4</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66FE437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436E9EF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05D5642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6670717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2BD52F3" w14:textId="4E8217EA"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00F036E7">
              <w:rPr>
                <w:rFonts w:ascii="Arial Narrow" w:hAnsi="Arial Narrow" w:cs="Times New Roman"/>
                <w:sz w:val="20"/>
                <w:szCs w:val="18"/>
                <w:lang w:val="en-US" w:eastAsia="en-US"/>
              </w:rPr>
              <w:t xml:space="preserve"> 10+SIM</w:t>
            </w:r>
            <w:r w:rsidRPr="009B2C7E">
              <w:rPr>
                <w:rFonts w:ascii="Arial Narrow" w:hAnsi="Arial Narrow" w:cs="Times New Roman"/>
                <w:sz w:val="20"/>
                <w:szCs w:val="18"/>
                <w:lang w:val="en-US" w:eastAsia="en-US"/>
              </w:rPr>
              <w:t xml:space="preserve"> 40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3423E5A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602E2C6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297C5741"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1F1C3CFE"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195C985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104E1B8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F83BC0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494</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1BD211A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4FCA9E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55.4±10.6</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4C0E17F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53BB63C2"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56EEE65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260666E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EA76019" w14:textId="6FDC55BB"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ROSU</w:t>
            </w:r>
            <w:r w:rsidR="00F036E7">
              <w:rPr>
                <w:rFonts w:ascii="Arial Narrow" w:hAnsi="Arial Narrow" w:cs="Times New Roman"/>
                <w:sz w:val="20"/>
                <w:szCs w:val="18"/>
                <w:lang w:val="en-US" w:eastAsia="en-US"/>
              </w:rPr>
              <w:t>V</w:t>
            </w:r>
            <w:r w:rsidRPr="009B2C7E">
              <w:rPr>
                <w:rFonts w:ascii="Arial Narrow" w:hAnsi="Arial Narrow" w:cs="Times New Roman"/>
                <w:sz w:val="20"/>
                <w:szCs w:val="18"/>
                <w:lang w:val="en-US" w:eastAsia="en-US"/>
              </w:rPr>
              <w:t xml:space="preserve"> 40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561E7C4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6A93219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58E68B75"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22C1156"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FA1D6FA"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EC0FA4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4E5E3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493</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582524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39C55C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55.9±10.0</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F92714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0118CEA"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C579CB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824CD3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6E07957" w14:textId="758F4A38"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00F036E7">
              <w:rPr>
                <w:rFonts w:ascii="Arial Narrow" w:hAnsi="Arial Narrow" w:cs="Times New Roman"/>
                <w:sz w:val="20"/>
                <w:szCs w:val="18"/>
                <w:lang w:val="en-US" w:eastAsia="en-US"/>
              </w:rPr>
              <w:t xml:space="preserve"> 10+SIM</w:t>
            </w:r>
            <w:r w:rsidRPr="009B2C7E">
              <w:rPr>
                <w:rFonts w:ascii="Arial Narrow" w:hAnsi="Arial Narrow" w:cs="Times New Roman"/>
                <w:sz w:val="20"/>
                <w:szCs w:val="18"/>
                <w:lang w:val="en-US" w:eastAsia="en-US"/>
              </w:rPr>
              <w:t xml:space="preserve"> 80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C9BBC5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D956F9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55A4517E"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F80E9AA" w14:textId="77777777" w:rsidR="00BD5175" w:rsidRPr="009B2C7E" w:rsidRDefault="00BD5175" w:rsidP="00BD5175">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P077 </w:t>
            </w:r>
            <w:r w:rsidRPr="009B2C7E">
              <w:rPr>
                <w:rFonts w:ascii="Arial Narrow" w:hAnsi="Arial Narrow" w:cs="Times New Roman"/>
                <w:sz w:val="20"/>
                <w:szCs w:val="18"/>
                <w:lang w:val="en-US" w:eastAsia="en-US"/>
              </w:rPr>
              <w:t xml:space="preserve">Goldberg 2006 </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F90D049"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P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1935CD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D5D28D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245</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9F41180" w14:textId="1538E00D" w:rsidR="00BD5175" w:rsidRPr="009B2C7E" w:rsidRDefault="00EA7C91"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3</w:t>
            </w:r>
            <w:r w:rsidR="00BD5175" w:rsidRPr="009B2C7E">
              <w:rPr>
                <w:rFonts w:ascii="Arial Narrow" w:hAnsi="Arial Narrow" w:cs="Times New Roman"/>
                <w:sz w:val="20"/>
                <w:szCs w:val="18"/>
                <w:lang w:val="en-US" w:eastAsia="en-US"/>
              </w:rPr>
              <w:t>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350363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59.1±10.1</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73D9AB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2.59</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1659FD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2B300B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82FF42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2B65D6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ATOR 10</w:t>
            </w:r>
          </w:p>
        </w:tc>
        <w:tc>
          <w:tcPr>
            <w:tcW w:w="546" w:type="pct"/>
            <w:vMerge w:val="restart"/>
            <w:tcBorders>
              <w:left w:val="single" w:sz="4" w:space="0" w:color="auto"/>
              <w:right w:val="single" w:sz="4" w:space="0" w:color="auto"/>
            </w:tcBorders>
            <w:tcMar>
              <w:top w:w="0" w:type="dxa"/>
              <w:left w:w="28" w:type="dxa"/>
              <w:bottom w:w="0" w:type="dxa"/>
              <w:right w:w="28" w:type="dxa"/>
            </w:tcMar>
            <w:vAlign w:val="center"/>
          </w:tcPr>
          <w:p w14:paraId="092AEFC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6</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4F3C415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09C1282A"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1BD73E45"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2B7C9B5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665FE38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7A9394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247</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0206C38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887625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59.8±10.3</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5CD37C3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3851431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2086AB09"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695C3329"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123A342" w14:textId="6CA5B1CF"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00F036E7">
              <w:rPr>
                <w:rFonts w:ascii="Arial Narrow" w:hAnsi="Arial Narrow" w:cs="Times New Roman"/>
                <w:sz w:val="20"/>
                <w:szCs w:val="18"/>
                <w:lang w:val="en-US" w:eastAsia="en-US"/>
              </w:rPr>
              <w:t xml:space="preserve"> 10+SIM</w:t>
            </w:r>
            <w:r w:rsidRPr="009B2C7E">
              <w:rPr>
                <w:rFonts w:ascii="Arial Narrow" w:hAnsi="Arial Narrow" w:cs="Times New Roman"/>
                <w:sz w:val="20"/>
                <w:szCs w:val="18"/>
                <w:lang w:val="en-US" w:eastAsia="en-US"/>
              </w:rPr>
              <w:t xml:space="preserve"> 20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1F3ADC0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3017526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7FED5603"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522E9891"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609FCD3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6D8F947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83F4D8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245</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6F8E2C2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C40B48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60.1±10.6</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195A694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3C8662A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0A84471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0FA6FDD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64F07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ATOR 20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7F6979B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0C6E563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3AFDADD4"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4F09A47B"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3FF7D20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2141647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4B7B76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247</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77035DD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7337A7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58.7±10.2</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6CECEE3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587C3B9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3106773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6017E8F2"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0506AB4" w14:textId="32D6B42A"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00F036E7">
              <w:rPr>
                <w:rFonts w:ascii="Arial Narrow" w:hAnsi="Arial Narrow" w:cs="Times New Roman"/>
                <w:sz w:val="20"/>
                <w:szCs w:val="18"/>
                <w:lang w:val="en-US" w:eastAsia="en-US"/>
              </w:rPr>
              <w:t xml:space="preserve"> 10+SIM </w:t>
            </w:r>
            <w:r w:rsidRPr="009B2C7E">
              <w:rPr>
                <w:rFonts w:ascii="Arial Narrow" w:hAnsi="Arial Narrow" w:cs="Times New Roman"/>
                <w:sz w:val="20"/>
                <w:szCs w:val="18"/>
                <w:lang w:val="en-US" w:eastAsia="en-US"/>
              </w:rPr>
              <w:t>40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781A263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1E3A3B32"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0E82256F"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1026E7D"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5558E6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E44A27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A1A8189"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245</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5E81C7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497F35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59.9±10.4</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45E433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F45782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7208FC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7394E2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787EE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ATOR 40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5A9D929"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FFCC0E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25E62695"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1E2C4EE" w14:textId="77777777" w:rsidR="00BD5175" w:rsidRPr="009B2C7E" w:rsidRDefault="00BD5175" w:rsidP="00BD5175">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Lee et al 2013</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3A99B6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R, OL, P</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CBAA59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12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F6E708A"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66</w:t>
            </w:r>
          </w:p>
        </w:tc>
        <w:tc>
          <w:tcPr>
            <w:tcW w:w="314" w:type="pct"/>
            <w:tcBorders>
              <w:top w:val="single" w:sz="4" w:space="0" w:color="auto"/>
              <w:left w:val="single" w:sz="4" w:space="0" w:color="auto"/>
              <w:right w:val="single" w:sz="4" w:space="0" w:color="auto"/>
            </w:tcBorders>
            <w:tcMar>
              <w:top w:w="0" w:type="dxa"/>
              <w:left w:w="28" w:type="dxa"/>
              <w:bottom w:w="0" w:type="dxa"/>
              <w:right w:w="28" w:type="dxa"/>
            </w:tcMar>
            <w:vAlign w:val="center"/>
          </w:tcPr>
          <w:p w14:paraId="6AE00EE9"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A8E40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64.2±7.7</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A3FA87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2.59</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72DEC1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7C6FD8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7FA0A3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E6629A8" w14:textId="7225FFED"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ATOR 20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058F7C9"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026A71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16BA7BA7"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962DF33"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1195C6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4FBA49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4E5999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66</w:t>
            </w:r>
          </w:p>
        </w:tc>
        <w:tc>
          <w:tcPr>
            <w:tcW w:w="314" w:type="pct"/>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741BE7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034FD8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65.0±7.6</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BEEE82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74CFE4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FC3C90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503E63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A38959" w14:textId="009E8568"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w:t>
            </w:r>
            <w:r w:rsidR="00F036E7">
              <w:rPr>
                <w:rFonts w:ascii="Arial Narrow" w:hAnsi="Arial Narrow" w:cs="Times New Roman"/>
                <w:sz w:val="20"/>
                <w:szCs w:val="18"/>
                <w:lang w:val="en-US" w:eastAsia="en-US"/>
              </w:rPr>
              <w:t>0+SIM</w:t>
            </w:r>
            <w:r w:rsidRPr="009B2C7E">
              <w:rPr>
                <w:rFonts w:ascii="Arial Narrow" w:hAnsi="Arial Narrow" w:cs="Times New Roman"/>
                <w:sz w:val="20"/>
                <w:szCs w:val="18"/>
                <w:lang w:val="en-US" w:eastAsia="en-US"/>
              </w:rPr>
              <w:t xml:space="preserve"> 20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9D8EC1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1E69A4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685EF07E" w14:textId="77777777" w:rsidTr="005903E2">
        <w:trPr>
          <w:trHeight w:val="387"/>
        </w:trPr>
        <w:tc>
          <w:tcPr>
            <w:tcW w:w="384" w:type="pct"/>
            <w:vMerge w:val="restart"/>
            <w:tcBorders>
              <w:left w:val="single" w:sz="4" w:space="0" w:color="auto"/>
              <w:right w:val="single" w:sz="4" w:space="0" w:color="auto"/>
            </w:tcBorders>
            <w:tcMar>
              <w:top w:w="0" w:type="dxa"/>
              <w:left w:w="28" w:type="dxa"/>
              <w:bottom w:w="0" w:type="dxa"/>
              <w:right w:w="28" w:type="dxa"/>
            </w:tcMar>
            <w:vAlign w:val="center"/>
          </w:tcPr>
          <w:p w14:paraId="0B267CEE" w14:textId="77777777" w:rsidR="001D2775" w:rsidRPr="009B2C7E" w:rsidRDefault="001D2775" w:rsidP="00BD5175">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Cho 2011</w:t>
            </w:r>
          </w:p>
        </w:tc>
        <w:tc>
          <w:tcPr>
            <w:tcW w:w="264" w:type="pct"/>
            <w:vMerge w:val="restart"/>
            <w:tcBorders>
              <w:left w:val="single" w:sz="4" w:space="0" w:color="auto"/>
              <w:right w:val="single" w:sz="4" w:space="0" w:color="auto"/>
            </w:tcBorders>
            <w:tcMar>
              <w:top w:w="0" w:type="dxa"/>
              <w:left w:w="28" w:type="dxa"/>
              <w:bottom w:w="0" w:type="dxa"/>
              <w:right w:w="28" w:type="dxa"/>
            </w:tcMar>
            <w:vAlign w:val="center"/>
          </w:tcPr>
          <w:p w14:paraId="5E935FF8"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R, OL</w:t>
            </w:r>
          </w:p>
        </w:tc>
        <w:tc>
          <w:tcPr>
            <w:tcW w:w="334" w:type="pct"/>
            <w:vMerge w:val="restart"/>
            <w:tcBorders>
              <w:left w:val="single" w:sz="4" w:space="0" w:color="auto"/>
              <w:right w:val="single" w:sz="4" w:space="0" w:color="auto"/>
            </w:tcBorders>
            <w:tcMar>
              <w:top w:w="0" w:type="dxa"/>
              <w:left w:w="28" w:type="dxa"/>
              <w:bottom w:w="0" w:type="dxa"/>
              <w:right w:w="28" w:type="dxa"/>
            </w:tcMar>
            <w:vAlign w:val="center"/>
          </w:tcPr>
          <w:p w14:paraId="56D59F0F"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43E6DA"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42</w:t>
            </w:r>
          </w:p>
        </w:tc>
        <w:tc>
          <w:tcPr>
            <w:tcW w:w="314" w:type="pct"/>
            <w:vMerge w:val="restart"/>
            <w:tcBorders>
              <w:left w:val="single" w:sz="4" w:space="0" w:color="auto"/>
              <w:right w:val="single" w:sz="4" w:space="0" w:color="auto"/>
            </w:tcBorders>
            <w:tcMar>
              <w:top w:w="0" w:type="dxa"/>
              <w:left w:w="28" w:type="dxa"/>
              <w:bottom w:w="0" w:type="dxa"/>
              <w:right w:w="28" w:type="dxa"/>
            </w:tcMar>
            <w:vAlign w:val="center"/>
          </w:tcPr>
          <w:p w14:paraId="33FC2252"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2º (CHD)</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ABD778E"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60.5±</w:t>
            </w:r>
            <w:r w:rsidRPr="009B2C7E">
              <w:rPr>
                <w:rFonts w:ascii="Arial Narrow" w:hAnsi="Arial Narrow" w:cs="Times New Roman"/>
                <w:sz w:val="20"/>
                <w:szCs w:val="18"/>
                <w:lang w:eastAsia="en-US"/>
              </w:rPr>
              <w:t>9.5</w:t>
            </w:r>
          </w:p>
        </w:tc>
        <w:tc>
          <w:tcPr>
            <w:tcW w:w="349" w:type="pct"/>
            <w:vMerge w:val="restart"/>
            <w:tcBorders>
              <w:left w:val="single" w:sz="4" w:space="0" w:color="auto"/>
              <w:right w:val="single" w:sz="4" w:space="0" w:color="auto"/>
            </w:tcBorders>
            <w:tcMar>
              <w:top w:w="0" w:type="dxa"/>
              <w:left w:w="28" w:type="dxa"/>
              <w:bottom w:w="0" w:type="dxa"/>
              <w:right w:w="28" w:type="dxa"/>
            </w:tcMar>
            <w:vAlign w:val="center"/>
          </w:tcPr>
          <w:p w14:paraId="01A085A4"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2.59</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06338C25"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6.47</w:t>
            </w:r>
          </w:p>
        </w:tc>
        <w:tc>
          <w:tcPr>
            <w:tcW w:w="346" w:type="pct"/>
            <w:vMerge w:val="restart"/>
            <w:tcBorders>
              <w:left w:val="single" w:sz="4" w:space="0" w:color="auto"/>
              <w:right w:val="single" w:sz="4" w:space="0" w:color="auto"/>
            </w:tcBorders>
            <w:tcMar>
              <w:top w:w="0" w:type="dxa"/>
              <w:left w:w="28" w:type="dxa"/>
              <w:bottom w:w="0" w:type="dxa"/>
              <w:right w:w="28" w:type="dxa"/>
            </w:tcMar>
            <w:vAlign w:val="center"/>
          </w:tcPr>
          <w:p w14:paraId="02941753"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left w:val="single" w:sz="4" w:space="0" w:color="auto"/>
              <w:right w:val="single" w:sz="4" w:space="0" w:color="auto"/>
            </w:tcBorders>
            <w:tcMar>
              <w:top w:w="0" w:type="dxa"/>
              <w:left w:w="28" w:type="dxa"/>
              <w:bottom w:w="0" w:type="dxa"/>
              <w:right w:w="28" w:type="dxa"/>
            </w:tcMar>
            <w:vAlign w:val="center"/>
          </w:tcPr>
          <w:p w14:paraId="064F8CC0"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Very high risk </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4D761CB" w14:textId="66C9686C" w:rsidR="001D2775" w:rsidRPr="009B2C7E" w:rsidRDefault="001D27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 10+ SIM</w:t>
            </w:r>
            <w:r w:rsidRPr="009B2C7E">
              <w:rPr>
                <w:rFonts w:ascii="Arial Narrow" w:hAnsi="Arial Narrow" w:cs="Times New Roman"/>
                <w:sz w:val="20"/>
                <w:szCs w:val="18"/>
                <w:lang w:val="en-US" w:eastAsia="en-US"/>
              </w:rPr>
              <w:t xml:space="preserve"> 20</w:t>
            </w:r>
          </w:p>
        </w:tc>
        <w:tc>
          <w:tcPr>
            <w:tcW w:w="546" w:type="pct"/>
            <w:vMerge w:val="restart"/>
            <w:tcBorders>
              <w:left w:val="single" w:sz="4" w:space="0" w:color="auto"/>
              <w:right w:val="single" w:sz="4" w:space="0" w:color="auto"/>
            </w:tcBorders>
            <w:tcMar>
              <w:top w:w="0" w:type="dxa"/>
              <w:left w:w="28" w:type="dxa"/>
              <w:bottom w:w="0" w:type="dxa"/>
              <w:right w:w="28" w:type="dxa"/>
            </w:tcMar>
            <w:vAlign w:val="center"/>
          </w:tcPr>
          <w:p w14:paraId="45CF7F0E"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6</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444A1045"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303FE126"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D3D1247" w14:textId="77777777" w:rsidR="001D2775" w:rsidRPr="009B2C7E" w:rsidRDefault="001D27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AF2F4F9"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5ACE3B9"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4A9264C"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43</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82EEF46"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B9E3D14"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62.6±9.7</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099EA48"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BBD809B"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FFB99D8"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249BDA6"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1FD5C66" w14:textId="36D81578" w:rsidR="001D2775" w:rsidRPr="009B2C7E" w:rsidRDefault="001D27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ATOR 20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FCE9FC0"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4D37BC4" w14:textId="77777777" w:rsidR="001D2775" w:rsidRPr="009B2C7E" w:rsidRDefault="001D2775" w:rsidP="00BD5175">
            <w:pPr>
              <w:spacing w:after="0" w:line="264" w:lineRule="auto"/>
              <w:jc w:val="center"/>
              <w:rPr>
                <w:rFonts w:ascii="Arial Narrow" w:hAnsi="Arial Narrow" w:cs="Times New Roman"/>
                <w:sz w:val="20"/>
                <w:szCs w:val="18"/>
                <w:lang w:val="en-US" w:eastAsia="en-US"/>
              </w:rPr>
            </w:pPr>
          </w:p>
        </w:tc>
      </w:tr>
      <w:tr w:rsidR="00E13102" w:rsidRPr="009B2C7E" w14:paraId="0CD5652B" w14:textId="77777777" w:rsidTr="005903E2">
        <w:tc>
          <w:tcPr>
            <w:tcW w:w="384" w:type="pct"/>
            <w:vMerge w:val="restart"/>
            <w:tcBorders>
              <w:left w:val="single" w:sz="4" w:space="0" w:color="auto"/>
              <w:right w:val="single" w:sz="4" w:space="0" w:color="auto"/>
            </w:tcBorders>
            <w:tcMar>
              <w:top w:w="0" w:type="dxa"/>
              <w:left w:w="28" w:type="dxa"/>
              <w:bottom w:w="0" w:type="dxa"/>
              <w:right w:w="28" w:type="dxa"/>
            </w:tcMar>
            <w:vAlign w:val="center"/>
          </w:tcPr>
          <w:p w14:paraId="1DAD4B91" w14:textId="77777777" w:rsidR="00BD5175" w:rsidRDefault="00BD5175" w:rsidP="00BD5175">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P051</w:t>
            </w:r>
          </w:p>
          <w:p w14:paraId="4A598929" w14:textId="4954C362" w:rsidR="00BD5175" w:rsidRPr="009B2C7E" w:rsidRDefault="00BD5175" w:rsidP="00BD5175">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Ball</w:t>
            </w:r>
            <w:r w:rsidR="00427657">
              <w:rPr>
                <w:rFonts w:ascii="Arial Narrow" w:hAnsi="Arial Narrow" w:cs="Times New Roman"/>
                <w:sz w:val="20"/>
                <w:szCs w:val="18"/>
                <w:lang w:val="en-US" w:eastAsia="en-US"/>
              </w:rPr>
              <w:t>antyne 2005</w:t>
            </w:r>
          </w:p>
        </w:tc>
        <w:tc>
          <w:tcPr>
            <w:tcW w:w="264" w:type="pct"/>
            <w:vMerge w:val="restart"/>
            <w:tcBorders>
              <w:left w:val="single" w:sz="4" w:space="0" w:color="auto"/>
              <w:right w:val="single" w:sz="4" w:space="0" w:color="auto"/>
            </w:tcBorders>
            <w:tcMar>
              <w:top w:w="0" w:type="dxa"/>
              <w:left w:w="28" w:type="dxa"/>
              <w:bottom w:w="0" w:type="dxa"/>
              <w:right w:w="28" w:type="dxa"/>
            </w:tcMar>
            <w:vAlign w:val="center"/>
          </w:tcPr>
          <w:p w14:paraId="67EFC6B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P, DB</w:t>
            </w:r>
          </w:p>
        </w:tc>
        <w:tc>
          <w:tcPr>
            <w:tcW w:w="334" w:type="pct"/>
            <w:vMerge w:val="restart"/>
            <w:tcBorders>
              <w:left w:val="single" w:sz="4" w:space="0" w:color="auto"/>
              <w:right w:val="single" w:sz="4" w:space="0" w:color="auto"/>
            </w:tcBorders>
            <w:tcMar>
              <w:top w:w="0" w:type="dxa"/>
              <w:left w:w="28" w:type="dxa"/>
              <w:bottom w:w="0" w:type="dxa"/>
              <w:right w:w="28" w:type="dxa"/>
            </w:tcMar>
            <w:vAlign w:val="center"/>
          </w:tcPr>
          <w:p w14:paraId="74A7CFC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6 weeks </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4DB931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951</w:t>
            </w:r>
          </w:p>
        </w:tc>
        <w:tc>
          <w:tcPr>
            <w:tcW w:w="314" w:type="pct"/>
            <w:vMerge w:val="restart"/>
            <w:tcBorders>
              <w:left w:val="single" w:sz="4" w:space="0" w:color="auto"/>
              <w:right w:val="single" w:sz="4" w:space="0" w:color="auto"/>
            </w:tcBorders>
            <w:tcMar>
              <w:top w:w="0" w:type="dxa"/>
              <w:left w:w="28" w:type="dxa"/>
              <w:bottom w:w="0" w:type="dxa"/>
              <w:right w:w="28" w:type="dxa"/>
            </w:tcMar>
            <w:vAlign w:val="center"/>
          </w:tcPr>
          <w:p w14:paraId="56A7767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17845C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59.0±10.6</w:t>
            </w:r>
          </w:p>
        </w:tc>
        <w:tc>
          <w:tcPr>
            <w:tcW w:w="349" w:type="pct"/>
            <w:vMerge w:val="restart"/>
            <w:tcBorders>
              <w:left w:val="single" w:sz="4" w:space="0" w:color="auto"/>
              <w:right w:val="single" w:sz="4" w:space="0" w:color="auto"/>
            </w:tcBorders>
            <w:tcMar>
              <w:top w:w="0" w:type="dxa"/>
              <w:left w:w="28" w:type="dxa"/>
              <w:bottom w:w="0" w:type="dxa"/>
              <w:right w:w="28" w:type="dxa"/>
            </w:tcMar>
            <w:vAlign w:val="center"/>
          </w:tcPr>
          <w:p w14:paraId="2E1B183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3.36-4.91</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607C3C0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left w:val="single" w:sz="4" w:space="0" w:color="auto"/>
              <w:right w:val="single" w:sz="4" w:space="0" w:color="auto"/>
            </w:tcBorders>
            <w:tcMar>
              <w:top w:w="0" w:type="dxa"/>
              <w:left w:w="28" w:type="dxa"/>
              <w:bottom w:w="0" w:type="dxa"/>
              <w:right w:w="28" w:type="dxa"/>
            </w:tcMar>
            <w:vAlign w:val="center"/>
          </w:tcPr>
          <w:p w14:paraId="1918FBF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left w:val="single" w:sz="4" w:space="0" w:color="auto"/>
              <w:right w:val="single" w:sz="4" w:space="0" w:color="auto"/>
            </w:tcBorders>
            <w:tcMar>
              <w:top w:w="0" w:type="dxa"/>
              <w:left w:w="28" w:type="dxa"/>
              <w:bottom w:w="0" w:type="dxa"/>
              <w:right w:w="28" w:type="dxa"/>
            </w:tcMar>
            <w:vAlign w:val="center"/>
          </w:tcPr>
          <w:p w14:paraId="6E88125E" w14:textId="33D4E1B9"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&gt;10%</w:t>
            </w:r>
            <w:r w:rsidR="00E0757E">
              <w:rPr>
                <w:rFonts w:ascii="Arial Narrow" w:hAnsi="Arial Narrow" w:cs="Times New Roman"/>
                <w:sz w:val="20"/>
                <w:szCs w:val="18"/>
                <w:lang w:val="en-US" w:eastAsia="en-US"/>
              </w:rPr>
              <w:t>^</w:t>
            </w:r>
          </w:p>
          <w:p w14:paraId="75358AD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(10-year)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21C737C" w14:textId="4737B9E3"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00F036E7">
              <w:rPr>
                <w:rFonts w:ascii="Arial Narrow" w:hAnsi="Arial Narrow" w:cs="Times New Roman"/>
                <w:sz w:val="20"/>
                <w:szCs w:val="18"/>
                <w:lang w:val="en-US" w:eastAsia="en-US"/>
              </w:rPr>
              <w:t xml:space="preserve"> 10+SIM</w:t>
            </w:r>
            <w:r w:rsidRPr="009B2C7E">
              <w:rPr>
                <w:rFonts w:ascii="Arial Narrow" w:hAnsi="Arial Narrow" w:cs="Times New Roman"/>
                <w:sz w:val="20"/>
                <w:szCs w:val="18"/>
                <w:lang w:val="en-US" w:eastAsia="en-US"/>
              </w:rPr>
              <w:t xml:space="preserve"> (10,20,40,80)</w:t>
            </w:r>
          </w:p>
        </w:tc>
        <w:tc>
          <w:tcPr>
            <w:tcW w:w="546" w:type="pct"/>
            <w:vMerge w:val="restart"/>
            <w:tcBorders>
              <w:left w:val="single" w:sz="4" w:space="0" w:color="auto"/>
              <w:right w:val="single" w:sz="4" w:space="0" w:color="auto"/>
            </w:tcBorders>
            <w:tcMar>
              <w:top w:w="0" w:type="dxa"/>
              <w:left w:w="28" w:type="dxa"/>
              <w:bottom w:w="0" w:type="dxa"/>
              <w:right w:w="28" w:type="dxa"/>
            </w:tcMar>
            <w:vAlign w:val="center"/>
          </w:tcPr>
          <w:p w14:paraId="38872EF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6</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3522A309"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4106C982" w14:textId="77777777" w:rsidTr="005903E2">
        <w:trPr>
          <w:trHeight w:val="499"/>
        </w:trPr>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196CE60"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1783C1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CA580D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44C8D1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951</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7CCEAF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B5FEAF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58.5±10.2</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9C6C82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9F9244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5F1CD4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85CDE9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DD3C009"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ATOR (10,20,40,80)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F7B052A"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D820BA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0B22D520"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C6D5C04" w14:textId="77777777" w:rsidR="00BD5175" w:rsidRDefault="00BD5175" w:rsidP="00BD5175">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P807</w:t>
            </w:r>
          </w:p>
          <w:p w14:paraId="4A6FCC7C" w14:textId="77777777" w:rsidR="00BD5175" w:rsidRPr="009B2C7E" w:rsidRDefault="00BD5175" w:rsidP="00BD5175">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Constance 2007 </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E04926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 P</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0706B3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3CD8D2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220</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FAD9E4F" w14:textId="62D646EA" w:rsidR="00BD5175" w:rsidRPr="009B2C7E" w:rsidRDefault="00EA7C91"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3</w:t>
            </w:r>
            <w:r w:rsidR="00BD5175" w:rsidRPr="009B2C7E">
              <w:rPr>
                <w:rFonts w:ascii="Arial Narrow" w:hAnsi="Arial Narrow" w:cs="Times New Roman"/>
                <w:sz w:val="20"/>
                <w:szCs w:val="18"/>
                <w:lang w:val="en-US" w:eastAsia="en-US"/>
              </w:rPr>
              <w:t>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29F27E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62.1(28-86)</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ECB5FE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B29F7B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411956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w:t>
            </w:r>
            <w:r w:rsidRPr="009B2C7E">
              <w:rPr>
                <w:rFonts w:ascii="Arial Narrow" w:hAnsi="Arial Narrow" w:cs="Times New Roman"/>
                <w:sz w:val="20"/>
                <w:szCs w:val="18"/>
                <w:vertAlign w:val="superscript"/>
                <w:lang w:val="en-US" w:eastAsia="en-US"/>
              </w:rPr>
              <w:t>nd</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19C78E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AD77835" w14:textId="03F599B2"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00F036E7">
              <w:rPr>
                <w:rFonts w:ascii="Arial Narrow" w:hAnsi="Arial Narrow" w:cs="Times New Roman"/>
                <w:sz w:val="20"/>
                <w:szCs w:val="18"/>
                <w:lang w:val="en-US" w:eastAsia="en-US"/>
              </w:rPr>
              <w:t xml:space="preserve"> 10+ SIM</w:t>
            </w:r>
            <w:r w:rsidRPr="009B2C7E">
              <w:rPr>
                <w:rFonts w:ascii="Arial Narrow" w:hAnsi="Arial Narrow" w:cs="Times New Roman"/>
                <w:sz w:val="20"/>
                <w:szCs w:val="18"/>
                <w:lang w:val="en-US" w:eastAsia="en-US"/>
              </w:rPr>
              <w:t xml:space="preserve"> 20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72B62D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6</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67CC1C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55CFD5EA"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5256DA55"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6902C11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29B5D9B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06DCC7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222</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4F4AF28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9466548"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62.4(35-84)</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6CA83EE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0D81927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3EDC866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2D1D90A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24287EB" w14:textId="648721F7"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00F036E7">
              <w:rPr>
                <w:rFonts w:ascii="Arial Narrow" w:hAnsi="Arial Narrow" w:cs="Times New Roman"/>
                <w:sz w:val="20"/>
                <w:szCs w:val="18"/>
                <w:lang w:val="en-US" w:eastAsia="en-US"/>
              </w:rPr>
              <w:t xml:space="preserve"> 10+ SIM</w:t>
            </w:r>
            <w:r w:rsidRPr="009B2C7E">
              <w:rPr>
                <w:rFonts w:ascii="Arial Narrow" w:hAnsi="Arial Narrow" w:cs="Times New Roman"/>
                <w:sz w:val="20"/>
                <w:szCs w:val="18"/>
                <w:lang w:val="en-US" w:eastAsia="en-US"/>
              </w:rPr>
              <w:t xml:space="preserve"> 40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2D651FE2"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1B84EEF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47FCBA3E"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14E5298"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4C349D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2F58969"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0A5711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219</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5F0411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FD0E7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61.7(29-82)</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32159C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17EF48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E76A2FA"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8570771"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DC563DA"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ATOR 20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89467F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064D99A"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385E4044" w14:textId="77777777" w:rsidTr="005903E2">
        <w:trPr>
          <w:trHeight w:val="447"/>
        </w:trPr>
        <w:tc>
          <w:tcPr>
            <w:tcW w:w="384" w:type="pct"/>
            <w:vMerge w:val="restart"/>
            <w:tcBorders>
              <w:left w:val="single" w:sz="4" w:space="0" w:color="auto"/>
              <w:right w:val="single" w:sz="4" w:space="0" w:color="auto"/>
            </w:tcBorders>
            <w:tcMar>
              <w:top w:w="0" w:type="dxa"/>
              <w:left w:w="28" w:type="dxa"/>
              <w:bottom w:w="0" w:type="dxa"/>
              <w:right w:w="28" w:type="dxa"/>
            </w:tcMar>
            <w:vAlign w:val="center"/>
          </w:tcPr>
          <w:p w14:paraId="26E190A3" w14:textId="77777777" w:rsidR="00BD5175" w:rsidRDefault="00BD5175" w:rsidP="00BD5175">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P806</w:t>
            </w:r>
          </w:p>
          <w:p w14:paraId="36768FB6" w14:textId="77777777" w:rsidR="00BD5175" w:rsidRPr="009B2C7E" w:rsidRDefault="00BD5175" w:rsidP="00BD5175">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Barrios 2005 </w:t>
            </w:r>
          </w:p>
        </w:tc>
        <w:tc>
          <w:tcPr>
            <w:tcW w:w="264" w:type="pct"/>
            <w:vMerge w:val="restart"/>
            <w:tcBorders>
              <w:left w:val="single" w:sz="4" w:space="0" w:color="auto"/>
              <w:right w:val="single" w:sz="4" w:space="0" w:color="auto"/>
            </w:tcBorders>
            <w:tcMar>
              <w:top w:w="0" w:type="dxa"/>
              <w:left w:w="28" w:type="dxa"/>
              <w:bottom w:w="0" w:type="dxa"/>
              <w:right w:w="28" w:type="dxa"/>
            </w:tcMar>
            <w:vAlign w:val="center"/>
          </w:tcPr>
          <w:p w14:paraId="7D74126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P,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8F3F39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1D46B1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221</w:t>
            </w:r>
          </w:p>
        </w:tc>
        <w:tc>
          <w:tcPr>
            <w:tcW w:w="314" w:type="pct"/>
            <w:vMerge w:val="restart"/>
            <w:tcBorders>
              <w:left w:val="single" w:sz="4" w:space="0" w:color="auto"/>
              <w:right w:val="single" w:sz="4" w:space="0" w:color="auto"/>
            </w:tcBorders>
            <w:tcMar>
              <w:top w:w="0" w:type="dxa"/>
              <w:left w:w="28" w:type="dxa"/>
              <w:bottom w:w="0" w:type="dxa"/>
              <w:right w:w="28" w:type="dxa"/>
            </w:tcMar>
            <w:vAlign w:val="center"/>
          </w:tcPr>
          <w:p w14:paraId="7D1CB0D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2º (CHD)</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0B8E22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63.5±9.6</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FC9A97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6783C1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4.2</w:t>
            </w:r>
          </w:p>
        </w:tc>
        <w:tc>
          <w:tcPr>
            <w:tcW w:w="346" w:type="pct"/>
            <w:vMerge w:val="restart"/>
            <w:tcBorders>
              <w:left w:val="single" w:sz="4" w:space="0" w:color="auto"/>
              <w:right w:val="single" w:sz="4" w:space="0" w:color="auto"/>
            </w:tcBorders>
            <w:tcMar>
              <w:top w:w="0" w:type="dxa"/>
              <w:left w:w="28" w:type="dxa"/>
              <w:bottom w:w="0" w:type="dxa"/>
              <w:right w:w="28" w:type="dxa"/>
            </w:tcMar>
            <w:vAlign w:val="center"/>
          </w:tcPr>
          <w:p w14:paraId="5DA6E93E"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w:t>
            </w:r>
            <w:r w:rsidRPr="009B2C7E">
              <w:rPr>
                <w:rFonts w:ascii="Arial Narrow" w:hAnsi="Arial Narrow" w:cs="Times New Roman"/>
                <w:sz w:val="20"/>
                <w:szCs w:val="18"/>
                <w:vertAlign w:val="superscript"/>
                <w:lang w:val="en-US" w:eastAsia="en-US"/>
              </w:rPr>
              <w:t>nd</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74EDF0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7CE8115" w14:textId="363E72EC"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00F036E7">
              <w:rPr>
                <w:rFonts w:ascii="Arial Narrow" w:hAnsi="Arial Narrow" w:cs="Times New Roman"/>
                <w:sz w:val="20"/>
                <w:szCs w:val="18"/>
                <w:lang w:val="en-US" w:eastAsia="en-US"/>
              </w:rPr>
              <w:t xml:space="preserve"> 10+SIM</w:t>
            </w:r>
            <w:r w:rsidRPr="009B2C7E">
              <w:rPr>
                <w:rFonts w:ascii="Arial Narrow" w:hAnsi="Arial Narrow" w:cs="Times New Roman"/>
                <w:sz w:val="20"/>
                <w:szCs w:val="18"/>
                <w:lang w:val="en-US" w:eastAsia="en-US"/>
              </w:rPr>
              <w:t xml:space="preserve"> 20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83ADA4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6</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74D55D03"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693E73E8"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2D43411" w14:textId="77777777" w:rsidR="00BD5175" w:rsidRPr="009B2C7E" w:rsidRDefault="00BD5175" w:rsidP="00BD5175">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1DE2EF7"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3BC9BCF"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5B24B90"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214</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409946D"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E8FED85"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63.4±10.2</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297CB9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469B27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5EFBCC4"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929A6FC"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DF7EE16"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ATOR 20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B7581FA"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60858AB" w14:textId="77777777" w:rsidR="00BD5175" w:rsidRPr="009B2C7E" w:rsidRDefault="00BD5175" w:rsidP="00BD5175">
            <w:pPr>
              <w:spacing w:after="0" w:line="264" w:lineRule="auto"/>
              <w:jc w:val="center"/>
              <w:rPr>
                <w:rFonts w:ascii="Arial Narrow" w:hAnsi="Arial Narrow" w:cs="Times New Roman"/>
                <w:sz w:val="20"/>
                <w:szCs w:val="18"/>
                <w:lang w:val="en-US" w:eastAsia="en-US"/>
              </w:rPr>
            </w:pPr>
          </w:p>
        </w:tc>
      </w:tr>
      <w:tr w:rsidR="00E13102" w:rsidRPr="009B2C7E" w14:paraId="137A9D23"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DD40406" w14:textId="75317DA5" w:rsidR="009F4888" w:rsidRDefault="009F4888" w:rsidP="009F4888">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Garcia 2016</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9AB3E22" w14:textId="06AE1A9B"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R,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97B8408" w14:textId="603F62EE"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8 weeks </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284ED0A" w14:textId="78613405"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14</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0867313" w14:textId="5402C51F" w:rsidR="009F4888" w:rsidRPr="009B2C7E" w:rsidRDefault="009F4888" w:rsidP="009F4888">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1º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F95C98" w14:textId="59DF59E0"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40±12</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9621200" w14:textId="4E5296DC"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2.59</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2598195" w14:textId="517249B1"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ECD2D6F" w14:textId="2881E7FD"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054E25A" w14:textId="1AADA2D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37C673E" w14:textId="6BBA87C9"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PBO</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AD8933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4</w:t>
            </w:r>
          </w:p>
          <w:p w14:paraId="3691997B" w14:textId="6195CB0D"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8</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AB9C300" w14:textId="4A9B929B"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19D08DAF"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5071B98C" w14:textId="77777777" w:rsidR="009F4888"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35E802A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20BAB5D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5DF6FB2" w14:textId="44159F26"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16</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57CCD109" w14:textId="77777777" w:rsidR="009F4888" w:rsidRPr="009B2C7E" w:rsidRDefault="009F4888" w:rsidP="009F4888">
            <w:pPr>
              <w:spacing w:after="0" w:line="264" w:lineRule="auto"/>
              <w:jc w:val="center"/>
              <w:rPr>
                <w:rFonts w:ascii="Arial Narrow" w:hAnsi="Arial Narrow" w:cs="Times New Roman"/>
                <w:b/>
                <w:bCs/>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77C2A26" w14:textId="6887B978"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41±8.6</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2169D28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73BDDC3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55B5B75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3746852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76F0422" w14:textId="6DF807E7"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PBO + SIM</w:t>
            </w:r>
            <w:r w:rsidRPr="009B2C7E">
              <w:rPr>
                <w:rFonts w:ascii="Arial Narrow" w:hAnsi="Arial Narrow" w:cs="Times New Roman"/>
                <w:sz w:val="20"/>
                <w:szCs w:val="18"/>
                <w:lang w:val="en-US" w:eastAsia="en-US"/>
              </w:rPr>
              <w:t xml:space="preserve"> 80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68FE537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7FD497C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256A7547"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7E29738A" w14:textId="77777777" w:rsidR="009F4888"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17427F8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6D23246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8384C65" w14:textId="0C874E0C"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16</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22D7BBE6" w14:textId="77777777" w:rsidR="009F4888" w:rsidRPr="009B2C7E" w:rsidRDefault="009F4888" w:rsidP="009F4888">
            <w:pPr>
              <w:spacing w:after="0" w:line="264" w:lineRule="auto"/>
              <w:jc w:val="center"/>
              <w:rPr>
                <w:rFonts w:ascii="Arial Narrow" w:hAnsi="Arial Narrow" w:cs="Times New Roman"/>
                <w:b/>
                <w:bCs/>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9502E1C" w14:textId="39E31B4B"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48±8.1</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2405D3E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0E9FBFD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218FF41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2A943E1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1FF957" w14:textId="5F5419AF"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 10+ SIM</w:t>
            </w:r>
            <w:r w:rsidRPr="009B2C7E">
              <w:rPr>
                <w:rFonts w:ascii="Arial Narrow" w:hAnsi="Arial Narrow" w:cs="Times New Roman"/>
                <w:sz w:val="20"/>
                <w:szCs w:val="18"/>
                <w:lang w:val="en-US" w:eastAsia="en-US"/>
              </w:rPr>
              <w:t xml:space="preserve"> 10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29AD3C6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75F3CF7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33AA7D91"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468F76B" w14:textId="1162C0C8" w:rsidR="009F4888" w:rsidRDefault="009F4888" w:rsidP="009F4888">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Ostad 2009</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9E89192" w14:textId="148A63E5"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R,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A2575BE" w14:textId="1C26F440"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8 weeks </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A22BC7D" w14:textId="669E4870"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24</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1A5BF4F" w14:textId="778A0300" w:rsidR="009F4888" w:rsidRPr="009B2C7E" w:rsidRDefault="009F4888" w:rsidP="009F4888">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sz w:val="20"/>
                <w:szCs w:val="18"/>
                <w:lang w:val="en-US" w:eastAsia="en-US"/>
              </w:rPr>
              <w:t>2º (CHD)</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EA90082" w14:textId="1BBCE723"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66±9</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48547A7" w14:textId="321DBEF3"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2.6</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81AB600" w14:textId="3A333F0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3C4D9CB" w14:textId="64CB2F62" w:rsidR="009F4888" w:rsidRPr="009B2C7E" w:rsidRDefault="00111FED"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w:t>
            </w:r>
            <w:r w:rsidR="009F4888" w:rsidRPr="009B2C7E">
              <w:rPr>
                <w:rFonts w:ascii="Arial Narrow" w:hAnsi="Arial Narrow" w:cs="Times New Roman"/>
                <w:sz w:val="20"/>
                <w:szCs w:val="18"/>
                <w:lang w:val="en-US" w:eastAsia="en-US"/>
              </w:rPr>
              <w:t>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1E418A3" w14:textId="077EAC9D"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6920186" w14:textId="5517D2EF"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ATOR 80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A51697E" w14:textId="00BBBF64"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8</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048CB41" w14:textId="3DAA0684"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507617F0" w14:textId="77777777" w:rsidTr="00846D66">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BFF6F85" w14:textId="77777777" w:rsidR="009F4888"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1663D7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A51240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5E0B913" w14:textId="614DD46A"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928EA25" w14:textId="77777777" w:rsidR="009F4888" w:rsidRPr="009B2C7E" w:rsidRDefault="009F4888" w:rsidP="009F4888">
            <w:pPr>
              <w:spacing w:after="0" w:line="264" w:lineRule="auto"/>
              <w:jc w:val="center"/>
              <w:rPr>
                <w:rFonts w:ascii="Arial Narrow" w:hAnsi="Arial Narrow" w:cs="Times New Roman"/>
                <w:b/>
                <w:bCs/>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1AB3190" w14:textId="38FBF34C"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64±10</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F99038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C2A38C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AD1F5A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3C8DD3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BDB0B2D" w14:textId="0E03EFDF"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10+ATOR 10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D489DC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5D9D2B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4876D4" w:rsidRPr="009B2C7E" w14:paraId="1DB4D08E" w14:textId="77777777" w:rsidTr="007D1770">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40CC999" w14:textId="7C660D16" w:rsidR="004876D4" w:rsidRDefault="004876D4" w:rsidP="009F4888">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McCormack 2010</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99EE17B" w14:textId="53033277"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MC, R, P,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F3CD891" w14:textId="48B9835B"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6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4D04F2" w14:textId="0FF12642"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261</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1C3A2B0" w14:textId="20326F40" w:rsidR="004876D4" w:rsidRPr="00A453D4" w:rsidRDefault="004876D4" w:rsidP="009F4888">
            <w:pPr>
              <w:spacing w:after="0" w:line="264" w:lineRule="auto"/>
              <w:jc w:val="center"/>
              <w:rPr>
                <w:rFonts w:ascii="Arial Narrow" w:hAnsi="Arial Narrow" w:cs="Times New Roman"/>
                <w:bCs/>
                <w:sz w:val="20"/>
                <w:szCs w:val="18"/>
                <w:lang w:val="en-US" w:eastAsia="en-US"/>
              </w:rPr>
            </w:pPr>
            <w:r w:rsidRPr="00A453D4">
              <w:rPr>
                <w:rFonts w:ascii="Arial Narrow" w:hAnsi="Arial Narrow" w:cs="Times New Roman"/>
                <w:bCs/>
                <w:sz w:val="20"/>
                <w:szCs w:val="18"/>
                <w:lang w:val="en-US" w:eastAsia="en-US"/>
              </w:rPr>
              <w:t>3º</w:t>
            </w:r>
            <w:r>
              <w:rPr>
                <w:rFonts w:ascii="Arial Narrow" w:hAnsi="Arial Narrow" w:cs="Times New Roman"/>
                <w:bCs/>
                <w:sz w:val="20"/>
                <w:szCs w:val="18"/>
                <w:lang w:val="en-US" w:eastAsia="en-US"/>
              </w:rPr>
              <w:t xml:space="preserve"> </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9450D90" w14:textId="104118DA"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64.7</w:t>
            </w:r>
            <w:r w:rsidRPr="009B2C7E">
              <w:rPr>
                <w:rFonts w:ascii="Arial Narrow" w:hAnsi="Arial Narrow" w:cs="Times New Roman"/>
                <w:sz w:val="20"/>
                <w:szCs w:val="18"/>
                <w:lang w:val="en-US" w:eastAsia="en-US"/>
              </w:rPr>
              <w:t>±</w:t>
            </w:r>
            <w:r>
              <w:rPr>
                <w:rFonts w:ascii="Arial Narrow" w:hAnsi="Arial Narrow" w:cs="Times New Roman"/>
                <w:sz w:val="20"/>
                <w:szCs w:val="18"/>
                <w:lang w:val="en-US" w:eastAsia="en-US"/>
              </w:rPr>
              <w:t>8.7</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925F5B3" w14:textId="38E421DA"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2.0</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04FAA33" w14:textId="22F37200"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4.2</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B4115A9" w14:textId="10E0C657"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2</w:t>
            </w:r>
            <w:r w:rsidRPr="00A453D4">
              <w:rPr>
                <w:rFonts w:ascii="Arial Narrow" w:hAnsi="Arial Narrow" w:cs="Times New Roman"/>
                <w:sz w:val="20"/>
                <w:szCs w:val="18"/>
                <w:vertAlign w:val="superscript"/>
                <w:lang w:val="en-US" w:eastAsia="en-US"/>
              </w:rPr>
              <w:t>nd</w:t>
            </w:r>
            <w:r>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A10E8F9" w14:textId="77777777" w:rsidR="004876D4"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&gt;20% </w:t>
            </w:r>
          </w:p>
          <w:p w14:paraId="5AE8B189" w14:textId="15C64E42"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(10-year)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BEFC561" w14:textId="5957D325" w:rsidR="004876D4"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 10+SIM 40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873E505" w14:textId="10828D53"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At week 6</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125AEF0" w14:textId="3A8C6321" w:rsidR="004876D4" w:rsidRPr="009B2C7E" w:rsidRDefault="004876D4"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4876D4" w:rsidRPr="009B2C7E" w14:paraId="14F7BE53" w14:textId="77777777" w:rsidTr="007D1770">
        <w:tc>
          <w:tcPr>
            <w:tcW w:w="384" w:type="pct"/>
            <w:vMerge/>
            <w:tcBorders>
              <w:left w:val="single" w:sz="4" w:space="0" w:color="auto"/>
              <w:right w:val="single" w:sz="4" w:space="0" w:color="auto"/>
            </w:tcBorders>
            <w:tcMar>
              <w:top w:w="0" w:type="dxa"/>
              <w:left w:w="28" w:type="dxa"/>
              <w:bottom w:w="0" w:type="dxa"/>
              <w:right w:w="28" w:type="dxa"/>
            </w:tcMar>
            <w:vAlign w:val="center"/>
          </w:tcPr>
          <w:p w14:paraId="7D8D8428" w14:textId="77777777" w:rsidR="004876D4" w:rsidRDefault="004876D4"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3913E2C6" w14:textId="77777777" w:rsidR="004876D4" w:rsidRDefault="004876D4"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4AEFA3AA"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6669383" w14:textId="3155708B"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263</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0835F1DE" w14:textId="77777777" w:rsidR="004876D4" w:rsidRPr="009B2C7E" w:rsidRDefault="004876D4" w:rsidP="009F4888">
            <w:pPr>
              <w:spacing w:after="0" w:line="264" w:lineRule="auto"/>
              <w:jc w:val="center"/>
              <w:rPr>
                <w:rFonts w:ascii="Arial Narrow" w:hAnsi="Arial Narrow" w:cs="Times New Roman"/>
                <w:b/>
                <w:bCs/>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88C8CFF" w14:textId="0C17DCEC"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64.2</w:t>
            </w:r>
            <w:r w:rsidRPr="009B2C7E">
              <w:rPr>
                <w:rFonts w:ascii="Arial Narrow" w:hAnsi="Arial Narrow" w:cs="Times New Roman"/>
                <w:sz w:val="20"/>
                <w:szCs w:val="18"/>
                <w:lang w:val="en-US" w:eastAsia="en-US"/>
              </w:rPr>
              <w:t>±</w:t>
            </w:r>
            <w:r>
              <w:rPr>
                <w:rFonts w:ascii="Arial Narrow" w:hAnsi="Arial Narrow" w:cs="Times New Roman"/>
                <w:sz w:val="20"/>
                <w:szCs w:val="18"/>
                <w:lang w:val="en-US" w:eastAsia="en-US"/>
              </w:rPr>
              <w:t>8.4</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6309C0B7"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08332186"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2C99BA84"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20953392"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6E824CF" w14:textId="194C1F9D" w:rsidR="004876D4"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ATOR 40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62D8D896"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33F9E5F5"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r>
      <w:tr w:rsidR="004876D4" w:rsidRPr="009B2C7E" w14:paraId="797E5A16" w14:textId="77777777" w:rsidTr="007D1770">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4E7B7EE" w14:textId="77777777" w:rsidR="004876D4" w:rsidRDefault="004876D4"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887D618" w14:textId="77777777" w:rsidR="004876D4" w:rsidRDefault="004876D4"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E2D05C6"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0435978" w14:textId="35CB51AC"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262</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2CC1096" w14:textId="77777777" w:rsidR="004876D4" w:rsidRPr="009B2C7E" w:rsidRDefault="004876D4" w:rsidP="009F4888">
            <w:pPr>
              <w:spacing w:after="0" w:line="264" w:lineRule="auto"/>
              <w:jc w:val="center"/>
              <w:rPr>
                <w:rFonts w:ascii="Arial Narrow" w:hAnsi="Arial Narrow" w:cs="Times New Roman"/>
                <w:b/>
                <w:bCs/>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9A5029C" w14:textId="235BF21F" w:rsidR="004876D4" w:rsidRPr="009B2C7E"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63.9</w:t>
            </w:r>
            <w:r w:rsidRPr="009B2C7E">
              <w:rPr>
                <w:rFonts w:ascii="Arial Narrow" w:hAnsi="Arial Narrow" w:cs="Times New Roman"/>
                <w:sz w:val="20"/>
                <w:szCs w:val="18"/>
                <w:lang w:val="en-US" w:eastAsia="en-US"/>
              </w:rPr>
              <w:t>±</w:t>
            </w:r>
            <w:r>
              <w:rPr>
                <w:rFonts w:ascii="Arial Narrow" w:hAnsi="Arial Narrow" w:cs="Times New Roman"/>
                <w:sz w:val="20"/>
                <w:szCs w:val="18"/>
                <w:lang w:val="en-US" w:eastAsia="en-US"/>
              </w:rPr>
              <w:t>8.6</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A621CBF"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0F5C8D2"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025D677"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6A15339"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60269D4" w14:textId="0C4A1133" w:rsidR="004876D4" w:rsidRDefault="004876D4"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ROSU 5/10 </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5A2C5BA"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0885700" w14:textId="77777777" w:rsidR="004876D4" w:rsidRPr="009B2C7E" w:rsidRDefault="004876D4" w:rsidP="009F4888">
            <w:pPr>
              <w:spacing w:after="0" w:line="264" w:lineRule="auto"/>
              <w:jc w:val="center"/>
              <w:rPr>
                <w:rFonts w:ascii="Arial Narrow" w:hAnsi="Arial Narrow" w:cs="Times New Roman"/>
                <w:sz w:val="20"/>
                <w:szCs w:val="18"/>
                <w:lang w:val="en-US" w:eastAsia="en-US"/>
              </w:rPr>
            </w:pPr>
          </w:p>
        </w:tc>
      </w:tr>
      <w:tr w:rsidR="009F4888" w:rsidRPr="009B2C7E" w14:paraId="33DFDF57" w14:textId="77777777" w:rsidTr="00A453D4">
        <w:tc>
          <w:tcPr>
            <w:tcW w:w="5000" w:type="pct"/>
            <w:gridSpan w:val="13"/>
            <w:tcBorders>
              <w:top w:val="single" w:sz="4" w:space="0" w:color="auto"/>
              <w:left w:val="single" w:sz="4" w:space="0" w:color="auto"/>
              <w:right w:val="single" w:sz="4" w:space="0" w:color="auto"/>
            </w:tcBorders>
            <w:tcMar>
              <w:top w:w="0" w:type="dxa"/>
              <w:left w:w="28" w:type="dxa"/>
              <w:bottom w:w="0" w:type="dxa"/>
              <w:right w:w="28" w:type="dxa"/>
            </w:tcMar>
            <w:vAlign w:val="center"/>
          </w:tcPr>
          <w:p w14:paraId="4E8087A0" w14:textId="4B19871F"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b/>
                <w:bCs/>
                <w:sz w:val="20"/>
                <w:szCs w:val="18"/>
                <w:lang w:val="en-US" w:eastAsia="en-US"/>
              </w:rPr>
              <w:t xml:space="preserve">fixed dose </w:t>
            </w:r>
            <w:r>
              <w:rPr>
                <w:rFonts w:ascii="Arial Narrow" w:hAnsi="Arial Narrow" w:cs="Times New Roman"/>
                <w:b/>
                <w:bCs/>
                <w:sz w:val="20"/>
                <w:szCs w:val="18"/>
                <w:lang w:val="en-US" w:eastAsia="en-US"/>
              </w:rPr>
              <w:t xml:space="preserve">of  </w:t>
            </w:r>
            <w:r w:rsidRPr="009B2C7E">
              <w:rPr>
                <w:rFonts w:ascii="Arial Narrow" w:hAnsi="Arial Narrow" w:cs="Times New Roman"/>
                <w:b/>
                <w:bCs/>
                <w:sz w:val="20"/>
                <w:szCs w:val="18"/>
                <w:lang w:val="en-US" w:eastAsia="en-US"/>
              </w:rPr>
              <w:t xml:space="preserve">statin </w:t>
            </w:r>
            <w:r>
              <w:rPr>
                <w:rFonts w:ascii="Arial Narrow" w:hAnsi="Arial Narrow" w:cs="Times New Roman"/>
                <w:b/>
                <w:bCs/>
                <w:sz w:val="20"/>
                <w:szCs w:val="18"/>
                <w:lang w:val="en-US" w:eastAsia="en-US"/>
              </w:rPr>
              <w:t>+ ezetimibe</w:t>
            </w:r>
            <w:r w:rsidRPr="009B2C7E">
              <w:rPr>
                <w:rFonts w:ascii="Arial Narrow" w:hAnsi="Arial Narrow" w:cs="Times New Roman"/>
                <w:b/>
                <w:bCs/>
                <w:sz w:val="20"/>
                <w:szCs w:val="18"/>
                <w:lang w:val="en-US" w:eastAsia="en-US"/>
              </w:rPr>
              <w:t xml:space="preserve"> vs matching fixed dose </w:t>
            </w:r>
            <w:r>
              <w:rPr>
                <w:rFonts w:ascii="Arial Narrow" w:hAnsi="Arial Narrow" w:cs="Times New Roman"/>
                <w:b/>
                <w:bCs/>
                <w:sz w:val="20"/>
                <w:szCs w:val="18"/>
                <w:lang w:val="en-US" w:eastAsia="en-US"/>
              </w:rPr>
              <w:t xml:space="preserve">of </w:t>
            </w:r>
            <w:r w:rsidRPr="009B2C7E">
              <w:rPr>
                <w:rFonts w:ascii="Arial Narrow" w:hAnsi="Arial Narrow" w:cs="Times New Roman"/>
                <w:b/>
                <w:bCs/>
                <w:sz w:val="20"/>
                <w:szCs w:val="18"/>
                <w:lang w:val="en-US" w:eastAsia="en-US"/>
              </w:rPr>
              <w:t>statin</w:t>
            </w:r>
          </w:p>
        </w:tc>
      </w:tr>
      <w:tr w:rsidR="00E13102" w:rsidRPr="009B2C7E" w14:paraId="5C74AE4B"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BB48243" w14:textId="55563CEA" w:rsidR="009F4888" w:rsidRDefault="009F4888" w:rsidP="009F4888">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P692</w:t>
            </w:r>
          </w:p>
          <w:p w14:paraId="5EC14C02" w14:textId="69886E4C" w:rsidR="009F4888" w:rsidRPr="009B2C7E" w:rsidRDefault="009F4888" w:rsidP="009F4888">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Ballantyne 2003</w:t>
            </w:r>
          </w:p>
          <w:p w14:paraId="388DC8B6" w14:textId="24DD44E3"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259BBB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R, P,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78448C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12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E8010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60</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77D7A56" w14:textId="77777777" w:rsidR="009F4888" w:rsidRPr="00EA7C91" w:rsidRDefault="009F4888" w:rsidP="009F4888">
            <w:pPr>
              <w:spacing w:after="0" w:line="264" w:lineRule="auto"/>
              <w:jc w:val="center"/>
              <w:rPr>
                <w:rFonts w:ascii="Arial Narrow" w:hAnsi="Arial Narrow" w:cs="Times New Roman"/>
                <w:sz w:val="20"/>
                <w:szCs w:val="18"/>
                <w:lang w:val="en-US" w:eastAsia="en-US"/>
              </w:rPr>
            </w:pPr>
            <w:r w:rsidRPr="00EA7C91">
              <w:rPr>
                <w:rFonts w:ascii="Arial Narrow" w:hAnsi="Arial Narrow" w:cs="Times New Roman"/>
                <w:bCs/>
                <w:sz w:val="20"/>
                <w:szCs w:val="18"/>
                <w:lang w:val="en-US" w:eastAsia="en-US"/>
              </w:rPr>
              <w:t>1</w:t>
            </w:r>
            <w:r w:rsidRPr="00EA7C91">
              <w:rPr>
                <w:rFonts w:ascii="Calibri" w:hAnsi="Calibri" w:cs="Times New Roman"/>
                <w:bCs/>
                <w:sz w:val="20"/>
                <w:szCs w:val="18"/>
                <w:lang w:val="en-US" w:eastAsia="en-US"/>
              </w:rPr>
              <w:t>°</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3CAFF9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hint="eastAsia"/>
                <w:sz w:val="20"/>
                <w:szCs w:val="18"/>
                <w:lang w:val="en-US" w:eastAsia="en-US"/>
              </w:rPr>
              <w:t>56.9</w:t>
            </w:r>
            <w:r w:rsidRPr="009B2C7E">
              <w:rPr>
                <w:rFonts w:ascii="Arial Narrow" w:hAnsi="Arial Narrow" w:cs="Times New Roman"/>
                <w:sz w:val="20"/>
                <w:szCs w:val="18"/>
                <w:lang w:val="en-US" w:eastAsia="en-US"/>
              </w:rPr>
              <w:t>±</w:t>
            </w:r>
            <w:r w:rsidRPr="009B2C7E">
              <w:rPr>
                <w:rFonts w:ascii="Arial Narrow" w:hAnsi="Arial Narrow" w:cs="Times New Roman" w:hint="eastAsia"/>
                <w:sz w:val="20"/>
                <w:szCs w:val="18"/>
                <w:lang w:val="en-US" w:eastAsia="en-US"/>
              </w:rPr>
              <w:t>12.1</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DBB651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3.75</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92145F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6.47</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C87153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544AC3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68F119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PBO</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9A2D1B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654C0C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706512FD"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034F53D5"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154FCB0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312C8B4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E9364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65</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51D4472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7BAFC6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56.7±11.7</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3B712B8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7FA05B9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45E5D55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1D365AA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93F74CE" w14:textId="06A8965B"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2270E40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5FE85DD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56B73AE1"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709666D9"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54F4853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43A8A9D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88767E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248</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3DAAE75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07A7C5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57.8±11.7</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560170E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1055DA9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48B07A7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3556573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5C6664" w14:textId="6F9E7152"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PBO + </w:t>
            </w:r>
            <w:r w:rsidRPr="009B2C7E">
              <w:rPr>
                <w:rFonts w:ascii="Arial Narrow" w:hAnsi="Arial Narrow" w:cs="Times New Roman"/>
                <w:sz w:val="20"/>
                <w:szCs w:val="18"/>
                <w:lang w:val="en-US" w:eastAsia="en-US"/>
              </w:rPr>
              <w:t>ATOR (10,20,40,80)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0FD0F7E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5EC2154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26159435"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E5AADC4"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7C924D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A97813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144A91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255</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216D0B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51A04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58.7±11.4</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67F56B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E2E221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ADE990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8A0B49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83D2786" w14:textId="7A3E7EA9"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10+ATOR (10,20,40,80)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D2226B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233BE3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2605F416"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4E386A1" w14:textId="6879FD36" w:rsidR="009F4888" w:rsidRPr="009B2C7E" w:rsidRDefault="009F4888" w:rsidP="009F4888">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P038 </w:t>
            </w:r>
            <w:r w:rsidRPr="009B2C7E">
              <w:rPr>
                <w:rFonts w:ascii="Arial Narrow" w:hAnsi="Arial Narrow" w:cs="Times New Roman"/>
                <w:sz w:val="20"/>
                <w:szCs w:val="18"/>
                <w:lang w:val="en-US" w:eastAsia="en-US"/>
              </w:rPr>
              <w:t xml:space="preserve">Bays 2004 </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7B08C0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MC, R, DB, </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AF7E11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12 weeks </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282602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148</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EAFB89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64985F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560. ±10.8</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DA46FE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3.75</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864D1D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6.47</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ED333C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775E06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02EFFC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PBO</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618254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75AEB6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3B9F2144"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4D71BAC5"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1F16FC0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4FD0221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EB89C0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149</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0B45AF6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B67B32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55.5±11.0</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2450AEB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464C851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009B9E6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6D197CD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5D7E5C9" w14:textId="2D4A58D3"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4696F13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27B0905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4B55BB1A" w14:textId="77777777" w:rsidTr="005903E2">
        <w:trPr>
          <w:trHeight w:val="56"/>
        </w:trPr>
        <w:tc>
          <w:tcPr>
            <w:tcW w:w="384" w:type="pct"/>
            <w:vMerge/>
            <w:tcBorders>
              <w:left w:val="single" w:sz="4" w:space="0" w:color="auto"/>
              <w:right w:val="single" w:sz="4" w:space="0" w:color="auto"/>
            </w:tcBorders>
            <w:tcMar>
              <w:top w:w="0" w:type="dxa"/>
              <w:left w:w="28" w:type="dxa"/>
              <w:bottom w:w="0" w:type="dxa"/>
              <w:right w:w="28" w:type="dxa"/>
            </w:tcMar>
            <w:vAlign w:val="center"/>
          </w:tcPr>
          <w:p w14:paraId="62CC139B"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4A18FC5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3B95B06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89D69F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622</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49F6D69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D9318A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54.9±11.2</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2F248DB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285C716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7D78504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0BAD241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C4E4DEA" w14:textId="62AEF9D3"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PBO + SIM</w:t>
            </w:r>
            <w:r w:rsidRPr="009B2C7E">
              <w:rPr>
                <w:rFonts w:ascii="Arial Narrow" w:hAnsi="Arial Narrow" w:cs="Times New Roman"/>
                <w:sz w:val="20"/>
                <w:szCs w:val="18"/>
                <w:lang w:val="en-US" w:eastAsia="en-US"/>
              </w:rPr>
              <w:t xml:space="preserve"> (10,20,40,80)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330FCF6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009410D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12246CA7"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2F7AF7C"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314019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18DB3A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431F78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609</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BF25C3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BC8D08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56.4±10.6</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1F55C8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CEBA6F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7706E1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F3BB8C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12C7704" w14:textId="04E62598"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EZ10+SIM</w:t>
            </w:r>
            <w:r w:rsidRPr="009B2C7E">
              <w:rPr>
                <w:rFonts w:ascii="Arial Narrow" w:hAnsi="Arial Narrow" w:cs="Times New Roman"/>
                <w:sz w:val="20"/>
                <w:szCs w:val="18"/>
                <w:lang w:val="en-US" w:eastAsia="en-US"/>
              </w:rPr>
              <w:t xml:space="preserve"> (10,20,40,80)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1DED4A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C9102C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69F5A968"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A690CED" w14:textId="2AF3EACB" w:rsidR="009F4888" w:rsidRPr="009B2C7E" w:rsidRDefault="009F4888" w:rsidP="009F4888">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Chirinos 2010</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B2193C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R,P,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22FDFA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8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1A52FF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30</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92DE61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0E074D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58.8±7.2</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DEE50D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3.36</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A9F221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4.91</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5EAAC3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6DE4D4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94710E0" w14:textId="19DFC9AE"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PBO + SIM</w:t>
            </w:r>
            <w:r w:rsidRPr="009B2C7E">
              <w:rPr>
                <w:rFonts w:ascii="Arial Narrow" w:hAnsi="Arial Narrow" w:cs="Times New Roman"/>
                <w:sz w:val="20"/>
                <w:szCs w:val="18"/>
                <w:lang w:val="en-US" w:eastAsia="en-US"/>
              </w:rPr>
              <w:t xml:space="preserve"> 20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65F662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8</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4DE948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5170E218"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070DFDD"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548D60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647EC5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041991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28</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F9C0ED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0F2C43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56.4±10.9</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C5F72D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4C46BC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E689A4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DF434F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A1D6F4" w14:textId="3C8684E6"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 10+ SIM</w:t>
            </w:r>
            <w:r w:rsidRPr="009B2C7E">
              <w:rPr>
                <w:rFonts w:ascii="Arial Narrow" w:hAnsi="Arial Narrow" w:cs="Times New Roman"/>
                <w:sz w:val="20"/>
                <w:szCs w:val="18"/>
                <w:lang w:val="en-US" w:eastAsia="en-US"/>
              </w:rPr>
              <w:t xml:space="preserve"> 20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7C030F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32299B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23125947" w14:textId="77777777" w:rsidTr="005903E2">
        <w:trPr>
          <w:trHeight w:val="405"/>
        </w:trPr>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BC2FCB9" w14:textId="0F3CEA6E" w:rsidR="009F4888" w:rsidRPr="009B2C7E" w:rsidRDefault="009F4888" w:rsidP="009F4888">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P680</w:t>
            </w:r>
          </w:p>
          <w:p w14:paraId="729E84EA" w14:textId="66515D2C" w:rsidR="009F4888" w:rsidRPr="009B2C7E" w:rsidRDefault="009F4888" w:rsidP="009F4888">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Davidson 2002</w:t>
            </w:r>
          </w:p>
          <w:p w14:paraId="1BB94B4E" w14:textId="77777777" w:rsidR="009F4888" w:rsidRPr="009B2C7E" w:rsidRDefault="009F4888" w:rsidP="009F4888">
            <w:pPr>
              <w:spacing w:after="0" w:line="264" w:lineRule="auto"/>
              <w:rPr>
                <w:rFonts w:ascii="Arial Narrow" w:hAnsi="Arial Narrow" w:cs="Times New Roman"/>
                <w:sz w:val="20"/>
                <w:szCs w:val="18"/>
                <w:lang w:val="en-US" w:eastAsia="en-US"/>
              </w:rPr>
            </w:pPr>
          </w:p>
          <w:p w14:paraId="2E8ABDB6"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B9CC8C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8D070E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12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F89627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70</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492EFF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40D42F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58.8(25-84)</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BCF661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3.75</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E8C17B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6.47</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F77548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FF3633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7310A9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PBO</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F70414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0846B3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70DBC1E5"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11F7BE1B"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6844C5F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316B320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86B113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61</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3E7FEFD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D2150B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60.3(34-84)</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12216F9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27C3C7A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1CCF47E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57065AE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9D97482" w14:textId="23FB2E19"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165761F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3156FAA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65776358"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39AA627B"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5890DEE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48C5068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9997B5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263</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201D4E7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F58C66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56.4(25-87)</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2BBF878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6DBFFFE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79C9B01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4975346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68295D" w14:textId="508C9A92"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PBO + SIM</w:t>
            </w:r>
            <w:r w:rsidRPr="009B2C7E">
              <w:rPr>
                <w:rFonts w:ascii="Arial Narrow" w:hAnsi="Arial Narrow" w:cs="Times New Roman"/>
                <w:sz w:val="20"/>
                <w:szCs w:val="18"/>
                <w:lang w:val="en-US" w:eastAsia="en-US"/>
              </w:rPr>
              <w:t xml:space="preserve"> (10,20,40,80)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2707956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68FA4D6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03D4B8CE"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02B1065"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F20BBF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5D80BA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C4421E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274</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CD51D5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6D27F1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57.6(27-87)</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461BCC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49476C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E9CE77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46884C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8BB1B05" w14:textId="13FA1D52"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 10+ SIM</w:t>
            </w:r>
            <w:r w:rsidRPr="009B2C7E">
              <w:rPr>
                <w:rFonts w:ascii="Arial Narrow" w:hAnsi="Arial Narrow" w:cs="Times New Roman"/>
                <w:sz w:val="20"/>
                <w:szCs w:val="18"/>
                <w:lang w:val="en-US" w:eastAsia="en-US"/>
              </w:rPr>
              <w:t xml:space="preserve"> (10,20,40,80)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D0835E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F09BE4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2069C982"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7C51B7F" w14:textId="77777777" w:rsidR="009F4888" w:rsidRDefault="009F4888" w:rsidP="009F4888">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P005</w:t>
            </w:r>
          </w:p>
          <w:p w14:paraId="30C261C3" w14:textId="36AA23CD" w:rsidR="009F4888" w:rsidRPr="009B2C7E" w:rsidRDefault="009F4888" w:rsidP="009F4888">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Goldberg 2004</w:t>
            </w:r>
          </w:p>
          <w:p w14:paraId="2C2D34B5" w14:textId="0D32B57C"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D4BC67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F08A9D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12 weeks </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A68F10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93</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6F280E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5"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0486AC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≥18</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534F8A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3.75</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C333C5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6.47</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49F89A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770017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EF5F92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PBO</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D63C70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7D70F1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56E76408"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15643AE6"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413445A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0D60BEB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380F19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92</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14C0B41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vMerge/>
            <w:tcBorders>
              <w:left w:val="single" w:sz="4" w:space="0" w:color="auto"/>
              <w:right w:val="single" w:sz="4" w:space="0" w:color="auto"/>
            </w:tcBorders>
            <w:tcMar>
              <w:top w:w="0" w:type="dxa"/>
              <w:left w:w="28" w:type="dxa"/>
              <w:bottom w:w="0" w:type="dxa"/>
              <w:right w:w="28" w:type="dxa"/>
            </w:tcMar>
            <w:vAlign w:val="center"/>
          </w:tcPr>
          <w:p w14:paraId="3FC919A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20EA63A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5AFDCFC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5619553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24E7213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1F1BC41" w14:textId="6051FF1C"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41CFE6D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5FD704F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05847AD5"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05F565FE"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3256880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3CAC7A3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FD8458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349</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66F0077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vMerge/>
            <w:tcBorders>
              <w:left w:val="single" w:sz="4" w:space="0" w:color="auto"/>
              <w:right w:val="single" w:sz="4" w:space="0" w:color="auto"/>
            </w:tcBorders>
            <w:tcMar>
              <w:top w:w="0" w:type="dxa"/>
              <w:left w:w="28" w:type="dxa"/>
              <w:bottom w:w="0" w:type="dxa"/>
              <w:right w:w="28" w:type="dxa"/>
            </w:tcMar>
            <w:vAlign w:val="center"/>
          </w:tcPr>
          <w:p w14:paraId="215B154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3E4C35B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0CB556B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23CB9A6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54EEE33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B8F9C9B" w14:textId="04E5D182"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PBO + SIM</w:t>
            </w:r>
            <w:r w:rsidRPr="009B2C7E">
              <w:rPr>
                <w:rFonts w:ascii="Arial Narrow" w:hAnsi="Arial Narrow" w:cs="Times New Roman"/>
                <w:sz w:val="20"/>
                <w:szCs w:val="18"/>
                <w:lang w:val="en-US" w:eastAsia="en-US"/>
              </w:rPr>
              <w:t xml:space="preserve"> (10,20,40,80)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7F77C82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3146D5C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19617EFA"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668E5B1"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140868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374B61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F7B59A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353</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A2BB48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9B8D2B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277A69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33FDED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454464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018F4C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87327C0" w14:textId="3189E19F"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 10+ SIM</w:t>
            </w:r>
            <w:r w:rsidRPr="009B2C7E">
              <w:rPr>
                <w:rFonts w:ascii="Arial Narrow" w:hAnsi="Arial Narrow" w:cs="Times New Roman"/>
                <w:sz w:val="20"/>
                <w:szCs w:val="18"/>
                <w:lang w:val="en-US" w:eastAsia="en-US"/>
              </w:rPr>
              <w:t xml:space="preserve"> (10,20,40,80)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4C89FB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FA49E8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5817C7E1" w14:textId="77777777" w:rsidTr="005903E2">
        <w:trPr>
          <w:trHeight w:val="502"/>
        </w:trPr>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C50F4A4" w14:textId="72CBC100" w:rsidR="009F4888" w:rsidRPr="009B2C7E" w:rsidRDefault="009F4888" w:rsidP="009F4888">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Kastelein 2008</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8C61DC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371523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24 months </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D6B78D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363</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F07DC2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B95640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45.7±10.0</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D2AA88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5.43</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88EEF1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E7664B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F01F4B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9166B59" w14:textId="76B77C4E"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PBO + SIM</w:t>
            </w:r>
            <w:r w:rsidRPr="009B2C7E">
              <w:rPr>
                <w:rFonts w:ascii="Arial Narrow" w:hAnsi="Arial Narrow" w:cs="Times New Roman"/>
                <w:sz w:val="20"/>
                <w:szCs w:val="18"/>
                <w:lang w:val="en-US" w:eastAsia="en-US"/>
              </w:rPr>
              <w:t xml:space="preserve"> 80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C20FEC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month 6</w:t>
            </w:r>
          </w:p>
          <w:p w14:paraId="78DA58F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At month 12 </w:t>
            </w:r>
          </w:p>
          <w:p w14:paraId="6B945C5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month 18</w:t>
            </w:r>
          </w:p>
          <w:p w14:paraId="35A84B3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month 24</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459E7A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644C4EFF"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35BEC04"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87A10C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DE3368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B0B44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357</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6003D8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245B0B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46.1±9.0</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69A728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E2817B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32247D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52B72F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EE5BEAD" w14:textId="4ED8803D"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 10+SIM</w:t>
            </w:r>
            <w:r w:rsidRPr="009B2C7E">
              <w:rPr>
                <w:rFonts w:ascii="Arial Narrow" w:hAnsi="Arial Narrow" w:cs="Times New Roman"/>
                <w:sz w:val="20"/>
                <w:szCs w:val="18"/>
                <w:lang w:val="en-US" w:eastAsia="en-US"/>
              </w:rPr>
              <w:t xml:space="preserve"> 80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ED0C9F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AE1D24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418F96AF" w14:textId="77777777" w:rsidTr="005903E2">
        <w:tc>
          <w:tcPr>
            <w:tcW w:w="38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E7F73BD" w14:textId="382C41D2" w:rsidR="009F4888" w:rsidRPr="009B2C7E" w:rsidRDefault="009F4888" w:rsidP="009F4888">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Shankar 2007</w:t>
            </w:r>
          </w:p>
        </w:tc>
        <w:tc>
          <w:tcPr>
            <w:tcW w:w="26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A87F11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DB,P</w:t>
            </w:r>
          </w:p>
        </w:tc>
        <w:tc>
          <w:tcPr>
            <w:tcW w:w="33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C394B5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12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D0AFFE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116</w:t>
            </w:r>
          </w:p>
        </w:tc>
        <w:tc>
          <w:tcPr>
            <w:tcW w:w="31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A06F69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82FAE6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51.54±10.1</w:t>
            </w:r>
          </w:p>
        </w:tc>
        <w:tc>
          <w:tcPr>
            <w:tcW w:w="349"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842057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3.1-3.5</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7D9CAC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946097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EE50E4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46114DB" w14:textId="7720364D"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PBO + SIM</w:t>
            </w:r>
            <w:r w:rsidRPr="009B2C7E">
              <w:rPr>
                <w:rFonts w:ascii="Arial Narrow" w:hAnsi="Arial Narrow" w:cs="Times New Roman"/>
                <w:sz w:val="20"/>
                <w:szCs w:val="18"/>
                <w:lang w:val="en-US" w:eastAsia="en-US"/>
              </w:rPr>
              <w:t xml:space="preserve"> 10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B69DA5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tc>
        <w:tc>
          <w:tcPr>
            <w:tcW w:w="347"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6EA3211" w14:textId="77777777" w:rsidR="009F4888" w:rsidRPr="009B2C7E" w:rsidRDefault="009F4888" w:rsidP="009F4888">
            <w:pPr>
              <w:spacing w:after="0" w:line="264" w:lineRule="auto"/>
              <w:jc w:val="center"/>
              <w:rPr>
                <w:rFonts w:ascii="Arial Narrow" w:hAnsi="Arial Narrow" w:cs="Times New Roman"/>
                <w:sz w:val="20"/>
                <w:szCs w:val="18"/>
              </w:rPr>
            </w:pPr>
            <w:r w:rsidRPr="009B2C7E">
              <w:rPr>
                <w:rFonts w:ascii="Arial Narrow" w:hAnsi="Arial Narrow" w:cs="Times New Roman"/>
                <w:sz w:val="20"/>
                <w:szCs w:val="18"/>
                <w:lang w:val="en-US" w:eastAsia="en-US"/>
              </w:rPr>
              <w:t>Not assessed</w:t>
            </w:r>
          </w:p>
        </w:tc>
      </w:tr>
      <w:tr w:rsidR="00E13102" w:rsidRPr="009B2C7E" w14:paraId="2F20E69F"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C948F9E"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A56644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F520DB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9E55DC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114</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F4C7B6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426266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52.19±12.2</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69B57E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0879AF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D501CF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5731A0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BBA3551" w14:textId="29D032AB"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10+SIM 10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19C35CD"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0C8B6F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38B5622E" w14:textId="77777777" w:rsidTr="005903E2">
        <w:tc>
          <w:tcPr>
            <w:tcW w:w="384" w:type="pct"/>
            <w:vMerge w:val="restart"/>
            <w:tcBorders>
              <w:left w:val="single" w:sz="4" w:space="0" w:color="auto"/>
              <w:right w:val="single" w:sz="4" w:space="0" w:color="auto"/>
            </w:tcBorders>
            <w:tcMar>
              <w:top w:w="0" w:type="dxa"/>
              <w:left w:w="28" w:type="dxa"/>
              <w:bottom w:w="0" w:type="dxa"/>
              <w:right w:w="28" w:type="dxa"/>
            </w:tcMar>
            <w:vAlign w:val="center"/>
          </w:tcPr>
          <w:p w14:paraId="44A8017E" w14:textId="08E433BA" w:rsidR="009F4888" w:rsidRPr="009B2C7E" w:rsidRDefault="009F4888" w:rsidP="009F4888">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P023 </w:t>
            </w:r>
            <w:r w:rsidRPr="009B2C7E">
              <w:rPr>
                <w:rFonts w:ascii="Arial Narrow" w:hAnsi="Arial Narrow" w:cs="Times New Roman"/>
                <w:sz w:val="20"/>
                <w:szCs w:val="18"/>
                <w:lang w:val="en-US" w:eastAsia="en-US"/>
              </w:rPr>
              <w:t>Feldman</w:t>
            </w:r>
            <w:r w:rsidR="00E0757E" w:rsidRPr="00E0757E">
              <w:rPr>
                <w:rFonts w:ascii="Arial Narrow" w:hAnsi="Arial Narrow" w:cs="Times New Roman"/>
                <w:sz w:val="20"/>
                <w:szCs w:val="18"/>
                <w:vertAlign w:val="superscript"/>
                <w:lang w:val="en-US" w:eastAsia="en-US"/>
              </w:rPr>
              <w:t>$</w:t>
            </w:r>
            <w:r w:rsidRPr="009B2C7E">
              <w:rPr>
                <w:rFonts w:ascii="Arial Narrow" w:hAnsi="Arial Narrow" w:cs="Times New Roman"/>
                <w:sz w:val="20"/>
                <w:szCs w:val="18"/>
                <w:lang w:val="en-US" w:eastAsia="en-US"/>
              </w:rPr>
              <w:t xml:space="preserve"> 2004 </w:t>
            </w:r>
          </w:p>
        </w:tc>
        <w:tc>
          <w:tcPr>
            <w:tcW w:w="264" w:type="pct"/>
            <w:vMerge w:val="restart"/>
            <w:tcBorders>
              <w:left w:val="single" w:sz="4" w:space="0" w:color="auto"/>
              <w:right w:val="single" w:sz="4" w:space="0" w:color="auto"/>
            </w:tcBorders>
            <w:tcMar>
              <w:top w:w="0" w:type="dxa"/>
              <w:left w:w="28" w:type="dxa"/>
              <w:bottom w:w="0" w:type="dxa"/>
              <w:right w:w="28" w:type="dxa"/>
            </w:tcMar>
            <w:vAlign w:val="center"/>
          </w:tcPr>
          <w:p w14:paraId="7C4E1DB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P</w:t>
            </w:r>
          </w:p>
        </w:tc>
        <w:tc>
          <w:tcPr>
            <w:tcW w:w="334" w:type="pct"/>
            <w:vMerge w:val="restart"/>
            <w:tcBorders>
              <w:left w:val="single" w:sz="4" w:space="0" w:color="auto"/>
              <w:right w:val="single" w:sz="4" w:space="0" w:color="auto"/>
            </w:tcBorders>
            <w:tcMar>
              <w:top w:w="0" w:type="dxa"/>
              <w:left w:w="28" w:type="dxa"/>
              <w:bottom w:w="0" w:type="dxa"/>
              <w:right w:w="28" w:type="dxa"/>
            </w:tcMar>
            <w:vAlign w:val="center"/>
          </w:tcPr>
          <w:p w14:paraId="5BD687E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23 weeks</w:t>
            </w: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028E9D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253</w:t>
            </w:r>
          </w:p>
        </w:tc>
        <w:tc>
          <w:tcPr>
            <w:tcW w:w="314" w:type="pct"/>
            <w:vMerge w:val="restart"/>
            <w:tcBorders>
              <w:left w:val="single" w:sz="4" w:space="0" w:color="auto"/>
              <w:right w:val="single" w:sz="4" w:space="0" w:color="auto"/>
            </w:tcBorders>
            <w:tcMar>
              <w:top w:w="0" w:type="dxa"/>
              <w:left w:w="28" w:type="dxa"/>
              <w:bottom w:w="0" w:type="dxa"/>
              <w:right w:w="28" w:type="dxa"/>
            </w:tcMar>
            <w:vAlign w:val="center"/>
          </w:tcPr>
          <w:p w14:paraId="4CA06C3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3º</w:t>
            </w: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639AB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62.1±9.7</w:t>
            </w:r>
          </w:p>
        </w:tc>
        <w:tc>
          <w:tcPr>
            <w:tcW w:w="349" w:type="pct"/>
            <w:vMerge w:val="restart"/>
            <w:tcBorders>
              <w:left w:val="single" w:sz="4" w:space="0" w:color="auto"/>
              <w:right w:val="single" w:sz="4" w:space="0" w:color="auto"/>
            </w:tcBorders>
            <w:tcMar>
              <w:top w:w="0" w:type="dxa"/>
              <w:left w:w="28" w:type="dxa"/>
              <w:bottom w:w="0" w:type="dxa"/>
              <w:right w:w="28" w:type="dxa"/>
            </w:tcMar>
            <w:vAlign w:val="center"/>
          </w:tcPr>
          <w:p w14:paraId="2534706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3.36</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67C8B8D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346" w:type="pct"/>
            <w:vMerge w:val="restart"/>
            <w:tcBorders>
              <w:left w:val="single" w:sz="4" w:space="0" w:color="auto"/>
              <w:right w:val="single" w:sz="4" w:space="0" w:color="auto"/>
            </w:tcBorders>
            <w:tcMar>
              <w:top w:w="0" w:type="dxa"/>
              <w:left w:w="28" w:type="dxa"/>
              <w:bottom w:w="0" w:type="dxa"/>
              <w:right w:w="28" w:type="dxa"/>
            </w:tcMar>
            <w:vAlign w:val="center"/>
          </w:tcPr>
          <w:p w14:paraId="1A6719D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2" w:type="pct"/>
            <w:vMerge w:val="restart"/>
            <w:tcBorders>
              <w:left w:val="single" w:sz="4" w:space="0" w:color="auto"/>
              <w:right w:val="single" w:sz="4" w:space="0" w:color="auto"/>
            </w:tcBorders>
            <w:tcMar>
              <w:top w:w="0" w:type="dxa"/>
              <w:left w:w="28" w:type="dxa"/>
              <w:bottom w:w="0" w:type="dxa"/>
              <w:right w:w="28" w:type="dxa"/>
            </w:tcMar>
            <w:vAlign w:val="center"/>
          </w:tcPr>
          <w:p w14:paraId="2F3DE341" w14:textId="77777777" w:rsidR="00973373" w:rsidRDefault="00973373" w:rsidP="00973373">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High</w:t>
            </w:r>
          </w:p>
          <w:p w14:paraId="7443F3B3" w14:textId="77777777" w:rsidR="00973373" w:rsidRPr="009B2C7E" w:rsidRDefault="00973373" w:rsidP="00973373">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&gt;20%</w:t>
            </w:r>
          </w:p>
          <w:p w14:paraId="005841BA" w14:textId="6DE917FB" w:rsidR="009F4888" w:rsidRPr="009B2C7E" w:rsidRDefault="00973373" w:rsidP="00973373">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(10-year)</w:t>
            </w: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4DE3B82" w14:textId="18067135"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SIM </w:t>
            </w:r>
            <w:r w:rsidRPr="009B2C7E">
              <w:rPr>
                <w:rFonts w:ascii="Arial Narrow" w:hAnsi="Arial Narrow" w:cs="Times New Roman"/>
                <w:sz w:val="20"/>
                <w:szCs w:val="18"/>
                <w:lang w:val="en-US" w:eastAsia="en-US"/>
              </w:rPr>
              <w:t>20</w:t>
            </w:r>
          </w:p>
        </w:tc>
        <w:tc>
          <w:tcPr>
            <w:tcW w:w="546" w:type="pct"/>
            <w:vMerge w:val="restart"/>
            <w:tcBorders>
              <w:left w:val="single" w:sz="4" w:space="0" w:color="auto"/>
              <w:right w:val="single" w:sz="4" w:space="0" w:color="auto"/>
            </w:tcBorders>
            <w:tcMar>
              <w:top w:w="0" w:type="dxa"/>
              <w:left w:w="28" w:type="dxa"/>
              <w:bottom w:w="0" w:type="dxa"/>
              <w:right w:w="28" w:type="dxa"/>
            </w:tcMar>
            <w:vAlign w:val="center"/>
          </w:tcPr>
          <w:p w14:paraId="6C9DDA3E"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5</w:t>
            </w:r>
          </w:p>
        </w:tc>
        <w:tc>
          <w:tcPr>
            <w:tcW w:w="347" w:type="pct"/>
            <w:vMerge w:val="restart"/>
            <w:tcBorders>
              <w:left w:val="single" w:sz="4" w:space="0" w:color="auto"/>
              <w:right w:val="single" w:sz="4" w:space="0" w:color="auto"/>
            </w:tcBorders>
            <w:tcMar>
              <w:top w:w="0" w:type="dxa"/>
              <w:left w:w="28" w:type="dxa"/>
              <w:bottom w:w="0" w:type="dxa"/>
              <w:right w:w="28" w:type="dxa"/>
            </w:tcMar>
            <w:vAlign w:val="center"/>
          </w:tcPr>
          <w:p w14:paraId="7ECA79F3"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E13102" w:rsidRPr="009B2C7E" w14:paraId="0E41DA68"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21843EC7"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6969176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7FB2E23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C9C589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251</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64FFEDE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95593B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61.3±10.2</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731108E1"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6F8E966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4C2DA2A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0DC5861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DB4B96D" w14:textId="21BE5588"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EZ 10+SIM </w:t>
            </w:r>
            <w:r w:rsidRPr="009B2C7E">
              <w:rPr>
                <w:rFonts w:ascii="Arial Narrow" w:hAnsi="Arial Narrow" w:cs="Times New Roman"/>
                <w:sz w:val="20"/>
                <w:szCs w:val="18"/>
                <w:lang w:val="en-US" w:eastAsia="en-US"/>
              </w:rPr>
              <w:t>10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493A6B7B"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613A224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27E3C0A7" w14:textId="77777777" w:rsidTr="005903E2">
        <w:tc>
          <w:tcPr>
            <w:tcW w:w="384" w:type="pct"/>
            <w:vMerge/>
            <w:tcBorders>
              <w:left w:val="single" w:sz="4" w:space="0" w:color="auto"/>
              <w:right w:val="single" w:sz="4" w:space="0" w:color="auto"/>
            </w:tcBorders>
            <w:tcMar>
              <w:top w:w="0" w:type="dxa"/>
              <w:left w:w="28" w:type="dxa"/>
              <w:bottom w:w="0" w:type="dxa"/>
              <w:right w:w="28" w:type="dxa"/>
            </w:tcMar>
            <w:vAlign w:val="center"/>
          </w:tcPr>
          <w:p w14:paraId="0F648EBE"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right w:val="single" w:sz="4" w:space="0" w:color="auto"/>
            </w:tcBorders>
            <w:tcMar>
              <w:top w:w="0" w:type="dxa"/>
              <w:left w:w="28" w:type="dxa"/>
              <w:bottom w:w="0" w:type="dxa"/>
              <w:right w:w="28" w:type="dxa"/>
            </w:tcMar>
            <w:vAlign w:val="center"/>
          </w:tcPr>
          <w:p w14:paraId="1FC4C30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right w:val="single" w:sz="4" w:space="0" w:color="auto"/>
            </w:tcBorders>
            <w:tcMar>
              <w:top w:w="0" w:type="dxa"/>
              <w:left w:w="28" w:type="dxa"/>
              <w:bottom w:w="0" w:type="dxa"/>
              <w:right w:w="28" w:type="dxa"/>
            </w:tcMar>
            <w:vAlign w:val="center"/>
          </w:tcPr>
          <w:p w14:paraId="5A7A994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56A89C"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109</w:t>
            </w:r>
          </w:p>
        </w:tc>
        <w:tc>
          <w:tcPr>
            <w:tcW w:w="314" w:type="pct"/>
            <w:vMerge/>
            <w:tcBorders>
              <w:left w:val="single" w:sz="4" w:space="0" w:color="auto"/>
              <w:right w:val="single" w:sz="4" w:space="0" w:color="auto"/>
            </w:tcBorders>
            <w:tcMar>
              <w:top w:w="0" w:type="dxa"/>
              <w:left w:w="28" w:type="dxa"/>
              <w:bottom w:w="0" w:type="dxa"/>
              <w:right w:w="28" w:type="dxa"/>
            </w:tcMar>
            <w:vAlign w:val="center"/>
          </w:tcPr>
          <w:p w14:paraId="138F398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89E7CC7"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64.0±9.8</w:t>
            </w:r>
          </w:p>
        </w:tc>
        <w:tc>
          <w:tcPr>
            <w:tcW w:w="349" w:type="pct"/>
            <w:vMerge/>
            <w:tcBorders>
              <w:left w:val="single" w:sz="4" w:space="0" w:color="auto"/>
              <w:right w:val="single" w:sz="4" w:space="0" w:color="auto"/>
            </w:tcBorders>
            <w:tcMar>
              <w:top w:w="0" w:type="dxa"/>
              <w:left w:w="28" w:type="dxa"/>
              <w:bottom w:w="0" w:type="dxa"/>
              <w:right w:w="28" w:type="dxa"/>
            </w:tcMar>
            <w:vAlign w:val="center"/>
          </w:tcPr>
          <w:p w14:paraId="7325D9D9"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0E2347E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right w:val="single" w:sz="4" w:space="0" w:color="auto"/>
            </w:tcBorders>
            <w:tcMar>
              <w:top w:w="0" w:type="dxa"/>
              <w:left w:w="28" w:type="dxa"/>
              <w:bottom w:w="0" w:type="dxa"/>
              <w:right w:w="28" w:type="dxa"/>
            </w:tcMar>
            <w:vAlign w:val="center"/>
          </w:tcPr>
          <w:p w14:paraId="7A8A3C4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right w:val="single" w:sz="4" w:space="0" w:color="auto"/>
            </w:tcBorders>
            <w:tcMar>
              <w:top w:w="0" w:type="dxa"/>
              <w:left w:w="28" w:type="dxa"/>
              <w:bottom w:w="0" w:type="dxa"/>
              <w:right w:w="28" w:type="dxa"/>
            </w:tcMar>
            <w:vAlign w:val="center"/>
          </w:tcPr>
          <w:p w14:paraId="2438A94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C29E99" w14:textId="6FAFE246"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EZ 10+SIM </w:t>
            </w:r>
            <w:r w:rsidRPr="009B2C7E">
              <w:rPr>
                <w:rFonts w:ascii="Arial Narrow" w:hAnsi="Arial Narrow" w:cs="Times New Roman"/>
                <w:sz w:val="20"/>
                <w:szCs w:val="18"/>
                <w:lang w:val="en-US" w:eastAsia="en-US"/>
              </w:rPr>
              <w:t>20</w:t>
            </w:r>
          </w:p>
        </w:tc>
        <w:tc>
          <w:tcPr>
            <w:tcW w:w="546" w:type="pct"/>
            <w:vMerge/>
            <w:tcBorders>
              <w:left w:val="single" w:sz="4" w:space="0" w:color="auto"/>
              <w:right w:val="single" w:sz="4" w:space="0" w:color="auto"/>
            </w:tcBorders>
            <w:tcMar>
              <w:top w:w="0" w:type="dxa"/>
              <w:left w:w="28" w:type="dxa"/>
              <w:bottom w:w="0" w:type="dxa"/>
              <w:right w:w="28" w:type="dxa"/>
            </w:tcMar>
            <w:vAlign w:val="center"/>
          </w:tcPr>
          <w:p w14:paraId="414B27F4"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right w:val="single" w:sz="4" w:space="0" w:color="auto"/>
            </w:tcBorders>
            <w:tcMar>
              <w:top w:w="0" w:type="dxa"/>
              <w:left w:w="28" w:type="dxa"/>
              <w:bottom w:w="0" w:type="dxa"/>
              <w:right w:w="28" w:type="dxa"/>
            </w:tcMar>
            <w:vAlign w:val="center"/>
          </w:tcPr>
          <w:p w14:paraId="7B48835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r w:rsidR="00E13102" w:rsidRPr="009B2C7E" w14:paraId="201CC089" w14:textId="77777777" w:rsidTr="005903E2">
        <w:tc>
          <w:tcPr>
            <w:tcW w:w="38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7629FE8" w14:textId="77777777" w:rsidR="009F4888" w:rsidRPr="009B2C7E" w:rsidRDefault="009F4888" w:rsidP="009F4888">
            <w:pPr>
              <w:spacing w:after="0" w:line="264" w:lineRule="auto"/>
              <w:rPr>
                <w:rFonts w:ascii="Arial Narrow" w:hAnsi="Arial Narrow" w:cs="Times New Roman"/>
                <w:sz w:val="20"/>
                <w:szCs w:val="18"/>
                <w:lang w:val="en-US" w:eastAsia="en-US"/>
              </w:rPr>
            </w:pPr>
          </w:p>
        </w:tc>
        <w:tc>
          <w:tcPr>
            <w:tcW w:w="26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D9D6DE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3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B8F3DD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2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1436C85"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97</w:t>
            </w:r>
          </w:p>
        </w:tc>
        <w:tc>
          <w:tcPr>
            <w:tcW w:w="31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2A6EBE2"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4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8B3EE1A"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61.7±9.8</w:t>
            </w:r>
          </w:p>
        </w:tc>
        <w:tc>
          <w:tcPr>
            <w:tcW w:w="349"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9C253B6"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F1225AF"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63CB01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52"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13C7CF0"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74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891AC2C" w14:textId="3FA5F6C2" w:rsidR="009F4888" w:rsidRPr="009B2C7E" w:rsidRDefault="009F4888" w:rsidP="009F488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EZ 10+SIM </w:t>
            </w:r>
            <w:r w:rsidRPr="009B2C7E">
              <w:rPr>
                <w:rFonts w:ascii="Arial Narrow" w:hAnsi="Arial Narrow" w:cs="Times New Roman"/>
                <w:sz w:val="20"/>
                <w:szCs w:val="18"/>
                <w:lang w:val="en-US" w:eastAsia="en-US"/>
              </w:rPr>
              <w:t>40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786FB8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c>
          <w:tcPr>
            <w:tcW w:w="347"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06C91A8" w14:textId="77777777" w:rsidR="009F4888" w:rsidRPr="009B2C7E" w:rsidRDefault="009F4888" w:rsidP="009F4888">
            <w:pPr>
              <w:spacing w:after="0" w:line="264" w:lineRule="auto"/>
              <w:jc w:val="center"/>
              <w:rPr>
                <w:rFonts w:ascii="Arial Narrow" w:hAnsi="Arial Narrow" w:cs="Times New Roman"/>
                <w:sz w:val="20"/>
                <w:szCs w:val="18"/>
                <w:lang w:val="en-US" w:eastAsia="en-US"/>
              </w:rPr>
            </w:pPr>
          </w:p>
        </w:tc>
      </w:tr>
    </w:tbl>
    <w:p w14:paraId="31B8FF73" w14:textId="35CEC001" w:rsidR="006E32D2" w:rsidRPr="006E32D2" w:rsidRDefault="006E32D2" w:rsidP="006E32D2">
      <w:pPr>
        <w:spacing w:after="0" w:line="264" w:lineRule="auto"/>
        <w:rPr>
          <w:rFonts w:ascii="Arial Narrow" w:hAnsi="Arial Narrow" w:cs="Times New Roman"/>
          <w:sz w:val="18"/>
          <w:szCs w:val="18"/>
          <w:lang w:eastAsia="en-US"/>
        </w:rPr>
      </w:pPr>
      <w:r w:rsidRPr="006E32D2">
        <w:rPr>
          <w:rFonts w:ascii="Arial Narrow" w:hAnsi="Arial Narrow" w:cs="Times New Roman"/>
          <w:sz w:val="18"/>
          <w:szCs w:val="18"/>
          <w:lang w:eastAsia="en-US"/>
        </w:rPr>
        <w:t>1° = primary prevention population; 2° = secondary prevention population; 3° = “mixed” prevention population</w:t>
      </w:r>
      <w:r w:rsidR="00A453D4">
        <w:rPr>
          <w:rFonts w:ascii="Arial Narrow" w:hAnsi="Arial Narrow" w:cs="Times New Roman"/>
          <w:sz w:val="18"/>
          <w:szCs w:val="18"/>
          <w:lang w:eastAsia="en-US"/>
        </w:rPr>
        <w:t xml:space="preserve"> (both primary and secondary); </w:t>
      </w:r>
      <w:r w:rsidR="00A138A6">
        <w:rPr>
          <w:rFonts w:ascii="Arial Narrow" w:hAnsi="Arial Narrow" w:cs="Times New Roman"/>
          <w:sz w:val="18"/>
          <w:szCs w:val="18"/>
          <w:lang w:eastAsia="en-US"/>
        </w:rPr>
        <w:t xml:space="preserve">^ one of the risk assessment criterion, patients above and below 10% risk were selected. </w:t>
      </w:r>
      <w:r w:rsidRPr="006E32D2">
        <w:rPr>
          <w:rFonts w:ascii="Arial Narrow" w:hAnsi="Arial Narrow" w:cs="Times New Roman"/>
          <w:sz w:val="18"/>
          <w:szCs w:val="18"/>
          <w:lang w:eastAsia="en-US"/>
        </w:rPr>
        <w:t>Min = minimum; Max = maximum; CV risk = risk of major cardiovascular events; MC=multi-centre; R=randomised; P= parallel group; CO = cross-over; DB=double blind; OL = open-label; EZ 10 = ezetimibe 10 mg/day; SIM 10 = simvastatin 10 mg/day; SIM 20 = simvastatin 20mg/day; PBO = placebo; NR = not reported (&amp; cannot be estimated)</w:t>
      </w:r>
    </w:p>
    <w:p w14:paraId="2BA35331" w14:textId="06BBB816" w:rsidR="00A37471" w:rsidRPr="009F4888" w:rsidRDefault="006E32D2" w:rsidP="009F4888">
      <w:pPr>
        <w:spacing w:after="0" w:line="264" w:lineRule="auto"/>
        <w:rPr>
          <w:rFonts w:ascii="Arial Narrow" w:hAnsi="Arial Narrow" w:cs="Times New Roman"/>
          <w:sz w:val="18"/>
          <w:szCs w:val="18"/>
          <w:lang w:eastAsia="en-US"/>
        </w:rPr>
      </w:pPr>
      <w:r w:rsidRPr="006E32D2">
        <w:rPr>
          <w:rFonts w:ascii="Arial Narrow" w:hAnsi="Arial Narrow" w:cs="Times New Roman"/>
          <w:sz w:val="18"/>
          <w:szCs w:val="18"/>
          <w:lang w:eastAsia="en-US"/>
        </w:rPr>
        <w:t xml:space="preserve">* For patients in either study group who had LDL cholesterol levels higher than 2.0 mmol/L on two consecutive measurements, the simvastatin dose was increased to 80 mg in a double-blind manner. In June 2011, in accordance with Food and Drug Administration guidance for limiting new prescriptions of 80 mg of simvastatin, patients were no longer eligible for an increased dose of simvastatin to 80 mg, and any patient who had been receiving the 80-mg dose for less than 1 year had the dose reduced to 40 mg. If an LDL cholesterol measurement on the new regimen was confirmed to be higher than 2.6 mmol/L, the study drug could be discontinued and more potent therapy initiated. </w:t>
      </w:r>
      <w:r w:rsidRPr="006E32D2">
        <w:rPr>
          <w:rFonts w:ascii="Arial Narrow" w:hAnsi="Arial Narrow" w:cs="Times New Roman"/>
          <w:i/>
          <w:iCs/>
          <w:sz w:val="18"/>
          <w:szCs w:val="18"/>
          <w:lang w:eastAsia="en-US"/>
        </w:rPr>
        <w:t>Italicised font indicates “estimated during the evaluation” based on the characteristics of the patients (e.g., patients who have had ACS in the past 10 days would be considered to have a very high risk of a major CV event in the next 5 years)</w:t>
      </w:r>
    </w:p>
    <w:p w14:paraId="083BFBA5" w14:textId="1B1B2A86" w:rsidR="001A0837" w:rsidRPr="00973373" w:rsidRDefault="00973373">
      <w:pPr>
        <w:rPr>
          <w:rFonts w:ascii="Arial Narrow" w:hAnsi="Arial Narrow" w:cs="Times New Roman"/>
          <w:sz w:val="18"/>
          <w:szCs w:val="18"/>
          <w:lang w:eastAsia="en-US"/>
        </w:rPr>
      </w:pPr>
      <w:r w:rsidRPr="00E0757E">
        <w:rPr>
          <w:rFonts w:ascii="Arial Narrow" w:hAnsi="Arial Narrow" w:cs="Times New Roman"/>
          <w:sz w:val="20"/>
          <w:szCs w:val="18"/>
          <w:vertAlign w:val="superscript"/>
          <w:lang w:val="en-US" w:eastAsia="en-US"/>
        </w:rPr>
        <w:t>$</w:t>
      </w:r>
      <w:r w:rsidR="00E0757E" w:rsidRPr="00973373">
        <w:rPr>
          <w:rFonts w:ascii="Arial Narrow" w:hAnsi="Arial Narrow" w:cs="Times New Roman"/>
          <w:sz w:val="18"/>
          <w:szCs w:val="18"/>
          <w:lang w:eastAsia="en-US"/>
        </w:rPr>
        <w:t xml:space="preserve">Design of the trial included </w:t>
      </w:r>
      <w:r>
        <w:rPr>
          <w:rFonts w:ascii="Arial Narrow" w:hAnsi="Arial Narrow" w:cs="Times New Roman"/>
          <w:sz w:val="18"/>
          <w:szCs w:val="18"/>
          <w:lang w:eastAsia="en-US"/>
        </w:rPr>
        <w:t xml:space="preserve">a </w:t>
      </w:r>
      <w:r w:rsidR="00E0757E" w:rsidRPr="00973373">
        <w:rPr>
          <w:rFonts w:ascii="Arial Narrow" w:hAnsi="Arial Narrow" w:cs="Times New Roman"/>
          <w:sz w:val="18"/>
          <w:szCs w:val="18"/>
          <w:lang w:eastAsia="en-US"/>
        </w:rPr>
        <w:t xml:space="preserve">dose-response up-titration of statins every 6 weeks. </w:t>
      </w:r>
      <w:r w:rsidRPr="00973373">
        <w:rPr>
          <w:rFonts w:ascii="Arial Narrow" w:hAnsi="Arial Narrow" w:cs="Times New Roman"/>
          <w:sz w:val="18"/>
          <w:szCs w:val="18"/>
          <w:lang w:eastAsia="en-US"/>
        </w:rPr>
        <w:t>However</w:t>
      </w:r>
      <w:r w:rsidR="00E0757E" w:rsidRPr="00973373">
        <w:rPr>
          <w:rFonts w:ascii="Arial Narrow" w:hAnsi="Arial Narrow" w:cs="Times New Roman"/>
          <w:sz w:val="18"/>
          <w:szCs w:val="18"/>
          <w:lang w:eastAsia="en-US"/>
        </w:rPr>
        <w:t xml:space="preserve"> the only reported results </w:t>
      </w:r>
      <w:r w:rsidRPr="00973373">
        <w:rPr>
          <w:rFonts w:ascii="Arial Narrow" w:hAnsi="Arial Narrow" w:cs="Times New Roman"/>
          <w:sz w:val="18"/>
          <w:szCs w:val="18"/>
          <w:lang w:eastAsia="en-US"/>
        </w:rPr>
        <w:t xml:space="preserve">relate to the first observation after the randomisation. </w:t>
      </w:r>
      <w:r>
        <w:rPr>
          <w:rFonts w:ascii="Arial Narrow" w:hAnsi="Arial Narrow" w:cs="Times New Roman"/>
          <w:sz w:val="18"/>
          <w:szCs w:val="18"/>
          <w:lang w:eastAsia="en-US"/>
        </w:rPr>
        <w:t xml:space="preserve">For the purposes of this review </w:t>
      </w:r>
      <w:r w:rsidR="00EA7C91">
        <w:rPr>
          <w:rFonts w:ascii="Arial Narrow" w:hAnsi="Arial Narrow" w:cs="Times New Roman"/>
          <w:sz w:val="18"/>
          <w:szCs w:val="18"/>
          <w:lang w:eastAsia="en-US"/>
        </w:rPr>
        <w:t>this trial contributed to two sets of analsyses</w:t>
      </w:r>
      <w:r>
        <w:rPr>
          <w:rFonts w:ascii="Arial Narrow" w:hAnsi="Arial Narrow" w:cs="Times New Roman"/>
          <w:sz w:val="18"/>
          <w:szCs w:val="18"/>
          <w:lang w:eastAsia="en-US"/>
        </w:rPr>
        <w:t xml:space="preserve"> </w:t>
      </w:r>
      <w:r w:rsidR="00EA7C91">
        <w:rPr>
          <w:rFonts w:ascii="Arial Narrow" w:hAnsi="Arial Narrow" w:cs="Times New Roman"/>
          <w:sz w:val="18"/>
          <w:szCs w:val="18"/>
          <w:lang w:eastAsia="en-US"/>
        </w:rPr>
        <w:t xml:space="preserve">corresponding to </w:t>
      </w:r>
      <w:r>
        <w:rPr>
          <w:rFonts w:ascii="Arial Narrow" w:hAnsi="Arial Narrow" w:cs="Times New Roman"/>
          <w:sz w:val="18"/>
          <w:szCs w:val="18"/>
          <w:lang w:eastAsia="en-US"/>
        </w:rPr>
        <w:t xml:space="preserve">“add-on” </w:t>
      </w:r>
      <w:r w:rsidR="00EA7C91">
        <w:rPr>
          <w:rFonts w:ascii="Arial Narrow" w:hAnsi="Arial Narrow" w:cs="Times New Roman"/>
          <w:sz w:val="18"/>
          <w:szCs w:val="18"/>
          <w:lang w:eastAsia="en-US"/>
        </w:rPr>
        <w:t xml:space="preserve">matching dose of statin and up-titarting (doubling dose of the same stain) design </w:t>
      </w:r>
      <w:r>
        <w:rPr>
          <w:rFonts w:ascii="Arial Narrow" w:hAnsi="Arial Narrow" w:cs="Times New Roman"/>
          <w:sz w:val="18"/>
          <w:szCs w:val="18"/>
          <w:lang w:eastAsia="en-US"/>
        </w:rPr>
        <w:t>trial design.</w:t>
      </w:r>
    </w:p>
    <w:p w14:paraId="6F71B80C" w14:textId="77777777" w:rsidR="00E13102" w:rsidRPr="0083333B" w:rsidRDefault="00E13102" w:rsidP="001A0837">
      <w:pPr>
        <w:pStyle w:val="Caption"/>
        <w:ind w:left="0"/>
        <w:rPr>
          <w:sz w:val="22"/>
          <w:szCs w:val="22"/>
        </w:rPr>
      </w:pPr>
    </w:p>
    <w:p w14:paraId="0138936D" w14:textId="256008C5" w:rsidR="001A0837" w:rsidRDefault="009F4888" w:rsidP="001A0837">
      <w:pPr>
        <w:pStyle w:val="Caption"/>
        <w:ind w:left="0"/>
      </w:pPr>
      <w:r w:rsidRPr="0083333B">
        <w:rPr>
          <w:sz w:val="22"/>
          <w:szCs w:val="22"/>
        </w:rPr>
        <w:t>Table 2.4.2</w:t>
      </w:r>
      <w:r w:rsidR="001A0837" w:rsidRPr="0083333B">
        <w:rPr>
          <w:sz w:val="22"/>
          <w:szCs w:val="22"/>
        </w:rPr>
        <w:t xml:space="preserve"> Characteristics of trials of ezetimibe as monotherapy</w:t>
      </w:r>
      <w:r w:rsidR="001A0837" w:rsidRPr="001A0837">
        <w:rPr>
          <w:b w:val="0"/>
          <w:szCs w:val="18"/>
          <w:lang w:val="en-US" w:eastAsia="en-US"/>
        </w:rPr>
        <w:t xml:space="preserve"> </w:t>
      </w:r>
      <w:r w:rsidR="001A0837">
        <w:rPr>
          <w:b w:val="0"/>
          <w:szCs w:val="18"/>
          <w:lang w:val="en-US" w:eastAsia="en-US"/>
        </w:rPr>
        <w:t>(only the s</w:t>
      </w:r>
      <w:r w:rsidR="001A0837" w:rsidRPr="009B2C7E">
        <w:rPr>
          <w:b w:val="0"/>
          <w:szCs w:val="18"/>
          <w:lang w:val="en-US" w:eastAsia="en-US"/>
        </w:rPr>
        <w:t>tudies</w:t>
      </w:r>
      <w:r w:rsidR="001A0837">
        <w:rPr>
          <w:b w:val="0"/>
          <w:szCs w:val="18"/>
          <w:lang w:val="en-US" w:eastAsia="en-US"/>
        </w:rPr>
        <w:t xml:space="preserve"> or the relevant arms within the study that are not included in Table 2.4.1)</w:t>
      </w:r>
    </w:p>
    <w:tbl>
      <w:tblPr>
        <w:tblW w:w="5123" w:type="pct"/>
        <w:tblInd w:w="28" w:type="dxa"/>
        <w:tblLayout w:type="fixed"/>
        <w:tblCellMar>
          <w:left w:w="0" w:type="dxa"/>
          <w:right w:w="0" w:type="dxa"/>
        </w:tblCellMar>
        <w:tblLook w:val="04A0" w:firstRow="1" w:lastRow="0" w:firstColumn="1" w:lastColumn="0" w:noHBand="0" w:noVBand="1"/>
      </w:tblPr>
      <w:tblGrid>
        <w:gridCol w:w="951"/>
        <w:gridCol w:w="11"/>
        <w:gridCol w:w="856"/>
        <w:gridCol w:w="994"/>
        <w:gridCol w:w="638"/>
        <w:gridCol w:w="11"/>
        <w:gridCol w:w="6"/>
        <w:gridCol w:w="893"/>
        <w:gridCol w:w="17"/>
        <w:gridCol w:w="1272"/>
        <w:gridCol w:w="1022"/>
        <w:gridCol w:w="991"/>
        <w:gridCol w:w="6"/>
        <w:gridCol w:w="991"/>
        <w:gridCol w:w="6"/>
        <w:gridCol w:w="1008"/>
        <w:gridCol w:w="2139"/>
        <w:gridCol w:w="1568"/>
        <w:gridCol w:w="979"/>
      </w:tblGrid>
      <w:tr w:rsidR="001A0837" w:rsidRPr="009B2C7E" w14:paraId="6F27C31F" w14:textId="77777777" w:rsidTr="004A084E">
        <w:tc>
          <w:tcPr>
            <w:tcW w:w="331" w:type="pct"/>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0C4FEF45" w14:textId="77777777" w:rsidR="001A0837" w:rsidRPr="009B2C7E" w:rsidRDefault="001A0837" w:rsidP="001A0837">
            <w:pPr>
              <w:spacing w:after="0" w:line="264" w:lineRule="auto"/>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Trial</w:t>
            </w:r>
          </w:p>
        </w:tc>
        <w:tc>
          <w:tcPr>
            <w:tcW w:w="302" w:type="pct"/>
            <w:gridSpan w:val="2"/>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719AD034" w14:textId="77777777" w:rsidR="001A0837" w:rsidRPr="009B2C7E" w:rsidRDefault="001A0837" w:rsidP="001A0837">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b/>
                <w:bCs/>
                <w:sz w:val="20"/>
                <w:szCs w:val="18"/>
                <w:lang w:val="en-US" w:eastAsia="en-US"/>
              </w:rPr>
              <w:t>Design</w:t>
            </w:r>
          </w:p>
        </w:tc>
        <w:tc>
          <w:tcPr>
            <w:tcW w:w="346" w:type="pct"/>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5B325490" w14:textId="77777777" w:rsidR="001A0837" w:rsidRPr="009B2C7E"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Duration of follow-up</w:t>
            </w:r>
          </w:p>
        </w:tc>
        <w:tc>
          <w:tcPr>
            <w:tcW w:w="222" w:type="pct"/>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34E308C8" w14:textId="77777777" w:rsidR="001A0837" w:rsidRPr="009B2C7E"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N</w:t>
            </w:r>
          </w:p>
        </w:tc>
        <w:tc>
          <w:tcPr>
            <w:tcW w:w="2165" w:type="pct"/>
            <w:gridSpan w:val="11"/>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04D4ACCA" w14:textId="77777777" w:rsidR="001A0837" w:rsidRPr="009B2C7E"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Patient population</w:t>
            </w:r>
          </w:p>
        </w:tc>
        <w:tc>
          <w:tcPr>
            <w:tcW w:w="745" w:type="pct"/>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6DF56379" w14:textId="77777777" w:rsidR="001A0837" w:rsidRPr="009B2C7E"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Interventions</w:t>
            </w:r>
          </w:p>
        </w:tc>
        <w:tc>
          <w:tcPr>
            <w:tcW w:w="889" w:type="pct"/>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79F60B98" w14:textId="77777777" w:rsidR="001A0837" w:rsidRPr="009B2C7E"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Outcomes</w:t>
            </w:r>
          </w:p>
        </w:tc>
      </w:tr>
      <w:tr w:rsidR="001A0837" w:rsidRPr="009B2C7E" w14:paraId="0ECE2A86" w14:textId="77777777" w:rsidTr="004A084E">
        <w:tc>
          <w:tcPr>
            <w:tcW w:w="331" w:type="pct"/>
            <w:vMerge/>
            <w:tcBorders>
              <w:top w:val="single" w:sz="8" w:space="0" w:color="auto"/>
              <w:left w:val="single" w:sz="8" w:space="0" w:color="auto"/>
              <w:bottom w:val="single" w:sz="4" w:space="0" w:color="auto"/>
              <w:right w:val="single" w:sz="8" w:space="0" w:color="auto"/>
            </w:tcBorders>
            <w:vAlign w:val="center"/>
            <w:hideMark/>
          </w:tcPr>
          <w:p w14:paraId="637574AB" w14:textId="77777777" w:rsidR="001A0837" w:rsidRPr="009B2C7E" w:rsidRDefault="001A0837" w:rsidP="001A0837">
            <w:pPr>
              <w:spacing w:after="0" w:line="240" w:lineRule="auto"/>
              <w:rPr>
                <w:rFonts w:ascii="Arial Narrow" w:hAnsi="Arial Narrow" w:cs="Times New Roman"/>
                <w:b/>
                <w:bCs/>
                <w:sz w:val="20"/>
                <w:szCs w:val="18"/>
                <w:lang w:val="en-US" w:eastAsia="en-US"/>
              </w:rPr>
            </w:pPr>
          </w:p>
        </w:tc>
        <w:tc>
          <w:tcPr>
            <w:tcW w:w="302" w:type="pct"/>
            <w:gridSpan w:val="2"/>
            <w:vMerge/>
            <w:tcBorders>
              <w:top w:val="single" w:sz="8" w:space="0" w:color="auto"/>
              <w:left w:val="nil"/>
              <w:bottom w:val="single" w:sz="4" w:space="0" w:color="auto"/>
              <w:right w:val="single" w:sz="8" w:space="0" w:color="auto"/>
            </w:tcBorders>
            <w:vAlign w:val="center"/>
            <w:hideMark/>
          </w:tcPr>
          <w:p w14:paraId="2C09C06E" w14:textId="77777777" w:rsidR="001A0837" w:rsidRPr="009B2C7E" w:rsidRDefault="001A0837" w:rsidP="001A0837">
            <w:pPr>
              <w:spacing w:after="0" w:line="240" w:lineRule="auto"/>
              <w:rPr>
                <w:rFonts w:ascii="Arial Narrow" w:hAnsi="Arial Narrow" w:cs="Times New Roman"/>
                <w:sz w:val="20"/>
                <w:szCs w:val="18"/>
                <w:lang w:val="en-US" w:eastAsia="en-US"/>
              </w:rPr>
            </w:pPr>
          </w:p>
        </w:tc>
        <w:tc>
          <w:tcPr>
            <w:tcW w:w="346" w:type="pct"/>
            <w:vMerge/>
            <w:tcBorders>
              <w:top w:val="single" w:sz="8" w:space="0" w:color="auto"/>
              <w:left w:val="nil"/>
              <w:bottom w:val="single" w:sz="4" w:space="0" w:color="auto"/>
              <w:right w:val="single" w:sz="8" w:space="0" w:color="auto"/>
            </w:tcBorders>
            <w:vAlign w:val="center"/>
            <w:hideMark/>
          </w:tcPr>
          <w:p w14:paraId="0D27FC8D" w14:textId="77777777" w:rsidR="001A0837" w:rsidRPr="009B2C7E" w:rsidRDefault="001A0837" w:rsidP="001A0837">
            <w:pPr>
              <w:spacing w:after="0" w:line="240" w:lineRule="auto"/>
              <w:rPr>
                <w:rFonts w:ascii="Arial Narrow" w:hAnsi="Arial Narrow" w:cs="Times New Roman"/>
                <w:b/>
                <w:bCs/>
                <w:sz w:val="20"/>
                <w:szCs w:val="18"/>
                <w:lang w:val="en-US" w:eastAsia="en-US"/>
              </w:rPr>
            </w:pPr>
          </w:p>
        </w:tc>
        <w:tc>
          <w:tcPr>
            <w:tcW w:w="222" w:type="pct"/>
            <w:vMerge/>
            <w:tcBorders>
              <w:top w:val="single" w:sz="8" w:space="0" w:color="auto"/>
              <w:left w:val="nil"/>
              <w:bottom w:val="single" w:sz="4" w:space="0" w:color="auto"/>
              <w:right w:val="single" w:sz="8" w:space="0" w:color="auto"/>
            </w:tcBorders>
            <w:vAlign w:val="center"/>
            <w:hideMark/>
          </w:tcPr>
          <w:p w14:paraId="521076BA" w14:textId="77777777" w:rsidR="001A0837" w:rsidRPr="009B2C7E" w:rsidRDefault="001A0837" w:rsidP="001A0837">
            <w:pPr>
              <w:spacing w:after="0" w:line="240" w:lineRule="auto"/>
              <w:rPr>
                <w:rFonts w:ascii="Arial Narrow" w:hAnsi="Arial Narrow" w:cs="Times New Roman"/>
                <w:b/>
                <w:bCs/>
                <w:sz w:val="20"/>
                <w:szCs w:val="18"/>
                <w:lang w:val="en-US" w:eastAsia="en-US"/>
              </w:rPr>
            </w:pPr>
          </w:p>
        </w:tc>
        <w:tc>
          <w:tcPr>
            <w:tcW w:w="317" w:type="pct"/>
            <w:gridSpan w:val="3"/>
            <w:tcBorders>
              <w:top w:val="nil"/>
              <w:left w:val="nil"/>
              <w:bottom w:val="single" w:sz="4" w:space="0" w:color="auto"/>
              <w:right w:val="single" w:sz="8" w:space="0" w:color="auto"/>
            </w:tcBorders>
            <w:tcMar>
              <w:top w:w="0" w:type="dxa"/>
              <w:left w:w="28" w:type="dxa"/>
              <w:bottom w:w="0" w:type="dxa"/>
              <w:right w:w="28" w:type="dxa"/>
            </w:tcMar>
            <w:vAlign w:val="center"/>
            <w:hideMark/>
          </w:tcPr>
          <w:p w14:paraId="5CA79EAD" w14:textId="77777777" w:rsidR="001A0837" w:rsidRPr="009B2C7E"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1</w:t>
            </w:r>
            <w:r w:rsidRPr="009B2C7E">
              <w:rPr>
                <w:rFonts w:ascii="Calibri" w:hAnsi="Calibri" w:cs="Times New Roman"/>
                <w:b/>
                <w:bCs/>
                <w:sz w:val="20"/>
                <w:szCs w:val="18"/>
                <w:lang w:val="en-US" w:eastAsia="en-US"/>
              </w:rPr>
              <w:t>°</w:t>
            </w:r>
            <w:r w:rsidRPr="009B2C7E">
              <w:rPr>
                <w:rFonts w:ascii="Arial Narrow" w:hAnsi="Arial Narrow" w:cs="Times New Roman"/>
                <w:b/>
                <w:bCs/>
                <w:sz w:val="20"/>
                <w:szCs w:val="18"/>
                <w:lang w:val="en-US" w:eastAsia="en-US"/>
              </w:rPr>
              <w:t>, 2</w:t>
            </w:r>
            <w:r w:rsidRPr="009B2C7E">
              <w:rPr>
                <w:rFonts w:ascii="Calibri" w:hAnsi="Calibri" w:cs="Times New Roman"/>
                <w:b/>
                <w:bCs/>
                <w:sz w:val="20"/>
                <w:szCs w:val="18"/>
                <w:lang w:val="en-US" w:eastAsia="en-US"/>
              </w:rPr>
              <w:t>°</w:t>
            </w:r>
            <w:r w:rsidRPr="009B2C7E">
              <w:rPr>
                <w:rFonts w:ascii="Arial Narrow" w:hAnsi="Arial Narrow" w:cs="Times New Roman"/>
                <w:b/>
                <w:bCs/>
                <w:sz w:val="20"/>
                <w:szCs w:val="18"/>
                <w:lang w:val="en-US" w:eastAsia="en-US"/>
              </w:rPr>
              <w:t xml:space="preserve"> or mixed</w:t>
            </w:r>
          </w:p>
        </w:tc>
        <w:tc>
          <w:tcPr>
            <w:tcW w:w="448" w:type="pct"/>
            <w:gridSpan w:val="2"/>
            <w:tcBorders>
              <w:top w:val="nil"/>
              <w:left w:val="nil"/>
              <w:bottom w:val="single" w:sz="4" w:space="0" w:color="auto"/>
              <w:right w:val="single" w:sz="8" w:space="0" w:color="auto"/>
            </w:tcBorders>
            <w:tcMar>
              <w:top w:w="0" w:type="dxa"/>
              <w:left w:w="28" w:type="dxa"/>
              <w:bottom w:w="0" w:type="dxa"/>
              <w:right w:w="28" w:type="dxa"/>
            </w:tcMar>
            <w:vAlign w:val="center"/>
            <w:hideMark/>
          </w:tcPr>
          <w:p w14:paraId="257F3C46" w14:textId="77777777" w:rsidR="001A0837" w:rsidRPr="009B2C7E"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Age</w:t>
            </w:r>
            <w:r>
              <w:rPr>
                <w:rFonts w:ascii="Arial Narrow" w:hAnsi="Arial Narrow" w:cs="Times New Roman"/>
                <w:b/>
                <w:bCs/>
                <w:sz w:val="20"/>
                <w:szCs w:val="18"/>
                <w:lang w:val="en-US" w:eastAsia="en-US"/>
              </w:rPr>
              <w:t xml:space="preserve"> (SD, range)</w:t>
            </w:r>
          </w:p>
        </w:tc>
        <w:tc>
          <w:tcPr>
            <w:tcW w:w="356" w:type="pct"/>
            <w:tcBorders>
              <w:top w:val="nil"/>
              <w:left w:val="nil"/>
              <w:bottom w:val="single" w:sz="4" w:space="0" w:color="auto"/>
              <w:right w:val="single" w:sz="8" w:space="0" w:color="auto"/>
            </w:tcBorders>
            <w:tcMar>
              <w:top w:w="0" w:type="dxa"/>
              <w:left w:w="28" w:type="dxa"/>
              <w:bottom w:w="0" w:type="dxa"/>
              <w:right w:w="28" w:type="dxa"/>
            </w:tcMar>
            <w:vAlign w:val="center"/>
            <w:hideMark/>
          </w:tcPr>
          <w:p w14:paraId="1D3812B6" w14:textId="77777777" w:rsidR="001A0837" w:rsidRDefault="001A0837" w:rsidP="001A0837">
            <w:pPr>
              <w:spacing w:after="0" w:line="264" w:lineRule="auto"/>
              <w:jc w:val="center"/>
              <w:rPr>
                <w:rFonts w:ascii="Arial Narrow" w:hAnsi="Arial Narrow" w:cs="Times New Roman"/>
                <w:b/>
                <w:bCs/>
                <w:sz w:val="20"/>
                <w:szCs w:val="18"/>
                <w:lang w:val="en-US" w:eastAsia="en-US"/>
              </w:rPr>
            </w:pPr>
            <w:r w:rsidRPr="00E13102">
              <w:rPr>
                <w:rFonts w:ascii="Arial Narrow" w:hAnsi="Arial Narrow" w:cs="Times New Roman"/>
                <w:b/>
                <w:bCs/>
                <w:sz w:val="20"/>
                <w:szCs w:val="18"/>
                <w:lang w:val="en-US" w:eastAsia="en-US"/>
              </w:rPr>
              <w:t>Min L</w:t>
            </w:r>
            <w:r w:rsidRPr="009B2C7E">
              <w:rPr>
                <w:rFonts w:ascii="Arial Narrow" w:hAnsi="Arial Narrow" w:cs="Times New Roman"/>
                <w:b/>
                <w:bCs/>
                <w:sz w:val="20"/>
                <w:szCs w:val="18"/>
                <w:lang w:val="en-US" w:eastAsia="en-US"/>
              </w:rPr>
              <w:t>DL</w:t>
            </w:r>
            <w:r>
              <w:rPr>
                <w:rFonts w:ascii="Arial Narrow" w:hAnsi="Arial Narrow" w:cs="Times New Roman"/>
                <w:b/>
                <w:bCs/>
                <w:sz w:val="20"/>
                <w:szCs w:val="18"/>
                <w:lang w:val="en-US" w:eastAsia="en-US"/>
              </w:rPr>
              <w:t>-c</w:t>
            </w:r>
            <w:r w:rsidRPr="009B2C7E">
              <w:rPr>
                <w:rFonts w:ascii="Arial Narrow" w:hAnsi="Arial Narrow" w:cs="Times New Roman"/>
                <w:b/>
                <w:bCs/>
                <w:sz w:val="20"/>
                <w:szCs w:val="18"/>
                <w:lang w:val="en-US" w:eastAsia="en-US"/>
              </w:rPr>
              <w:t xml:space="preserve"> </w:t>
            </w:r>
          </w:p>
          <w:p w14:paraId="0B329C53" w14:textId="77777777" w:rsidR="001A0837" w:rsidRPr="009B2C7E"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at baseline</w:t>
            </w:r>
          </w:p>
        </w:tc>
        <w:tc>
          <w:tcPr>
            <w:tcW w:w="347" w:type="pct"/>
            <w:gridSpan w:val="2"/>
            <w:tcBorders>
              <w:top w:val="nil"/>
              <w:left w:val="nil"/>
              <w:bottom w:val="single" w:sz="4" w:space="0" w:color="auto"/>
              <w:right w:val="single" w:sz="8" w:space="0" w:color="auto"/>
            </w:tcBorders>
            <w:tcMar>
              <w:top w:w="0" w:type="dxa"/>
              <w:left w:w="28" w:type="dxa"/>
              <w:bottom w:w="0" w:type="dxa"/>
              <w:right w:w="28" w:type="dxa"/>
            </w:tcMar>
            <w:vAlign w:val="center"/>
            <w:hideMark/>
          </w:tcPr>
          <w:p w14:paraId="2FA3C537" w14:textId="77777777" w:rsidR="001A0837"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Max LDL</w:t>
            </w:r>
            <w:r>
              <w:rPr>
                <w:rFonts w:ascii="Arial Narrow" w:hAnsi="Arial Narrow" w:cs="Times New Roman"/>
                <w:b/>
                <w:bCs/>
                <w:sz w:val="20"/>
                <w:szCs w:val="18"/>
                <w:lang w:val="en-US" w:eastAsia="en-US"/>
              </w:rPr>
              <w:t xml:space="preserve">-c </w:t>
            </w:r>
          </w:p>
          <w:p w14:paraId="38D19723" w14:textId="77777777" w:rsidR="001A0837" w:rsidRPr="009B2C7E"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at baseline</w:t>
            </w:r>
          </w:p>
        </w:tc>
        <w:tc>
          <w:tcPr>
            <w:tcW w:w="347" w:type="pct"/>
            <w:gridSpan w:val="2"/>
            <w:tcBorders>
              <w:top w:val="nil"/>
              <w:left w:val="nil"/>
              <w:bottom w:val="single" w:sz="4" w:space="0" w:color="auto"/>
              <w:right w:val="single" w:sz="8" w:space="0" w:color="auto"/>
            </w:tcBorders>
            <w:tcMar>
              <w:top w:w="0" w:type="dxa"/>
              <w:left w:w="28" w:type="dxa"/>
              <w:bottom w:w="0" w:type="dxa"/>
              <w:right w:w="28" w:type="dxa"/>
            </w:tcMar>
            <w:vAlign w:val="center"/>
            <w:hideMark/>
          </w:tcPr>
          <w:p w14:paraId="5B9FF07B" w14:textId="77777777" w:rsidR="001A0837" w:rsidRPr="009B2C7E"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Other</w:t>
            </w:r>
          </w:p>
        </w:tc>
        <w:tc>
          <w:tcPr>
            <w:tcW w:w="350" w:type="pct"/>
            <w:tcBorders>
              <w:top w:val="nil"/>
              <w:left w:val="nil"/>
              <w:bottom w:val="single" w:sz="4" w:space="0" w:color="auto"/>
              <w:right w:val="single" w:sz="8" w:space="0" w:color="auto"/>
            </w:tcBorders>
            <w:tcMar>
              <w:top w:w="0" w:type="dxa"/>
              <w:left w:w="28" w:type="dxa"/>
              <w:bottom w:w="0" w:type="dxa"/>
              <w:right w:w="28" w:type="dxa"/>
            </w:tcMar>
            <w:hideMark/>
          </w:tcPr>
          <w:p w14:paraId="21D98590" w14:textId="77777777" w:rsidR="001A0837" w:rsidRPr="009B2C7E" w:rsidRDefault="001A0837" w:rsidP="001A0837">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Mean 5-year CV risk at baseline</w:t>
            </w:r>
          </w:p>
        </w:tc>
        <w:tc>
          <w:tcPr>
            <w:tcW w:w="745" w:type="pct"/>
            <w:vMerge/>
            <w:tcBorders>
              <w:top w:val="single" w:sz="8" w:space="0" w:color="auto"/>
              <w:left w:val="nil"/>
              <w:bottom w:val="single" w:sz="4" w:space="0" w:color="auto"/>
              <w:right w:val="single" w:sz="8" w:space="0" w:color="auto"/>
            </w:tcBorders>
            <w:vAlign w:val="center"/>
            <w:hideMark/>
          </w:tcPr>
          <w:p w14:paraId="30E5A7DA" w14:textId="77777777" w:rsidR="001A0837" w:rsidRPr="009B2C7E" w:rsidRDefault="001A0837" w:rsidP="005C1565">
            <w:pPr>
              <w:spacing w:after="0" w:line="240" w:lineRule="auto"/>
              <w:rPr>
                <w:rFonts w:ascii="Arial Narrow" w:hAnsi="Arial Narrow" w:cs="Times New Roman"/>
                <w:b/>
                <w:bCs/>
                <w:sz w:val="20"/>
                <w:szCs w:val="18"/>
                <w:lang w:val="en-US" w:eastAsia="en-US"/>
              </w:rPr>
            </w:pPr>
          </w:p>
        </w:tc>
        <w:tc>
          <w:tcPr>
            <w:tcW w:w="546" w:type="pct"/>
            <w:tcBorders>
              <w:top w:val="nil"/>
              <w:left w:val="nil"/>
              <w:bottom w:val="single" w:sz="4" w:space="0" w:color="auto"/>
              <w:right w:val="single" w:sz="8" w:space="0" w:color="auto"/>
            </w:tcBorders>
            <w:tcMar>
              <w:top w:w="0" w:type="dxa"/>
              <w:left w:w="28" w:type="dxa"/>
              <w:bottom w:w="0" w:type="dxa"/>
              <w:right w:w="28" w:type="dxa"/>
            </w:tcMar>
            <w:vAlign w:val="center"/>
            <w:hideMark/>
          </w:tcPr>
          <w:p w14:paraId="7565150F" w14:textId="77777777" w:rsidR="001A0837" w:rsidRDefault="001A0837" w:rsidP="005C1565">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 xml:space="preserve">Change in </w:t>
            </w:r>
          </w:p>
          <w:p w14:paraId="41E5C980" w14:textId="77777777" w:rsidR="001A0837" w:rsidRPr="009B2C7E" w:rsidRDefault="001A0837" w:rsidP="005C1565">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LDL-c</w:t>
            </w:r>
          </w:p>
        </w:tc>
        <w:tc>
          <w:tcPr>
            <w:tcW w:w="343" w:type="pct"/>
            <w:tcBorders>
              <w:top w:val="nil"/>
              <w:left w:val="nil"/>
              <w:bottom w:val="single" w:sz="4" w:space="0" w:color="auto"/>
              <w:right w:val="single" w:sz="8" w:space="0" w:color="auto"/>
            </w:tcBorders>
            <w:tcMar>
              <w:top w:w="0" w:type="dxa"/>
              <w:left w:w="28" w:type="dxa"/>
              <w:bottom w:w="0" w:type="dxa"/>
              <w:right w:w="28" w:type="dxa"/>
            </w:tcMar>
            <w:vAlign w:val="center"/>
            <w:hideMark/>
          </w:tcPr>
          <w:p w14:paraId="27700074" w14:textId="77777777" w:rsidR="001A0837" w:rsidRPr="009B2C7E" w:rsidRDefault="001A0837" w:rsidP="005C1565">
            <w:pPr>
              <w:spacing w:after="0" w:line="264" w:lineRule="auto"/>
              <w:jc w:val="center"/>
              <w:rPr>
                <w:rFonts w:ascii="Arial Narrow" w:hAnsi="Arial Narrow" w:cs="Times New Roman"/>
                <w:b/>
                <w:bCs/>
                <w:sz w:val="20"/>
                <w:szCs w:val="18"/>
                <w:lang w:val="en-US" w:eastAsia="en-US"/>
              </w:rPr>
            </w:pPr>
            <w:r w:rsidRPr="009B2C7E">
              <w:rPr>
                <w:rFonts w:ascii="Arial Narrow" w:hAnsi="Arial Narrow" w:cs="Times New Roman"/>
                <w:b/>
                <w:bCs/>
                <w:sz w:val="20"/>
                <w:szCs w:val="18"/>
                <w:lang w:val="en-US" w:eastAsia="en-US"/>
              </w:rPr>
              <w:t>Reduction in CV endpoints</w:t>
            </w:r>
          </w:p>
        </w:tc>
      </w:tr>
      <w:tr w:rsidR="001A0837" w:rsidRPr="009B2C7E" w14:paraId="0E751DD1" w14:textId="77777777" w:rsidTr="004A084E">
        <w:trPr>
          <w:trHeight w:val="356"/>
        </w:trPr>
        <w:tc>
          <w:tcPr>
            <w:tcW w:w="331"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E55EC14" w14:textId="77777777" w:rsidR="00A37471" w:rsidRDefault="00A37471" w:rsidP="00A37471">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P475</w:t>
            </w:r>
          </w:p>
          <w:p w14:paraId="4A1FC6C6" w14:textId="614E90C2" w:rsidR="00A37471" w:rsidRPr="009B2C7E" w:rsidRDefault="00A37471" w:rsidP="00A37471">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Dujovne 2002 </w:t>
            </w:r>
          </w:p>
        </w:tc>
        <w:tc>
          <w:tcPr>
            <w:tcW w:w="302"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019696E" w14:textId="1E1445FC"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9EE7016" w14:textId="0ACD906B"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12 weeks</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B4ECEA4" w14:textId="0B2A115F"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666</w:t>
            </w:r>
          </w:p>
        </w:tc>
        <w:tc>
          <w:tcPr>
            <w:tcW w:w="313"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95A2A77" w14:textId="67E91B56"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8"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1BFC9B" w14:textId="74CAAA6D"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57.9(18-85)</w:t>
            </w:r>
          </w:p>
        </w:tc>
        <w:tc>
          <w:tcPr>
            <w:tcW w:w="35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3B6BD4C" w14:textId="1DF8FEED"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3.36</w:t>
            </w:r>
          </w:p>
        </w:tc>
        <w:tc>
          <w:tcPr>
            <w:tcW w:w="347"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488D12B" w14:textId="74589027"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6.47</w:t>
            </w:r>
          </w:p>
        </w:tc>
        <w:tc>
          <w:tcPr>
            <w:tcW w:w="347"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FCD402D" w14:textId="049F2201"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0"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023EB38" w14:textId="67E84153"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D039A55" w14:textId="541EF97F" w:rsidR="00A37471" w:rsidRPr="009B2C7E" w:rsidRDefault="00A37471" w:rsidP="00A3747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E44AAA9" w14:textId="43567000"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tc>
        <w:tc>
          <w:tcPr>
            <w:tcW w:w="343"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B53F1EE" w14:textId="66139B4C"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1A0837" w:rsidRPr="009B2C7E" w14:paraId="2EC01965" w14:textId="77777777" w:rsidTr="004A084E">
        <w:trPr>
          <w:trHeight w:val="327"/>
        </w:trPr>
        <w:tc>
          <w:tcPr>
            <w:tcW w:w="331"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E059333" w14:textId="77777777" w:rsidR="00A37471" w:rsidRPr="009B2C7E" w:rsidRDefault="00A37471" w:rsidP="00A37471">
            <w:pPr>
              <w:spacing w:after="0" w:line="264" w:lineRule="auto"/>
              <w:rPr>
                <w:rFonts w:ascii="Arial Narrow" w:hAnsi="Arial Narrow" w:cs="Times New Roman"/>
                <w:sz w:val="20"/>
                <w:szCs w:val="18"/>
                <w:lang w:val="en-US" w:eastAsia="en-US"/>
              </w:rPr>
            </w:pPr>
          </w:p>
        </w:tc>
        <w:tc>
          <w:tcPr>
            <w:tcW w:w="302"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6ECCECF"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5C6DFBF"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226"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98288A9" w14:textId="193990A6"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226</w:t>
            </w:r>
          </w:p>
        </w:tc>
        <w:tc>
          <w:tcPr>
            <w:tcW w:w="313"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FC1B959"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448"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5F07222" w14:textId="506EE235"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58.1(30-85)</w:t>
            </w:r>
          </w:p>
        </w:tc>
        <w:tc>
          <w:tcPr>
            <w:tcW w:w="35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4576449"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347"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7AF0782"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347"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0BFC88B"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350"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87D2674"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7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439258E" w14:textId="48E8E40B"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PBO</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F628FBB"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343"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330B5EC"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r>
      <w:tr w:rsidR="001A0837" w:rsidRPr="009B2C7E" w14:paraId="47B18FA5" w14:textId="77777777" w:rsidTr="004A084E">
        <w:trPr>
          <w:trHeight w:val="416"/>
        </w:trPr>
        <w:tc>
          <w:tcPr>
            <w:tcW w:w="331"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9815D34" w14:textId="77777777" w:rsidR="00A37471" w:rsidRDefault="00A37471" w:rsidP="00A37471">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P474</w:t>
            </w:r>
          </w:p>
          <w:p w14:paraId="1A9AF882" w14:textId="62E15A3F" w:rsidR="00A37471" w:rsidRPr="009B2C7E" w:rsidRDefault="00A37471" w:rsidP="00A37471">
            <w:pPr>
              <w:spacing w:after="0" w:line="264" w:lineRule="auto"/>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Knopp 2003 </w:t>
            </w:r>
          </w:p>
        </w:tc>
        <w:tc>
          <w:tcPr>
            <w:tcW w:w="302"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63C4B46" w14:textId="7A50123A"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220912D" w14:textId="6CD83820"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12 weeks</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66E2F89" w14:textId="080D8116"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622</w:t>
            </w:r>
          </w:p>
        </w:tc>
        <w:tc>
          <w:tcPr>
            <w:tcW w:w="313"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C22597C" w14:textId="6F0D455F"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8"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CFC529" w14:textId="3AD9C958"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58.3(20-86)</w:t>
            </w:r>
          </w:p>
        </w:tc>
        <w:tc>
          <w:tcPr>
            <w:tcW w:w="35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9CB8AF1" w14:textId="73A54170"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3.36</w:t>
            </w:r>
          </w:p>
        </w:tc>
        <w:tc>
          <w:tcPr>
            <w:tcW w:w="347"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09DF940" w14:textId="25CC6A63"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6.47</w:t>
            </w:r>
          </w:p>
        </w:tc>
        <w:tc>
          <w:tcPr>
            <w:tcW w:w="347"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76FBA7B" w14:textId="2E1A25D1"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0"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451DD4C" w14:textId="3C299233"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A37F07" w14:textId="6FAAA113" w:rsidR="00A37471" w:rsidRPr="009B2C7E" w:rsidRDefault="00A37471" w:rsidP="00A3747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24D2840" w14:textId="58B1042E"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tc>
        <w:tc>
          <w:tcPr>
            <w:tcW w:w="343"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50E1111" w14:textId="19FA3ED7"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1A0837" w:rsidRPr="009B2C7E" w14:paraId="2C5C2A98" w14:textId="77777777" w:rsidTr="004A084E">
        <w:trPr>
          <w:trHeight w:val="408"/>
        </w:trPr>
        <w:tc>
          <w:tcPr>
            <w:tcW w:w="331"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1E077F3" w14:textId="77777777" w:rsidR="00A37471" w:rsidRPr="009B2C7E" w:rsidRDefault="00A37471" w:rsidP="00A37471">
            <w:pPr>
              <w:spacing w:after="0" w:line="264" w:lineRule="auto"/>
              <w:rPr>
                <w:rFonts w:ascii="Arial Narrow" w:hAnsi="Arial Narrow" w:cs="Times New Roman"/>
                <w:sz w:val="20"/>
                <w:szCs w:val="18"/>
                <w:lang w:val="en-US" w:eastAsia="en-US"/>
              </w:rPr>
            </w:pPr>
          </w:p>
        </w:tc>
        <w:tc>
          <w:tcPr>
            <w:tcW w:w="302"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B6651F0"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F62218E"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226"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2AE2C5D" w14:textId="091DDB46"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205</w:t>
            </w:r>
          </w:p>
        </w:tc>
        <w:tc>
          <w:tcPr>
            <w:tcW w:w="313"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EE8B537"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448"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07CD91F" w14:textId="500E15B3"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57.6(24-79)</w:t>
            </w:r>
          </w:p>
        </w:tc>
        <w:tc>
          <w:tcPr>
            <w:tcW w:w="35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0A24171"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347"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BB57B52"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347"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C48C897"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350"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F440D7E"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7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0C65CEF" w14:textId="7FF24192" w:rsidR="00A37471" w:rsidRPr="009B2C7E" w:rsidRDefault="00A37471" w:rsidP="00A37471">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PBO</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4E82593"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c>
          <w:tcPr>
            <w:tcW w:w="343"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8F64FB2" w14:textId="77777777" w:rsidR="00A37471" w:rsidRPr="009B2C7E" w:rsidRDefault="00A37471" w:rsidP="00A37471">
            <w:pPr>
              <w:spacing w:after="0" w:line="264" w:lineRule="auto"/>
              <w:jc w:val="center"/>
              <w:rPr>
                <w:rFonts w:ascii="Arial Narrow" w:hAnsi="Arial Narrow" w:cs="Times New Roman"/>
                <w:sz w:val="20"/>
                <w:szCs w:val="18"/>
                <w:lang w:val="en-US" w:eastAsia="en-US"/>
              </w:rPr>
            </w:pPr>
          </w:p>
        </w:tc>
      </w:tr>
      <w:tr w:rsidR="001A0837" w:rsidRPr="009B2C7E" w14:paraId="7CC5A7D0" w14:textId="77777777" w:rsidTr="004A084E">
        <w:trPr>
          <w:trHeight w:val="285"/>
        </w:trPr>
        <w:tc>
          <w:tcPr>
            <w:tcW w:w="331"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6DAD545" w14:textId="504F7390" w:rsidR="001A0837" w:rsidRPr="009B2C7E" w:rsidRDefault="001A0837" w:rsidP="001A0837">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Farnier 2005</w:t>
            </w:r>
          </w:p>
        </w:tc>
        <w:tc>
          <w:tcPr>
            <w:tcW w:w="302"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4349FEA" w14:textId="1102229C" w:rsidR="001A0837" w:rsidRPr="009B2C7E" w:rsidRDefault="001A0837" w:rsidP="001A0837">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w:t>
            </w:r>
            <w:r>
              <w:rPr>
                <w:rFonts w:ascii="Arial Narrow" w:hAnsi="Arial Narrow" w:cs="Times New Roman"/>
                <w:sz w:val="20"/>
                <w:szCs w:val="18"/>
                <w:lang w:val="en-US" w:eastAsia="en-US"/>
              </w:rPr>
              <w:t>, P</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1E7CAC5" w14:textId="7FFF4536" w:rsidR="001A0837" w:rsidRPr="009B2C7E" w:rsidRDefault="001A0837" w:rsidP="001A0837">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12 weeks</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45ABDA8" w14:textId="6081B01F" w:rsidR="001A0837" w:rsidRPr="009B2C7E" w:rsidRDefault="001A0837" w:rsidP="001A0837">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187</w:t>
            </w:r>
          </w:p>
        </w:tc>
        <w:tc>
          <w:tcPr>
            <w:tcW w:w="313"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82ACAEC" w14:textId="6D79460F" w:rsidR="001A0837" w:rsidRPr="009B2C7E" w:rsidRDefault="001A0837" w:rsidP="001A0837">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8"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B780FF" w14:textId="528C4EC9" w:rsidR="001A0837" w:rsidRPr="009B2C7E" w:rsidRDefault="001A0837" w:rsidP="001A0837">
            <w:pPr>
              <w:spacing w:after="0" w:line="264" w:lineRule="auto"/>
              <w:jc w:val="center"/>
              <w:rPr>
                <w:rFonts w:ascii="Arial Narrow" w:hAnsi="Arial Narrow" w:cs="Times New Roman"/>
                <w:sz w:val="20"/>
                <w:szCs w:val="18"/>
                <w:lang w:val="en-US" w:eastAsia="en-US"/>
              </w:rPr>
            </w:pPr>
            <w:r w:rsidRPr="001A0837">
              <w:rPr>
                <w:rFonts w:ascii="Arial Narrow" w:hAnsi="Arial Narrow" w:cs="Times New Roman"/>
                <w:sz w:val="20"/>
                <w:szCs w:val="18"/>
                <w:lang w:val="en-US" w:eastAsia="en-US"/>
              </w:rPr>
              <w:t>53.5+9.2</w:t>
            </w:r>
          </w:p>
        </w:tc>
        <w:tc>
          <w:tcPr>
            <w:tcW w:w="35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6DC987F" w14:textId="2A77E202" w:rsidR="001A0837" w:rsidRPr="009B2C7E" w:rsidRDefault="00A73F21" w:rsidP="001A0837">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3.4</w:t>
            </w:r>
          </w:p>
        </w:tc>
        <w:tc>
          <w:tcPr>
            <w:tcW w:w="347"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7D2FC27" w14:textId="54261DA6" w:rsidR="001A0837" w:rsidRPr="009B2C7E" w:rsidRDefault="001A0837" w:rsidP="00A73F2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5.</w:t>
            </w:r>
            <w:r w:rsidR="00A73F21">
              <w:rPr>
                <w:rFonts w:ascii="Arial Narrow" w:hAnsi="Arial Narrow" w:cs="Times New Roman"/>
                <w:sz w:val="20"/>
                <w:szCs w:val="18"/>
                <w:lang w:val="en-US" w:eastAsia="en-US"/>
              </w:rPr>
              <w:t>7</w:t>
            </w:r>
          </w:p>
        </w:tc>
        <w:tc>
          <w:tcPr>
            <w:tcW w:w="347"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42050F7" w14:textId="29EBEA7D" w:rsidR="001A0837" w:rsidRPr="009B2C7E" w:rsidRDefault="001A0837" w:rsidP="001A0837">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0"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9615221" w14:textId="45986CD7" w:rsidR="00313CC9" w:rsidRDefault="00313CC9" w:rsidP="00A73F2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High</w:t>
            </w:r>
          </w:p>
          <w:p w14:paraId="24E2F0EF" w14:textId="77777777" w:rsidR="00A73F21" w:rsidRDefault="00A73F21" w:rsidP="00A73F2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&lt;20% </w:t>
            </w:r>
          </w:p>
          <w:p w14:paraId="76CEE3AD" w14:textId="5FF6C7F1" w:rsidR="001A0837" w:rsidRPr="009B2C7E" w:rsidRDefault="00313CC9" w:rsidP="00A73F21">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(10-year)</w:t>
            </w:r>
          </w:p>
        </w:tc>
        <w:tc>
          <w:tcPr>
            <w:tcW w:w="7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A015CC7" w14:textId="6AE19D8A" w:rsidR="001A0837" w:rsidRPr="009B2C7E" w:rsidRDefault="001A0837" w:rsidP="001A0837">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45D45481" w14:textId="7C7AA459" w:rsidR="001A0837" w:rsidRPr="009B2C7E" w:rsidRDefault="001A0837" w:rsidP="001A0837">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tc>
        <w:tc>
          <w:tcPr>
            <w:tcW w:w="343"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DBAA7D6" w14:textId="75D00CCF" w:rsidR="001A0837" w:rsidRPr="009B2C7E" w:rsidRDefault="001A0837" w:rsidP="001A0837">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1A0837" w:rsidRPr="009B2C7E" w14:paraId="591FE3A0" w14:textId="77777777" w:rsidTr="004A084E">
        <w:trPr>
          <w:trHeight w:val="328"/>
        </w:trPr>
        <w:tc>
          <w:tcPr>
            <w:tcW w:w="331"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5C3C621" w14:textId="77777777" w:rsidR="001A0837" w:rsidRPr="009B2C7E" w:rsidRDefault="001A0837" w:rsidP="001A0837">
            <w:pPr>
              <w:spacing w:after="0" w:line="264" w:lineRule="auto"/>
              <w:rPr>
                <w:rFonts w:ascii="Arial Narrow" w:hAnsi="Arial Narrow" w:cs="Times New Roman"/>
                <w:sz w:val="20"/>
                <w:szCs w:val="18"/>
                <w:lang w:val="en-US" w:eastAsia="en-US"/>
              </w:rPr>
            </w:pPr>
          </w:p>
        </w:tc>
        <w:tc>
          <w:tcPr>
            <w:tcW w:w="302"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294CBAA" w14:textId="77777777" w:rsidR="001A0837" w:rsidRPr="009B2C7E" w:rsidRDefault="001A0837" w:rsidP="001A0837">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155ECE9" w14:textId="77777777" w:rsidR="001A0837" w:rsidRPr="009B2C7E" w:rsidRDefault="001A0837" w:rsidP="001A0837">
            <w:pPr>
              <w:spacing w:after="0" w:line="264" w:lineRule="auto"/>
              <w:jc w:val="center"/>
              <w:rPr>
                <w:rFonts w:ascii="Arial Narrow" w:hAnsi="Arial Narrow" w:cs="Times New Roman"/>
                <w:sz w:val="20"/>
                <w:szCs w:val="18"/>
                <w:lang w:val="en-US" w:eastAsia="en-US"/>
              </w:rPr>
            </w:pPr>
          </w:p>
        </w:tc>
        <w:tc>
          <w:tcPr>
            <w:tcW w:w="226"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86E6A4E" w14:textId="6A4E8D12" w:rsidR="001A0837" w:rsidRPr="009B2C7E" w:rsidRDefault="001A0837" w:rsidP="001A0837">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64</w:t>
            </w:r>
          </w:p>
        </w:tc>
        <w:tc>
          <w:tcPr>
            <w:tcW w:w="313"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EF12401" w14:textId="77777777" w:rsidR="001A0837" w:rsidRPr="009B2C7E" w:rsidRDefault="001A0837" w:rsidP="001A0837">
            <w:pPr>
              <w:spacing w:after="0" w:line="264" w:lineRule="auto"/>
              <w:jc w:val="center"/>
              <w:rPr>
                <w:rFonts w:ascii="Arial Narrow" w:hAnsi="Arial Narrow" w:cs="Times New Roman"/>
                <w:sz w:val="20"/>
                <w:szCs w:val="18"/>
                <w:lang w:val="en-US" w:eastAsia="en-US"/>
              </w:rPr>
            </w:pPr>
          </w:p>
        </w:tc>
        <w:tc>
          <w:tcPr>
            <w:tcW w:w="448"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3FF02F8" w14:textId="4CF38FCB" w:rsidR="001A0837" w:rsidRPr="009B2C7E" w:rsidRDefault="001A0837" w:rsidP="001A0837">
            <w:pPr>
              <w:spacing w:after="0" w:line="264" w:lineRule="auto"/>
              <w:jc w:val="center"/>
              <w:rPr>
                <w:rFonts w:ascii="Arial Narrow" w:hAnsi="Arial Narrow" w:cs="Times New Roman"/>
                <w:sz w:val="20"/>
                <w:szCs w:val="18"/>
                <w:lang w:val="en-US" w:eastAsia="en-US"/>
              </w:rPr>
            </w:pPr>
            <w:r w:rsidRPr="001A0837">
              <w:rPr>
                <w:rFonts w:ascii="Arial Narrow" w:hAnsi="Arial Narrow" w:cs="Times New Roman"/>
                <w:sz w:val="20"/>
                <w:szCs w:val="18"/>
                <w:lang w:val="en-US" w:eastAsia="en-US"/>
              </w:rPr>
              <w:t>54.5+10.8</w:t>
            </w:r>
          </w:p>
        </w:tc>
        <w:tc>
          <w:tcPr>
            <w:tcW w:w="35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921BE4F" w14:textId="77777777" w:rsidR="001A0837" w:rsidRPr="009B2C7E" w:rsidRDefault="001A0837" w:rsidP="001A0837">
            <w:pPr>
              <w:spacing w:after="0" w:line="264" w:lineRule="auto"/>
              <w:jc w:val="center"/>
              <w:rPr>
                <w:rFonts w:ascii="Arial Narrow" w:hAnsi="Arial Narrow" w:cs="Times New Roman"/>
                <w:sz w:val="20"/>
                <w:szCs w:val="18"/>
                <w:lang w:val="en-US" w:eastAsia="en-US"/>
              </w:rPr>
            </w:pPr>
          </w:p>
        </w:tc>
        <w:tc>
          <w:tcPr>
            <w:tcW w:w="347"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E8EAADA" w14:textId="77777777" w:rsidR="001A0837" w:rsidRPr="009B2C7E" w:rsidRDefault="001A0837" w:rsidP="001A0837">
            <w:pPr>
              <w:spacing w:after="0" w:line="264" w:lineRule="auto"/>
              <w:jc w:val="center"/>
              <w:rPr>
                <w:rFonts w:ascii="Arial Narrow" w:hAnsi="Arial Narrow" w:cs="Times New Roman"/>
                <w:sz w:val="20"/>
                <w:szCs w:val="18"/>
                <w:lang w:val="en-US" w:eastAsia="en-US"/>
              </w:rPr>
            </w:pPr>
          </w:p>
        </w:tc>
        <w:tc>
          <w:tcPr>
            <w:tcW w:w="347"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23D31FC" w14:textId="77777777" w:rsidR="001A0837" w:rsidRPr="009B2C7E" w:rsidRDefault="001A0837" w:rsidP="001A0837">
            <w:pPr>
              <w:spacing w:after="0" w:line="264" w:lineRule="auto"/>
              <w:jc w:val="center"/>
              <w:rPr>
                <w:rFonts w:ascii="Arial Narrow" w:hAnsi="Arial Narrow" w:cs="Times New Roman"/>
                <w:sz w:val="20"/>
                <w:szCs w:val="18"/>
                <w:lang w:val="en-US" w:eastAsia="en-US"/>
              </w:rPr>
            </w:pPr>
          </w:p>
        </w:tc>
        <w:tc>
          <w:tcPr>
            <w:tcW w:w="350"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0B33A48" w14:textId="77777777" w:rsidR="001A0837" w:rsidRPr="009B2C7E" w:rsidRDefault="001A0837" w:rsidP="001A0837">
            <w:pPr>
              <w:spacing w:after="0" w:line="264" w:lineRule="auto"/>
              <w:jc w:val="center"/>
              <w:rPr>
                <w:rFonts w:ascii="Arial Narrow" w:hAnsi="Arial Narrow" w:cs="Times New Roman"/>
                <w:sz w:val="20"/>
                <w:szCs w:val="18"/>
                <w:lang w:val="en-US" w:eastAsia="en-US"/>
              </w:rPr>
            </w:pPr>
          </w:p>
        </w:tc>
        <w:tc>
          <w:tcPr>
            <w:tcW w:w="7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6CFBCAB" w14:textId="6C65B995" w:rsidR="001A0837" w:rsidRPr="009B2C7E" w:rsidRDefault="001A0837" w:rsidP="001A0837">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PBO</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A859DCC" w14:textId="77777777" w:rsidR="001A0837" w:rsidRPr="009B2C7E" w:rsidRDefault="001A0837" w:rsidP="001A0837">
            <w:pPr>
              <w:spacing w:after="0" w:line="264" w:lineRule="auto"/>
              <w:jc w:val="center"/>
              <w:rPr>
                <w:rFonts w:ascii="Arial Narrow" w:hAnsi="Arial Narrow" w:cs="Times New Roman"/>
                <w:sz w:val="20"/>
                <w:szCs w:val="18"/>
                <w:lang w:val="en-US" w:eastAsia="en-US"/>
              </w:rPr>
            </w:pPr>
          </w:p>
        </w:tc>
        <w:tc>
          <w:tcPr>
            <w:tcW w:w="343"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303855C" w14:textId="77777777" w:rsidR="001A0837" w:rsidRPr="009B2C7E" w:rsidRDefault="001A0837" w:rsidP="001A0837">
            <w:pPr>
              <w:spacing w:after="0" w:line="264" w:lineRule="auto"/>
              <w:jc w:val="center"/>
              <w:rPr>
                <w:rFonts w:ascii="Arial Narrow" w:hAnsi="Arial Narrow" w:cs="Times New Roman"/>
                <w:sz w:val="20"/>
                <w:szCs w:val="18"/>
                <w:lang w:val="en-US" w:eastAsia="en-US"/>
              </w:rPr>
            </w:pPr>
          </w:p>
        </w:tc>
      </w:tr>
      <w:tr w:rsidR="00C12DD8" w:rsidRPr="009B2C7E" w14:paraId="117CD158" w14:textId="77777777" w:rsidTr="004A084E">
        <w:tc>
          <w:tcPr>
            <w:tcW w:w="335"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68665E0" w14:textId="0CFEFD7F" w:rsidR="00745110" w:rsidRDefault="00745110" w:rsidP="00745110">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Kerzner</w:t>
            </w:r>
          </w:p>
          <w:p w14:paraId="1DFBCD53" w14:textId="2D4FB0AD" w:rsidR="00745110" w:rsidRPr="009B2C7E" w:rsidRDefault="00745110" w:rsidP="00745110">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2003</w:t>
            </w:r>
          </w:p>
        </w:tc>
        <w:tc>
          <w:tcPr>
            <w:tcW w:w="298"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000B8E0"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MC, R, DB,P</w:t>
            </w:r>
          </w:p>
        </w:tc>
        <w:tc>
          <w:tcPr>
            <w:tcW w:w="3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6C14D68"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12 weeks</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0C35511" w14:textId="5A6E834F" w:rsidR="00745110" w:rsidRPr="009B2C7E" w:rsidRDefault="00B73DA0" w:rsidP="0074511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64</w:t>
            </w:r>
          </w:p>
        </w:tc>
        <w:tc>
          <w:tcPr>
            <w:tcW w:w="317"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30A32F30"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1º</w:t>
            </w:r>
          </w:p>
        </w:tc>
        <w:tc>
          <w:tcPr>
            <w:tcW w:w="4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F561F3F" w14:textId="404C07B7" w:rsidR="00745110" w:rsidRPr="009B2C7E" w:rsidRDefault="00B73DA0" w:rsidP="00B73DA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58</w:t>
            </w:r>
            <w:r w:rsidR="00745110" w:rsidRPr="009B2C7E">
              <w:rPr>
                <w:rFonts w:ascii="Arial Narrow" w:hAnsi="Arial Narrow" w:cs="Times New Roman"/>
                <w:sz w:val="20"/>
                <w:szCs w:val="18"/>
                <w:lang w:val="en-US" w:eastAsia="en-US"/>
              </w:rPr>
              <w:t>±</w:t>
            </w:r>
            <w:r>
              <w:rPr>
                <w:rFonts w:ascii="Arial Narrow" w:hAnsi="Arial Narrow" w:cs="Times New Roman"/>
                <w:sz w:val="20"/>
                <w:szCs w:val="18"/>
                <w:lang w:val="en-US" w:eastAsia="en-US"/>
              </w:rPr>
              <w:t>12</w:t>
            </w:r>
          </w:p>
        </w:tc>
        <w:tc>
          <w:tcPr>
            <w:tcW w:w="35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25F9B9C9" w14:textId="0479EB4C" w:rsidR="00745110" w:rsidRPr="009B2C7E" w:rsidRDefault="00745110" w:rsidP="00B73DA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w:t>
            </w:r>
            <w:r w:rsidR="00B73DA0">
              <w:rPr>
                <w:rFonts w:ascii="Arial Narrow" w:hAnsi="Arial Narrow" w:cs="Times New Roman"/>
                <w:sz w:val="20"/>
                <w:szCs w:val="18"/>
                <w:lang w:val="en-US" w:eastAsia="en-US"/>
              </w:rPr>
              <w:t>75</w:t>
            </w:r>
          </w:p>
        </w:tc>
        <w:tc>
          <w:tcPr>
            <w:tcW w:w="345"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8591E45" w14:textId="18E22E57" w:rsidR="00745110" w:rsidRPr="009B2C7E" w:rsidRDefault="00B73DA0" w:rsidP="0074511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6.47</w:t>
            </w:r>
          </w:p>
        </w:tc>
        <w:tc>
          <w:tcPr>
            <w:tcW w:w="347"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DEB3D7F"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3" w:type="pct"/>
            <w:gridSpan w:val="2"/>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14A2F181"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A179676" w14:textId="3FD0DA03" w:rsidR="00745110" w:rsidRPr="009B2C7E" w:rsidRDefault="00745110" w:rsidP="00B73DA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PBO</w:t>
            </w:r>
          </w:p>
        </w:tc>
        <w:tc>
          <w:tcPr>
            <w:tcW w:w="546"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5F41A57"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At week 12</w:t>
            </w:r>
          </w:p>
        </w:tc>
        <w:tc>
          <w:tcPr>
            <w:tcW w:w="343"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0A33D8C" w14:textId="77777777" w:rsidR="00745110" w:rsidRPr="009B2C7E" w:rsidRDefault="00745110" w:rsidP="00745110">
            <w:pPr>
              <w:spacing w:after="0" w:line="264" w:lineRule="auto"/>
              <w:jc w:val="center"/>
              <w:rPr>
                <w:rFonts w:ascii="Arial Narrow" w:hAnsi="Arial Narrow" w:cs="Times New Roman"/>
                <w:sz w:val="20"/>
                <w:szCs w:val="18"/>
              </w:rPr>
            </w:pPr>
            <w:r w:rsidRPr="009B2C7E">
              <w:rPr>
                <w:rFonts w:ascii="Arial Narrow" w:hAnsi="Arial Narrow" w:cs="Times New Roman"/>
                <w:sz w:val="20"/>
                <w:szCs w:val="18"/>
                <w:lang w:val="en-US" w:eastAsia="en-US"/>
              </w:rPr>
              <w:t>Not assessed</w:t>
            </w:r>
          </w:p>
        </w:tc>
      </w:tr>
      <w:tr w:rsidR="00B73DA0" w:rsidRPr="009B2C7E" w14:paraId="58893345" w14:textId="77777777" w:rsidTr="004A084E">
        <w:tc>
          <w:tcPr>
            <w:tcW w:w="335"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C77DA42" w14:textId="77777777" w:rsidR="00745110" w:rsidRPr="009B2C7E" w:rsidRDefault="00745110" w:rsidP="00745110">
            <w:pPr>
              <w:spacing w:after="0" w:line="264" w:lineRule="auto"/>
              <w:rPr>
                <w:rFonts w:ascii="Arial Narrow" w:hAnsi="Arial Narrow" w:cs="Times New Roman"/>
                <w:sz w:val="20"/>
                <w:szCs w:val="18"/>
                <w:lang w:val="en-US" w:eastAsia="en-US"/>
              </w:rPr>
            </w:pPr>
          </w:p>
        </w:tc>
        <w:tc>
          <w:tcPr>
            <w:tcW w:w="298"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CFD11A6"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p>
        </w:tc>
        <w:tc>
          <w:tcPr>
            <w:tcW w:w="3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39ACC52"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p>
        </w:tc>
        <w:tc>
          <w:tcPr>
            <w:tcW w:w="228"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49D3669" w14:textId="609210E2" w:rsidR="00745110" w:rsidRPr="009B2C7E" w:rsidRDefault="00B73DA0" w:rsidP="0074511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72</w:t>
            </w:r>
          </w:p>
        </w:tc>
        <w:tc>
          <w:tcPr>
            <w:tcW w:w="317"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E3D4512"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p>
        </w:tc>
        <w:tc>
          <w:tcPr>
            <w:tcW w:w="4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F8F7EBB" w14:textId="7B8DAAAF" w:rsidR="00745110" w:rsidRPr="009B2C7E" w:rsidRDefault="00B73DA0" w:rsidP="0074511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55</w:t>
            </w:r>
            <w:r w:rsidRPr="009B2C7E">
              <w:rPr>
                <w:rFonts w:ascii="Arial Narrow" w:hAnsi="Arial Narrow" w:cs="Times New Roman"/>
                <w:sz w:val="20"/>
                <w:szCs w:val="18"/>
                <w:lang w:val="en-US" w:eastAsia="en-US"/>
              </w:rPr>
              <w:t>±</w:t>
            </w:r>
            <w:r>
              <w:rPr>
                <w:rFonts w:ascii="Arial Narrow" w:hAnsi="Arial Narrow" w:cs="Times New Roman"/>
                <w:sz w:val="20"/>
                <w:szCs w:val="18"/>
                <w:lang w:val="en-US" w:eastAsia="en-US"/>
              </w:rPr>
              <w:t>11</w:t>
            </w:r>
          </w:p>
        </w:tc>
        <w:tc>
          <w:tcPr>
            <w:tcW w:w="35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EFDB8CE"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p>
        </w:tc>
        <w:tc>
          <w:tcPr>
            <w:tcW w:w="345"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26A78DD4"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p>
        </w:tc>
        <w:tc>
          <w:tcPr>
            <w:tcW w:w="347"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4F8D370"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p>
        </w:tc>
        <w:tc>
          <w:tcPr>
            <w:tcW w:w="353"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8D425DC"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p>
        </w:tc>
        <w:tc>
          <w:tcPr>
            <w:tcW w:w="7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DBD4F46" w14:textId="4A487975" w:rsidR="00745110" w:rsidRPr="009B2C7E" w:rsidRDefault="00745110" w:rsidP="00B73DA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w:t>
            </w:r>
          </w:p>
        </w:tc>
        <w:tc>
          <w:tcPr>
            <w:tcW w:w="546"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42970EEA"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p>
        </w:tc>
        <w:tc>
          <w:tcPr>
            <w:tcW w:w="343"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82402B9" w14:textId="77777777" w:rsidR="00745110" w:rsidRPr="009B2C7E" w:rsidRDefault="00745110" w:rsidP="00745110">
            <w:pPr>
              <w:spacing w:after="0" w:line="264" w:lineRule="auto"/>
              <w:jc w:val="center"/>
              <w:rPr>
                <w:rFonts w:ascii="Arial Narrow" w:hAnsi="Arial Narrow" w:cs="Times New Roman"/>
                <w:sz w:val="20"/>
                <w:szCs w:val="18"/>
                <w:lang w:val="en-US" w:eastAsia="en-US"/>
              </w:rPr>
            </w:pPr>
          </w:p>
        </w:tc>
      </w:tr>
      <w:tr w:rsidR="00C12DD8" w:rsidRPr="009B2C7E" w14:paraId="0558E4A3" w14:textId="77777777" w:rsidTr="004A084E">
        <w:tc>
          <w:tcPr>
            <w:tcW w:w="335" w:type="pct"/>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E8E1AC3" w14:textId="77777777" w:rsidR="00B73DA0" w:rsidRDefault="00B73DA0" w:rsidP="00B73DA0">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Melani</w:t>
            </w:r>
          </w:p>
          <w:p w14:paraId="2280C385" w14:textId="6CA58FB1" w:rsidR="00B73DA0" w:rsidRPr="009B2C7E" w:rsidRDefault="00B73DA0" w:rsidP="00B73DA0">
            <w:pPr>
              <w:spacing w:after="0" w:line="264" w:lineRule="auto"/>
              <w:rPr>
                <w:rFonts w:ascii="Arial Narrow" w:hAnsi="Arial Narrow" w:cs="Times New Roman"/>
                <w:sz w:val="20"/>
                <w:szCs w:val="18"/>
                <w:lang w:val="en-US" w:eastAsia="en-US"/>
              </w:rPr>
            </w:pPr>
            <w:r>
              <w:rPr>
                <w:rFonts w:ascii="Arial Narrow" w:hAnsi="Arial Narrow" w:cs="Times New Roman"/>
                <w:sz w:val="20"/>
                <w:szCs w:val="18"/>
                <w:lang w:val="en-US" w:eastAsia="en-US"/>
              </w:rPr>
              <w:t xml:space="preserve"> 2003</w:t>
            </w:r>
          </w:p>
        </w:tc>
        <w:tc>
          <w:tcPr>
            <w:tcW w:w="298"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0D99CE8" w14:textId="6539B7E2" w:rsidR="00B73DA0" w:rsidRPr="009B2C7E" w:rsidRDefault="00B73DA0" w:rsidP="00B73DA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 xml:space="preserve">MC, </w:t>
            </w:r>
            <w:r>
              <w:rPr>
                <w:rFonts w:ascii="Arial Narrow" w:hAnsi="Arial Narrow" w:cs="Times New Roman"/>
                <w:sz w:val="20"/>
                <w:szCs w:val="18"/>
                <w:lang w:val="en-US" w:eastAsia="en-US"/>
              </w:rPr>
              <w:t xml:space="preserve">DB </w:t>
            </w:r>
            <w:r w:rsidRPr="009B2C7E">
              <w:rPr>
                <w:rFonts w:ascii="Arial Narrow" w:hAnsi="Arial Narrow" w:cs="Times New Roman"/>
                <w:sz w:val="20"/>
                <w:szCs w:val="18"/>
                <w:lang w:val="en-US" w:eastAsia="en-US"/>
              </w:rPr>
              <w:t>R, P</w:t>
            </w:r>
          </w:p>
        </w:tc>
        <w:tc>
          <w:tcPr>
            <w:tcW w:w="34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7655714" w14:textId="6EDC505B" w:rsidR="00B73DA0" w:rsidRPr="009B2C7E" w:rsidRDefault="00B73DA0" w:rsidP="00B73DA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12 weeks</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5CAA290" w14:textId="07F0BF41" w:rsidR="00B73DA0" w:rsidRPr="009B2C7E" w:rsidRDefault="00B73DA0" w:rsidP="00B73DA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65</w:t>
            </w:r>
          </w:p>
        </w:tc>
        <w:tc>
          <w:tcPr>
            <w:tcW w:w="317" w:type="pct"/>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9CB3160" w14:textId="4C768B47" w:rsidR="00B73DA0" w:rsidRPr="009B2C7E" w:rsidRDefault="00C12DD8" w:rsidP="00B73DA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1</w:t>
            </w:r>
            <w:r w:rsidR="00B73DA0" w:rsidRPr="009B2C7E">
              <w:rPr>
                <w:rFonts w:ascii="Arial Narrow" w:hAnsi="Arial Narrow" w:cs="Times New Roman"/>
                <w:sz w:val="20"/>
                <w:szCs w:val="18"/>
                <w:lang w:val="en-US" w:eastAsia="en-US"/>
              </w:rPr>
              <w:t>º</w:t>
            </w:r>
          </w:p>
        </w:tc>
        <w:tc>
          <w:tcPr>
            <w:tcW w:w="4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331F928" w14:textId="3886E5CD" w:rsidR="00B73DA0" w:rsidRPr="009B2C7E" w:rsidRDefault="00C12DD8" w:rsidP="00B73DA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53.4 (32-76)</w:t>
            </w:r>
          </w:p>
        </w:tc>
        <w:tc>
          <w:tcPr>
            <w:tcW w:w="35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F303FBB" w14:textId="39AE1244" w:rsidR="00B73DA0" w:rsidRPr="009B2C7E" w:rsidRDefault="00B73DA0" w:rsidP="00B73DA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3.</w:t>
            </w:r>
            <w:r>
              <w:rPr>
                <w:rFonts w:ascii="Arial Narrow" w:hAnsi="Arial Narrow" w:cs="Times New Roman"/>
                <w:sz w:val="20"/>
                <w:szCs w:val="18"/>
                <w:lang w:val="en-US" w:eastAsia="en-US"/>
              </w:rPr>
              <w:t>8</w:t>
            </w:r>
          </w:p>
        </w:tc>
        <w:tc>
          <w:tcPr>
            <w:tcW w:w="345"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909DEB8" w14:textId="7A094994" w:rsidR="00B73DA0" w:rsidRPr="009B2C7E" w:rsidRDefault="00B73DA0" w:rsidP="00B73DA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6.5</w:t>
            </w:r>
          </w:p>
        </w:tc>
        <w:tc>
          <w:tcPr>
            <w:tcW w:w="347" w:type="pct"/>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AB2275E" w14:textId="77777777" w:rsidR="00B73DA0" w:rsidRPr="009B2C7E" w:rsidRDefault="00B73DA0" w:rsidP="00B73DA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1</w:t>
            </w:r>
            <w:r w:rsidRPr="009B2C7E">
              <w:rPr>
                <w:rFonts w:ascii="Arial Narrow" w:hAnsi="Arial Narrow" w:cs="Times New Roman"/>
                <w:sz w:val="20"/>
                <w:szCs w:val="18"/>
                <w:vertAlign w:val="superscript"/>
                <w:lang w:val="en-US" w:eastAsia="en-US"/>
              </w:rPr>
              <w:t>st</w:t>
            </w:r>
            <w:r w:rsidRPr="009B2C7E">
              <w:rPr>
                <w:rFonts w:ascii="Arial Narrow" w:hAnsi="Arial Narrow" w:cs="Times New Roman"/>
                <w:sz w:val="20"/>
                <w:szCs w:val="18"/>
                <w:lang w:val="en-US" w:eastAsia="en-US"/>
              </w:rPr>
              <w:t xml:space="preserve"> line treatment</w:t>
            </w:r>
          </w:p>
        </w:tc>
        <w:tc>
          <w:tcPr>
            <w:tcW w:w="353" w:type="pct"/>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0A3306" w14:textId="51512AA1" w:rsidR="00B73DA0" w:rsidRPr="009B2C7E" w:rsidRDefault="008B0954" w:rsidP="00B73DA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NR</w:t>
            </w:r>
          </w:p>
        </w:tc>
        <w:tc>
          <w:tcPr>
            <w:tcW w:w="7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F543A6E" w14:textId="02364641" w:rsidR="00B73DA0" w:rsidRPr="009B2C7E" w:rsidRDefault="00B73DA0" w:rsidP="00B73DA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PBO</w:t>
            </w:r>
          </w:p>
        </w:tc>
        <w:tc>
          <w:tcPr>
            <w:tcW w:w="54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D527238" w14:textId="3371B311" w:rsidR="00B73DA0" w:rsidRPr="009B2C7E" w:rsidRDefault="00C12DD8" w:rsidP="00B73DA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At week 12</w:t>
            </w:r>
          </w:p>
        </w:tc>
        <w:tc>
          <w:tcPr>
            <w:tcW w:w="343"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EF4832A" w14:textId="77777777" w:rsidR="00B73DA0" w:rsidRPr="009B2C7E" w:rsidRDefault="00B73DA0" w:rsidP="00B73DA0">
            <w:pPr>
              <w:spacing w:after="0" w:line="264" w:lineRule="auto"/>
              <w:jc w:val="center"/>
              <w:rPr>
                <w:rFonts w:ascii="Arial Narrow" w:hAnsi="Arial Narrow" w:cs="Times New Roman"/>
                <w:sz w:val="20"/>
                <w:szCs w:val="18"/>
                <w:lang w:val="en-US" w:eastAsia="en-US"/>
              </w:rPr>
            </w:pPr>
            <w:r w:rsidRPr="009B2C7E">
              <w:rPr>
                <w:rFonts w:ascii="Arial Narrow" w:hAnsi="Arial Narrow" w:cs="Times New Roman"/>
                <w:sz w:val="20"/>
                <w:szCs w:val="18"/>
                <w:lang w:val="en-US" w:eastAsia="en-US"/>
              </w:rPr>
              <w:t>Not assessed</w:t>
            </w:r>
          </w:p>
        </w:tc>
      </w:tr>
      <w:tr w:rsidR="00B73DA0" w:rsidRPr="009B2C7E" w14:paraId="58C7DB62" w14:textId="77777777" w:rsidTr="004A084E">
        <w:tc>
          <w:tcPr>
            <w:tcW w:w="335" w:type="pct"/>
            <w:gridSpan w:val="2"/>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E47F6CA" w14:textId="77777777" w:rsidR="00B73DA0" w:rsidRPr="009B2C7E" w:rsidRDefault="00B73DA0" w:rsidP="00B73DA0">
            <w:pPr>
              <w:spacing w:after="0" w:line="264" w:lineRule="auto"/>
              <w:rPr>
                <w:rFonts w:ascii="Arial Narrow" w:hAnsi="Arial Narrow" w:cs="Times New Roman"/>
                <w:sz w:val="20"/>
                <w:szCs w:val="18"/>
                <w:lang w:val="en-US" w:eastAsia="en-US"/>
              </w:rPr>
            </w:pPr>
          </w:p>
        </w:tc>
        <w:tc>
          <w:tcPr>
            <w:tcW w:w="298"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9D37859" w14:textId="77777777" w:rsidR="00B73DA0" w:rsidRPr="009B2C7E" w:rsidRDefault="00B73DA0" w:rsidP="00B73DA0">
            <w:pPr>
              <w:spacing w:after="0" w:line="264" w:lineRule="auto"/>
              <w:jc w:val="center"/>
              <w:rPr>
                <w:rFonts w:ascii="Arial Narrow" w:hAnsi="Arial Narrow" w:cs="Times New Roman"/>
                <w:sz w:val="20"/>
                <w:szCs w:val="18"/>
                <w:lang w:val="en-US" w:eastAsia="en-US"/>
              </w:rPr>
            </w:pPr>
          </w:p>
        </w:tc>
        <w:tc>
          <w:tcPr>
            <w:tcW w:w="346"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0BCEDC8" w14:textId="77777777" w:rsidR="00B73DA0" w:rsidRPr="009B2C7E" w:rsidRDefault="00B73DA0" w:rsidP="00B73DA0">
            <w:pPr>
              <w:spacing w:after="0" w:line="264" w:lineRule="auto"/>
              <w:jc w:val="center"/>
              <w:rPr>
                <w:rFonts w:ascii="Arial Narrow" w:hAnsi="Arial Narrow" w:cs="Times New Roman"/>
                <w:sz w:val="20"/>
                <w:szCs w:val="18"/>
                <w:lang w:val="en-US" w:eastAsia="en-US"/>
              </w:rPr>
            </w:pPr>
          </w:p>
        </w:tc>
        <w:tc>
          <w:tcPr>
            <w:tcW w:w="228"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FB10BD" w14:textId="410C07C5" w:rsidR="00B73DA0" w:rsidRPr="009B2C7E" w:rsidRDefault="00B73DA0" w:rsidP="00B73DA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64</w:t>
            </w:r>
          </w:p>
        </w:tc>
        <w:tc>
          <w:tcPr>
            <w:tcW w:w="317" w:type="pct"/>
            <w:gridSpan w:val="2"/>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BDD889" w14:textId="77777777" w:rsidR="00B73DA0" w:rsidRPr="009B2C7E" w:rsidRDefault="00B73DA0" w:rsidP="00B73DA0">
            <w:pPr>
              <w:spacing w:after="0" w:line="264" w:lineRule="auto"/>
              <w:jc w:val="center"/>
              <w:rPr>
                <w:rFonts w:ascii="Arial Narrow" w:hAnsi="Arial Narrow" w:cs="Times New Roman"/>
                <w:sz w:val="20"/>
                <w:szCs w:val="18"/>
                <w:lang w:val="en-US" w:eastAsia="en-US"/>
              </w:rPr>
            </w:pPr>
          </w:p>
        </w:tc>
        <w:tc>
          <w:tcPr>
            <w:tcW w:w="4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A28CA40" w14:textId="7154729F" w:rsidR="00B73DA0" w:rsidRPr="009B2C7E" w:rsidRDefault="00C12DD8" w:rsidP="00C12DD8">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52.0 (26-75)</w:t>
            </w:r>
          </w:p>
        </w:tc>
        <w:tc>
          <w:tcPr>
            <w:tcW w:w="356"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9E3C1DB" w14:textId="77777777" w:rsidR="00B73DA0" w:rsidRPr="009B2C7E" w:rsidRDefault="00B73DA0" w:rsidP="00B73DA0">
            <w:pPr>
              <w:spacing w:after="0" w:line="264" w:lineRule="auto"/>
              <w:jc w:val="center"/>
              <w:rPr>
                <w:rFonts w:ascii="Arial Narrow" w:hAnsi="Arial Narrow" w:cs="Times New Roman"/>
                <w:sz w:val="20"/>
                <w:szCs w:val="18"/>
                <w:lang w:val="en-US" w:eastAsia="en-US"/>
              </w:rPr>
            </w:pPr>
          </w:p>
        </w:tc>
        <w:tc>
          <w:tcPr>
            <w:tcW w:w="345"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190C8C7" w14:textId="77777777" w:rsidR="00B73DA0" w:rsidRPr="009B2C7E" w:rsidRDefault="00B73DA0" w:rsidP="00B73DA0">
            <w:pPr>
              <w:spacing w:after="0" w:line="264" w:lineRule="auto"/>
              <w:jc w:val="center"/>
              <w:rPr>
                <w:rFonts w:ascii="Arial Narrow" w:hAnsi="Arial Narrow" w:cs="Times New Roman"/>
                <w:sz w:val="20"/>
                <w:szCs w:val="18"/>
                <w:lang w:val="en-US" w:eastAsia="en-US"/>
              </w:rPr>
            </w:pPr>
          </w:p>
        </w:tc>
        <w:tc>
          <w:tcPr>
            <w:tcW w:w="347" w:type="pct"/>
            <w:gridSpan w:val="2"/>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A732214" w14:textId="77777777" w:rsidR="00B73DA0" w:rsidRPr="009B2C7E" w:rsidRDefault="00B73DA0" w:rsidP="00B73DA0">
            <w:pPr>
              <w:spacing w:after="0" w:line="264" w:lineRule="auto"/>
              <w:jc w:val="center"/>
              <w:rPr>
                <w:rFonts w:ascii="Arial Narrow" w:hAnsi="Arial Narrow" w:cs="Times New Roman"/>
                <w:sz w:val="20"/>
                <w:szCs w:val="18"/>
                <w:lang w:val="en-US" w:eastAsia="en-US"/>
              </w:rPr>
            </w:pPr>
          </w:p>
        </w:tc>
        <w:tc>
          <w:tcPr>
            <w:tcW w:w="353" w:type="pct"/>
            <w:gridSpan w:val="2"/>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DEF446A" w14:textId="77777777" w:rsidR="00B73DA0" w:rsidRPr="009B2C7E" w:rsidRDefault="00B73DA0" w:rsidP="00B73DA0">
            <w:pPr>
              <w:spacing w:after="0" w:line="264" w:lineRule="auto"/>
              <w:jc w:val="center"/>
              <w:rPr>
                <w:rFonts w:ascii="Arial Narrow" w:hAnsi="Arial Narrow" w:cs="Times New Roman"/>
                <w:sz w:val="20"/>
                <w:szCs w:val="18"/>
                <w:lang w:val="en-US" w:eastAsia="en-US"/>
              </w:rPr>
            </w:pPr>
          </w:p>
        </w:tc>
        <w:tc>
          <w:tcPr>
            <w:tcW w:w="74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F2066C1" w14:textId="7731E382" w:rsidR="00B73DA0" w:rsidRPr="009B2C7E" w:rsidRDefault="00B73DA0" w:rsidP="00B73DA0">
            <w:pPr>
              <w:spacing w:after="0" w:line="264" w:lineRule="auto"/>
              <w:jc w:val="center"/>
              <w:rPr>
                <w:rFonts w:ascii="Arial Narrow" w:hAnsi="Arial Narrow" w:cs="Times New Roman"/>
                <w:sz w:val="20"/>
                <w:szCs w:val="18"/>
                <w:lang w:val="en-US" w:eastAsia="en-US"/>
              </w:rPr>
            </w:pPr>
            <w:r>
              <w:rPr>
                <w:rFonts w:ascii="Arial Narrow" w:hAnsi="Arial Narrow" w:cs="Times New Roman"/>
                <w:sz w:val="20"/>
                <w:szCs w:val="18"/>
                <w:lang w:val="en-US" w:eastAsia="en-US"/>
              </w:rPr>
              <w:t>EZ</w:t>
            </w:r>
            <w:r w:rsidRPr="009B2C7E">
              <w:rPr>
                <w:rFonts w:ascii="Arial Narrow" w:hAnsi="Arial Narrow" w:cs="Times New Roman"/>
                <w:sz w:val="20"/>
                <w:szCs w:val="18"/>
                <w:lang w:val="en-US" w:eastAsia="en-US"/>
              </w:rPr>
              <w:t xml:space="preserve"> 10</w:t>
            </w:r>
          </w:p>
        </w:tc>
        <w:tc>
          <w:tcPr>
            <w:tcW w:w="546"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912E88F" w14:textId="77777777" w:rsidR="00B73DA0" w:rsidRPr="009B2C7E" w:rsidRDefault="00B73DA0" w:rsidP="00B73DA0">
            <w:pPr>
              <w:spacing w:after="0" w:line="264" w:lineRule="auto"/>
              <w:jc w:val="center"/>
              <w:rPr>
                <w:rFonts w:ascii="Arial Narrow" w:hAnsi="Arial Narrow" w:cs="Times New Roman"/>
                <w:sz w:val="20"/>
                <w:szCs w:val="18"/>
                <w:lang w:val="en-US" w:eastAsia="en-US"/>
              </w:rPr>
            </w:pPr>
          </w:p>
        </w:tc>
        <w:tc>
          <w:tcPr>
            <w:tcW w:w="343"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57085BF" w14:textId="77777777" w:rsidR="00B73DA0" w:rsidRPr="009B2C7E" w:rsidRDefault="00B73DA0" w:rsidP="00B73DA0">
            <w:pPr>
              <w:spacing w:after="0" w:line="264" w:lineRule="auto"/>
              <w:jc w:val="center"/>
              <w:rPr>
                <w:rFonts w:ascii="Arial Narrow" w:hAnsi="Arial Narrow" w:cs="Times New Roman"/>
                <w:sz w:val="20"/>
                <w:szCs w:val="18"/>
                <w:lang w:val="en-US" w:eastAsia="en-US"/>
              </w:rPr>
            </w:pPr>
          </w:p>
        </w:tc>
      </w:tr>
    </w:tbl>
    <w:p w14:paraId="389A9967" w14:textId="7E92B81F" w:rsidR="00745110" w:rsidRDefault="008B0954">
      <w:r w:rsidRPr="006E32D2">
        <w:rPr>
          <w:rFonts w:ascii="Arial Narrow" w:hAnsi="Arial Narrow" w:cs="Times New Roman"/>
          <w:sz w:val="18"/>
          <w:szCs w:val="18"/>
          <w:lang w:eastAsia="en-US"/>
        </w:rPr>
        <w:t>1° = primary prevention population; 2° = secondary prevention population; 3° = “mixed” prevention population</w:t>
      </w:r>
      <w:r>
        <w:rPr>
          <w:rFonts w:ascii="Arial Narrow" w:hAnsi="Arial Narrow" w:cs="Times New Roman"/>
          <w:sz w:val="18"/>
          <w:szCs w:val="18"/>
          <w:lang w:eastAsia="en-US"/>
        </w:rPr>
        <w:t xml:space="preserve"> (both primary and secondary); ^ one of the risk assessment criterion, patients above and below 10% risk were selected. </w:t>
      </w:r>
      <w:r w:rsidRPr="006E32D2">
        <w:rPr>
          <w:rFonts w:ascii="Arial Narrow" w:hAnsi="Arial Narrow" w:cs="Times New Roman"/>
          <w:sz w:val="18"/>
          <w:szCs w:val="18"/>
          <w:lang w:eastAsia="en-US"/>
        </w:rPr>
        <w:t>Min = minimum; Max = maximum; CV risk = risk of major cardiovascular events; MC=multi-centre; R=randomised; P= parallel group; CO = cross-over; DB=double blind; OL = open-label;</w:t>
      </w:r>
    </w:p>
    <w:p w14:paraId="7EF2F3A2" w14:textId="49798EF4" w:rsidR="00C02F5F" w:rsidRDefault="00C02F5F" w:rsidP="00C02F5F">
      <w:pPr>
        <w:ind w:firstLine="720"/>
      </w:pPr>
    </w:p>
    <w:p w14:paraId="576DFF48" w14:textId="65AD34C0" w:rsidR="00C02F5F" w:rsidRPr="00C02F5F" w:rsidRDefault="00C02F5F" w:rsidP="00C02F5F">
      <w:pPr>
        <w:tabs>
          <w:tab w:val="left" w:pos="744"/>
        </w:tabs>
        <w:sectPr w:rsidR="00C02F5F" w:rsidRPr="00C02F5F" w:rsidSect="00C02F5F">
          <w:endnotePr>
            <w:numFmt w:val="decimal"/>
          </w:endnotePr>
          <w:pgSz w:w="16838" w:h="11906" w:orient="landscape"/>
          <w:pgMar w:top="1440" w:right="1440" w:bottom="1134" w:left="1440" w:header="709" w:footer="709" w:gutter="0"/>
          <w:cols w:space="708"/>
          <w:docGrid w:linePitch="360"/>
        </w:sectPr>
      </w:pPr>
    </w:p>
    <w:p w14:paraId="2851CF84" w14:textId="767764B2" w:rsidR="001E14DC" w:rsidRDefault="001E14DC" w:rsidP="001E14DC">
      <w:pPr>
        <w:jc w:val="both"/>
      </w:pPr>
      <w:r>
        <w:t>The trials that form the evidentiary basis for the review</w:t>
      </w:r>
      <w:r w:rsidRPr="005F7834">
        <w:t xml:space="preserve"> </w:t>
      </w:r>
      <w:r>
        <w:t>fall into different categor</w:t>
      </w:r>
      <w:r w:rsidR="00EB5CA7">
        <w:t>ies depending on the outcomes (</w:t>
      </w:r>
      <w:r>
        <w:t>final or surrogate</w:t>
      </w:r>
      <w:r w:rsidR="00EB5CA7">
        <w:t>)</w:t>
      </w:r>
      <w:r>
        <w:t xml:space="preserve">; </w:t>
      </w:r>
      <w:r w:rsidR="00A453D4">
        <w:t xml:space="preserve">the </w:t>
      </w:r>
      <w:r>
        <w:t>design</w:t>
      </w:r>
      <w:r w:rsidR="00EB5CA7">
        <w:t xml:space="preserve"> (“up-titration” or “add-on”);</w:t>
      </w:r>
      <w:r>
        <w:t xml:space="preserve"> whether </w:t>
      </w:r>
      <w:r w:rsidR="00EB5CA7">
        <w:t>ezetimibe</w:t>
      </w:r>
      <w:r>
        <w:t xml:space="preserve"> treatment </w:t>
      </w:r>
      <w:r w:rsidR="00EB5CA7">
        <w:t>was</w:t>
      </w:r>
      <w:r>
        <w:t xml:space="preserve"> administered as primary o</w:t>
      </w:r>
      <w:r w:rsidR="00EB5CA7">
        <w:t>r secondary therapy</w:t>
      </w:r>
      <w:r>
        <w:t xml:space="preserve"> and the enrolled population, that varied in terms of the primary, secondary or mixed prevention population and the degree of </w:t>
      </w:r>
      <w:r w:rsidR="00EB5CA7">
        <w:t xml:space="preserve">a </w:t>
      </w:r>
      <w:r>
        <w:t xml:space="preserve">CHD risk. </w:t>
      </w:r>
    </w:p>
    <w:p w14:paraId="0C59AE8D" w14:textId="1CDFC25E" w:rsidR="006C6D2E" w:rsidRDefault="006C6D2E" w:rsidP="00037B82">
      <w:r>
        <w:t>Table 2.4.3 shows the number of trials</w:t>
      </w:r>
      <w:r w:rsidR="00EA5E3B">
        <w:t xml:space="preserve"> </w:t>
      </w:r>
      <w:r w:rsidR="001E14DC">
        <w:t xml:space="preserve">by design, primary, secondary or mixed prevention population and the line of therapy </w:t>
      </w:r>
      <w:r w:rsidR="00EB5CA7">
        <w:t xml:space="preserve">in RCTs </w:t>
      </w:r>
      <w:r w:rsidR="00EA5E3B">
        <w:t>(N=</w:t>
      </w:r>
      <w:r w:rsidR="0012177A">
        <w:t>30</w:t>
      </w:r>
      <w:r w:rsidR="00EA5E3B">
        <w:t>) that were included into analysis of the surrogate outcomes</w:t>
      </w:r>
      <w:r>
        <w:t>.</w:t>
      </w:r>
    </w:p>
    <w:p w14:paraId="59F59AAB" w14:textId="75260F97" w:rsidR="001E631B" w:rsidRPr="0083333B" w:rsidRDefault="001E631B" w:rsidP="005B7FC1">
      <w:pPr>
        <w:pStyle w:val="Caption"/>
        <w:ind w:left="0"/>
        <w:rPr>
          <w:sz w:val="22"/>
          <w:szCs w:val="22"/>
        </w:rPr>
      </w:pPr>
      <w:r w:rsidRPr="0083333B">
        <w:rPr>
          <w:sz w:val="22"/>
          <w:szCs w:val="22"/>
        </w:rPr>
        <w:t>Table 2.4.3 Number of trials by design and the enrolled population</w:t>
      </w:r>
    </w:p>
    <w:tbl>
      <w:tblPr>
        <w:tblStyle w:val="TableGrid"/>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16"/>
        <w:gridCol w:w="1343"/>
        <w:gridCol w:w="1334"/>
        <w:gridCol w:w="10"/>
        <w:gridCol w:w="1268"/>
        <w:gridCol w:w="1200"/>
        <w:gridCol w:w="1493"/>
        <w:gridCol w:w="1348"/>
      </w:tblGrid>
      <w:tr w:rsidR="00F23159" w14:paraId="6C0F7DBD" w14:textId="77777777" w:rsidTr="001E14DC">
        <w:trPr>
          <w:cnfStyle w:val="100000000000" w:firstRow="1" w:lastRow="0" w:firstColumn="0" w:lastColumn="0" w:oddVBand="0" w:evenVBand="0" w:oddHBand="0" w:evenHBand="0" w:firstRowFirstColumn="0" w:firstRowLastColumn="0" w:lastRowFirstColumn="0" w:lastRowLastColumn="0"/>
          <w:trHeight w:val="391"/>
        </w:trPr>
        <w:tc>
          <w:tcPr>
            <w:tcW w:w="1553" w:type="dxa"/>
          </w:tcPr>
          <w:p w14:paraId="4B3B730C" w14:textId="5733DB95" w:rsidR="00F23159" w:rsidRDefault="00F23159" w:rsidP="00135173"/>
        </w:tc>
        <w:tc>
          <w:tcPr>
            <w:tcW w:w="2693" w:type="dxa"/>
            <w:gridSpan w:val="3"/>
          </w:tcPr>
          <w:p w14:paraId="545BB7ED" w14:textId="52B672A5" w:rsidR="00F23159" w:rsidRDefault="00F23159">
            <w:r>
              <w:t>Primary prevention population (N=</w:t>
            </w:r>
            <w:r w:rsidR="00302ABB">
              <w:t>13</w:t>
            </w:r>
            <w:r w:rsidR="005F7834">
              <w:t>)</w:t>
            </w:r>
          </w:p>
        </w:tc>
        <w:tc>
          <w:tcPr>
            <w:tcW w:w="2478" w:type="dxa"/>
            <w:gridSpan w:val="3"/>
          </w:tcPr>
          <w:p w14:paraId="37AD6917" w14:textId="3C59025A" w:rsidR="00F23159" w:rsidRDefault="00F23159">
            <w:r>
              <w:t>Secondary prevention population</w:t>
            </w:r>
            <w:r w:rsidR="005F7834">
              <w:t xml:space="preserve"> (N=</w:t>
            </w:r>
            <w:r w:rsidR="00302ABB">
              <w:t>4</w:t>
            </w:r>
            <w:r w:rsidR="005F7834">
              <w:t>)</w:t>
            </w:r>
          </w:p>
        </w:tc>
        <w:tc>
          <w:tcPr>
            <w:tcW w:w="2841" w:type="dxa"/>
            <w:gridSpan w:val="2"/>
          </w:tcPr>
          <w:p w14:paraId="5358675A" w14:textId="3DBC0B71" w:rsidR="00F23159" w:rsidRDefault="00E61713">
            <w:r>
              <w:t>Mixed prevention population</w:t>
            </w:r>
            <w:r w:rsidR="005F7834">
              <w:t xml:space="preserve"> (N=</w:t>
            </w:r>
            <w:r w:rsidR="00302ABB">
              <w:t>14</w:t>
            </w:r>
            <w:r w:rsidR="005F7834">
              <w:t>)</w:t>
            </w:r>
          </w:p>
        </w:tc>
      </w:tr>
      <w:tr w:rsidR="00E61713" w14:paraId="0313C909" w14:textId="77777777" w:rsidTr="001E14DC">
        <w:tc>
          <w:tcPr>
            <w:tcW w:w="1569" w:type="dxa"/>
            <w:gridSpan w:val="2"/>
            <w:vAlign w:val="center"/>
          </w:tcPr>
          <w:p w14:paraId="5B67B293" w14:textId="6AA76165" w:rsidR="00E61713" w:rsidRPr="00EA5E3B" w:rsidRDefault="00E61713" w:rsidP="00E61713">
            <w:pPr>
              <w:jc w:val="right"/>
              <w:rPr>
                <w:b/>
              </w:rPr>
            </w:pPr>
            <w:r w:rsidRPr="00EA5E3B">
              <w:rPr>
                <w:b/>
              </w:rPr>
              <w:t>Line of therapy</w:t>
            </w:r>
          </w:p>
        </w:tc>
        <w:tc>
          <w:tcPr>
            <w:tcW w:w="1343" w:type="dxa"/>
          </w:tcPr>
          <w:p w14:paraId="343A8BB1" w14:textId="149D15CE" w:rsidR="00E61713" w:rsidRPr="00EA5E3B" w:rsidRDefault="00E61713" w:rsidP="00E61713">
            <w:pPr>
              <w:rPr>
                <w:rFonts w:ascii="Arial Narrow" w:hAnsi="Arial Narrow"/>
                <w:b/>
              </w:rPr>
            </w:pPr>
            <w:r w:rsidRPr="00EA5E3B">
              <w:rPr>
                <w:rFonts w:ascii="Arial Narrow" w:hAnsi="Arial Narrow"/>
                <w:b/>
              </w:rPr>
              <w:t>first</w:t>
            </w:r>
          </w:p>
        </w:tc>
        <w:tc>
          <w:tcPr>
            <w:tcW w:w="1344" w:type="dxa"/>
            <w:gridSpan w:val="2"/>
          </w:tcPr>
          <w:p w14:paraId="450DDA6B" w14:textId="4E63793B" w:rsidR="00E61713" w:rsidRPr="00EA5E3B" w:rsidRDefault="00E61713" w:rsidP="00E61713">
            <w:pPr>
              <w:rPr>
                <w:rFonts w:ascii="Arial Narrow" w:hAnsi="Arial Narrow"/>
                <w:b/>
              </w:rPr>
            </w:pPr>
            <w:r w:rsidRPr="00EA5E3B">
              <w:rPr>
                <w:rFonts w:ascii="Arial Narrow" w:hAnsi="Arial Narrow"/>
                <w:b/>
              </w:rPr>
              <w:t>second</w:t>
            </w:r>
          </w:p>
        </w:tc>
        <w:tc>
          <w:tcPr>
            <w:tcW w:w="1268" w:type="dxa"/>
          </w:tcPr>
          <w:p w14:paraId="3F8121E6" w14:textId="54DEF58F" w:rsidR="00E61713" w:rsidRPr="00EA5E3B" w:rsidRDefault="00E61713" w:rsidP="00E61713">
            <w:pPr>
              <w:rPr>
                <w:rFonts w:ascii="Arial Narrow" w:hAnsi="Arial Narrow"/>
                <w:b/>
              </w:rPr>
            </w:pPr>
            <w:r w:rsidRPr="00EA5E3B">
              <w:rPr>
                <w:rFonts w:ascii="Arial Narrow" w:hAnsi="Arial Narrow"/>
                <w:b/>
              </w:rPr>
              <w:t>first</w:t>
            </w:r>
          </w:p>
        </w:tc>
        <w:tc>
          <w:tcPr>
            <w:tcW w:w="1200" w:type="dxa"/>
          </w:tcPr>
          <w:p w14:paraId="57FE4507" w14:textId="162F3E06" w:rsidR="00E61713" w:rsidRPr="00EA5E3B" w:rsidRDefault="00E61713" w:rsidP="00E61713">
            <w:pPr>
              <w:rPr>
                <w:rFonts w:ascii="Arial Narrow" w:hAnsi="Arial Narrow"/>
                <w:b/>
              </w:rPr>
            </w:pPr>
            <w:r w:rsidRPr="00EA5E3B">
              <w:rPr>
                <w:rFonts w:ascii="Arial Narrow" w:hAnsi="Arial Narrow"/>
                <w:b/>
              </w:rPr>
              <w:t>second</w:t>
            </w:r>
          </w:p>
        </w:tc>
        <w:tc>
          <w:tcPr>
            <w:tcW w:w="1493" w:type="dxa"/>
          </w:tcPr>
          <w:p w14:paraId="50AAFA87" w14:textId="6EC75BA8" w:rsidR="00E61713" w:rsidRPr="00EA5E3B" w:rsidRDefault="00E61713" w:rsidP="00E61713">
            <w:pPr>
              <w:rPr>
                <w:rFonts w:ascii="Arial Narrow" w:hAnsi="Arial Narrow"/>
                <w:b/>
              </w:rPr>
            </w:pPr>
            <w:r w:rsidRPr="00EA5E3B">
              <w:rPr>
                <w:rFonts w:ascii="Arial Narrow" w:hAnsi="Arial Narrow"/>
                <w:b/>
              </w:rPr>
              <w:t>first</w:t>
            </w:r>
          </w:p>
        </w:tc>
        <w:tc>
          <w:tcPr>
            <w:tcW w:w="1348" w:type="dxa"/>
          </w:tcPr>
          <w:p w14:paraId="15C808EF" w14:textId="2D0D6183" w:rsidR="00E61713" w:rsidRPr="00EA5E3B" w:rsidRDefault="00E61713" w:rsidP="00E61713">
            <w:pPr>
              <w:rPr>
                <w:rFonts w:ascii="Arial Narrow" w:hAnsi="Arial Narrow"/>
                <w:b/>
              </w:rPr>
            </w:pPr>
            <w:r w:rsidRPr="00EA5E3B">
              <w:rPr>
                <w:rFonts w:ascii="Arial Narrow" w:hAnsi="Arial Narrow"/>
                <w:b/>
              </w:rPr>
              <w:t>second</w:t>
            </w:r>
          </w:p>
        </w:tc>
      </w:tr>
      <w:tr w:rsidR="00E61713" w14:paraId="64A6256F" w14:textId="77777777" w:rsidTr="001E14DC">
        <w:tc>
          <w:tcPr>
            <w:tcW w:w="1569" w:type="dxa"/>
            <w:gridSpan w:val="2"/>
          </w:tcPr>
          <w:p w14:paraId="2957A78F" w14:textId="76F0CD60" w:rsidR="00E61713" w:rsidRPr="00E61713" w:rsidRDefault="00E61713" w:rsidP="00E61713">
            <w:pPr>
              <w:rPr>
                <w:b/>
              </w:rPr>
            </w:pPr>
            <w:r w:rsidRPr="00E61713">
              <w:rPr>
                <w:b/>
              </w:rPr>
              <w:t>Design of the trial</w:t>
            </w:r>
          </w:p>
        </w:tc>
        <w:tc>
          <w:tcPr>
            <w:tcW w:w="1343" w:type="dxa"/>
          </w:tcPr>
          <w:p w14:paraId="22C3ED8C" w14:textId="04695167" w:rsidR="00E61713" w:rsidRPr="00F23159" w:rsidRDefault="00E61713" w:rsidP="00E61713">
            <w:pPr>
              <w:rPr>
                <w:rFonts w:ascii="Arial Narrow" w:hAnsi="Arial Narrow"/>
              </w:rPr>
            </w:pPr>
          </w:p>
        </w:tc>
        <w:tc>
          <w:tcPr>
            <w:tcW w:w="1344" w:type="dxa"/>
            <w:gridSpan w:val="2"/>
          </w:tcPr>
          <w:p w14:paraId="517CCA1B" w14:textId="5257912D" w:rsidR="00E61713" w:rsidRPr="00F23159" w:rsidRDefault="00E61713" w:rsidP="00E61713">
            <w:pPr>
              <w:rPr>
                <w:rFonts w:ascii="Arial Narrow" w:hAnsi="Arial Narrow"/>
              </w:rPr>
            </w:pPr>
          </w:p>
        </w:tc>
        <w:tc>
          <w:tcPr>
            <w:tcW w:w="1268" w:type="dxa"/>
          </w:tcPr>
          <w:p w14:paraId="3B625B21" w14:textId="078F159E" w:rsidR="00E61713" w:rsidRPr="00F23159" w:rsidRDefault="00E61713" w:rsidP="00E61713">
            <w:pPr>
              <w:rPr>
                <w:rFonts w:ascii="Arial Narrow" w:hAnsi="Arial Narrow"/>
              </w:rPr>
            </w:pPr>
          </w:p>
        </w:tc>
        <w:tc>
          <w:tcPr>
            <w:tcW w:w="1200" w:type="dxa"/>
          </w:tcPr>
          <w:p w14:paraId="474EDB5A" w14:textId="720BDB65" w:rsidR="00E61713" w:rsidRPr="00F23159" w:rsidRDefault="00E61713" w:rsidP="00E61713">
            <w:pPr>
              <w:rPr>
                <w:rFonts w:ascii="Arial Narrow" w:hAnsi="Arial Narrow"/>
              </w:rPr>
            </w:pPr>
          </w:p>
        </w:tc>
        <w:tc>
          <w:tcPr>
            <w:tcW w:w="1493" w:type="dxa"/>
          </w:tcPr>
          <w:p w14:paraId="4666BEAE" w14:textId="77777777" w:rsidR="00E61713" w:rsidRDefault="00E61713" w:rsidP="00E61713">
            <w:pPr>
              <w:rPr>
                <w:rFonts w:ascii="Arial Narrow" w:hAnsi="Arial Narrow"/>
              </w:rPr>
            </w:pPr>
          </w:p>
        </w:tc>
        <w:tc>
          <w:tcPr>
            <w:tcW w:w="1348" w:type="dxa"/>
          </w:tcPr>
          <w:p w14:paraId="728DF1E1" w14:textId="77777777" w:rsidR="00E61713" w:rsidRPr="00F23159" w:rsidRDefault="00E61713" w:rsidP="00E61713">
            <w:pPr>
              <w:rPr>
                <w:rFonts w:ascii="Arial Narrow" w:hAnsi="Arial Narrow"/>
              </w:rPr>
            </w:pPr>
          </w:p>
        </w:tc>
      </w:tr>
      <w:tr w:rsidR="00E61713" w14:paraId="38EEE6D0" w14:textId="77777777" w:rsidTr="001E14DC">
        <w:tc>
          <w:tcPr>
            <w:tcW w:w="1569" w:type="dxa"/>
            <w:gridSpan w:val="2"/>
            <w:tcBorders>
              <w:bottom w:val="nil"/>
            </w:tcBorders>
          </w:tcPr>
          <w:p w14:paraId="7640D8EF" w14:textId="77777777" w:rsidR="00E61713" w:rsidRDefault="00E61713" w:rsidP="00E61713">
            <w:pPr>
              <w:rPr>
                <w:rFonts w:ascii="Arial Narrow" w:hAnsi="Arial Narrow"/>
                <w:sz w:val="20"/>
                <w:szCs w:val="20"/>
              </w:rPr>
            </w:pPr>
            <w:r w:rsidRPr="00F23159">
              <w:rPr>
                <w:rFonts w:ascii="Arial Narrow" w:hAnsi="Arial Narrow"/>
                <w:sz w:val="20"/>
                <w:szCs w:val="20"/>
              </w:rPr>
              <w:t>Up-titrating statin dose+ ezetimibe vs up-titrating statin dose</w:t>
            </w:r>
          </w:p>
          <w:p w14:paraId="54F6EF7C" w14:textId="28228F09" w:rsidR="00E61713" w:rsidRPr="00F23159" w:rsidRDefault="00E61713" w:rsidP="00E61713"/>
        </w:tc>
        <w:tc>
          <w:tcPr>
            <w:tcW w:w="1343" w:type="dxa"/>
            <w:tcBorders>
              <w:bottom w:val="nil"/>
            </w:tcBorders>
          </w:tcPr>
          <w:p w14:paraId="204E51EC" w14:textId="4559C86F" w:rsidR="00E61713" w:rsidRDefault="00E61713" w:rsidP="00E61713"/>
        </w:tc>
        <w:tc>
          <w:tcPr>
            <w:tcW w:w="1344" w:type="dxa"/>
            <w:gridSpan w:val="2"/>
            <w:tcBorders>
              <w:bottom w:val="nil"/>
            </w:tcBorders>
          </w:tcPr>
          <w:p w14:paraId="77A99775" w14:textId="21EABCCD" w:rsidR="00E61713" w:rsidRDefault="00E61713" w:rsidP="00E61713"/>
        </w:tc>
        <w:tc>
          <w:tcPr>
            <w:tcW w:w="1268" w:type="dxa"/>
            <w:tcBorders>
              <w:bottom w:val="nil"/>
            </w:tcBorders>
          </w:tcPr>
          <w:p w14:paraId="402463B5" w14:textId="1B9D331E" w:rsidR="00E61713" w:rsidRDefault="00E61713" w:rsidP="00E61713"/>
        </w:tc>
        <w:tc>
          <w:tcPr>
            <w:tcW w:w="1200" w:type="dxa"/>
            <w:tcBorders>
              <w:bottom w:val="nil"/>
            </w:tcBorders>
          </w:tcPr>
          <w:p w14:paraId="4F11E880" w14:textId="722F76BA" w:rsidR="00E61713" w:rsidRDefault="00E61713" w:rsidP="00E61713"/>
        </w:tc>
        <w:tc>
          <w:tcPr>
            <w:tcW w:w="1493" w:type="dxa"/>
            <w:tcBorders>
              <w:bottom w:val="nil"/>
            </w:tcBorders>
          </w:tcPr>
          <w:p w14:paraId="253D69C6" w14:textId="786EE111" w:rsidR="00E61713" w:rsidRDefault="00EA5E3B" w:rsidP="00E61713">
            <w:r>
              <w:t>2</w:t>
            </w:r>
          </w:p>
        </w:tc>
        <w:tc>
          <w:tcPr>
            <w:tcW w:w="1348" w:type="dxa"/>
            <w:tcBorders>
              <w:bottom w:val="nil"/>
            </w:tcBorders>
          </w:tcPr>
          <w:p w14:paraId="7384FC62" w14:textId="20B9B166" w:rsidR="00E61713" w:rsidRDefault="00EA5E3B" w:rsidP="00E61713">
            <w:r>
              <w:t>1</w:t>
            </w:r>
          </w:p>
        </w:tc>
      </w:tr>
      <w:tr w:rsidR="001E14DC" w14:paraId="168334C1" w14:textId="77777777" w:rsidTr="001E14DC">
        <w:tc>
          <w:tcPr>
            <w:tcW w:w="1569" w:type="dxa"/>
            <w:gridSpan w:val="2"/>
            <w:tcBorders>
              <w:top w:val="nil"/>
            </w:tcBorders>
          </w:tcPr>
          <w:p w14:paraId="6E3F334E" w14:textId="04DC1AE4" w:rsidR="001E14DC" w:rsidRPr="00F23159" w:rsidRDefault="001E14DC" w:rsidP="00EA5E3B">
            <w:pPr>
              <w:rPr>
                <w:rFonts w:ascii="Arial Narrow" w:hAnsi="Arial Narrow"/>
                <w:sz w:val="20"/>
                <w:szCs w:val="20"/>
              </w:rPr>
            </w:pPr>
            <w:r>
              <w:rPr>
                <w:rFonts w:ascii="Arial Narrow" w:hAnsi="Arial Narrow"/>
                <w:sz w:val="20"/>
                <w:szCs w:val="20"/>
              </w:rPr>
              <w:t>IMPROVE-IT</w:t>
            </w:r>
          </w:p>
        </w:tc>
        <w:tc>
          <w:tcPr>
            <w:tcW w:w="1343" w:type="dxa"/>
            <w:tcBorders>
              <w:top w:val="nil"/>
            </w:tcBorders>
          </w:tcPr>
          <w:p w14:paraId="09A02808" w14:textId="77777777" w:rsidR="001E14DC" w:rsidRDefault="001E14DC" w:rsidP="00EA5E3B"/>
        </w:tc>
        <w:tc>
          <w:tcPr>
            <w:tcW w:w="1344" w:type="dxa"/>
            <w:gridSpan w:val="2"/>
            <w:tcBorders>
              <w:top w:val="nil"/>
            </w:tcBorders>
          </w:tcPr>
          <w:p w14:paraId="602C7593" w14:textId="77777777" w:rsidR="001E14DC" w:rsidRDefault="001E14DC" w:rsidP="00EA5E3B"/>
        </w:tc>
        <w:tc>
          <w:tcPr>
            <w:tcW w:w="1268" w:type="dxa"/>
            <w:tcBorders>
              <w:top w:val="nil"/>
            </w:tcBorders>
          </w:tcPr>
          <w:p w14:paraId="24A76ADC" w14:textId="77777777" w:rsidR="001E14DC" w:rsidRDefault="001E14DC" w:rsidP="00EA5E3B"/>
        </w:tc>
        <w:tc>
          <w:tcPr>
            <w:tcW w:w="1200" w:type="dxa"/>
            <w:tcBorders>
              <w:top w:val="nil"/>
            </w:tcBorders>
          </w:tcPr>
          <w:p w14:paraId="45BB4753" w14:textId="77777777" w:rsidR="001E14DC" w:rsidRDefault="001E14DC" w:rsidP="00EA5E3B"/>
        </w:tc>
        <w:tc>
          <w:tcPr>
            <w:tcW w:w="2841" w:type="dxa"/>
            <w:gridSpan w:val="2"/>
            <w:tcBorders>
              <w:top w:val="nil"/>
            </w:tcBorders>
          </w:tcPr>
          <w:p w14:paraId="2E949E21" w14:textId="6EA9E361" w:rsidR="001E14DC" w:rsidRPr="001E14DC" w:rsidRDefault="001E14DC" w:rsidP="00EA5E3B">
            <w:pPr>
              <w:rPr>
                <w:rFonts w:ascii="Arial Narrow" w:hAnsi="Arial Narrow"/>
                <w:sz w:val="18"/>
                <w:szCs w:val="18"/>
              </w:rPr>
            </w:pPr>
            <w:r w:rsidRPr="001E14DC">
              <w:rPr>
                <w:rFonts w:ascii="Arial Narrow" w:hAnsi="Arial Narrow"/>
                <w:sz w:val="18"/>
                <w:szCs w:val="18"/>
              </w:rPr>
              <w:t>both primary and secondary</w:t>
            </w:r>
          </w:p>
        </w:tc>
      </w:tr>
      <w:tr w:rsidR="00EA5E3B" w14:paraId="71375BB1" w14:textId="77777777" w:rsidTr="001E14DC">
        <w:tc>
          <w:tcPr>
            <w:tcW w:w="1569" w:type="dxa"/>
            <w:gridSpan w:val="2"/>
          </w:tcPr>
          <w:p w14:paraId="30CF4B20" w14:textId="3C72FEA4" w:rsidR="00EA5E3B" w:rsidRDefault="00EA5E3B" w:rsidP="00EA5E3B">
            <w:pPr>
              <w:rPr>
                <w:rFonts w:ascii="Arial Narrow" w:hAnsi="Arial Narrow"/>
                <w:sz w:val="20"/>
                <w:szCs w:val="20"/>
              </w:rPr>
            </w:pPr>
            <w:r w:rsidRPr="00F23159">
              <w:rPr>
                <w:rFonts w:ascii="Arial Narrow" w:hAnsi="Arial Narrow"/>
                <w:sz w:val="20"/>
                <w:szCs w:val="20"/>
              </w:rPr>
              <w:t xml:space="preserve">Fixed dose of statin +ezetimibe vs up-titrating of statin in terms of dose </w:t>
            </w:r>
            <w:r w:rsidR="005F7834">
              <w:rPr>
                <w:rFonts w:ascii="Arial Narrow" w:hAnsi="Arial Narrow"/>
                <w:sz w:val="20"/>
                <w:szCs w:val="20"/>
              </w:rPr>
              <w:t>or</w:t>
            </w:r>
            <w:r w:rsidRPr="00F23159">
              <w:rPr>
                <w:rFonts w:ascii="Arial Narrow" w:hAnsi="Arial Narrow"/>
                <w:sz w:val="20"/>
                <w:szCs w:val="20"/>
              </w:rPr>
              <w:t xml:space="preserve"> potency</w:t>
            </w:r>
          </w:p>
          <w:p w14:paraId="401981B8" w14:textId="680229E7" w:rsidR="00EA5E3B" w:rsidRPr="00F23159" w:rsidRDefault="00EA5E3B" w:rsidP="00EA5E3B">
            <w:pPr>
              <w:rPr>
                <w:rFonts w:ascii="Arial Narrow" w:hAnsi="Arial Narrow"/>
                <w:sz w:val="20"/>
                <w:szCs w:val="20"/>
              </w:rPr>
            </w:pPr>
          </w:p>
        </w:tc>
        <w:tc>
          <w:tcPr>
            <w:tcW w:w="1343" w:type="dxa"/>
          </w:tcPr>
          <w:p w14:paraId="2D92469D" w14:textId="720FB23C" w:rsidR="00EA5E3B" w:rsidRDefault="0076430F" w:rsidP="00EA5E3B">
            <w:r>
              <w:t>4</w:t>
            </w:r>
          </w:p>
        </w:tc>
        <w:tc>
          <w:tcPr>
            <w:tcW w:w="1344" w:type="dxa"/>
            <w:gridSpan w:val="2"/>
          </w:tcPr>
          <w:p w14:paraId="5FABB58C" w14:textId="5F358CE0" w:rsidR="00EA5E3B" w:rsidRDefault="0076430F" w:rsidP="00EA5E3B">
            <w:r>
              <w:t>2</w:t>
            </w:r>
          </w:p>
        </w:tc>
        <w:tc>
          <w:tcPr>
            <w:tcW w:w="1268" w:type="dxa"/>
          </w:tcPr>
          <w:p w14:paraId="5960A4C2" w14:textId="52683B28" w:rsidR="00EA5E3B" w:rsidRDefault="00A56259" w:rsidP="00EA5E3B">
            <w:r>
              <w:t>2</w:t>
            </w:r>
          </w:p>
        </w:tc>
        <w:tc>
          <w:tcPr>
            <w:tcW w:w="1200" w:type="dxa"/>
          </w:tcPr>
          <w:p w14:paraId="6B9D8BB4" w14:textId="7B096D25" w:rsidR="00EA5E3B" w:rsidRDefault="00EA5E3B" w:rsidP="00EA5E3B">
            <w:r>
              <w:t>2</w:t>
            </w:r>
          </w:p>
        </w:tc>
        <w:tc>
          <w:tcPr>
            <w:tcW w:w="1493" w:type="dxa"/>
          </w:tcPr>
          <w:p w14:paraId="2EB35751" w14:textId="246A4891" w:rsidR="00EA5E3B" w:rsidRDefault="0076430F" w:rsidP="0076430F">
            <w:r>
              <w:t>4</w:t>
            </w:r>
          </w:p>
        </w:tc>
        <w:tc>
          <w:tcPr>
            <w:tcW w:w="1348" w:type="dxa"/>
          </w:tcPr>
          <w:p w14:paraId="75B87EDC" w14:textId="4F305E39" w:rsidR="00EA5E3B" w:rsidRDefault="006E651D" w:rsidP="00EA5E3B">
            <w:r>
              <w:t>5</w:t>
            </w:r>
          </w:p>
        </w:tc>
      </w:tr>
      <w:tr w:rsidR="00EA5E3B" w14:paraId="527E7FB1" w14:textId="77777777" w:rsidTr="001E14DC">
        <w:tc>
          <w:tcPr>
            <w:tcW w:w="1569" w:type="dxa"/>
            <w:gridSpan w:val="2"/>
          </w:tcPr>
          <w:p w14:paraId="73C5962D" w14:textId="221AB93B" w:rsidR="00EA5E3B" w:rsidRPr="00F23159" w:rsidRDefault="00EA5E3B" w:rsidP="00EA5E3B">
            <w:pPr>
              <w:rPr>
                <w:rFonts w:ascii="Arial Narrow" w:hAnsi="Arial Narrow"/>
                <w:sz w:val="20"/>
                <w:szCs w:val="20"/>
              </w:rPr>
            </w:pPr>
            <w:r w:rsidRPr="00F23159">
              <w:rPr>
                <w:rFonts w:ascii="Arial Narrow" w:hAnsi="Arial Narrow"/>
                <w:sz w:val="20"/>
                <w:szCs w:val="20"/>
              </w:rPr>
              <w:t>Fixed dose statin +ezetimibe vs matching fixed dose of statin</w:t>
            </w:r>
          </w:p>
        </w:tc>
        <w:tc>
          <w:tcPr>
            <w:tcW w:w="1343" w:type="dxa"/>
          </w:tcPr>
          <w:p w14:paraId="7E1F31E8" w14:textId="4834102E" w:rsidR="00EA5E3B" w:rsidRDefault="002C519E" w:rsidP="00EA5E3B">
            <w:r>
              <w:t>7</w:t>
            </w:r>
          </w:p>
        </w:tc>
        <w:tc>
          <w:tcPr>
            <w:tcW w:w="1344" w:type="dxa"/>
            <w:gridSpan w:val="2"/>
          </w:tcPr>
          <w:p w14:paraId="0DCA9156" w14:textId="77777777" w:rsidR="00EA5E3B" w:rsidRDefault="00EA5E3B" w:rsidP="00EA5E3B"/>
        </w:tc>
        <w:tc>
          <w:tcPr>
            <w:tcW w:w="1268" w:type="dxa"/>
          </w:tcPr>
          <w:p w14:paraId="2F36540E" w14:textId="1C695407" w:rsidR="00EA5E3B" w:rsidRDefault="00EA5E3B" w:rsidP="00EA5E3B"/>
        </w:tc>
        <w:tc>
          <w:tcPr>
            <w:tcW w:w="1200" w:type="dxa"/>
          </w:tcPr>
          <w:p w14:paraId="52435F52" w14:textId="77777777" w:rsidR="00EA5E3B" w:rsidRDefault="00EA5E3B" w:rsidP="00EA5E3B"/>
        </w:tc>
        <w:tc>
          <w:tcPr>
            <w:tcW w:w="1493" w:type="dxa"/>
          </w:tcPr>
          <w:p w14:paraId="212E181F" w14:textId="1019BDF5" w:rsidR="00EA5E3B" w:rsidRDefault="00EA5E3B" w:rsidP="00EA5E3B">
            <w:r>
              <w:t>1</w:t>
            </w:r>
            <w:r w:rsidR="0076430F" w:rsidRPr="00FD2F5F">
              <w:rPr>
                <w:vertAlign w:val="superscript"/>
              </w:rPr>
              <w:t>*</w:t>
            </w:r>
          </w:p>
        </w:tc>
        <w:tc>
          <w:tcPr>
            <w:tcW w:w="1348" w:type="dxa"/>
          </w:tcPr>
          <w:p w14:paraId="6F4DE7C9" w14:textId="77777777" w:rsidR="00EA5E3B" w:rsidRDefault="00EA5E3B" w:rsidP="00EA5E3B"/>
        </w:tc>
      </w:tr>
    </w:tbl>
    <w:p w14:paraId="3E5E4C19" w14:textId="1F2111D9" w:rsidR="001E631B" w:rsidRPr="00FD2F5F" w:rsidRDefault="0076430F" w:rsidP="00135173">
      <w:pPr>
        <w:rPr>
          <w:sz w:val="18"/>
        </w:rPr>
      </w:pPr>
      <w:r w:rsidRPr="00FD2F5F">
        <w:rPr>
          <w:sz w:val="18"/>
          <w:vertAlign w:val="superscript"/>
        </w:rPr>
        <w:t>*</w:t>
      </w:r>
      <w:r w:rsidRPr="00FD2F5F">
        <w:rPr>
          <w:sz w:val="18"/>
        </w:rPr>
        <w:t>th</w:t>
      </w:r>
      <w:r w:rsidR="00FD2F5F">
        <w:rPr>
          <w:sz w:val="18"/>
        </w:rPr>
        <w:t>e study by Feldman (2004) contributed to both “up-titrating” and “matching dose” designs</w:t>
      </w:r>
      <w:r w:rsidRPr="00FD2F5F">
        <w:rPr>
          <w:sz w:val="18"/>
        </w:rPr>
        <w:t xml:space="preserve"> for </w:t>
      </w:r>
      <w:r w:rsidR="00FD2F5F">
        <w:rPr>
          <w:sz w:val="18"/>
        </w:rPr>
        <w:t xml:space="preserve">the </w:t>
      </w:r>
      <w:r w:rsidRPr="00FD2F5F">
        <w:rPr>
          <w:sz w:val="18"/>
        </w:rPr>
        <w:t>mixed prevention 1</w:t>
      </w:r>
      <w:r w:rsidRPr="00FD2F5F">
        <w:rPr>
          <w:sz w:val="18"/>
          <w:vertAlign w:val="superscript"/>
        </w:rPr>
        <w:t>st</w:t>
      </w:r>
      <w:r w:rsidRPr="00FD2F5F">
        <w:rPr>
          <w:sz w:val="18"/>
        </w:rPr>
        <w:t xml:space="preserve"> line treatment</w:t>
      </w:r>
      <w:r w:rsidR="00FD2F5F">
        <w:rPr>
          <w:sz w:val="18"/>
        </w:rPr>
        <w:t xml:space="preserve"> population</w:t>
      </w:r>
    </w:p>
    <w:p w14:paraId="14AFF6A1" w14:textId="77777777" w:rsidR="00302ABB" w:rsidRDefault="00302ABB" w:rsidP="00C12345">
      <w:pPr>
        <w:jc w:val="both"/>
      </w:pPr>
    </w:p>
    <w:p w14:paraId="4BD7EE7B" w14:textId="00554AE5" w:rsidR="001E14DC" w:rsidRDefault="009B52D1" w:rsidP="00C12345">
      <w:pPr>
        <w:jc w:val="both"/>
      </w:pPr>
      <w:r>
        <w:t>Nearly h</w:t>
      </w:r>
      <w:r w:rsidR="005F7834">
        <w:t>alf of the trials (N=</w:t>
      </w:r>
      <w:r>
        <w:t>13</w:t>
      </w:r>
      <w:r w:rsidR="005F7834">
        <w:t>) target</w:t>
      </w:r>
      <w:r w:rsidR="001E14DC">
        <w:t xml:space="preserve">ed </w:t>
      </w:r>
      <w:r w:rsidR="005F7834">
        <w:t>the population for primary prevention of CHD</w:t>
      </w:r>
      <w:r w:rsidR="00BD6A22">
        <w:t>. In majority of these RCTs (N=</w:t>
      </w:r>
      <w:r>
        <w:t>11</w:t>
      </w:r>
      <w:r w:rsidR="00BD6A22">
        <w:t xml:space="preserve">) </w:t>
      </w:r>
      <w:r w:rsidR="005F7834">
        <w:t xml:space="preserve">ezetimibe in combination with statin </w:t>
      </w:r>
      <w:r w:rsidR="00BD6A22">
        <w:t xml:space="preserve">was </w:t>
      </w:r>
      <w:r w:rsidR="005F7834">
        <w:t>administered as the first line treatment requir</w:t>
      </w:r>
      <w:r w:rsidR="00BD6A22">
        <w:t>ing</w:t>
      </w:r>
      <w:r w:rsidR="005F7834">
        <w:t xml:space="preserve"> that the patients who received lipid-lowering drugs at the screening phase would undergo a wash-out period of 4 to 9 weeks. Only </w:t>
      </w:r>
      <w:r>
        <w:t xml:space="preserve">2 </w:t>
      </w:r>
      <w:r w:rsidR="005F7834">
        <w:t xml:space="preserve">of the RCTs in the primary prevention population </w:t>
      </w:r>
      <w:r w:rsidR="000973D3">
        <w:t>(N=</w:t>
      </w:r>
      <w:r>
        <w:t>740</w:t>
      </w:r>
      <w:r w:rsidR="000973D3">
        <w:t xml:space="preserve">) </w:t>
      </w:r>
      <w:r w:rsidR="005F7834">
        <w:t>administered ezetimibe + statin as the second line treatment (Conard 2008, Constance 2007).</w:t>
      </w:r>
      <w:r w:rsidR="000973D3">
        <w:t xml:space="preserve"> All the RCTs that up-titrated statin in both arms enrolled patients from both primary and secondary </w:t>
      </w:r>
      <w:r w:rsidR="00EB5CA7">
        <w:t xml:space="preserve">prevention </w:t>
      </w:r>
      <w:r w:rsidR="000973D3">
        <w:t xml:space="preserve">categories but only one of these trials administered ezetimibe + statin as the second line treatment (Stein 2004, N=621). </w:t>
      </w:r>
      <w:r w:rsidR="00222074">
        <w:t>Two trials that used either a higher dose or a more potent statin in the control arm and enrolled secondary prevention population</w:t>
      </w:r>
      <w:r w:rsidR="00C12345">
        <w:t xml:space="preserve"> (N=503)</w:t>
      </w:r>
      <w:r w:rsidR="00222074">
        <w:t xml:space="preserve"> used </w:t>
      </w:r>
      <w:r w:rsidR="00C12345">
        <w:t xml:space="preserve">ezetimibe + statin as the second line treatment (Barrios 2005, Pesaro 2013). </w:t>
      </w:r>
      <w:r w:rsidR="000973D3">
        <w:t xml:space="preserve">In addition, </w:t>
      </w:r>
      <w:r w:rsidR="0012177A">
        <w:t xml:space="preserve">five </w:t>
      </w:r>
      <w:r w:rsidR="000973D3">
        <w:t xml:space="preserve">trials that used either a higher dose or </w:t>
      </w:r>
      <w:r w:rsidR="00222074">
        <w:t xml:space="preserve">a </w:t>
      </w:r>
      <w:r w:rsidR="000973D3">
        <w:t xml:space="preserve">more potent statin in the control arm and enrolled mixed prevention population </w:t>
      </w:r>
      <w:r w:rsidR="00222074">
        <w:t>(N=</w:t>
      </w:r>
      <w:r w:rsidR="00DF0F3A">
        <w:t>2775</w:t>
      </w:r>
      <w:r w:rsidR="00222074">
        <w:t xml:space="preserve">) </w:t>
      </w:r>
      <w:r w:rsidR="000973D3">
        <w:t>administered ezetimibe + statin as the second line treatment (</w:t>
      </w:r>
      <w:r w:rsidR="00D303DF">
        <w:t>Constance 2007</w:t>
      </w:r>
      <w:r w:rsidR="000973D3">
        <w:t xml:space="preserve">, Zieve 2010, </w:t>
      </w:r>
      <w:r w:rsidR="00D303DF">
        <w:t>Gaudiani 2005</w:t>
      </w:r>
      <w:r w:rsidR="000973D3">
        <w:t>, Farnier 2009</w:t>
      </w:r>
      <w:r w:rsidR="0012177A">
        <w:t>, McCormack 2010</w:t>
      </w:r>
      <w:r w:rsidR="000973D3">
        <w:t>)</w:t>
      </w:r>
      <w:r w:rsidR="00222074">
        <w:t xml:space="preserve">. </w:t>
      </w:r>
    </w:p>
    <w:p w14:paraId="227F5716" w14:textId="327B3F85" w:rsidR="001E14DC" w:rsidRDefault="001E14DC" w:rsidP="009A77F6">
      <w:pPr>
        <w:spacing w:after="0"/>
        <w:jc w:val="both"/>
      </w:pPr>
      <w:r>
        <w:t xml:space="preserve">The duration of active therapy in the included trials ranged from 4 weeks (Dobs 2003) to 7 years (Cannon 2015) and followed (depending on whether the ezetimibe was the first or second line therapy) either a statin or placebo “run-in” period up to </w:t>
      </w:r>
      <w:r w:rsidR="00EB5CA7">
        <w:t>12 week</w:t>
      </w:r>
      <w:r>
        <w:t xml:space="preserve"> duration</w:t>
      </w:r>
      <w:r w:rsidR="00EB5CA7">
        <w:t xml:space="preserve"> (McCormack 2010)</w:t>
      </w:r>
      <w:r w:rsidR="00B27791">
        <w:t xml:space="preserve">. </w:t>
      </w:r>
      <w:r w:rsidRPr="00164F4D">
        <w:t xml:space="preserve">The size of the trials varied substantially. </w:t>
      </w:r>
      <w:r w:rsidR="00164F4D" w:rsidRPr="00164F4D">
        <w:t>A few recent</w:t>
      </w:r>
      <w:r w:rsidR="003B0CBF">
        <w:t>ly conducted</w:t>
      </w:r>
      <w:r w:rsidR="00164F4D" w:rsidRPr="00164F4D">
        <w:t xml:space="preserve"> </w:t>
      </w:r>
      <w:r w:rsidR="00164F4D">
        <w:t xml:space="preserve">small size </w:t>
      </w:r>
      <w:r w:rsidR="00164F4D" w:rsidRPr="00164F4D">
        <w:t>RCTs</w:t>
      </w:r>
      <w:r w:rsidR="002113EA">
        <w:t xml:space="preserve"> (N&lt;150)</w:t>
      </w:r>
      <w:r w:rsidR="00164F4D">
        <w:t xml:space="preserve"> that </w:t>
      </w:r>
      <w:r w:rsidR="003B0CBF">
        <w:t>met</w:t>
      </w:r>
      <w:r w:rsidR="00164F4D">
        <w:t xml:space="preserve"> the selection criteria</w:t>
      </w:r>
      <w:r w:rsidR="00164F4D" w:rsidRPr="00164F4D">
        <w:t xml:space="preserve"> </w:t>
      </w:r>
      <w:r w:rsidR="00164F4D">
        <w:t xml:space="preserve">were </w:t>
      </w:r>
      <w:r w:rsidR="00164F4D" w:rsidRPr="00164F4D">
        <w:t xml:space="preserve">conducted in </w:t>
      </w:r>
      <w:r w:rsidR="002113EA">
        <w:t xml:space="preserve">the </w:t>
      </w:r>
      <w:r w:rsidR="00164F4D" w:rsidRPr="00164F4D">
        <w:t>countries</w:t>
      </w:r>
      <w:r w:rsidR="00BE14CB">
        <w:t xml:space="preserve"> </w:t>
      </w:r>
      <w:r w:rsidR="002113EA">
        <w:t xml:space="preserve">with ethnic diversity that differs from the USA or European countries </w:t>
      </w:r>
      <w:r w:rsidR="00BE14CB">
        <w:t>(Lee 2013 and Cho 2013</w:t>
      </w:r>
      <w:r w:rsidR="002113EA">
        <w:t xml:space="preserve"> -</w:t>
      </w:r>
      <w:r w:rsidR="00BE14CB">
        <w:t xml:space="preserve"> South Korea; Pesaro 2013 and Garcia 2016 </w:t>
      </w:r>
      <w:r w:rsidR="002113EA">
        <w:t>–</w:t>
      </w:r>
      <w:r w:rsidR="00BE14CB">
        <w:t xml:space="preserve"> Brazil</w:t>
      </w:r>
      <w:r w:rsidR="002113EA">
        <w:t xml:space="preserve">); enrolled a special </w:t>
      </w:r>
      <w:r w:rsidR="004E5AF6">
        <w:t xml:space="preserve">subgroup of the </w:t>
      </w:r>
      <w:r w:rsidR="002113EA">
        <w:t>population</w:t>
      </w:r>
      <w:r w:rsidR="004E5AF6">
        <w:t xml:space="preserve"> with hypercholesterolaemia</w:t>
      </w:r>
      <w:r w:rsidR="00164F4D">
        <w:t xml:space="preserve"> </w:t>
      </w:r>
      <w:r w:rsidR="002113EA">
        <w:t xml:space="preserve">(Chirinos 2010 studied the population of </w:t>
      </w:r>
      <w:r w:rsidR="002113EA" w:rsidRPr="002113EA">
        <w:t>overweight or obese</w:t>
      </w:r>
      <w:r w:rsidR="002113EA">
        <w:t xml:space="preserve"> patients</w:t>
      </w:r>
      <w:r w:rsidR="00617AF5">
        <w:t>; Lee 2013 and Cho 2013 - South Korea enrolled only diabetic patients</w:t>
      </w:r>
      <w:r w:rsidR="004E5AF6">
        <w:t>, Garcia 2016 enrolled only females</w:t>
      </w:r>
      <w:r w:rsidR="002113EA">
        <w:t>)</w:t>
      </w:r>
      <w:r w:rsidR="00164F4D">
        <w:t xml:space="preserve"> </w:t>
      </w:r>
      <w:r w:rsidR="002113EA">
        <w:t>or were designed to measure non-lipid outcomes as a primary outcome (Ostad 2009</w:t>
      </w:r>
      <w:r w:rsidR="003B0CBF">
        <w:t>, Pesaro 2013</w:t>
      </w:r>
      <w:r w:rsidR="002113EA">
        <w:t>)</w:t>
      </w:r>
      <w:r w:rsidR="00164F4D">
        <w:t>.</w:t>
      </w:r>
      <w:r w:rsidR="002113EA">
        <w:t xml:space="preserve"> The</w:t>
      </w:r>
      <w:r w:rsidR="003B0CBF">
        <w:t xml:space="preserve"> second line ezetimibe trial by Pesaro (2013) became the</w:t>
      </w:r>
      <w:r w:rsidR="002113EA">
        <w:t xml:space="preserve"> smallest study</w:t>
      </w:r>
      <w:r w:rsidR="003B0CBF">
        <w:t xml:space="preserve"> (N=68)</w:t>
      </w:r>
      <w:r w:rsidRPr="00164F4D">
        <w:t xml:space="preserve"> </w:t>
      </w:r>
      <w:r w:rsidR="003B0CBF">
        <w:t xml:space="preserve">in this category after the earlier study by </w:t>
      </w:r>
      <w:r w:rsidR="002113EA">
        <w:t xml:space="preserve">Dobs </w:t>
      </w:r>
      <w:r w:rsidR="003B0CBF">
        <w:t>(</w:t>
      </w:r>
      <w:r w:rsidR="002113EA">
        <w:t xml:space="preserve">2003) </w:t>
      </w:r>
      <w:r w:rsidRPr="00164F4D">
        <w:t>(</w:t>
      </w:r>
      <w:r w:rsidR="003B0CBF">
        <w:t>N=</w:t>
      </w:r>
      <w:r w:rsidRPr="00164F4D">
        <w:t>100</w:t>
      </w:r>
      <w:r w:rsidR="003B0CBF">
        <w:t>).</w:t>
      </w:r>
      <w:r w:rsidRPr="00164F4D">
        <w:t xml:space="preserve"> The largest study, </w:t>
      </w:r>
      <w:r w:rsidR="003B0CBF">
        <w:t xml:space="preserve">IMPROVE-IT (Cannon, 2015) randomised 18,144 </w:t>
      </w:r>
      <w:r w:rsidRPr="00164F4D">
        <w:t>patients</w:t>
      </w:r>
      <w:r w:rsidR="003B0CBF">
        <w:t>, with 25% of them discontinuing treatment over the 7 year duration</w:t>
      </w:r>
      <w:r w:rsidRPr="00164F4D">
        <w:t>.</w:t>
      </w:r>
      <w:r w:rsidR="002113EA" w:rsidRPr="002113EA">
        <w:t xml:space="preserve"> </w:t>
      </w:r>
    </w:p>
    <w:p w14:paraId="304198C1" w14:textId="77777777" w:rsidR="00135173" w:rsidRDefault="00135173" w:rsidP="009A77F6">
      <w:pPr>
        <w:spacing w:after="0"/>
      </w:pPr>
    </w:p>
    <w:p w14:paraId="187C5FAB" w14:textId="77777777" w:rsidR="00400A0D" w:rsidRDefault="00400A0D" w:rsidP="009A77F6">
      <w:pPr>
        <w:pStyle w:val="Heading2"/>
        <w:spacing w:before="0"/>
      </w:pPr>
      <w:bookmarkStart w:id="59" w:name="_Toc467857757"/>
      <w:r>
        <w:t>2.4.1. Participants</w:t>
      </w:r>
      <w:bookmarkEnd w:id="59"/>
    </w:p>
    <w:p w14:paraId="2CB0DF89" w14:textId="77777777" w:rsidR="00400A0D" w:rsidRDefault="00400A0D" w:rsidP="009A77F6">
      <w:pPr>
        <w:spacing w:after="0"/>
      </w:pPr>
    </w:p>
    <w:p w14:paraId="2C481038" w14:textId="5603E97E" w:rsidR="00A015D1" w:rsidRPr="00533775" w:rsidRDefault="00B8258D" w:rsidP="009A77F6">
      <w:pPr>
        <w:spacing w:after="0"/>
        <w:jc w:val="both"/>
      </w:pPr>
      <w:r w:rsidRPr="00370931">
        <w:t xml:space="preserve">The </w:t>
      </w:r>
      <w:r>
        <w:t>inclusion exclusion criteria</w:t>
      </w:r>
      <w:r w:rsidRPr="00370931">
        <w:t xml:space="preserve"> </w:t>
      </w:r>
      <w:r>
        <w:t xml:space="preserve">of the selected RCTs </w:t>
      </w:r>
      <w:r w:rsidRPr="00370931">
        <w:t>are presented in</w:t>
      </w:r>
      <w:r>
        <w:t xml:space="preserve"> </w:t>
      </w:r>
      <w:r w:rsidRPr="006467DC">
        <w:t>Table A4.1 Appendix 4.</w:t>
      </w:r>
      <w:r>
        <w:t xml:space="preserve"> </w:t>
      </w:r>
      <w:r w:rsidR="00A015D1" w:rsidRPr="00A015D1">
        <w:t xml:space="preserve">The populations </w:t>
      </w:r>
      <w:r w:rsidR="00A015D1">
        <w:t xml:space="preserve">in the identified </w:t>
      </w:r>
      <w:r w:rsidR="00A015D1" w:rsidRPr="00A015D1">
        <w:t>trial</w:t>
      </w:r>
      <w:r w:rsidR="00A015D1">
        <w:t>s</w:t>
      </w:r>
      <w:r w:rsidR="00A015D1" w:rsidRPr="00A015D1">
        <w:t xml:space="preserve"> were fairly comparable in terms of age (mean ages r</w:t>
      </w:r>
      <w:r w:rsidR="00A015D1">
        <w:t>anging from 52</w:t>
      </w:r>
      <w:r w:rsidR="00A015D1" w:rsidRPr="00A015D1">
        <w:t>-6</w:t>
      </w:r>
      <w:r w:rsidR="00A015D1">
        <w:t>6</w:t>
      </w:r>
      <w:r w:rsidR="00A015D1" w:rsidRPr="00A015D1">
        <w:t xml:space="preserve"> years across </w:t>
      </w:r>
      <w:r w:rsidR="00A015D1">
        <w:t>27</w:t>
      </w:r>
      <w:r w:rsidR="00A015D1" w:rsidRPr="00A015D1">
        <w:t xml:space="preserve"> of the </w:t>
      </w:r>
      <w:r w:rsidR="00A015D1">
        <w:t>30</w:t>
      </w:r>
      <w:r w:rsidR="00A015D1" w:rsidRPr="00A015D1">
        <w:t xml:space="preserve"> trials). </w:t>
      </w:r>
      <w:r w:rsidR="00A015D1">
        <w:t xml:space="preserve">The exceptions included the trial by Kastelein (2008) in the subgroup of the population with heterozygous familial hypercholesterolaemia (HeFH) with mean age of 46 years; </w:t>
      </w:r>
      <w:r w:rsidR="004E5AF6">
        <w:t>and the female-only trial by Garcia (2016)</w:t>
      </w:r>
      <w:r w:rsidR="004E5AF6" w:rsidRPr="004E5AF6">
        <w:t xml:space="preserve"> </w:t>
      </w:r>
      <w:r w:rsidR="004E5AF6">
        <w:t xml:space="preserve">with mean age across the arms of 40 to 48 years; and the trial by Zieve (2010) </w:t>
      </w:r>
      <w:r w:rsidR="00DA70FF">
        <w:t>with one of the selection criteria of patients’ age &gt; 65 years that resulted in the mean age of 71 years old. In the selected trials the patient populations varied across the high risk categories and the specific high risk subgroups</w:t>
      </w:r>
      <w:r w:rsidR="00E45865">
        <w:t>.</w:t>
      </w:r>
      <w:r w:rsidR="00DA70FF">
        <w:t xml:space="preserve"> </w:t>
      </w:r>
      <w:r w:rsidR="00E45865">
        <w:t xml:space="preserve">These </w:t>
      </w:r>
      <w:r w:rsidR="00DA70FF">
        <w:t xml:space="preserve">included </w:t>
      </w:r>
      <w:r w:rsidR="00E45865">
        <w:t xml:space="preserve">primary prevention </w:t>
      </w:r>
      <w:r w:rsidR="00DA70FF">
        <w:t>patients with hypercholesterolemia and no more than 2 other risk factors</w:t>
      </w:r>
      <w:r w:rsidR="00E45865">
        <w:t xml:space="preserve"> (low risk category)</w:t>
      </w:r>
      <w:r w:rsidR="00DA70FF">
        <w:t xml:space="preserve">, </w:t>
      </w:r>
      <w:r w:rsidR="00E45865">
        <w:t xml:space="preserve">secondary prevention </w:t>
      </w:r>
      <w:r w:rsidR="00DA70FF">
        <w:t>patients with hypercholesterolemia and atherosclerosis and/or CHD</w:t>
      </w:r>
      <w:r w:rsidR="00E45865">
        <w:t xml:space="preserve"> (high risk category)</w:t>
      </w:r>
      <w:r w:rsidR="00DA70FF">
        <w:t xml:space="preserve">, patients </w:t>
      </w:r>
      <w:r w:rsidR="00E45865">
        <w:t>with CHD and/or type 2 diabetes (medium to high risk category),  and</w:t>
      </w:r>
      <w:r w:rsidR="00DA70FF">
        <w:t xml:space="preserve"> patients with heterozygous familial hypercholesterolemia. </w:t>
      </w:r>
      <w:r w:rsidR="00E45865">
        <w:t xml:space="preserve">The </w:t>
      </w:r>
      <w:r w:rsidR="00E45865" w:rsidRPr="00E45865">
        <w:t>criteria for</w:t>
      </w:r>
      <w:r w:rsidR="00E45865">
        <w:t xml:space="preserve"> assigning a</w:t>
      </w:r>
      <w:r w:rsidR="00E45865" w:rsidRPr="00E45865">
        <w:t xml:space="preserve"> high risk </w:t>
      </w:r>
      <w:r w:rsidR="00E45865">
        <w:t xml:space="preserve">category to </w:t>
      </w:r>
      <w:r w:rsidR="00E45865" w:rsidRPr="00E45865">
        <w:t xml:space="preserve">the different populations in </w:t>
      </w:r>
      <w:r w:rsidR="00E45865">
        <w:t>the trials also</w:t>
      </w:r>
      <w:r w:rsidR="00E45865" w:rsidRPr="00E45865">
        <w:t xml:space="preserve"> differed</w:t>
      </w:r>
      <w:r w:rsidR="00E45865">
        <w:t xml:space="preserve"> with some trials using the formalised risk assessment tool, others using the combination of risk factors as suggested by the guidelines</w:t>
      </w:r>
      <w:r w:rsidR="00E45865" w:rsidRPr="00E45865">
        <w:t xml:space="preserve">. </w:t>
      </w:r>
      <w:r w:rsidR="00E45865">
        <w:t xml:space="preserve">In the second line therapy the eligibility criteria for the patients to enter the randomised phase was an “inadequate lipid control”, typically aligned with the in LDL-C goals specified in the National Cholesterol Education Program (NCEP) Adult Treatment Panel II (in the later RCTs – NCEP-III) for patients at the different level of CHD risk.  </w:t>
      </w:r>
    </w:p>
    <w:p w14:paraId="53C75617" w14:textId="77777777" w:rsidR="00D45D6C" w:rsidRDefault="00D45D6C" w:rsidP="00B27791">
      <w:pPr>
        <w:jc w:val="both"/>
      </w:pPr>
    </w:p>
    <w:p w14:paraId="5D80CFB4" w14:textId="68C463CD" w:rsidR="00B27791" w:rsidRDefault="00B27791" w:rsidP="00B27791">
      <w:pPr>
        <w:jc w:val="both"/>
      </w:pPr>
      <w:r>
        <w:t xml:space="preserve">Design of </w:t>
      </w:r>
      <w:r w:rsidR="00B179C4">
        <w:t>18</w:t>
      </w:r>
      <w:r>
        <w:t xml:space="preserve"> RCT trials in the first line ezetimibe treatment required a wash-out period for up to 12 weeks (six weeks for statins, bile acid sequestrants and nicotinic acid and 8-12 weeks for fibrates) before randomisation and initiating the study therapy.</w:t>
      </w:r>
      <w:r w:rsidRPr="00617AF5">
        <w:t xml:space="preserve"> </w:t>
      </w:r>
      <w:r>
        <w:t>There was insufficient information on patient’s pre-treatment history (e.g. dose of statin and duration of treatment) to establish whether the recruited patients were inadequately controlled with the most recent dose of the statin and whether it was the maximum/most potent dose of the last prescribed statin.</w:t>
      </w:r>
    </w:p>
    <w:p w14:paraId="594A2F46" w14:textId="323D06F7" w:rsidR="00B27791" w:rsidRDefault="00762C4F" w:rsidP="00B27791">
      <w:pPr>
        <w:jc w:val="both"/>
      </w:pPr>
      <w:r>
        <w:t>Other RCTs (N=11</w:t>
      </w:r>
      <w:r w:rsidR="00B27791">
        <w:t xml:space="preserve">) </w:t>
      </w:r>
      <w:r w:rsidR="00B179C4">
        <w:t xml:space="preserve">in patients with hypercholesterolaemia </w:t>
      </w:r>
      <w:r w:rsidR="00B27791">
        <w:t xml:space="preserve">were designed to assess addition of ezetimibe as a second line therapy to the ongoing or newly initiated statin treatment and included a run-in period of at least 4 weeks and up to 10 weeks (Stein 2004). The McCormack (2010) trial was the only one where the duration of the run-in period (on simvastatin 40 mg) was 12 weeks, which together with the evidence of insufficient lipid control of LDL-C&gt; 2 mmol/L at the end of this period would bring the population closest to the PBS restrictions, albeit it remained unknown whether simvastatin 40 mg is the highest tolerate statin dose in this population.  </w:t>
      </w:r>
    </w:p>
    <w:p w14:paraId="7BCAA7F2" w14:textId="51E13259" w:rsidR="003C75FD" w:rsidRDefault="00B8258D" w:rsidP="006B45CB">
      <w:pPr>
        <w:jc w:val="both"/>
      </w:pPr>
      <w:r>
        <w:t>T</w:t>
      </w:r>
      <w:r w:rsidRPr="00B8258D">
        <w:t xml:space="preserve">he minimum entry threshold levels of LDL-C </w:t>
      </w:r>
      <w:r>
        <w:t xml:space="preserve">in the trials of population with hypercholesterolaemia </w:t>
      </w:r>
      <w:r w:rsidRPr="00B8258D">
        <w:t xml:space="preserve">ranged from </w:t>
      </w:r>
      <w:r>
        <w:t xml:space="preserve">from 1.8 to 6.47 mmol/L </w:t>
      </w:r>
      <w:r w:rsidR="00144324">
        <w:t xml:space="preserve">with or without lipid-lowering medications. </w:t>
      </w:r>
      <w:r w:rsidR="006C4413">
        <w:t>The lowest LDL-c level at enrolment of 1.3 mmol/L was required</w:t>
      </w:r>
      <w:r w:rsidR="00752ABB">
        <w:t xml:space="preserve"> in IMPROVE-IT </w:t>
      </w:r>
      <w:r w:rsidR="006C4413">
        <w:t xml:space="preserve">(Cannon 2015) </w:t>
      </w:r>
      <w:r w:rsidR="00752ABB">
        <w:t xml:space="preserve">trial in patients with acute coronary syndrome.  </w:t>
      </w:r>
      <w:r w:rsidR="006C4413">
        <w:t>This trial enrolled</w:t>
      </w:r>
      <w:r w:rsidR="006C4413" w:rsidRPr="00AD2025">
        <w:t xml:space="preserve"> patients who do not necessarily have a diagnosis of hypercholesterolemia</w:t>
      </w:r>
      <w:r w:rsidR="006C4413">
        <w:t xml:space="preserve"> and did not require the subjects to have a wash-out period prior the randomisation. </w:t>
      </w:r>
      <w:r w:rsidR="00752ABB">
        <w:t xml:space="preserve">This issue was identified in the assessment of the recent Merck and Co submission to NICE (HTA 2015). </w:t>
      </w:r>
      <w:r w:rsidR="00752ABB" w:rsidRPr="00AD2025">
        <w:t>However</w:t>
      </w:r>
      <w:r w:rsidR="00752ABB">
        <w:t>,</w:t>
      </w:r>
      <w:r w:rsidR="00752ABB" w:rsidRPr="00AD2025">
        <w:t xml:space="preserve"> it was argued by the company that these patient populations are at high risk of CVD and, prescription of ezetimibe or ezetimibe in combination with a statin reflect</w:t>
      </w:r>
      <w:r w:rsidR="00752ABB">
        <w:t>s the current</w:t>
      </w:r>
      <w:r w:rsidR="006C4413">
        <w:t xml:space="preserve"> clinical practice. </w:t>
      </w:r>
      <w:r w:rsidR="00752ABB">
        <w:t xml:space="preserve">The RCTs by Gaudiani 2005, Goldberg 2006, Constance 2007, Lee 2013 and Cho 2013 enrolled population with diabetes mellitus (DM), but </w:t>
      </w:r>
      <w:r>
        <w:t>although the</w:t>
      </w:r>
      <w:r w:rsidR="006C4413">
        <w:t xml:space="preserve"> evidence </w:t>
      </w:r>
      <w:r w:rsidR="00752ABB" w:rsidRPr="00AD2025">
        <w:t>of hypercholesterolemia</w:t>
      </w:r>
      <w:r w:rsidR="006C4413">
        <w:t xml:space="preserve"> </w:t>
      </w:r>
      <w:r w:rsidR="00752ABB">
        <w:t xml:space="preserve">was </w:t>
      </w:r>
      <w:r w:rsidR="006C4413">
        <w:t>one of</w:t>
      </w:r>
      <w:r w:rsidR="00752ABB">
        <w:t xml:space="preserve"> </w:t>
      </w:r>
      <w:r w:rsidR="006C4413">
        <w:t xml:space="preserve">the </w:t>
      </w:r>
      <w:r w:rsidR="00752ABB">
        <w:t>selection criteri</w:t>
      </w:r>
      <w:r w:rsidR="006C4413">
        <w:t>a</w:t>
      </w:r>
      <w:r>
        <w:t xml:space="preserve">, </w:t>
      </w:r>
      <w:r w:rsidRPr="00B8258D">
        <w:t>the second line treatment trial</w:t>
      </w:r>
      <w:r w:rsidR="002220E1">
        <w:t>s</w:t>
      </w:r>
      <w:r w:rsidRPr="00B8258D">
        <w:t xml:space="preserve"> (Constance 2007</w:t>
      </w:r>
      <w:r w:rsidR="002220E1">
        <w:t xml:space="preserve"> and Gaudiani 2005</w:t>
      </w:r>
      <w:r w:rsidRPr="00B8258D">
        <w:t xml:space="preserve">) had one </w:t>
      </w:r>
      <w:r w:rsidR="00762C4F">
        <w:t xml:space="preserve">of </w:t>
      </w:r>
      <w:r w:rsidRPr="00B8258D">
        <w:t>the lowest mean baseline LDL-C levels (2.4 mmol/L) in patients who were not necessarily inadequately controlled at randomisation</w:t>
      </w:r>
      <w:r w:rsidR="006C4413" w:rsidRPr="00B8258D">
        <w:t>.</w:t>
      </w:r>
      <w:r w:rsidR="00716958">
        <w:t xml:space="preserve"> Another second line treatment trial</w:t>
      </w:r>
      <w:r w:rsidR="00752ABB" w:rsidRPr="00B8258D">
        <w:t xml:space="preserve"> </w:t>
      </w:r>
      <w:r w:rsidR="00716958">
        <w:t xml:space="preserve">(Leiter 2008) set up a LDL-C </w:t>
      </w:r>
      <w:r w:rsidR="002220E1">
        <w:t>entry</w:t>
      </w:r>
      <w:r w:rsidR="00716958">
        <w:t xml:space="preserve"> threshold at 1.8 to 4.1mmol/L, which produced the lowest mean value of 2.3</w:t>
      </w:r>
      <w:r w:rsidR="00762C4F">
        <w:t xml:space="preserve"> </w:t>
      </w:r>
      <w:r w:rsidR="00716958">
        <w:t xml:space="preserve">mmol/L, suggesting that a proportion of patients </w:t>
      </w:r>
      <w:r w:rsidR="00B27791">
        <w:t>may</w:t>
      </w:r>
      <w:r w:rsidR="00716958">
        <w:t xml:space="preserve"> not meet the EZ restriction criteria after the run-in on 40 mg of atorvastatin. </w:t>
      </w:r>
      <w:r w:rsidR="002220E1">
        <w:t>The</w:t>
      </w:r>
      <w:r w:rsidR="00302B95" w:rsidRPr="00302B95">
        <w:t xml:space="preserve"> mean baseline levels of LDL-C of patients in </w:t>
      </w:r>
      <w:r w:rsidR="002220E1">
        <w:t>the remaining</w:t>
      </w:r>
      <w:r w:rsidR="00302B95" w:rsidRPr="00302B95">
        <w:t xml:space="preserve"> second line treatment </w:t>
      </w:r>
      <w:r w:rsidR="00302B95">
        <w:t>trials</w:t>
      </w:r>
      <w:r w:rsidR="00302B95" w:rsidRPr="00302B95">
        <w:t xml:space="preserve"> (</w:t>
      </w:r>
      <w:r w:rsidR="00302B95">
        <w:t xml:space="preserve">Stein 2007, </w:t>
      </w:r>
      <w:r w:rsidR="00302B95" w:rsidRPr="00302B95">
        <w:t>Barrios</w:t>
      </w:r>
      <w:r w:rsidR="00302B95">
        <w:t xml:space="preserve"> 2005</w:t>
      </w:r>
      <w:r w:rsidR="00302B95" w:rsidRPr="00302B95">
        <w:t xml:space="preserve">, </w:t>
      </w:r>
      <w:r w:rsidR="00302B95">
        <w:t>Dobs 2003</w:t>
      </w:r>
      <w:r w:rsidR="00DE0208">
        <w:t xml:space="preserve">, </w:t>
      </w:r>
      <w:r w:rsidR="00716958">
        <w:t xml:space="preserve">Conard 2008, Pesaro </w:t>
      </w:r>
      <w:r w:rsidR="002220E1">
        <w:t>2013, Zieve 2010, Farnier 2009, McCormac 2010</w:t>
      </w:r>
      <w:r w:rsidR="00302B95" w:rsidRPr="00302B95">
        <w:t xml:space="preserve">) ranged from </w:t>
      </w:r>
      <w:r w:rsidR="002220E1">
        <w:t xml:space="preserve">2.7 to </w:t>
      </w:r>
      <w:r w:rsidR="00DE0208">
        <w:t>4.8</w:t>
      </w:r>
      <w:r w:rsidR="002220E1">
        <w:t>, suggesting</w:t>
      </w:r>
      <w:r w:rsidR="00302B95" w:rsidRPr="00302B95">
        <w:t xml:space="preserve"> that they were not adequately controlled on the run-in treatment.</w:t>
      </w:r>
    </w:p>
    <w:p w14:paraId="51372D2F" w14:textId="4CCD56CA" w:rsidR="00B8258D" w:rsidRDefault="00B8258D" w:rsidP="00F83A7E">
      <w:pPr>
        <w:jc w:val="both"/>
      </w:pPr>
      <w:r>
        <w:t>None of the identified RCTs enrolled the patients who would be fully representative of the populations for whom ezetimibe is currently indicated (e.g. people whose hypercholesterolemia had not been adequately controlled with a maximum tolerated dose of statin or those for who have statin intolerance or contraindications and who meet the other criteria described in the General Statement f</w:t>
      </w:r>
      <w:r w:rsidRPr="00AD1C5B">
        <w:t>or Lipid-Lowering Drugs (GSLLD)</w:t>
      </w:r>
      <w:r>
        <w:t>.</w:t>
      </w:r>
    </w:p>
    <w:p w14:paraId="1683A7BD" w14:textId="59DC1777" w:rsidR="00337EA5" w:rsidRDefault="00337EA5" w:rsidP="00F83A7E">
      <w:pPr>
        <w:jc w:val="both"/>
        <w:rPr>
          <w:b/>
          <w:i/>
        </w:rPr>
      </w:pPr>
      <w:r>
        <w:rPr>
          <w:b/>
          <w:i/>
        </w:rPr>
        <w:t>S</w:t>
      </w:r>
      <w:r w:rsidRPr="000C20E4">
        <w:rPr>
          <w:b/>
          <w:i/>
        </w:rPr>
        <w:t xml:space="preserve">ignificant </w:t>
      </w:r>
      <w:r>
        <w:rPr>
          <w:b/>
          <w:i/>
        </w:rPr>
        <w:t>variability</w:t>
      </w:r>
      <w:r w:rsidRPr="000C20E4">
        <w:rPr>
          <w:b/>
          <w:i/>
        </w:rPr>
        <w:t xml:space="preserve"> in </w:t>
      </w:r>
      <w:r w:rsidRPr="00337EA5">
        <w:rPr>
          <w:b/>
          <w:i/>
        </w:rPr>
        <w:t xml:space="preserve">background treatment, designs and duration of the identified trials suggests </w:t>
      </w:r>
      <w:r w:rsidR="00083460">
        <w:rPr>
          <w:b/>
          <w:i/>
        </w:rPr>
        <w:t xml:space="preserve">the </w:t>
      </w:r>
      <w:r w:rsidRPr="00337EA5">
        <w:rPr>
          <w:b/>
          <w:i/>
        </w:rPr>
        <w:t xml:space="preserve">underlying heterogeneity </w:t>
      </w:r>
      <w:r>
        <w:rPr>
          <w:b/>
          <w:i/>
        </w:rPr>
        <w:t>across the trials</w:t>
      </w:r>
      <w:r w:rsidRPr="000C20E4">
        <w:rPr>
          <w:b/>
          <w:i/>
        </w:rPr>
        <w:t>.</w:t>
      </w:r>
    </w:p>
    <w:p w14:paraId="60EC558F" w14:textId="3BFC4BB9" w:rsidR="00A46565" w:rsidRPr="00F83A7E" w:rsidRDefault="00CD62A1" w:rsidP="00F83A7E">
      <w:pPr>
        <w:jc w:val="both"/>
      </w:pPr>
      <w:r>
        <w:rPr>
          <w:b/>
          <w:i/>
        </w:rPr>
        <w:t>T</w:t>
      </w:r>
      <w:r w:rsidR="00664BAC" w:rsidRPr="00664BAC">
        <w:rPr>
          <w:b/>
          <w:i/>
        </w:rPr>
        <w:t xml:space="preserve">he population enrolled in the </w:t>
      </w:r>
      <w:r w:rsidR="0093210A">
        <w:rPr>
          <w:b/>
          <w:i/>
        </w:rPr>
        <w:t xml:space="preserve">identified </w:t>
      </w:r>
      <w:r w:rsidR="00664BAC" w:rsidRPr="00664BAC">
        <w:rPr>
          <w:b/>
          <w:i/>
        </w:rPr>
        <w:t xml:space="preserve">RCTs that formed the basis of evidence is </w:t>
      </w:r>
      <w:r w:rsidR="0093210A">
        <w:rPr>
          <w:b/>
          <w:i/>
        </w:rPr>
        <w:t>not fully</w:t>
      </w:r>
      <w:r w:rsidR="00664BAC" w:rsidRPr="00664BAC">
        <w:rPr>
          <w:b/>
          <w:i/>
        </w:rPr>
        <w:t xml:space="preserve"> representative of the Australian population for whom ezetimibe is</w:t>
      </w:r>
      <w:r w:rsidR="0093210A">
        <w:rPr>
          <w:b/>
          <w:i/>
        </w:rPr>
        <w:t xml:space="preserve"> currently</w:t>
      </w:r>
      <w:r w:rsidR="00664BAC" w:rsidRPr="00664BAC">
        <w:rPr>
          <w:b/>
          <w:i/>
        </w:rPr>
        <w:t xml:space="preserve"> </w:t>
      </w:r>
      <w:r w:rsidR="00AD2025">
        <w:rPr>
          <w:b/>
          <w:i/>
        </w:rPr>
        <w:t>indicated</w:t>
      </w:r>
      <w:r w:rsidR="008A58DA">
        <w:rPr>
          <w:b/>
          <w:i/>
        </w:rPr>
        <w:t xml:space="preserve"> according to PBS listing</w:t>
      </w:r>
      <w:r w:rsidR="00664BAC" w:rsidRPr="00664BAC">
        <w:rPr>
          <w:b/>
          <w:i/>
        </w:rPr>
        <w:t xml:space="preserve">. </w:t>
      </w:r>
    </w:p>
    <w:p w14:paraId="1EB47E27" w14:textId="77777777" w:rsidR="00A015D1" w:rsidRDefault="00A015D1" w:rsidP="00721D1F">
      <w:pPr>
        <w:pStyle w:val="Heading2"/>
      </w:pPr>
    </w:p>
    <w:p w14:paraId="72CE38F5" w14:textId="77777777" w:rsidR="00721D1F" w:rsidRDefault="00721D1F" w:rsidP="00721D1F">
      <w:pPr>
        <w:pStyle w:val="Heading2"/>
      </w:pPr>
      <w:bookmarkStart w:id="60" w:name="_Toc467857758"/>
      <w:r>
        <w:t>2.4.2. Treatment details</w:t>
      </w:r>
      <w:bookmarkEnd w:id="60"/>
    </w:p>
    <w:p w14:paraId="6C6C0C35" w14:textId="77777777" w:rsidR="00076BB0" w:rsidRPr="00076BB0" w:rsidRDefault="00076BB0" w:rsidP="00076BB0"/>
    <w:p w14:paraId="01864720" w14:textId="5EA583FD" w:rsidR="004F6CB3" w:rsidRDefault="00D33010" w:rsidP="0038135B">
      <w:pPr>
        <w:jc w:val="both"/>
      </w:pPr>
      <w:r>
        <w:t xml:space="preserve">In all RCTs </w:t>
      </w:r>
      <w:r w:rsidR="0038135B">
        <w:t>e</w:t>
      </w:r>
      <w:r w:rsidR="00721D1F">
        <w:t xml:space="preserve">zetimibe </w:t>
      </w:r>
      <w:r w:rsidR="00076BB0">
        <w:t xml:space="preserve">was administered </w:t>
      </w:r>
      <w:r w:rsidR="001109E8">
        <w:t xml:space="preserve">at the approved dose of </w:t>
      </w:r>
      <w:r w:rsidR="00076BB0">
        <w:t>10 mg per day orally either as first-line treatment or second-line treatment</w:t>
      </w:r>
      <w:r>
        <w:t>.</w:t>
      </w:r>
      <w:r w:rsidR="00076BB0">
        <w:t xml:space="preserve"> </w:t>
      </w:r>
      <w:r>
        <w:t>Out of all identified studies, 28 RCTs had a</w:t>
      </w:r>
      <w:r w:rsidR="00076BB0">
        <w:t xml:space="preserve"> duration </w:t>
      </w:r>
      <w:r w:rsidR="0038135B">
        <w:t xml:space="preserve">that </w:t>
      </w:r>
      <w:r w:rsidR="00076BB0">
        <w:t xml:space="preserve">varied from </w:t>
      </w:r>
      <w:r w:rsidR="006E651D" w:rsidRPr="00D33010">
        <w:t xml:space="preserve">4 </w:t>
      </w:r>
      <w:r w:rsidR="00076BB0" w:rsidRPr="00D33010">
        <w:t>weeks</w:t>
      </w:r>
      <w:r w:rsidR="00076BB0">
        <w:t xml:space="preserve"> to </w:t>
      </w:r>
      <w:r>
        <w:t>24 weeks; two longer term studies were 2</w:t>
      </w:r>
      <w:r w:rsidR="00076BB0">
        <w:t xml:space="preserve"> years</w:t>
      </w:r>
      <w:r>
        <w:t xml:space="preserve"> Kastelein (2008) trial and 7 years IMPROVE-IT trial (Cannon 2015)</w:t>
      </w:r>
      <w:r w:rsidR="00076BB0" w:rsidRPr="0038135B">
        <w:t>.</w:t>
      </w:r>
      <w:r w:rsidR="00223D73" w:rsidRPr="0038135B">
        <w:t xml:space="preserve"> </w:t>
      </w:r>
      <w:r w:rsidR="0038135B" w:rsidRPr="0038135B">
        <w:t xml:space="preserve">In the second-line therapy </w:t>
      </w:r>
      <w:r w:rsidR="0038135B">
        <w:t>trials</w:t>
      </w:r>
      <w:r w:rsidR="0038135B" w:rsidRPr="0038135B">
        <w:t xml:space="preserve"> </w:t>
      </w:r>
      <w:r w:rsidR="00223D73" w:rsidRPr="0038135B">
        <w:t xml:space="preserve">ezetimibe </w:t>
      </w:r>
      <w:r w:rsidR="0038135B">
        <w:t>was either added</w:t>
      </w:r>
      <w:r w:rsidR="004E010D">
        <w:t xml:space="preserve"> to the </w:t>
      </w:r>
      <w:r w:rsidR="0038135B">
        <w:t>ongoing treatment with</w:t>
      </w:r>
      <w:r w:rsidR="004E010D">
        <w:t xml:space="preserve"> </w:t>
      </w:r>
      <w:r w:rsidR="0038135B">
        <w:t>statins</w:t>
      </w:r>
      <w:r w:rsidR="00174D7F">
        <w:t xml:space="preserve"> </w:t>
      </w:r>
      <w:r w:rsidR="004E010D">
        <w:t xml:space="preserve">or </w:t>
      </w:r>
      <w:r w:rsidR="002D5398">
        <w:t>administer</w:t>
      </w:r>
      <w:r w:rsidR="004E010D">
        <w:t>ed following a lead-in phase of statin treatment</w:t>
      </w:r>
      <w:r w:rsidR="002D5398">
        <w:t xml:space="preserve"> (</w:t>
      </w:r>
      <w:r w:rsidR="00B179C4">
        <w:t xml:space="preserve">Cannon 2015, </w:t>
      </w:r>
      <w:r w:rsidR="002D5398">
        <w:t>Stein 2004; Gaudiani 2005;</w:t>
      </w:r>
      <w:r w:rsidR="00B179C4">
        <w:t xml:space="preserve"> </w:t>
      </w:r>
      <w:r w:rsidR="00B179C4" w:rsidRPr="00302B95">
        <w:t>Barrios</w:t>
      </w:r>
      <w:r w:rsidR="00B179C4">
        <w:t xml:space="preserve"> 2005</w:t>
      </w:r>
      <w:r w:rsidR="00B179C4" w:rsidRPr="00302B95">
        <w:t xml:space="preserve">, </w:t>
      </w:r>
      <w:r w:rsidR="00B179C4">
        <w:t xml:space="preserve">Dobs 2003, Conard 2008, Pesaro 2013, Zieve 2010, Farnier 2009, McCormac 2010, </w:t>
      </w:r>
      <w:r w:rsidR="00B179C4" w:rsidRPr="00B8258D">
        <w:t>Constance 2007</w:t>
      </w:r>
      <w:r w:rsidR="00B179C4">
        <w:t>, Leiter 2008</w:t>
      </w:r>
      <w:r w:rsidR="002D5398">
        <w:t xml:space="preserve">). </w:t>
      </w:r>
      <w:r w:rsidR="004F6CB3">
        <w:t xml:space="preserve">The background treatment in </w:t>
      </w:r>
      <w:r w:rsidR="00933E18">
        <w:t xml:space="preserve">RCTs </w:t>
      </w:r>
      <w:r w:rsidR="004F6CB3">
        <w:t>included statins</w:t>
      </w:r>
      <w:r w:rsidR="00933E18" w:rsidRPr="00933E18">
        <w:t xml:space="preserve"> </w:t>
      </w:r>
      <w:r w:rsidR="00933E18">
        <w:t>of different potency</w:t>
      </w:r>
      <w:r w:rsidR="004F6CB3">
        <w:t>: simvasta</w:t>
      </w:r>
      <w:r w:rsidR="00745110">
        <w:t>tin, atorvastatin and rosuvastatin</w:t>
      </w:r>
      <w:r w:rsidR="004F6CB3">
        <w:t xml:space="preserve"> </w:t>
      </w:r>
      <w:r w:rsidR="00745110">
        <w:t>wi</w:t>
      </w:r>
      <w:r w:rsidR="004F6CB3">
        <w:t xml:space="preserve">th different strength of doses. </w:t>
      </w:r>
      <w:r w:rsidR="00933E18">
        <w:t>In</w:t>
      </w:r>
      <w:r w:rsidR="004F6CB3">
        <w:t xml:space="preserve"> </w:t>
      </w:r>
      <w:r w:rsidR="00B179C4">
        <w:t xml:space="preserve">four </w:t>
      </w:r>
      <w:r w:rsidR="00933E18">
        <w:t xml:space="preserve">RCTs, doses of statin were </w:t>
      </w:r>
      <w:r w:rsidR="004F6CB3">
        <w:t xml:space="preserve">up-titrated in both </w:t>
      </w:r>
      <w:r w:rsidR="00933E18">
        <w:t xml:space="preserve">the </w:t>
      </w:r>
      <w:r w:rsidR="004F6CB3">
        <w:t xml:space="preserve">intervention and </w:t>
      </w:r>
      <w:r w:rsidR="00933E18">
        <w:t xml:space="preserve">the </w:t>
      </w:r>
      <w:r w:rsidR="004F6CB3">
        <w:t xml:space="preserve">comparator arms aiming to reach the </w:t>
      </w:r>
      <w:r w:rsidR="00933E18">
        <w:t>maximum</w:t>
      </w:r>
      <w:r w:rsidR="004F6CB3">
        <w:t xml:space="preserve"> potency of the administered statin through the course of trial (</w:t>
      </w:r>
      <w:r w:rsidR="00B179C4">
        <w:t xml:space="preserve">Cannon 2015; </w:t>
      </w:r>
      <w:r w:rsidR="004F6CB3">
        <w:t xml:space="preserve">Ballantyne 2004; McKenney </w:t>
      </w:r>
      <w:r w:rsidR="00B179C4">
        <w:t>2007; Stein 2004</w:t>
      </w:r>
      <w:r w:rsidR="00933E18">
        <w:t xml:space="preserve">). In other </w:t>
      </w:r>
      <w:r w:rsidR="00745110">
        <w:t>18</w:t>
      </w:r>
      <w:r w:rsidR="00933E18">
        <w:t xml:space="preserve"> trials</w:t>
      </w:r>
      <w:r w:rsidR="004F6CB3">
        <w:t xml:space="preserve"> the dose of statin </w:t>
      </w:r>
      <w:r w:rsidR="00933E18">
        <w:t xml:space="preserve">in the comparator arm </w:t>
      </w:r>
      <w:r w:rsidR="004F6CB3">
        <w:t xml:space="preserve">was </w:t>
      </w:r>
      <w:r w:rsidR="00B179C4">
        <w:t xml:space="preserve">up-titrated either in terms of </w:t>
      </w:r>
      <w:r w:rsidR="004F6CB3">
        <w:t>doubl</w:t>
      </w:r>
      <w:r w:rsidR="00B179C4">
        <w:t>ing</w:t>
      </w:r>
      <w:r w:rsidR="00933E18">
        <w:t xml:space="preserve"> </w:t>
      </w:r>
      <w:r w:rsidR="00B179C4">
        <w:t xml:space="preserve">the dose or switching to a more potent statin. Doubling the dose could be administered </w:t>
      </w:r>
      <w:r w:rsidR="00933E18">
        <w:t xml:space="preserve">either forcefully or depending on whether the target in lipid reduction was </w:t>
      </w:r>
      <w:r w:rsidR="00A25611">
        <w:t>achieved</w:t>
      </w:r>
      <w:r w:rsidR="00B179C4">
        <w:t xml:space="preserve"> (dose-response titration)</w:t>
      </w:r>
      <w:r w:rsidR="00A25611">
        <w:t xml:space="preserve"> (</w:t>
      </w:r>
      <w:r w:rsidR="004F6CB3">
        <w:t>Gaudiani 2005; Teramoto 2012; Zieve 2010)</w:t>
      </w:r>
      <w:r w:rsidR="000C20E4">
        <w:t>.</w:t>
      </w:r>
    </w:p>
    <w:p w14:paraId="57EEDC4C" w14:textId="71AAE148" w:rsidR="004F6CB3" w:rsidRDefault="00A25611" w:rsidP="00310D25">
      <w:pPr>
        <w:jc w:val="both"/>
      </w:pPr>
      <w:r>
        <w:t>In</w:t>
      </w:r>
      <w:r w:rsidR="004F6CB3">
        <w:t xml:space="preserve"> the IMPROVE-IT</w:t>
      </w:r>
      <w:r>
        <w:t xml:space="preserve"> trial up-</w:t>
      </w:r>
      <w:r w:rsidR="004F6CB3">
        <w:t>titration (doubling the dose</w:t>
      </w:r>
      <w:r>
        <w:t xml:space="preserve"> of simvastatin </w:t>
      </w:r>
      <w:r w:rsidR="004F6CB3">
        <w:t xml:space="preserve">to 80 mg/day) was planned in the initial protocol for patients in both arms who did not achieve the target level of LDL-c over the course of trial. However, in response to the FDA guidance (2011) for limiting new </w:t>
      </w:r>
      <w:r>
        <w:t xml:space="preserve">80mg simvastatin </w:t>
      </w:r>
      <w:r w:rsidR="004F6CB3">
        <w:t>prescription</w:t>
      </w:r>
      <w:r>
        <w:t>s</w:t>
      </w:r>
      <w:r w:rsidR="004F6CB3">
        <w:t xml:space="preserve">, amendment was made to the protocol </w:t>
      </w:r>
      <w:r w:rsidR="00310D25">
        <w:t>patients were no longer eligible for an increased dose of simvastatin to 80 mg, and any patient who had been receiving the 80-mg dose for less than 1 year had the dose reduced to 40 mg</w:t>
      </w:r>
      <w:r w:rsidR="004F6CB3">
        <w:t xml:space="preserve">. </w:t>
      </w:r>
    </w:p>
    <w:p w14:paraId="081D3B2D" w14:textId="58F1C0F6" w:rsidR="00721D1F" w:rsidRDefault="00337EA5" w:rsidP="0038135B">
      <w:pPr>
        <w:jc w:val="both"/>
      </w:pPr>
      <w:r>
        <w:t xml:space="preserve">In </w:t>
      </w:r>
      <w:r w:rsidR="00DE5B47">
        <w:t xml:space="preserve">19 </w:t>
      </w:r>
      <w:r>
        <w:t xml:space="preserve">of the identified </w:t>
      </w:r>
      <w:r w:rsidR="00310D25">
        <w:t>RCTs</w:t>
      </w:r>
      <w:r w:rsidR="002D5398">
        <w:t xml:space="preserve"> </w:t>
      </w:r>
      <w:r>
        <w:t>intervention was</w:t>
      </w:r>
      <w:r w:rsidR="00310D25">
        <w:t xml:space="preserve"> the first-line treatment</w:t>
      </w:r>
      <w:r>
        <w:t xml:space="preserve"> of</w:t>
      </w:r>
      <w:r w:rsidR="00310D25">
        <w:t xml:space="preserve"> </w:t>
      </w:r>
      <w:r>
        <w:t xml:space="preserve">ezetimibe in combination with a statin </w:t>
      </w:r>
      <w:r w:rsidR="005C0F44">
        <w:t>either</w:t>
      </w:r>
      <w:r w:rsidR="00310D25">
        <w:t xml:space="preserve"> </w:t>
      </w:r>
      <w:r>
        <w:t xml:space="preserve">in </w:t>
      </w:r>
      <w:r w:rsidR="005C0F44">
        <w:t xml:space="preserve">only </w:t>
      </w:r>
      <w:r w:rsidR="00310D25">
        <w:t xml:space="preserve">statin-naïve </w:t>
      </w:r>
      <w:r w:rsidR="005C0F44">
        <w:t xml:space="preserve">patients </w:t>
      </w:r>
      <w:r w:rsidR="00310D25">
        <w:t xml:space="preserve">or the patients who </w:t>
      </w:r>
      <w:r w:rsidR="005C0F44">
        <w:t>underwent a wash</w:t>
      </w:r>
      <w:r w:rsidR="00310D25">
        <w:t>-</w:t>
      </w:r>
      <w:r w:rsidR="005C0F44">
        <w:t>out period</w:t>
      </w:r>
      <w:r w:rsidR="00310D25">
        <w:t>.</w:t>
      </w:r>
      <w:r w:rsidR="005C0F44">
        <w:t xml:space="preserve"> </w:t>
      </w:r>
    </w:p>
    <w:p w14:paraId="293FA7FA" w14:textId="216A6893" w:rsidR="000C20E4" w:rsidRPr="000C20E4" w:rsidRDefault="00337EA5" w:rsidP="00BD6F2F">
      <w:pPr>
        <w:spacing w:after="0"/>
        <w:rPr>
          <w:b/>
          <w:i/>
        </w:rPr>
      </w:pPr>
      <w:r>
        <w:rPr>
          <w:b/>
          <w:i/>
        </w:rPr>
        <w:t>T</w:t>
      </w:r>
      <w:r w:rsidR="000C20E4" w:rsidRPr="000C20E4">
        <w:rPr>
          <w:b/>
          <w:i/>
        </w:rPr>
        <w:t xml:space="preserve">he </w:t>
      </w:r>
      <w:r w:rsidR="000B2DED">
        <w:rPr>
          <w:b/>
          <w:i/>
        </w:rPr>
        <w:t xml:space="preserve">PBS approved </w:t>
      </w:r>
      <w:r w:rsidR="000C20E4" w:rsidRPr="000C20E4">
        <w:rPr>
          <w:b/>
          <w:i/>
        </w:rPr>
        <w:t xml:space="preserve">dose regimen of ezetimibe </w:t>
      </w:r>
      <w:r w:rsidR="008A58DA">
        <w:rPr>
          <w:b/>
          <w:i/>
        </w:rPr>
        <w:t xml:space="preserve">(10 mg/QD) </w:t>
      </w:r>
      <w:r w:rsidR="000C20E4" w:rsidRPr="000C20E4">
        <w:rPr>
          <w:b/>
          <w:i/>
        </w:rPr>
        <w:t xml:space="preserve">was consistent across </w:t>
      </w:r>
      <w:r>
        <w:rPr>
          <w:b/>
          <w:i/>
        </w:rPr>
        <w:t xml:space="preserve">all included RCTs however </w:t>
      </w:r>
      <w:r w:rsidR="000C20E4" w:rsidRPr="000C20E4">
        <w:rPr>
          <w:b/>
          <w:i/>
        </w:rPr>
        <w:t xml:space="preserve">significant </w:t>
      </w:r>
      <w:r w:rsidR="00310D25">
        <w:rPr>
          <w:b/>
          <w:i/>
        </w:rPr>
        <w:t>variability</w:t>
      </w:r>
      <w:r w:rsidR="000C20E4" w:rsidRPr="000C20E4">
        <w:rPr>
          <w:b/>
          <w:i/>
        </w:rPr>
        <w:t xml:space="preserve"> in </w:t>
      </w:r>
      <w:r w:rsidR="000C20E4" w:rsidRPr="00337EA5">
        <w:rPr>
          <w:b/>
          <w:i/>
        </w:rPr>
        <w:t>background treatment</w:t>
      </w:r>
      <w:r w:rsidRPr="00337EA5">
        <w:rPr>
          <w:b/>
          <w:i/>
        </w:rPr>
        <w:t xml:space="preserve">, designs and duration of the identified trials </w:t>
      </w:r>
      <w:r w:rsidR="00310D25" w:rsidRPr="00337EA5">
        <w:rPr>
          <w:b/>
          <w:i/>
        </w:rPr>
        <w:t xml:space="preserve">suggests </w:t>
      </w:r>
      <w:r w:rsidRPr="00337EA5">
        <w:rPr>
          <w:b/>
          <w:i/>
        </w:rPr>
        <w:t xml:space="preserve">underlying heterogeneity </w:t>
      </w:r>
      <w:r>
        <w:rPr>
          <w:b/>
          <w:i/>
        </w:rPr>
        <w:t>across the trials</w:t>
      </w:r>
      <w:r w:rsidR="000C20E4" w:rsidRPr="000C20E4">
        <w:rPr>
          <w:b/>
          <w:i/>
        </w:rPr>
        <w:t xml:space="preserve">. </w:t>
      </w:r>
    </w:p>
    <w:p w14:paraId="2B41F53D" w14:textId="77777777" w:rsidR="000C20E4" w:rsidRDefault="000C20E4" w:rsidP="00BD6F2F">
      <w:pPr>
        <w:pStyle w:val="Heading2"/>
        <w:spacing w:before="0"/>
      </w:pPr>
    </w:p>
    <w:p w14:paraId="0B78ED04" w14:textId="2067CC12" w:rsidR="009C0434" w:rsidRDefault="009C0434" w:rsidP="00BD6F2F">
      <w:pPr>
        <w:pStyle w:val="Heading2"/>
        <w:spacing w:before="0"/>
      </w:pPr>
      <w:bookmarkStart w:id="61" w:name="_Toc467857759"/>
      <w:r>
        <w:t>2.4.3. Outcomes</w:t>
      </w:r>
      <w:bookmarkEnd w:id="61"/>
    </w:p>
    <w:p w14:paraId="490C9918" w14:textId="77777777" w:rsidR="009C0434" w:rsidRDefault="009C0434" w:rsidP="00BD6F2F">
      <w:pPr>
        <w:spacing w:after="0"/>
      </w:pPr>
    </w:p>
    <w:p w14:paraId="4970F1FA" w14:textId="2C5304E9" w:rsidR="00351AC6" w:rsidRDefault="00351AC6" w:rsidP="00BD6F2F">
      <w:pPr>
        <w:pStyle w:val="Heading4"/>
        <w:spacing w:before="0"/>
        <w:rPr>
          <w:lang w:eastAsia="en-US"/>
        </w:rPr>
      </w:pPr>
      <w:r>
        <w:rPr>
          <w:lang w:eastAsia="en-US"/>
        </w:rPr>
        <w:t>Long-term patient outcomes</w:t>
      </w:r>
    </w:p>
    <w:p w14:paraId="555FB259" w14:textId="77777777" w:rsidR="00351AC6" w:rsidRDefault="00351AC6" w:rsidP="00BD6F2F">
      <w:pPr>
        <w:spacing w:after="0"/>
      </w:pPr>
    </w:p>
    <w:p w14:paraId="27771980" w14:textId="58CC3AF5" w:rsidR="00625E38" w:rsidRDefault="00346E40" w:rsidP="00BD6F2F">
      <w:pPr>
        <w:spacing w:after="0"/>
      </w:pPr>
      <w:r>
        <w:t xml:space="preserve">The IMPROVE-IT trial </w:t>
      </w:r>
      <w:r w:rsidR="00335903">
        <w:t xml:space="preserve">(Cannon 2015) </w:t>
      </w:r>
      <w:r>
        <w:t>was the only RCT that met inclusion criteria</w:t>
      </w:r>
      <w:r w:rsidR="001A67DC">
        <w:t xml:space="preserve"> </w:t>
      </w:r>
      <w:r>
        <w:t xml:space="preserve">and measured final patient outcomes of morbidity and mortality as clinical endpoints. </w:t>
      </w:r>
      <w:r w:rsidR="001A67DC">
        <w:t xml:space="preserve">The IMPROVE-IT trial </w:t>
      </w:r>
      <w:r>
        <w:t xml:space="preserve">comparted ezetimibe in combination with </w:t>
      </w:r>
      <w:r w:rsidR="001A67DC">
        <w:t>simvastatin</w:t>
      </w:r>
      <w:r>
        <w:t xml:space="preserve"> in the intervention arm to</w:t>
      </w:r>
      <w:r w:rsidR="001A67DC">
        <w:t xml:space="preserve"> simvastatin plus placebo</w:t>
      </w:r>
      <w:r w:rsidR="00335903">
        <w:t xml:space="preserve"> as a comparator</w:t>
      </w:r>
      <w:r w:rsidR="001A67DC">
        <w:t xml:space="preserve"> in</w:t>
      </w:r>
      <w:r>
        <w:t xml:space="preserve"> </w:t>
      </w:r>
      <w:r w:rsidR="001A67DC">
        <w:t>p</w:t>
      </w:r>
      <w:r w:rsidR="00335903">
        <w:t>atients with acute coronary syndrome.</w:t>
      </w:r>
      <w:r w:rsidR="001A67DC">
        <w:t xml:space="preserve"> </w:t>
      </w:r>
      <w:r w:rsidR="00625E38">
        <w:t>Table 2.4.3 summarises the definiti</w:t>
      </w:r>
      <w:r w:rsidR="0039680E">
        <w:t>on of composite endpoints in IMPROVE-IT trial</w:t>
      </w:r>
      <w:r w:rsidR="00625E38">
        <w:t>.</w:t>
      </w:r>
    </w:p>
    <w:p w14:paraId="3836C40E" w14:textId="77777777" w:rsidR="004D6DA3" w:rsidRPr="00335903" w:rsidRDefault="004D6DA3" w:rsidP="00BD6F2F">
      <w:pPr>
        <w:spacing w:after="0"/>
        <w:rPr>
          <w:i/>
        </w:rPr>
      </w:pPr>
    </w:p>
    <w:p w14:paraId="16FC60A0" w14:textId="134AE5E3" w:rsidR="00FC5B8E" w:rsidRPr="0083333B" w:rsidRDefault="00FC5B8E" w:rsidP="00335903">
      <w:pPr>
        <w:pStyle w:val="Caption"/>
        <w:ind w:hanging="720"/>
        <w:rPr>
          <w:sz w:val="22"/>
          <w:szCs w:val="22"/>
        </w:rPr>
      </w:pPr>
      <w:r w:rsidRPr="0083333B">
        <w:rPr>
          <w:sz w:val="22"/>
          <w:szCs w:val="22"/>
        </w:rPr>
        <w:t xml:space="preserve">Table 2.4.3 Definition of clinical outcomes in </w:t>
      </w:r>
      <w:r w:rsidR="0039680E" w:rsidRPr="0083333B">
        <w:rPr>
          <w:sz w:val="22"/>
          <w:szCs w:val="22"/>
        </w:rPr>
        <w:t>IMPROVE-IT trial</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4056"/>
        <w:gridCol w:w="3226"/>
      </w:tblGrid>
      <w:tr w:rsidR="00AE4B6E" w:rsidRPr="00AE4B6E" w14:paraId="78069E22" w14:textId="2B294294" w:rsidTr="00D33010">
        <w:trPr>
          <w:cnfStyle w:val="100000000000" w:firstRow="1" w:lastRow="0" w:firstColumn="0" w:lastColumn="0" w:oddVBand="0" w:evenVBand="0" w:oddHBand="0" w:evenHBand="0" w:firstRowFirstColumn="0" w:firstRowLastColumn="0" w:lastRowFirstColumn="0" w:lastRowLastColumn="0"/>
        </w:trPr>
        <w:tc>
          <w:tcPr>
            <w:tcW w:w="1734" w:type="dxa"/>
          </w:tcPr>
          <w:p w14:paraId="2C45EE77" w14:textId="74100636" w:rsidR="00AE4B6E" w:rsidRPr="00AE4B6E" w:rsidRDefault="00AE4B6E" w:rsidP="00CC13D8">
            <w:pPr>
              <w:rPr>
                <w:rFonts w:ascii="Arial Narrow" w:hAnsi="Arial Narrow"/>
                <w:sz w:val="20"/>
                <w:szCs w:val="20"/>
              </w:rPr>
            </w:pPr>
            <w:r w:rsidRPr="00AE4B6E">
              <w:rPr>
                <w:rFonts w:ascii="Arial Narrow" w:hAnsi="Arial Narrow"/>
                <w:sz w:val="20"/>
                <w:szCs w:val="20"/>
              </w:rPr>
              <w:t xml:space="preserve">Study </w:t>
            </w:r>
          </w:p>
        </w:tc>
        <w:tc>
          <w:tcPr>
            <w:tcW w:w="4056" w:type="dxa"/>
          </w:tcPr>
          <w:p w14:paraId="11DA1FE7" w14:textId="3698EEF8" w:rsidR="00AE4B6E" w:rsidRPr="00AE4B6E" w:rsidRDefault="00AE4B6E" w:rsidP="00CC13D8">
            <w:pPr>
              <w:rPr>
                <w:rFonts w:ascii="Arial Narrow" w:hAnsi="Arial Narrow"/>
                <w:sz w:val="20"/>
                <w:szCs w:val="20"/>
              </w:rPr>
            </w:pPr>
            <w:r w:rsidRPr="00AE4B6E">
              <w:rPr>
                <w:rFonts w:ascii="Arial Narrow" w:hAnsi="Arial Narrow"/>
                <w:sz w:val="20"/>
                <w:szCs w:val="20"/>
              </w:rPr>
              <w:t>Definition of clinical outcome</w:t>
            </w:r>
          </w:p>
        </w:tc>
        <w:tc>
          <w:tcPr>
            <w:tcW w:w="3226" w:type="dxa"/>
          </w:tcPr>
          <w:p w14:paraId="68EBE2A8" w14:textId="5C6DE6C3" w:rsidR="00AE4B6E" w:rsidRPr="00AE4B6E" w:rsidRDefault="00AE4B6E" w:rsidP="00CC13D8">
            <w:pPr>
              <w:rPr>
                <w:rFonts w:ascii="Arial Narrow" w:hAnsi="Arial Narrow"/>
                <w:sz w:val="20"/>
                <w:szCs w:val="20"/>
              </w:rPr>
            </w:pPr>
            <w:r w:rsidRPr="00AE4B6E">
              <w:rPr>
                <w:rFonts w:ascii="Arial Narrow" w:hAnsi="Arial Narrow"/>
                <w:sz w:val="20"/>
                <w:szCs w:val="20"/>
              </w:rPr>
              <w:t>Statistical method used to compare difference between groups</w:t>
            </w:r>
          </w:p>
        </w:tc>
      </w:tr>
      <w:tr w:rsidR="00AE4B6E" w:rsidRPr="00AE4B6E" w14:paraId="0A3CC3F0" w14:textId="3C633E64" w:rsidTr="00D33010">
        <w:tc>
          <w:tcPr>
            <w:tcW w:w="1734" w:type="dxa"/>
          </w:tcPr>
          <w:p w14:paraId="0855BF0B" w14:textId="77777777" w:rsidR="00AE4B6E" w:rsidRDefault="00AE4B6E" w:rsidP="00CC13D8">
            <w:pPr>
              <w:rPr>
                <w:rFonts w:ascii="Arial Narrow" w:hAnsi="Arial Narrow"/>
                <w:sz w:val="20"/>
                <w:szCs w:val="20"/>
              </w:rPr>
            </w:pPr>
            <w:r w:rsidRPr="00AE4B6E">
              <w:rPr>
                <w:rFonts w:ascii="Arial Narrow" w:hAnsi="Arial Narrow"/>
                <w:sz w:val="20"/>
                <w:szCs w:val="20"/>
              </w:rPr>
              <w:t>IMPROVE-IT</w:t>
            </w:r>
          </w:p>
          <w:p w14:paraId="2667FB7F" w14:textId="77777777" w:rsidR="001064F7" w:rsidRPr="001064F7" w:rsidRDefault="001064F7" w:rsidP="001064F7">
            <w:pPr>
              <w:rPr>
                <w:rFonts w:ascii="Arial Narrow" w:hAnsi="Arial Narrow"/>
                <w:sz w:val="20"/>
                <w:szCs w:val="20"/>
              </w:rPr>
            </w:pPr>
            <w:r w:rsidRPr="001064F7">
              <w:rPr>
                <w:rFonts w:ascii="Arial Narrow" w:hAnsi="Arial Narrow"/>
                <w:sz w:val="20"/>
                <w:szCs w:val="20"/>
              </w:rPr>
              <w:t>(IMProved</w:t>
            </w:r>
          </w:p>
          <w:p w14:paraId="7E27FAA5" w14:textId="77777777" w:rsidR="001064F7" w:rsidRPr="001064F7" w:rsidRDefault="001064F7" w:rsidP="001064F7">
            <w:pPr>
              <w:rPr>
                <w:rFonts w:ascii="Arial Narrow" w:hAnsi="Arial Narrow"/>
                <w:sz w:val="20"/>
                <w:szCs w:val="20"/>
              </w:rPr>
            </w:pPr>
            <w:r w:rsidRPr="001064F7">
              <w:rPr>
                <w:rFonts w:ascii="Arial Narrow" w:hAnsi="Arial Narrow"/>
                <w:sz w:val="20"/>
                <w:szCs w:val="20"/>
              </w:rPr>
              <w:t>Reduction of</w:t>
            </w:r>
          </w:p>
          <w:p w14:paraId="5EC77F08" w14:textId="77777777" w:rsidR="001064F7" w:rsidRPr="001064F7" w:rsidRDefault="001064F7" w:rsidP="001064F7">
            <w:pPr>
              <w:rPr>
                <w:rFonts w:ascii="Arial Narrow" w:hAnsi="Arial Narrow"/>
                <w:sz w:val="20"/>
                <w:szCs w:val="20"/>
              </w:rPr>
            </w:pPr>
            <w:r w:rsidRPr="001064F7">
              <w:rPr>
                <w:rFonts w:ascii="Arial Narrow" w:hAnsi="Arial Narrow"/>
                <w:sz w:val="20"/>
                <w:szCs w:val="20"/>
              </w:rPr>
              <w:t>Outcomes:</w:t>
            </w:r>
          </w:p>
          <w:p w14:paraId="26612FBF" w14:textId="77777777" w:rsidR="001064F7" w:rsidRPr="001064F7" w:rsidRDefault="001064F7" w:rsidP="001064F7">
            <w:pPr>
              <w:rPr>
                <w:rFonts w:ascii="Arial Narrow" w:hAnsi="Arial Narrow"/>
                <w:sz w:val="20"/>
                <w:szCs w:val="20"/>
              </w:rPr>
            </w:pPr>
            <w:r w:rsidRPr="001064F7">
              <w:rPr>
                <w:rFonts w:ascii="Arial Narrow" w:hAnsi="Arial Narrow"/>
                <w:sz w:val="20"/>
                <w:szCs w:val="20"/>
              </w:rPr>
              <w:t>Vytorin Efficacy</w:t>
            </w:r>
          </w:p>
          <w:p w14:paraId="7971840E" w14:textId="77777777" w:rsidR="001064F7" w:rsidRPr="001064F7" w:rsidRDefault="001064F7" w:rsidP="001064F7">
            <w:pPr>
              <w:rPr>
                <w:rFonts w:ascii="Arial Narrow" w:hAnsi="Arial Narrow"/>
                <w:sz w:val="20"/>
                <w:szCs w:val="20"/>
              </w:rPr>
            </w:pPr>
            <w:r w:rsidRPr="001064F7">
              <w:rPr>
                <w:rFonts w:ascii="Arial Narrow" w:hAnsi="Arial Narrow"/>
                <w:sz w:val="20"/>
                <w:szCs w:val="20"/>
              </w:rPr>
              <w:t>International</w:t>
            </w:r>
          </w:p>
          <w:p w14:paraId="54513BA8" w14:textId="77777777" w:rsidR="001064F7" w:rsidRDefault="001064F7" w:rsidP="001064F7">
            <w:pPr>
              <w:rPr>
                <w:rFonts w:ascii="Arial Narrow" w:hAnsi="Arial Narrow"/>
                <w:sz w:val="20"/>
                <w:szCs w:val="20"/>
              </w:rPr>
            </w:pPr>
            <w:r w:rsidRPr="001064F7">
              <w:rPr>
                <w:rFonts w:ascii="Arial Narrow" w:hAnsi="Arial Narrow"/>
                <w:sz w:val="20"/>
                <w:szCs w:val="20"/>
              </w:rPr>
              <w:t>Trial)</w:t>
            </w:r>
          </w:p>
          <w:p w14:paraId="30ED678D" w14:textId="4B6A90C5" w:rsidR="00762C4F" w:rsidRPr="00AE4B6E" w:rsidRDefault="00762C4F" w:rsidP="001064F7">
            <w:pPr>
              <w:rPr>
                <w:rFonts w:ascii="Arial Narrow" w:hAnsi="Arial Narrow"/>
                <w:sz w:val="20"/>
                <w:szCs w:val="20"/>
              </w:rPr>
            </w:pPr>
            <w:r>
              <w:rPr>
                <w:rFonts w:ascii="Arial Narrow" w:hAnsi="Arial Narrow"/>
                <w:sz w:val="20"/>
                <w:szCs w:val="20"/>
              </w:rPr>
              <w:t>(Cannon 2015)</w:t>
            </w:r>
          </w:p>
        </w:tc>
        <w:tc>
          <w:tcPr>
            <w:tcW w:w="4056" w:type="dxa"/>
          </w:tcPr>
          <w:p w14:paraId="5486DAF1" w14:textId="77777777" w:rsidR="00AE4B6E" w:rsidRPr="00AE4B6E" w:rsidRDefault="00AE4B6E" w:rsidP="00CC13D8">
            <w:pPr>
              <w:rPr>
                <w:rFonts w:ascii="Arial Narrow" w:hAnsi="Arial Narrow"/>
                <w:sz w:val="20"/>
                <w:szCs w:val="20"/>
                <w:u w:val="single"/>
              </w:rPr>
            </w:pPr>
            <w:r w:rsidRPr="00AE4B6E">
              <w:rPr>
                <w:rFonts w:ascii="Arial Narrow" w:hAnsi="Arial Narrow"/>
                <w:sz w:val="20"/>
                <w:szCs w:val="20"/>
                <w:u w:val="single"/>
              </w:rPr>
              <w:t>Primary endpoint:</w:t>
            </w:r>
          </w:p>
          <w:p w14:paraId="60B7B3FB" w14:textId="77777777" w:rsidR="00AE4B6E" w:rsidRPr="00AE4B6E" w:rsidRDefault="00AE4B6E" w:rsidP="00CC13D8">
            <w:pPr>
              <w:rPr>
                <w:rFonts w:ascii="Arial Narrow" w:hAnsi="Arial Narrow"/>
                <w:sz w:val="20"/>
                <w:szCs w:val="20"/>
              </w:rPr>
            </w:pPr>
            <w:r w:rsidRPr="00AE4B6E">
              <w:rPr>
                <w:rFonts w:ascii="Arial Narrow" w:hAnsi="Arial Narrow"/>
                <w:sz w:val="20"/>
                <w:szCs w:val="20"/>
              </w:rPr>
              <w:t>Composite of CV death, major coronary events, and non-fatal stroke</w:t>
            </w:r>
          </w:p>
          <w:p w14:paraId="1F449AD3" w14:textId="77777777" w:rsidR="00AE4B6E" w:rsidRPr="00AE4B6E" w:rsidRDefault="00AE4B6E" w:rsidP="00CC13D8">
            <w:pPr>
              <w:rPr>
                <w:rFonts w:ascii="Arial Narrow" w:hAnsi="Arial Narrow"/>
                <w:sz w:val="20"/>
                <w:szCs w:val="20"/>
                <w:u w:val="single"/>
              </w:rPr>
            </w:pPr>
            <w:r w:rsidRPr="00AE4B6E">
              <w:rPr>
                <w:rFonts w:ascii="Arial Narrow" w:hAnsi="Arial Narrow"/>
                <w:sz w:val="20"/>
                <w:szCs w:val="20"/>
                <w:u w:val="single"/>
              </w:rPr>
              <w:t>Secondary endpoint:</w:t>
            </w:r>
          </w:p>
          <w:p w14:paraId="64A22CAB" w14:textId="77777777" w:rsidR="00AE4B6E" w:rsidRPr="00AE4B6E" w:rsidRDefault="00AE4B6E" w:rsidP="00CC13D8">
            <w:pPr>
              <w:rPr>
                <w:rFonts w:ascii="Arial Narrow" w:hAnsi="Arial Narrow"/>
                <w:sz w:val="20"/>
                <w:szCs w:val="20"/>
              </w:rPr>
            </w:pPr>
            <w:r w:rsidRPr="00AE4B6E">
              <w:rPr>
                <w:rFonts w:ascii="Arial Narrow" w:hAnsi="Arial Narrow"/>
                <w:sz w:val="20"/>
                <w:szCs w:val="20"/>
              </w:rPr>
              <w:t>Composites of:</w:t>
            </w:r>
          </w:p>
          <w:p w14:paraId="42E34E28" w14:textId="3A41337F" w:rsidR="00AE4B6E" w:rsidRPr="00AE4B6E" w:rsidRDefault="00AE4B6E" w:rsidP="00CC13D8">
            <w:pPr>
              <w:rPr>
                <w:rFonts w:ascii="Arial Narrow" w:hAnsi="Arial Narrow"/>
                <w:sz w:val="20"/>
                <w:szCs w:val="20"/>
              </w:rPr>
            </w:pPr>
            <w:r w:rsidRPr="00AE4B6E">
              <w:rPr>
                <w:rFonts w:ascii="Arial Narrow" w:hAnsi="Arial Narrow"/>
                <w:sz w:val="20"/>
                <w:szCs w:val="20"/>
              </w:rPr>
              <w:t>death from any cause, major coronary events, or non-fatal stroke;</w:t>
            </w:r>
          </w:p>
          <w:p w14:paraId="432BCE88" w14:textId="2C45A02F" w:rsidR="00AE4B6E" w:rsidRPr="00AE4B6E" w:rsidRDefault="00AE4B6E" w:rsidP="00CC13D8">
            <w:pPr>
              <w:rPr>
                <w:rFonts w:ascii="Arial Narrow" w:hAnsi="Arial Narrow"/>
                <w:sz w:val="20"/>
                <w:szCs w:val="20"/>
              </w:rPr>
            </w:pPr>
            <w:r w:rsidRPr="00AE4B6E">
              <w:rPr>
                <w:rFonts w:ascii="Arial Narrow" w:hAnsi="Arial Narrow"/>
                <w:sz w:val="20"/>
                <w:szCs w:val="20"/>
              </w:rPr>
              <w:t>CHD death, non-fatal MI, or urgent coronary revascularisation≥30 days after randomization;</w:t>
            </w:r>
          </w:p>
          <w:p w14:paraId="1EAA66F7" w14:textId="35EACEB5" w:rsidR="00AE4B6E" w:rsidRPr="00AE4B6E" w:rsidRDefault="00AE4B6E" w:rsidP="00CC13D8">
            <w:pPr>
              <w:rPr>
                <w:rFonts w:ascii="Arial Narrow" w:hAnsi="Arial Narrow"/>
                <w:sz w:val="20"/>
                <w:szCs w:val="20"/>
              </w:rPr>
            </w:pPr>
            <w:r w:rsidRPr="00AE4B6E">
              <w:rPr>
                <w:rFonts w:ascii="Arial Narrow" w:hAnsi="Arial Narrow"/>
                <w:sz w:val="20"/>
                <w:szCs w:val="20"/>
              </w:rPr>
              <w:t>CV death, non-fatal MI, documented UA requiring hospitalisation, all revascularisation, or non-fatal stroke</w:t>
            </w:r>
          </w:p>
        </w:tc>
        <w:tc>
          <w:tcPr>
            <w:tcW w:w="3226" w:type="dxa"/>
          </w:tcPr>
          <w:p w14:paraId="379FE232" w14:textId="1008871B" w:rsidR="006C4A3B" w:rsidRPr="006C4A3B" w:rsidRDefault="006C4A3B" w:rsidP="006C4A3B">
            <w:pPr>
              <w:rPr>
                <w:rFonts w:ascii="Arial Narrow" w:hAnsi="Arial Narrow"/>
                <w:sz w:val="20"/>
                <w:szCs w:val="20"/>
              </w:rPr>
            </w:pPr>
            <w:r>
              <w:rPr>
                <w:rFonts w:ascii="Arial Narrow" w:hAnsi="Arial Narrow"/>
                <w:sz w:val="20"/>
                <w:szCs w:val="20"/>
              </w:rPr>
              <w:t xml:space="preserve">Estimates of the hazard </w:t>
            </w:r>
            <w:r w:rsidRPr="006C4A3B">
              <w:rPr>
                <w:rFonts w:ascii="Arial Narrow" w:hAnsi="Arial Narrow"/>
                <w:sz w:val="20"/>
                <w:szCs w:val="20"/>
              </w:rPr>
              <w:t>ratios and associated 95% confidence intervals</w:t>
            </w:r>
          </w:p>
          <w:p w14:paraId="465D69BB" w14:textId="314DF787" w:rsidR="00AE4B6E" w:rsidRPr="006C4A3B" w:rsidRDefault="006C4A3B" w:rsidP="006C4A3B">
            <w:pPr>
              <w:rPr>
                <w:rFonts w:ascii="Arial Narrow" w:hAnsi="Arial Narrow"/>
                <w:sz w:val="20"/>
                <w:szCs w:val="20"/>
              </w:rPr>
            </w:pPr>
            <w:r w:rsidRPr="006C4A3B">
              <w:rPr>
                <w:rFonts w:ascii="Arial Narrow" w:hAnsi="Arial Narrow"/>
                <w:sz w:val="20"/>
                <w:szCs w:val="20"/>
              </w:rPr>
              <w:t>for the compariso</w:t>
            </w:r>
            <w:r>
              <w:rPr>
                <w:rFonts w:ascii="Arial Narrow" w:hAnsi="Arial Narrow"/>
                <w:sz w:val="20"/>
                <w:szCs w:val="20"/>
              </w:rPr>
              <w:t xml:space="preserve">n of simvastatin–ezetimibe with </w:t>
            </w:r>
            <w:r w:rsidRPr="006C4A3B">
              <w:rPr>
                <w:rFonts w:ascii="Arial Narrow" w:hAnsi="Arial Narrow"/>
                <w:sz w:val="20"/>
                <w:szCs w:val="20"/>
              </w:rPr>
              <w:t>simvastatin mon</w:t>
            </w:r>
            <w:r>
              <w:rPr>
                <w:rFonts w:ascii="Arial Narrow" w:hAnsi="Arial Narrow"/>
                <w:sz w:val="20"/>
                <w:szCs w:val="20"/>
              </w:rPr>
              <w:t xml:space="preserve">otherapy were obtained with the </w:t>
            </w:r>
            <w:r w:rsidRPr="006C4A3B">
              <w:rPr>
                <w:rFonts w:ascii="Arial Narrow" w:hAnsi="Arial Narrow"/>
                <w:sz w:val="20"/>
                <w:szCs w:val="20"/>
              </w:rPr>
              <w:t>use of a Cox p</w:t>
            </w:r>
            <w:r>
              <w:rPr>
                <w:rFonts w:ascii="Arial Narrow" w:hAnsi="Arial Narrow"/>
                <w:sz w:val="20"/>
                <w:szCs w:val="20"/>
              </w:rPr>
              <w:t xml:space="preserve">roportional-hazards model, with </w:t>
            </w:r>
            <w:r w:rsidRPr="006C4A3B">
              <w:rPr>
                <w:rFonts w:ascii="Arial Narrow" w:hAnsi="Arial Narrow"/>
                <w:sz w:val="20"/>
                <w:szCs w:val="20"/>
              </w:rPr>
              <w:t>study group and st</w:t>
            </w:r>
            <w:r>
              <w:rPr>
                <w:rFonts w:ascii="Arial Narrow" w:hAnsi="Arial Narrow"/>
                <w:sz w:val="20"/>
                <w:szCs w:val="20"/>
              </w:rPr>
              <w:t>ratification factors as covari</w:t>
            </w:r>
            <w:r w:rsidRPr="006C4A3B">
              <w:rPr>
                <w:rFonts w:ascii="Arial Narrow" w:hAnsi="Arial Narrow"/>
                <w:sz w:val="20"/>
                <w:szCs w:val="20"/>
              </w:rPr>
              <w:t>ates. Event rates</w:t>
            </w:r>
            <w:r>
              <w:rPr>
                <w:rFonts w:ascii="Arial Narrow" w:hAnsi="Arial Narrow"/>
                <w:sz w:val="20"/>
                <w:szCs w:val="20"/>
              </w:rPr>
              <w:t xml:space="preserve"> are Kaplan–Meier failure rates </w:t>
            </w:r>
            <w:r w:rsidRPr="006C4A3B">
              <w:rPr>
                <w:rFonts w:ascii="Arial Narrow" w:hAnsi="Arial Narrow"/>
                <w:sz w:val="20"/>
                <w:szCs w:val="20"/>
              </w:rPr>
              <w:t>at 7 years</w:t>
            </w:r>
            <w:r>
              <w:rPr>
                <w:rFonts w:ascii="Arial Narrow" w:hAnsi="Arial Narrow"/>
                <w:sz w:val="20"/>
                <w:szCs w:val="20"/>
              </w:rPr>
              <w:t>.</w:t>
            </w:r>
          </w:p>
        </w:tc>
      </w:tr>
    </w:tbl>
    <w:p w14:paraId="280C1744" w14:textId="77777777" w:rsidR="004D6DA3" w:rsidRDefault="004D6DA3" w:rsidP="0039680E">
      <w:pPr>
        <w:jc w:val="both"/>
      </w:pPr>
    </w:p>
    <w:p w14:paraId="6CF3F60F" w14:textId="77777777" w:rsidR="001E0BE6" w:rsidRDefault="00335903" w:rsidP="0039680E">
      <w:pPr>
        <w:jc w:val="both"/>
      </w:pPr>
      <w:r w:rsidRPr="0016290F">
        <w:t xml:space="preserve">IMPROVE-IT was a multicentre, randomised, </w:t>
      </w:r>
      <w:r w:rsidR="001E0BE6">
        <w:t>double-blind, active-controlled study in 18,144 patients with stabilised acute coronary syndrome</w:t>
      </w:r>
      <w:r w:rsidR="001E0BE6" w:rsidRPr="0016290F">
        <w:t xml:space="preserve"> </w:t>
      </w:r>
      <w:r w:rsidRPr="0016290F">
        <w:t xml:space="preserve">(ACS) and </w:t>
      </w:r>
      <w:r w:rsidR="0039680E">
        <w:t xml:space="preserve">the baseline </w:t>
      </w:r>
      <w:r w:rsidRPr="0016290F">
        <w:t xml:space="preserve">LDL-c ≥ 1.3 </w:t>
      </w:r>
      <w:r>
        <w:t xml:space="preserve">mmol/L </w:t>
      </w:r>
      <w:r w:rsidRPr="0016290F">
        <w:t xml:space="preserve">if they had not been taking </w:t>
      </w:r>
      <w:r>
        <w:t>lipid-lowering therapy, or ≤</w:t>
      </w:r>
      <w:r w:rsidRPr="0016290F">
        <w:t>2.6 mmol/L if they had been receiving lipid-lowering therapy. All subjects entering the study were assigned to randomised, double-blind treatment in a 1:1 ratio to either ezetimibe/simvastatin combination 10/40 mg once daily or simvastatin 40 mg</w:t>
      </w:r>
      <w:r w:rsidR="0039680E">
        <w:t xml:space="preserve"> and placebo</w:t>
      </w:r>
      <w:r w:rsidRPr="0016290F">
        <w:t xml:space="preserve"> once daily. Subsequently, if LDL-c was found to be &gt;2.05 mmol/L on two consecutive measurements in compliant patients in either treatment group, the dose of simvastatin was increased to 80 mg in a double-blind manner</w:t>
      </w:r>
      <w:r w:rsidR="0039680E">
        <w:t xml:space="preserve"> (see the note on protocol alteration in 2.4.2)</w:t>
      </w:r>
      <w:r w:rsidRPr="0016290F">
        <w:t>. The trial was specified to end after all subjects had been followed for a minimum of 2.5</w:t>
      </w:r>
      <w:r w:rsidR="0039680E">
        <w:t xml:space="preserve"> </w:t>
      </w:r>
      <w:r w:rsidRPr="0016290F">
        <w:t>years and a primary endpoint event had been documented in at least 5250 subjects. All subjects, including subjects who discontinued treatment, were to be monitored for clinical endpoint events until the termination of the study.</w:t>
      </w:r>
      <w:r>
        <w:t xml:space="preserve"> </w:t>
      </w:r>
    </w:p>
    <w:p w14:paraId="1C4BC46D" w14:textId="7F35E888" w:rsidR="00BD6F2F" w:rsidRPr="001E0BE6" w:rsidRDefault="001E0BE6" w:rsidP="00F60023">
      <w:pPr>
        <w:jc w:val="both"/>
        <w:rPr>
          <w:rFonts w:eastAsiaTheme="minorHAnsi"/>
          <w:lang w:eastAsia="en-US"/>
        </w:rPr>
      </w:pPr>
      <w:r w:rsidRPr="001E0BE6">
        <w:rPr>
          <w:rFonts w:eastAsiaTheme="minorHAnsi"/>
          <w:lang w:eastAsia="en-US"/>
        </w:rPr>
        <w:t>At a median follow-up of 6 years, ezetimibe plus simvastatin produced a 6.4% relative risk (RR) reduction in the primary composite efficacy end point of cardiovascular death, major coronary event, or non-fatal stroke compared with simvastatin alone (hazard ratio [HR] 0.936, 95% confidence interval [CI] 0.89 to 0.99</w:t>
      </w:r>
      <w:r>
        <w:rPr>
          <w:rFonts w:eastAsiaTheme="minorHAnsi"/>
          <w:lang w:eastAsia="en-US"/>
        </w:rPr>
        <w:t>;</w:t>
      </w:r>
      <w:r w:rsidRPr="001E0BE6">
        <w:t xml:space="preserve"> </w:t>
      </w:r>
      <w:r>
        <w:t>p=0.016</w:t>
      </w:r>
      <w:r w:rsidRPr="001E0BE6">
        <w:rPr>
          <w:rFonts w:eastAsiaTheme="minorHAnsi"/>
          <w:lang w:eastAsia="en-US"/>
        </w:rPr>
        <w:t xml:space="preserve">). </w:t>
      </w:r>
      <w:r>
        <w:t>The primary endpoint occurred in 2,572 of 9,067 subjects (7-year Kaplan-Meier [KM] rate 32.72%) in the ezetimibe/simvastatin group and in 2,742 of 9,077 subjects (7-year KM rate 34.67%) in the simvastatin + placebo group in the protocol-defined ITT population</w:t>
      </w:r>
      <w:r w:rsidRPr="0039680E">
        <w:t xml:space="preserve"> (Figure 2.4.3.1)</w:t>
      </w:r>
      <w:r>
        <w:t>.</w:t>
      </w:r>
      <w:r w:rsidRPr="001E0BE6">
        <w:rPr>
          <w:rFonts w:eastAsiaTheme="minorHAnsi"/>
          <w:lang w:eastAsia="en-US"/>
        </w:rPr>
        <w:t>There was a reduction in low-density lipoprotein cholesterol at 1 year of 0.43 mmol/</w:t>
      </w:r>
      <w:r w:rsidR="00F60023">
        <w:rPr>
          <w:rFonts w:eastAsiaTheme="minorHAnsi"/>
          <w:lang w:eastAsia="en-US"/>
        </w:rPr>
        <w:t>L</w:t>
      </w:r>
      <w:r w:rsidRPr="001E0BE6">
        <w:rPr>
          <w:rFonts w:eastAsiaTheme="minorHAnsi"/>
          <w:lang w:eastAsia="en-US"/>
        </w:rPr>
        <w:t xml:space="preserve"> with ezetimibe plus simvastatin compared with simvastatin alone (a relative reduction of 24%).</w:t>
      </w:r>
    </w:p>
    <w:p w14:paraId="2BAC8E17" w14:textId="11343E6E" w:rsidR="00335903" w:rsidRPr="0083333B" w:rsidRDefault="0039680E" w:rsidP="00335903">
      <w:pPr>
        <w:pStyle w:val="Caption"/>
        <w:rPr>
          <w:sz w:val="22"/>
          <w:szCs w:val="22"/>
        </w:rPr>
      </w:pPr>
      <w:r w:rsidRPr="0083333B">
        <w:rPr>
          <w:sz w:val="22"/>
          <w:szCs w:val="22"/>
        </w:rPr>
        <w:t>Figure 2.4.3</w:t>
      </w:r>
      <w:r w:rsidR="00335903" w:rsidRPr="0083333B">
        <w:rPr>
          <w:sz w:val="22"/>
          <w:szCs w:val="22"/>
        </w:rPr>
        <w:t xml:space="preserve"> </w:t>
      </w:r>
      <w:r w:rsidR="00762C4F" w:rsidRPr="0083333B">
        <w:rPr>
          <w:sz w:val="22"/>
          <w:szCs w:val="22"/>
        </w:rPr>
        <w:fldChar w:fldCharType="begin"/>
      </w:r>
      <w:r w:rsidR="00762C4F" w:rsidRPr="0083333B">
        <w:rPr>
          <w:sz w:val="22"/>
          <w:szCs w:val="22"/>
        </w:rPr>
        <w:instrText xml:space="preserve"> SEQ Figure_2.5.1 \* ARABIC </w:instrText>
      </w:r>
      <w:r w:rsidR="00762C4F" w:rsidRPr="0083333B">
        <w:rPr>
          <w:sz w:val="22"/>
          <w:szCs w:val="22"/>
        </w:rPr>
        <w:fldChar w:fldCharType="separate"/>
      </w:r>
      <w:r w:rsidR="00F81296">
        <w:rPr>
          <w:noProof/>
          <w:sz w:val="22"/>
          <w:szCs w:val="22"/>
        </w:rPr>
        <w:t>1</w:t>
      </w:r>
      <w:r w:rsidR="00762C4F" w:rsidRPr="0083333B">
        <w:rPr>
          <w:noProof/>
          <w:sz w:val="22"/>
          <w:szCs w:val="22"/>
        </w:rPr>
        <w:fldChar w:fldCharType="end"/>
      </w:r>
      <w:r w:rsidR="00335903" w:rsidRPr="0083333B">
        <w:rPr>
          <w:sz w:val="22"/>
          <w:szCs w:val="22"/>
        </w:rPr>
        <w:t xml:space="preserve"> Kaplan-Meier Curves for</w:t>
      </w:r>
      <w:r w:rsidR="00BD6F2F" w:rsidRPr="0083333B">
        <w:rPr>
          <w:sz w:val="22"/>
          <w:szCs w:val="22"/>
        </w:rPr>
        <w:t xml:space="preserve"> the Primary Efficacy End Point </w:t>
      </w:r>
      <w:r w:rsidR="00335903" w:rsidRPr="0083333B">
        <w:rPr>
          <w:sz w:val="22"/>
          <w:szCs w:val="22"/>
        </w:rPr>
        <w:t>IMPROVE-IT</w:t>
      </w:r>
    </w:p>
    <w:p w14:paraId="45DA0484" w14:textId="7F0DA95F" w:rsidR="00335903" w:rsidRDefault="00335903" w:rsidP="00F94310">
      <w:r w:rsidRPr="00B90169">
        <w:rPr>
          <w:noProof/>
          <w:lang w:eastAsia="en-AU"/>
        </w:rPr>
        <w:drawing>
          <wp:inline distT="0" distB="0" distL="0" distR="0" wp14:anchorId="79662EB1" wp14:editId="4CCF0AB8">
            <wp:extent cx="5158740" cy="4126132"/>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59699" cy="4126899"/>
                    </a:xfrm>
                    <a:prstGeom prst="rect">
                      <a:avLst/>
                    </a:prstGeom>
                    <a:noFill/>
                    <a:ln>
                      <a:noFill/>
                    </a:ln>
                  </pic:spPr>
                </pic:pic>
              </a:graphicData>
            </a:graphic>
          </wp:inline>
        </w:drawing>
      </w:r>
    </w:p>
    <w:p w14:paraId="5A4F03C5" w14:textId="1484F386" w:rsidR="00F60023" w:rsidRDefault="00F60023" w:rsidP="00295FA4">
      <w:pPr>
        <w:jc w:val="both"/>
        <w:rPr>
          <w:rFonts w:eastAsiaTheme="minorHAnsi"/>
          <w:lang w:eastAsia="en-US"/>
        </w:rPr>
      </w:pPr>
      <w:r w:rsidRPr="00F60023">
        <w:rPr>
          <w:rFonts w:eastAsiaTheme="minorHAnsi"/>
          <w:lang w:eastAsia="en-US"/>
        </w:rPr>
        <w:t xml:space="preserve">Although IMPROVE-IT </w:t>
      </w:r>
      <w:r w:rsidR="005D3A8A">
        <w:rPr>
          <w:rFonts w:eastAsiaTheme="minorHAnsi"/>
          <w:lang w:eastAsia="en-US"/>
        </w:rPr>
        <w:t>successfully demonstrated</w:t>
      </w:r>
      <w:r w:rsidRPr="00F60023">
        <w:rPr>
          <w:rFonts w:eastAsiaTheme="minorHAnsi"/>
          <w:lang w:eastAsia="en-US"/>
        </w:rPr>
        <w:t xml:space="preserve"> </w:t>
      </w:r>
      <w:r w:rsidR="005D3A8A">
        <w:rPr>
          <w:rFonts w:eastAsiaTheme="minorHAnsi"/>
          <w:lang w:eastAsia="en-US"/>
        </w:rPr>
        <w:t xml:space="preserve">a statistically significant </w:t>
      </w:r>
      <w:r w:rsidRPr="00F60023">
        <w:rPr>
          <w:rFonts w:eastAsiaTheme="minorHAnsi"/>
          <w:lang w:eastAsia="en-US"/>
        </w:rPr>
        <w:t>effect of adding ezetimibe to statin therapy on reducing cardiovascular events, the patient population</w:t>
      </w:r>
      <w:r w:rsidR="005D3A8A">
        <w:rPr>
          <w:rFonts w:eastAsiaTheme="minorHAnsi"/>
          <w:lang w:eastAsia="en-US"/>
        </w:rPr>
        <w:t xml:space="preserve"> in the trial</w:t>
      </w:r>
      <w:r w:rsidRPr="00F60023">
        <w:rPr>
          <w:rFonts w:eastAsiaTheme="minorHAnsi"/>
          <w:lang w:eastAsia="en-US"/>
        </w:rPr>
        <w:t xml:space="preserve"> was </w:t>
      </w:r>
      <w:r w:rsidR="00053A20">
        <w:rPr>
          <w:rFonts w:eastAsiaTheme="minorHAnsi"/>
          <w:lang w:eastAsia="en-US"/>
        </w:rPr>
        <w:t>inconsistent</w:t>
      </w:r>
      <w:r w:rsidRPr="00F60023">
        <w:rPr>
          <w:rFonts w:eastAsiaTheme="minorHAnsi"/>
          <w:lang w:eastAsia="en-US"/>
        </w:rPr>
        <w:t xml:space="preserve"> </w:t>
      </w:r>
      <w:r w:rsidR="00053A20">
        <w:rPr>
          <w:rFonts w:eastAsiaTheme="minorHAnsi"/>
          <w:lang w:eastAsia="en-US"/>
        </w:rPr>
        <w:t>with</w:t>
      </w:r>
      <w:r w:rsidRPr="00F60023">
        <w:rPr>
          <w:rFonts w:eastAsiaTheme="minorHAnsi"/>
          <w:lang w:eastAsia="en-US"/>
        </w:rPr>
        <w:t xml:space="preserve"> </w:t>
      </w:r>
      <w:r w:rsidR="00295FA4">
        <w:rPr>
          <w:rFonts w:eastAsiaTheme="minorHAnsi"/>
          <w:lang w:eastAsia="en-US"/>
        </w:rPr>
        <w:t>the population</w:t>
      </w:r>
      <w:r w:rsidR="00053A20">
        <w:rPr>
          <w:rFonts w:eastAsiaTheme="minorHAnsi"/>
          <w:lang w:eastAsia="en-US"/>
        </w:rPr>
        <w:t xml:space="preserve"> for whom</w:t>
      </w:r>
      <w:r w:rsidR="00295FA4">
        <w:rPr>
          <w:rFonts w:eastAsiaTheme="minorHAnsi"/>
          <w:lang w:eastAsia="en-US"/>
        </w:rPr>
        <w:t xml:space="preserve"> </w:t>
      </w:r>
      <w:r w:rsidR="00295FA4" w:rsidRPr="00F60023">
        <w:rPr>
          <w:rFonts w:eastAsiaTheme="minorHAnsi"/>
          <w:lang w:eastAsia="en-US"/>
        </w:rPr>
        <w:t>ezetimibe</w:t>
      </w:r>
      <w:r w:rsidR="00053A20">
        <w:rPr>
          <w:rFonts w:eastAsiaTheme="minorHAnsi"/>
          <w:lang w:eastAsia="en-US"/>
        </w:rPr>
        <w:t xml:space="preserve"> is indicated</w:t>
      </w:r>
      <w:r w:rsidRPr="00F60023">
        <w:rPr>
          <w:rFonts w:eastAsiaTheme="minorHAnsi"/>
          <w:lang w:eastAsia="en-US"/>
        </w:rPr>
        <w:t xml:space="preserve">. </w:t>
      </w:r>
      <w:r w:rsidRPr="005D3A8A">
        <w:rPr>
          <w:rFonts w:eastAsiaTheme="minorHAnsi"/>
          <w:i/>
          <w:lang w:eastAsia="en-US"/>
        </w:rPr>
        <w:t xml:space="preserve">Therefore, </w:t>
      </w:r>
      <w:r w:rsidR="005D3A8A" w:rsidRPr="005D3A8A">
        <w:rPr>
          <w:rFonts w:eastAsiaTheme="minorHAnsi"/>
          <w:i/>
          <w:lang w:eastAsia="en-US"/>
        </w:rPr>
        <w:t xml:space="preserve">in its recent submission to the Ezetimibe Review </w:t>
      </w:r>
      <w:r w:rsidR="00CA6F76">
        <w:rPr>
          <w:rFonts w:eastAsiaTheme="minorHAnsi"/>
          <w:i/>
          <w:lang w:eastAsia="en-US"/>
        </w:rPr>
        <w:t xml:space="preserve">conducted by NICE in UK </w:t>
      </w:r>
      <w:r w:rsidRPr="005D3A8A">
        <w:rPr>
          <w:rFonts w:eastAsiaTheme="minorHAnsi"/>
          <w:i/>
          <w:lang w:eastAsia="en-US"/>
        </w:rPr>
        <w:t xml:space="preserve">the </w:t>
      </w:r>
      <w:r w:rsidR="00053A20" w:rsidRPr="005D3A8A">
        <w:rPr>
          <w:rFonts w:eastAsiaTheme="minorHAnsi"/>
          <w:i/>
          <w:lang w:eastAsia="en-US"/>
        </w:rPr>
        <w:t>sponsor</w:t>
      </w:r>
      <w:r w:rsidRPr="005D3A8A">
        <w:rPr>
          <w:rFonts w:eastAsiaTheme="minorHAnsi"/>
          <w:i/>
          <w:lang w:eastAsia="en-US"/>
        </w:rPr>
        <w:t xml:space="preserve"> decided not to use the IMPROVE-IT data in its economic model. Instead, </w:t>
      </w:r>
      <w:r w:rsidR="00CA6F76">
        <w:rPr>
          <w:rFonts w:eastAsiaTheme="minorHAnsi"/>
          <w:i/>
          <w:lang w:eastAsia="en-US"/>
        </w:rPr>
        <w:t>the sponsor</w:t>
      </w:r>
      <w:r w:rsidRPr="005D3A8A">
        <w:rPr>
          <w:rFonts w:eastAsiaTheme="minorHAnsi"/>
          <w:i/>
          <w:lang w:eastAsia="en-US"/>
        </w:rPr>
        <w:t xml:space="preserve"> </w:t>
      </w:r>
      <w:r w:rsidR="00CA6F76" w:rsidRPr="005D3A8A">
        <w:rPr>
          <w:rFonts w:eastAsiaTheme="minorHAnsi"/>
          <w:i/>
          <w:lang w:eastAsia="en-US"/>
        </w:rPr>
        <w:t>chose</w:t>
      </w:r>
      <w:r w:rsidRPr="005D3A8A">
        <w:rPr>
          <w:rFonts w:eastAsiaTheme="minorHAnsi"/>
          <w:i/>
          <w:lang w:eastAsia="en-US"/>
        </w:rPr>
        <w:t xml:space="preserve"> to use the CTTC meta-analysis to model the effect of ezetimibe on cardiovascular outcomes linked to decreased LDL cholesterol.</w:t>
      </w:r>
      <w:r w:rsidR="00BD6F2F" w:rsidRPr="005D3A8A">
        <w:rPr>
          <w:rFonts w:eastAsiaTheme="minorHAnsi"/>
          <w:i/>
          <w:lang w:eastAsia="en-US"/>
        </w:rPr>
        <w:t xml:space="preserve"> </w:t>
      </w:r>
      <w:r w:rsidR="00CA6F76">
        <w:rPr>
          <w:rFonts w:eastAsiaTheme="minorHAnsi"/>
          <w:i/>
          <w:lang w:eastAsia="en-US"/>
        </w:rPr>
        <w:t xml:space="preserve">In the 2016 submission to </w:t>
      </w:r>
      <w:r w:rsidR="00CA6F76" w:rsidRPr="005D3A8A">
        <w:rPr>
          <w:rFonts w:eastAsiaTheme="minorHAnsi"/>
          <w:i/>
          <w:lang w:eastAsia="en-US"/>
        </w:rPr>
        <w:t xml:space="preserve">the </w:t>
      </w:r>
      <w:r w:rsidR="00CA6F76">
        <w:rPr>
          <w:rFonts w:eastAsiaTheme="minorHAnsi"/>
          <w:i/>
          <w:lang w:eastAsia="en-US"/>
        </w:rPr>
        <w:t xml:space="preserve">present </w:t>
      </w:r>
      <w:r w:rsidR="00CA6F76" w:rsidRPr="005D3A8A">
        <w:rPr>
          <w:rFonts w:eastAsiaTheme="minorHAnsi"/>
          <w:i/>
          <w:lang w:eastAsia="en-US"/>
        </w:rPr>
        <w:t>Review</w:t>
      </w:r>
      <w:r w:rsidR="00053A20" w:rsidRPr="005D3A8A">
        <w:rPr>
          <w:rFonts w:eastAsiaTheme="minorHAnsi"/>
          <w:i/>
          <w:lang w:eastAsia="en-US"/>
        </w:rPr>
        <w:t xml:space="preserve"> the sponsor used the results of the trial to validate the</w:t>
      </w:r>
      <w:r w:rsidR="00762C4F" w:rsidRPr="005D3A8A">
        <w:rPr>
          <w:rFonts w:eastAsiaTheme="minorHAnsi"/>
          <w:i/>
          <w:lang w:eastAsia="en-US"/>
        </w:rPr>
        <w:t xml:space="preserve"> </w:t>
      </w:r>
      <w:r w:rsidR="00053A20" w:rsidRPr="005D3A8A">
        <w:rPr>
          <w:rFonts w:eastAsiaTheme="minorHAnsi"/>
          <w:i/>
          <w:lang w:eastAsia="en-US"/>
        </w:rPr>
        <w:t>model</w:t>
      </w:r>
      <w:r w:rsidR="00762C4F" w:rsidRPr="005D3A8A">
        <w:rPr>
          <w:rFonts w:eastAsiaTheme="minorHAnsi"/>
          <w:i/>
          <w:lang w:eastAsia="en-US"/>
        </w:rPr>
        <w:t xml:space="preserve"> that </w:t>
      </w:r>
      <w:r w:rsidR="00CA6F76">
        <w:rPr>
          <w:rFonts w:eastAsiaTheme="minorHAnsi"/>
          <w:i/>
          <w:lang w:eastAsia="en-US"/>
        </w:rPr>
        <w:t xml:space="preserve">was </w:t>
      </w:r>
      <w:r w:rsidR="00762C4F" w:rsidRPr="005D3A8A">
        <w:rPr>
          <w:rFonts w:eastAsiaTheme="minorHAnsi"/>
          <w:i/>
          <w:lang w:eastAsia="en-US"/>
        </w:rPr>
        <w:t>used in the previous successful submissions</w:t>
      </w:r>
      <w:r w:rsidR="00CA6F76">
        <w:rPr>
          <w:rFonts w:eastAsiaTheme="minorHAnsi"/>
          <w:i/>
          <w:lang w:eastAsia="en-US"/>
        </w:rPr>
        <w:t xml:space="preserve"> to PBAC</w:t>
      </w:r>
      <w:r w:rsidR="00053A20" w:rsidRPr="005D3A8A">
        <w:rPr>
          <w:rFonts w:eastAsiaTheme="minorHAnsi"/>
          <w:i/>
          <w:lang w:eastAsia="en-US"/>
        </w:rPr>
        <w:t xml:space="preserve">.  </w:t>
      </w:r>
      <w:r w:rsidR="00CA6F76">
        <w:rPr>
          <w:rFonts w:eastAsiaTheme="minorHAnsi"/>
          <w:i/>
          <w:lang w:eastAsia="en-US"/>
        </w:rPr>
        <w:t>Critique of both</w:t>
      </w:r>
      <w:r w:rsidR="00BD6F2F" w:rsidRPr="005D3A8A">
        <w:rPr>
          <w:rFonts w:eastAsiaTheme="minorHAnsi"/>
          <w:i/>
          <w:lang w:eastAsia="en-US"/>
        </w:rPr>
        <w:t xml:space="preserve"> </w:t>
      </w:r>
      <w:r w:rsidR="00CA6F76">
        <w:rPr>
          <w:rFonts w:eastAsiaTheme="minorHAnsi"/>
          <w:i/>
          <w:lang w:eastAsia="en-US"/>
        </w:rPr>
        <w:t xml:space="preserve">models </w:t>
      </w:r>
      <w:r w:rsidR="00BD6F2F" w:rsidRPr="005D3A8A">
        <w:rPr>
          <w:rFonts w:eastAsiaTheme="minorHAnsi"/>
          <w:i/>
          <w:lang w:eastAsia="en-US"/>
        </w:rPr>
        <w:t>are available in a separate document “Summary of the economic evaluations of ezetimibe</w:t>
      </w:r>
      <w:r w:rsidR="00BD6F2F">
        <w:rPr>
          <w:rFonts w:eastAsiaTheme="minorHAnsi"/>
          <w:lang w:eastAsia="en-US"/>
        </w:rPr>
        <w:t>”.</w:t>
      </w:r>
    </w:p>
    <w:p w14:paraId="54391054" w14:textId="7B15EAC9" w:rsidR="00F601C5" w:rsidRDefault="00BD6F2F" w:rsidP="00F601C5">
      <w:pPr>
        <w:spacing w:after="0"/>
        <w:jc w:val="both"/>
        <w:rPr>
          <w:rFonts w:eastAsiaTheme="minorHAnsi"/>
          <w:lang w:eastAsia="en-US"/>
        </w:rPr>
      </w:pPr>
      <w:r w:rsidRPr="00053A20">
        <w:rPr>
          <w:rFonts w:eastAsiaTheme="minorHAnsi"/>
          <w:b/>
          <w:lang w:eastAsia="en-US"/>
        </w:rPr>
        <w:t xml:space="preserve">Long term patient outcomes reported in the IMPROVE-IT trial </w:t>
      </w:r>
      <w:r w:rsidR="005D3A8A">
        <w:rPr>
          <w:rFonts w:eastAsiaTheme="minorHAnsi"/>
          <w:b/>
          <w:lang w:eastAsia="en-US"/>
        </w:rPr>
        <w:t>may not be fully</w:t>
      </w:r>
      <w:r w:rsidRPr="00053A20">
        <w:rPr>
          <w:rFonts w:eastAsiaTheme="minorHAnsi"/>
          <w:b/>
          <w:lang w:eastAsia="en-US"/>
        </w:rPr>
        <w:t xml:space="preserve"> generalisab</w:t>
      </w:r>
      <w:r w:rsidR="005D3A8A">
        <w:rPr>
          <w:rFonts w:eastAsiaTheme="minorHAnsi"/>
          <w:b/>
          <w:lang w:eastAsia="en-US"/>
        </w:rPr>
        <w:t>le</w:t>
      </w:r>
      <w:r w:rsidRPr="00053A20">
        <w:rPr>
          <w:rFonts w:eastAsiaTheme="minorHAnsi"/>
          <w:b/>
          <w:lang w:eastAsia="en-US"/>
        </w:rPr>
        <w:t xml:space="preserve"> to the target population </w:t>
      </w:r>
      <w:r w:rsidR="00053A20" w:rsidRPr="00053A20">
        <w:rPr>
          <w:rFonts w:eastAsiaTheme="minorHAnsi"/>
          <w:b/>
          <w:lang w:eastAsia="en-US"/>
        </w:rPr>
        <w:t>due to incompatibility of the trial selection criteria to the PBS restriction criteria</w:t>
      </w:r>
      <w:r w:rsidR="00762C4F">
        <w:rPr>
          <w:rFonts w:eastAsiaTheme="minorHAnsi"/>
          <w:b/>
          <w:lang w:eastAsia="en-US"/>
        </w:rPr>
        <w:t xml:space="preserve"> for ezetimibe</w:t>
      </w:r>
      <w:r w:rsidR="00053A20">
        <w:rPr>
          <w:rFonts w:eastAsiaTheme="minorHAnsi"/>
          <w:lang w:eastAsia="en-US"/>
        </w:rPr>
        <w:t xml:space="preserve"> (i.e. the low LDL-C entry thresholds</w:t>
      </w:r>
      <w:r w:rsidR="00762C4F">
        <w:rPr>
          <w:rFonts w:eastAsiaTheme="minorHAnsi"/>
          <w:lang w:eastAsia="en-US"/>
        </w:rPr>
        <w:t xml:space="preserve">; no hypercholesterolaemia diagnosis as a selection criterion; use of ezetimibe as </w:t>
      </w:r>
      <w:r w:rsidR="00053A20">
        <w:rPr>
          <w:rFonts w:eastAsiaTheme="minorHAnsi"/>
          <w:lang w:eastAsia="en-US"/>
        </w:rPr>
        <w:t xml:space="preserve">the first line of treatment </w:t>
      </w:r>
      <w:r w:rsidR="00762C4F">
        <w:rPr>
          <w:rFonts w:eastAsiaTheme="minorHAnsi"/>
          <w:lang w:eastAsia="en-US"/>
        </w:rPr>
        <w:t xml:space="preserve">in </w:t>
      </w:r>
      <w:r w:rsidR="006B36C2">
        <w:rPr>
          <w:rFonts w:eastAsiaTheme="minorHAnsi"/>
          <w:lang w:eastAsia="en-US"/>
        </w:rPr>
        <w:t xml:space="preserve">a </w:t>
      </w:r>
      <w:r w:rsidR="00762C4F">
        <w:rPr>
          <w:rFonts w:eastAsiaTheme="minorHAnsi"/>
          <w:lang w:eastAsia="en-US"/>
        </w:rPr>
        <w:t>large proportion of</w:t>
      </w:r>
      <w:r w:rsidR="006B36C2">
        <w:rPr>
          <w:rFonts w:eastAsiaTheme="minorHAnsi"/>
          <w:lang w:eastAsia="en-US"/>
        </w:rPr>
        <w:t xml:space="preserve"> enrolled </w:t>
      </w:r>
      <w:r w:rsidR="00053A20">
        <w:rPr>
          <w:rFonts w:eastAsiaTheme="minorHAnsi"/>
          <w:lang w:eastAsia="en-US"/>
        </w:rPr>
        <w:t xml:space="preserve"> patients</w:t>
      </w:r>
      <w:r w:rsidR="006B36C2">
        <w:rPr>
          <w:rFonts w:eastAsiaTheme="minorHAnsi"/>
          <w:lang w:eastAsia="en-US"/>
        </w:rPr>
        <w:t>;</w:t>
      </w:r>
      <w:r w:rsidR="00053A20">
        <w:rPr>
          <w:rFonts w:eastAsiaTheme="minorHAnsi"/>
          <w:lang w:eastAsia="en-US"/>
        </w:rPr>
        <w:t xml:space="preserve"> </w:t>
      </w:r>
      <w:r w:rsidR="006B36C2">
        <w:rPr>
          <w:rFonts w:eastAsiaTheme="minorHAnsi"/>
          <w:lang w:eastAsia="en-US"/>
        </w:rPr>
        <w:t xml:space="preserve">the </w:t>
      </w:r>
      <w:r w:rsidR="00053A20">
        <w:rPr>
          <w:rFonts w:eastAsiaTheme="minorHAnsi"/>
          <w:lang w:eastAsia="en-US"/>
        </w:rPr>
        <w:t>unknown response/tolerance of the background statin treatment in patients who received ezetimibe as the second line treatment)</w:t>
      </w:r>
      <w:r w:rsidR="00F601C5">
        <w:rPr>
          <w:rFonts w:eastAsiaTheme="minorHAnsi"/>
          <w:lang w:eastAsia="en-US"/>
        </w:rPr>
        <w:t>.</w:t>
      </w:r>
    </w:p>
    <w:p w14:paraId="62B0CCF3" w14:textId="2C343B30" w:rsidR="00BD6F2F" w:rsidRDefault="00053A20" w:rsidP="00F601C5">
      <w:pPr>
        <w:spacing w:after="0"/>
        <w:jc w:val="both"/>
        <w:rPr>
          <w:rFonts w:eastAsiaTheme="minorHAnsi"/>
          <w:lang w:eastAsia="en-US"/>
        </w:rPr>
      </w:pPr>
      <w:r>
        <w:rPr>
          <w:rFonts w:eastAsiaTheme="minorHAnsi"/>
          <w:lang w:eastAsia="en-US"/>
        </w:rPr>
        <w:t xml:space="preserve"> </w:t>
      </w:r>
    </w:p>
    <w:p w14:paraId="7CA2C3EE" w14:textId="7AC0A69C" w:rsidR="004D6DA3" w:rsidRDefault="004D6DA3" w:rsidP="00F601C5">
      <w:pPr>
        <w:pStyle w:val="Heading4"/>
        <w:spacing w:before="0"/>
        <w:rPr>
          <w:lang w:eastAsia="en-US"/>
        </w:rPr>
      </w:pPr>
      <w:r>
        <w:rPr>
          <w:lang w:eastAsia="en-US"/>
        </w:rPr>
        <w:t>Surrogate outcomes (LDL-C; HDL-C; TC)</w:t>
      </w:r>
    </w:p>
    <w:p w14:paraId="4BC4B3F8" w14:textId="77777777" w:rsidR="00F601C5" w:rsidRPr="00F601C5" w:rsidRDefault="00F601C5" w:rsidP="00F601C5">
      <w:pPr>
        <w:spacing w:after="0"/>
        <w:rPr>
          <w:lang w:eastAsia="en-US"/>
        </w:rPr>
      </w:pPr>
    </w:p>
    <w:p w14:paraId="741DCA46" w14:textId="2392D792" w:rsidR="006B36C2" w:rsidRDefault="006B36C2" w:rsidP="00834134">
      <w:pPr>
        <w:jc w:val="both"/>
        <w:rPr>
          <w:lang w:eastAsia="en-US"/>
        </w:rPr>
      </w:pPr>
      <w:r w:rsidRPr="006B36C2">
        <w:rPr>
          <w:lang w:eastAsia="en-US"/>
        </w:rPr>
        <w:t>There</w:t>
      </w:r>
      <w:r>
        <w:rPr>
          <w:lang w:eastAsia="en-US"/>
        </w:rPr>
        <w:t xml:space="preserve"> seems to be a consensus among clinicians that there</w:t>
      </w:r>
      <w:r w:rsidRPr="006B36C2">
        <w:rPr>
          <w:lang w:eastAsia="en-US"/>
        </w:rPr>
        <w:t xml:space="preserve"> is a relationship between LDL cholesterol and the risk of cardiovascular disease with no threshold below which the risk ceases to exist in the range of LDL cholesterol levels generally encountered in societies where cardiovascular disease is prevalent</w:t>
      </w:r>
      <w:r w:rsidR="006C59D3">
        <w:rPr>
          <w:lang w:eastAsia="en-US"/>
        </w:rPr>
        <w:t xml:space="preserve">. </w:t>
      </w:r>
      <w:r w:rsidR="00FF46A6">
        <w:rPr>
          <w:lang w:eastAsia="en-US"/>
        </w:rPr>
        <w:t>(</w:t>
      </w:r>
      <w:r w:rsidR="00FF46A6" w:rsidRPr="00FF46A6">
        <w:rPr>
          <w:lang w:eastAsia="en-US"/>
        </w:rPr>
        <w:t>British Societies’ guidelines 2005</w:t>
      </w:r>
      <w:r w:rsidR="00FF46A6">
        <w:rPr>
          <w:rStyle w:val="EndnoteReference"/>
          <w:lang w:eastAsia="en-US"/>
        </w:rPr>
        <w:endnoteReference w:id="83"/>
      </w:r>
      <w:r w:rsidR="00FF46A6">
        <w:rPr>
          <w:lang w:eastAsia="en-US"/>
        </w:rPr>
        <w:t xml:space="preserve">). </w:t>
      </w:r>
      <w:r w:rsidRPr="006B36C2">
        <w:rPr>
          <w:lang w:eastAsia="en-US"/>
        </w:rPr>
        <w:t>The correlation and causal relationship between serum cholesterol values, particularly LDL cholesterol and the risk of cardiovascular disease, have been established in numerous epidemiological studies</w:t>
      </w:r>
      <w:r w:rsidR="00FF46A6">
        <w:rPr>
          <w:lang w:eastAsia="en-US"/>
        </w:rPr>
        <w:t xml:space="preserve"> (</w:t>
      </w:r>
      <w:r w:rsidR="00FF46A6" w:rsidRPr="00FF46A6">
        <w:rPr>
          <w:lang w:eastAsia="en-US"/>
        </w:rPr>
        <w:t>Anderson</w:t>
      </w:r>
      <w:r w:rsidR="00FF46A6">
        <w:rPr>
          <w:lang w:eastAsia="en-US"/>
        </w:rPr>
        <w:t xml:space="preserve"> 1991</w:t>
      </w:r>
      <w:r w:rsidR="00FF46A6">
        <w:rPr>
          <w:rStyle w:val="EndnoteReference"/>
          <w:lang w:eastAsia="en-US"/>
        </w:rPr>
        <w:endnoteReference w:id="84"/>
      </w:r>
      <w:r w:rsidR="009B1866">
        <w:rPr>
          <w:lang w:eastAsia="en-US"/>
        </w:rPr>
        <w:t xml:space="preserve">, </w:t>
      </w:r>
      <w:r w:rsidR="009B1866" w:rsidRPr="00FF46A6">
        <w:rPr>
          <w:lang w:eastAsia="en-US"/>
        </w:rPr>
        <w:t xml:space="preserve">Neaton </w:t>
      </w:r>
      <w:r w:rsidR="009B1866">
        <w:rPr>
          <w:lang w:eastAsia="en-US"/>
        </w:rPr>
        <w:t>1992</w:t>
      </w:r>
      <w:r w:rsidR="009B1866">
        <w:rPr>
          <w:rStyle w:val="EndnoteReference"/>
          <w:lang w:eastAsia="en-US"/>
        </w:rPr>
        <w:endnoteReference w:id="85"/>
      </w:r>
      <w:r w:rsidR="009B1866">
        <w:rPr>
          <w:lang w:eastAsia="en-US"/>
        </w:rPr>
        <w:t xml:space="preserve">), </w:t>
      </w:r>
      <w:r w:rsidRPr="006B36C2">
        <w:rPr>
          <w:lang w:eastAsia="en-US"/>
        </w:rPr>
        <w:t>systematic reviews and meta-analys</w:t>
      </w:r>
      <w:r w:rsidR="00825933">
        <w:rPr>
          <w:lang w:eastAsia="en-US"/>
        </w:rPr>
        <w:t>es of clinical outcome trials</w:t>
      </w:r>
      <w:r w:rsidR="009B1866">
        <w:rPr>
          <w:lang w:eastAsia="en-US"/>
        </w:rPr>
        <w:t xml:space="preserve"> (</w:t>
      </w:r>
      <w:r w:rsidR="009B1866" w:rsidRPr="009B1866">
        <w:rPr>
          <w:lang w:eastAsia="en-US"/>
        </w:rPr>
        <w:t>Baigent</w:t>
      </w:r>
      <w:r w:rsidR="009B1866">
        <w:rPr>
          <w:lang w:eastAsia="en-US"/>
        </w:rPr>
        <w:t xml:space="preserve"> 2005</w:t>
      </w:r>
      <w:bookmarkStart w:id="62" w:name="_Ref460688574"/>
      <w:r w:rsidR="009B1866">
        <w:rPr>
          <w:rStyle w:val="EndnoteReference"/>
          <w:lang w:eastAsia="en-US"/>
        </w:rPr>
        <w:endnoteReference w:id="86"/>
      </w:r>
      <w:bookmarkEnd w:id="62"/>
      <w:r w:rsidR="009B1866">
        <w:rPr>
          <w:lang w:eastAsia="en-US"/>
        </w:rPr>
        <w:t xml:space="preserve">, </w:t>
      </w:r>
      <w:r w:rsidR="009B1866" w:rsidRPr="009B1866">
        <w:rPr>
          <w:lang w:eastAsia="en-US"/>
        </w:rPr>
        <w:t>Law</w:t>
      </w:r>
      <w:r w:rsidR="009B1866">
        <w:rPr>
          <w:lang w:eastAsia="en-US"/>
        </w:rPr>
        <w:t xml:space="preserve"> 2003</w:t>
      </w:r>
      <w:r w:rsidR="009B1866">
        <w:rPr>
          <w:rStyle w:val="EndnoteReference"/>
          <w:lang w:eastAsia="en-US"/>
        </w:rPr>
        <w:endnoteReference w:id="87"/>
      </w:r>
      <w:r w:rsidR="009B1866">
        <w:rPr>
          <w:lang w:eastAsia="en-US"/>
        </w:rPr>
        <w:t xml:space="preserve">, </w:t>
      </w:r>
      <w:r w:rsidR="009B1866" w:rsidRPr="009B1866">
        <w:rPr>
          <w:lang w:eastAsia="en-US"/>
        </w:rPr>
        <w:t>Gould</w:t>
      </w:r>
      <w:r w:rsidR="009B1866">
        <w:rPr>
          <w:lang w:eastAsia="en-US"/>
        </w:rPr>
        <w:t xml:space="preserve"> 1998</w:t>
      </w:r>
      <w:r w:rsidR="009B1866">
        <w:rPr>
          <w:rStyle w:val="EndnoteReference"/>
          <w:lang w:eastAsia="en-US"/>
        </w:rPr>
        <w:endnoteReference w:id="88"/>
      </w:r>
      <w:r w:rsidR="009B1866">
        <w:rPr>
          <w:lang w:eastAsia="en-US"/>
        </w:rPr>
        <w:t>,</w:t>
      </w:r>
      <w:r w:rsidR="00825933">
        <w:rPr>
          <w:lang w:eastAsia="en-US"/>
        </w:rPr>
        <w:t xml:space="preserve"> </w:t>
      </w:r>
      <w:r w:rsidR="009B1866" w:rsidRPr="009B1866">
        <w:rPr>
          <w:lang w:eastAsia="en-US"/>
        </w:rPr>
        <w:t xml:space="preserve">Robinson </w:t>
      </w:r>
      <w:r w:rsidR="009B1866">
        <w:rPr>
          <w:lang w:eastAsia="en-US"/>
        </w:rPr>
        <w:t>1995</w:t>
      </w:r>
      <w:r w:rsidR="009B1866">
        <w:rPr>
          <w:rStyle w:val="EndnoteReference"/>
          <w:lang w:eastAsia="en-US"/>
        </w:rPr>
        <w:endnoteReference w:id="89"/>
      </w:r>
      <w:r w:rsidR="009B1866">
        <w:rPr>
          <w:lang w:eastAsia="en-US"/>
        </w:rPr>
        <w:t>).</w:t>
      </w:r>
    </w:p>
    <w:p w14:paraId="2E69DA85" w14:textId="000E58D8" w:rsidR="00205FE9" w:rsidRDefault="00205FE9" w:rsidP="00834134">
      <w:pPr>
        <w:jc w:val="both"/>
        <w:rPr>
          <w:lang w:eastAsia="en-US"/>
        </w:rPr>
      </w:pPr>
      <w:r>
        <w:rPr>
          <w:lang w:eastAsia="en-US"/>
        </w:rPr>
        <w:t>For example,</w:t>
      </w:r>
      <w:r w:rsidRPr="00205FE9">
        <w:rPr>
          <w:lang w:eastAsia="en-US"/>
        </w:rPr>
        <w:t xml:space="preserve"> </w:t>
      </w:r>
      <w:r>
        <w:rPr>
          <w:lang w:eastAsia="en-US"/>
        </w:rPr>
        <w:t xml:space="preserve">a </w:t>
      </w:r>
      <w:r w:rsidRPr="00205FE9">
        <w:rPr>
          <w:lang w:eastAsia="en-US"/>
        </w:rPr>
        <w:t>study by Law and colleagues</w:t>
      </w:r>
      <w:r>
        <w:rPr>
          <w:lang w:eastAsia="en-US"/>
        </w:rPr>
        <w:t xml:space="preserve"> (2003), </w:t>
      </w:r>
      <w:r w:rsidRPr="00205FE9">
        <w:rPr>
          <w:lang w:eastAsia="en-US"/>
        </w:rPr>
        <w:t>which investigate</w:t>
      </w:r>
      <w:r>
        <w:rPr>
          <w:lang w:eastAsia="en-US"/>
        </w:rPr>
        <w:t>d the relationship between LDL-C</w:t>
      </w:r>
      <w:r w:rsidRPr="00205FE9">
        <w:rPr>
          <w:lang w:eastAsia="en-US"/>
        </w:rPr>
        <w:t xml:space="preserve"> reduction and the risk of CHD events in 58 trials (including 148,321 patients) of cholesterol-lowering drugs, showed that a reduction in LDL-c of 1.0 mmol/l reduced the risk of CHD events by up to 36% over 6 or more years of treatment, regardless of initial risk. A more recent meta-analysis by the Cholesterol Treatment Trialists’ Collaborators (CTTC) </w:t>
      </w:r>
      <w:r w:rsidR="009505FB">
        <w:rPr>
          <w:lang w:eastAsia="en-US"/>
        </w:rPr>
        <w:t>(Baigent 2005</w:t>
      </w:r>
      <w:r w:rsidR="009505FB">
        <w:rPr>
          <w:lang w:eastAsia="en-US"/>
        </w:rPr>
        <w:fldChar w:fldCharType="begin"/>
      </w:r>
      <w:r w:rsidR="009505FB">
        <w:rPr>
          <w:lang w:eastAsia="en-US"/>
        </w:rPr>
        <w:instrText xml:space="preserve"> NOTEREF _Ref460688574 \f \h </w:instrText>
      </w:r>
      <w:r w:rsidR="009505FB">
        <w:rPr>
          <w:lang w:eastAsia="en-US"/>
        </w:rPr>
      </w:r>
      <w:r w:rsidR="009505FB">
        <w:rPr>
          <w:lang w:eastAsia="en-US"/>
        </w:rPr>
        <w:fldChar w:fldCharType="separate"/>
      </w:r>
      <w:r w:rsidR="00CA6F76" w:rsidRPr="00CA6F76">
        <w:rPr>
          <w:rStyle w:val="EndnoteReference"/>
        </w:rPr>
        <w:t>86</w:t>
      </w:r>
      <w:r w:rsidR="009505FB">
        <w:rPr>
          <w:lang w:eastAsia="en-US"/>
        </w:rPr>
        <w:fldChar w:fldCharType="end"/>
      </w:r>
      <w:r w:rsidR="009505FB">
        <w:rPr>
          <w:lang w:eastAsia="en-US"/>
        </w:rPr>
        <w:t xml:space="preserve">) </w:t>
      </w:r>
      <w:r w:rsidRPr="00205FE9">
        <w:rPr>
          <w:lang w:eastAsia="en-US"/>
        </w:rPr>
        <w:t xml:space="preserve">which included data from 90,056 patients in 14 randomised trials of statins, found that a 1 mmol/l reduction in LDL-c was associated with a 23% reduction in the 5-year incidence of a major coronary event (nonfatal MI or CHD death), and a 21% reduction in major coronary events, </w:t>
      </w:r>
      <w:r w:rsidR="009505FB">
        <w:rPr>
          <w:lang w:eastAsia="en-US"/>
        </w:rPr>
        <w:t>coronary revascularisation and s</w:t>
      </w:r>
      <w:r w:rsidRPr="00205FE9">
        <w:rPr>
          <w:lang w:eastAsia="en-US"/>
        </w:rPr>
        <w:t>trokes</w:t>
      </w:r>
      <w:r w:rsidR="009505FB">
        <w:rPr>
          <w:lang w:eastAsia="en-US"/>
        </w:rPr>
        <w:t>.</w:t>
      </w:r>
      <w:r w:rsidR="00C6643A">
        <w:rPr>
          <w:lang w:eastAsia="en-US"/>
        </w:rPr>
        <w:t xml:space="preserve"> </w:t>
      </w:r>
      <w:r w:rsidR="00C6643A">
        <w:rPr>
          <w:b/>
          <w:lang w:eastAsia="en-US"/>
        </w:rPr>
        <w:t>There</w:t>
      </w:r>
      <w:r w:rsidR="00C6643A" w:rsidRPr="00C6643A">
        <w:rPr>
          <w:b/>
          <w:lang w:eastAsia="en-US"/>
        </w:rPr>
        <w:t xml:space="preserve"> is strong evidence in support of LDL-C as a surrogate outcome </w:t>
      </w:r>
      <w:r w:rsidR="00C6643A" w:rsidRPr="00C6643A">
        <w:rPr>
          <w:b/>
        </w:rPr>
        <w:t>for reduction in CV outcomes</w:t>
      </w:r>
      <w:r w:rsidR="00C6643A" w:rsidRPr="00C6643A">
        <w:rPr>
          <w:b/>
          <w:lang w:eastAsia="en-US"/>
        </w:rPr>
        <w:t xml:space="preserve"> </w:t>
      </w:r>
      <w:r w:rsidR="00C6643A">
        <w:rPr>
          <w:b/>
          <w:lang w:eastAsia="en-US"/>
        </w:rPr>
        <w:t xml:space="preserve">in patients receiving a </w:t>
      </w:r>
      <w:r w:rsidR="00C6643A" w:rsidRPr="00C6643A">
        <w:rPr>
          <w:b/>
          <w:lang w:eastAsia="en-US"/>
        </w:rPr>
        <w:t>statin therapy</w:t>
      </w:r>
      <w:r w:rsidR="00C6643A">
        <w:rPr>
          <w:b/>
          <w:lang w:eastAsia="en-US"/>
        </w:rPr>
        <w:t>. Although there is uncertainty of whether the outcomes of the IMPROVE-IT trial are fully generalizable to the target population for whom ezetimibe is indicated, the results of the trial</w:t>
      </w:r>
      <w:r w:rsidR="008F7144">
        <w:rPr>
          <w:b/>
          <w:lang w:eastAsia="en-US"/>
        </w:rPr>
        <w:t>s</w:t>
      </w:r>
      <w:r w:rsidR="00C6643A">
        <w:rPr>
          <w:b/>
          <w:lang w:eastAsia="en-US"/>
        </w:rPr>
        <w:t xml:space="preserve"> </w:t>
      </w:r>
      <w:r w:rsidR="008F7144">
        <w:rPr>
          <w:b/>
          <w:lang w:eastAsia="en-US"/>
        </w:rPr>
        <w:t xml:space="preserve">are important in testing a hypothesis of </w:t>
      </w:r>
      <w:r w:rsidR="008F7144" w:rsidRPr="008F7144">
        <w:rPr>
          <w:b/>
          <w:lang w:eastAsia="en-US"/>
        </w:rPr>
        <w:t xml:space="preserve">whether reduction in LDL-C is a valid surrogate </w:t>
      </w:r>
      <w:r w:rsidR="008F7144">
        <w:rPr>
          <w:b/>
          <w:lang w:eastAsia="en-US"/>
        </w:rPr>
        <w:t xml:space="preserve">outcome </w:t>
      </w:r>
      <w:r w:rsidR="008F7144" w:rsidRPr="008F7144">
        <w:rPr>
          <w:b/>
          <w:lang w:eastAsia="en-US"/>
        </w:rPr>
        <w:t>for reduction in risk of CV event</w:t>
      </w:r>
      <w:r w:rsidR="008F7144">
        <w:rPr>
          <w:b/>
          <w:lang w:eastAsia="en-US"/>
        </w:rPr>
        <w:t>s in patients receiving</w:t>
      </w:r>
      <w:r w:rsidR="008F7144" w:rsidRPr="008F7144">
        <w:rPr>
          <w:b/>
          <w:lang w:eastAsia="en-US"/>
        </w:rPr>
        <w:t xml:space="preserve"> </w:t>
      </w:r>
      <w:r w:rsidR="008F7144">
        <w:rPr>
          <w:b/>
          <w:lang w:eastAsia="en-US"/>
        </w:rPr>
        <w:t>ezetimibe.</w:t>
      </w:r>
    </w:p>
    <w:p w14:paraId="24D958D2" w14:textId="5B7A44FE" w:rsidR="008F7144" w:rsidRDefault="006C59D3" w:rsidP="00F601C5">
      <w:pPr>
        <w:jc w:val="both"/>
        <w:rPr>
          <w:lang w:eastAsia="en-US"/>
        </w:rPr>
      </w:pPr>
      <w:r>
        <w:rPr>
          <w:lang w:eastAsia="en-US"/>
        </w:rPr>
        <w:t>A</w:t>
      </w:r>
      <w:r w:rsidR="008F7144">
        <w:rPr>
          <w:lang w:eastAsia="en-US"/>
        </w:rPr>
        <w:t xml:space="preserve"> graphic representation </w:t>
      </w:r>
      <w:r>
        <w:rPr>
          <w:lang w:eastAsia="en-US"/>
        </w:rPr>
        <w:t xml:space="preserve">of the </w:t>
      </w:r>
      <w:r w:rsidRPr="008F7144">
        <w:rPr>
          <w:lang w:eastAsia="en-US"/>
        </w:rPr>
        <w:t>incidence of major coronary events suggest</w:t>
      </w:r>
      <w:r>
        <w:rPr>
          <w:lang w:eastAsia="en-US"/>
        </w:rPr>
        <w:t>s</w:t>
      </w:r>
      <w:r w:rsidRPr="008F7144">
        <w:rPr>
          <w:lang w:eastAsia="en-US"/>
        </w:rPr>
        <w:t xml:space="preserve"> </w:t>
      </w:r>
      <w:r>
        <w:rPr>
          <w:lang w:eastAsia="en-US"/>
        </w:rPr>
        <w:t xml:space="preserve">that </w:t>
      </w:r>
      <w:r w:rsidRPr="008F7144">
        <w:rPr>
          <w:lang w:eastAsia="en-US"/>
        </w:rPr>
        <w:t xml:space="preserve">the relationship </w:t>
      </w:r>
      <w:r>
        <w:rPr>
          <w:lang w:eastAsia="en-US"/>
        </w:rPr>
        <w:t xml:space="preserve">between </w:t>
      </w:r>
      <w:r w:rsidRPr="00BD58E9">
        <w:t xml:space="preserve">risk reduction and reduction in LDL-C </w:t>
      </w:r>
      <w:r w:rsidR="008F7144" w:rsidRPr="008F7144">
        <w:rPr>
          <w:lang w:eastAsia="en-US"/>
        </w:rPr>
        <w:t xml:space="preserve">is linear over the range of </w:t>
      </w:r>
      <w:r w:rsidRPr="00BD58E9">
        <w:t>reductions in LDL-C observed in the trials</w:t>
      </w:r>
      <w:r w:rsidR="008F7144" w:rsidRPr="008F7144">
        <w:rPr>
          <w:lang w:eastAsia="en-US"/>
        </w:rPr>
        <w:t xml:space="preserve"> </w:t>
      </w:r>
      <w:r>
        <w:rPr>
          <w:lang w:eastAsia="en-US"/>
        </w:rPr>
        <w:t>included in the</w:t>
      </w:r>
      <w:r w:rsidR="008F7144" w:rsidRPr="008F7144">
        <w:rPr>
          <w:lang w:eastAsia="en-US"/>
        </w:rPr>
        <w:t xml:space="preserve"> CTTC report </w:t>
      </w:r>
      <w:r w:rsidR="008F7144">
        <w:rPr>
          <w:lang w:eastAsia="en-US"/>
        </w:rPr>
        <w:t>(Baigent 2005</w:t>
      </w:r>
      <w:r w:rsidR="008F7144">
        <w:rPr>
          <w:lang w:eastAsia="en-US"/>
        </w:rPr>
        <w:fldChar w:fldCharType="begin"/>
      </w:r>
      <w:r w:rsidR="008F7144">
        <w:rPr>
          <w:lang w:eastAsia="en-US"/>
        </w:rPr>
        <w:instrText xml:space="preserve"> NOTEREF _Ref460688574 \f \h </w:instrText>
      </w:r>
      <w:r w:rsidR="008F7144">
        <w:rPr>
          <w:lang w:eastAsia="en-US"/>
        </w:rPr>
      </w:r>
      <w:r w:rsidR="008F7144">
        <w:rPr>
          <w:lang w:eastAsia="en-US"/>
        </w:rPr>
        <w:fldChar w:fldCharType="separate"/>
      </w:r>
      <w:r w:rsidR="00CA6F76" w:rsidRPr="00CA6F76">
        <w:rPr>
          <w:rStyle w:val="EndnoteReference"/>
        </w:rPr>
        <w:t>86</w:t>
      </w:r>
      <w:r w:rsidR="008F7144">
        <w:rPr>
          <w:lang w:eastAsia="en-US"/>
        </w:rPr>
        <w:fldChar w:fldCharType="end"/>
      </w:r>
      <w:r w:rsidR="008F7144">
        <w:rPr>
          <w:lang w:eastAsia="en-US"/>
        </w:rPr>
        <w:t>)</w:t>
      </w:r>
      <w:r>
        <w:rPr>
          <w:lang w:eastAsia="en-US"/>
        </w:rPr>
        <w:t>.</w:t>
      </w:r>
    </w:p>
    <w:p w14:paraId="0693B3B0" w14:textId="52C51FB5" w:rsidR="007E1ECC" w:rsidRPr="0083333B" w:rsidRDefault="007E1ECC" w:rsidP="007E1ECC">
      <w:pPr>
        <w:pStyle w:val="Caption"/>
        <w:ind w:left="0"/>
        <w:rPr>
          <w:sz w:val="22"/>
          <w:szCs w:val="22"/>
        </w:rPr>
      </w:pPr>
      <w:r w:rsidRPr="0083333B">
        <w:rPr>
          <w:sz w:val="22"/>
          <w:szCs w:val="22"/>
        </w:rPr>
        <w:t>Figure 2.4.3.2 Percent reduction in CV events over reduction in LDL cholesterol (millimole) observed in statin trials</w:t>
      </w:r>
    </w:p>
    <w:p w14:paraId="413147A8" w14:textId="23C2E338" w:rsidR="008F7144" w:rsidRDefault="008F7144" w:rsidP="00F601C5">
      <w:pPr>
        <w:jc w:val="both"/>
        <w:rPr>
          <w:lang w:eastAsia="en-US"/>
        </w:rPr>
      </w:pPr>
    </w:p>
    <w:p w14:paraId="2BB83682" w14:textId="77777777" w:rsidR="006C59D3" w:rsidRPr="006C59D3" w:rsidRDefault="006C59D3" w:rsidP="006C59D3">
      <w:pPr>
        <w:tabs>
          <w:tab w:val="left" w:pos="416"/>
          <w:tab w:val="left" w:pos="582"/>
        </w:tabs>
        <w:spacing w:before="40" w:after="20" w:line="360" w:lineRule="auto"/>
        <w:ind w:left="1380" w:hanging="1380"/>
        <w:rPr>
          <w:rFonts w:ascii="Arial" w:eastAsia="Times New Roman" w:hAnsi="Arial" w:cs="Arial"/>
          <w:sz w:val="18"/>
          <w:szCs w:val="20"/>
          <w:lang w:eastAsia="en-US"/>
        </w:rPr>
      </w:pPr>
      <w:r w:rsidRPr="006C59D3">
        <w:rPr>
          <w:rFonts w:ascii="Arial" w:eastAsia="Times New Roman" w:hAnsi="Arial" w:cs="Arial"/>
          <w:noProof/>
          <w:sz w:val="18"/>
          <w:szCs w:val="20"/>
          <w:lang w:eastAsia="en-AU"/>
        </w:rPr>
        <mc:AlternateContent>
          <mc:Choice Requires="wps">
            <w:drawing>
              <wp:anchor distT="0" distB="0" distL="114300" distR="114300" simplePos="0" relativeHeight="251659264" behindDoc="0" locked="0" layoutInCell="1" allowOverlap="1" wp14:anchorId="550FE248" wp14:editId="5D68C1D1">
                <wp:simplePos x="0" y="0"/>
                <wp:positionH relativeFrom="column">
                  <wp:posOffset>1101725</wp:posOffset>
                </wp:positionH>
                <wp:positionV relativeFrom="paragraph">
                  <wp:posOffset>2101215</wp:posOffset>
                </wp:positionV>
                <wp:extent cx="1033780" cy="222885"/>
                <wp:effectExtent l="0" t="0" r="0" b="5715"/>
                <wp:wrapNone/>
                <wp:docPr id="14352" name="Text Box 14352"/>
                <wp:cNvGraphicFramePr/>
                <a:graphic xmlns:a="http://schemas.openxmlformats.org/drawingml/2006/main">
                  <a:graphicData uri="http://schemas.microsoft.com/office/word/2010/wordprocessingShape">
                    <wps:wsp>
                      <wps:cNvSpPr txBox="1"/>
                      <wps:spPr>
                        <a:xfrm>
                          <a:off x="0" y="0"/>
                          <a:ext cx="1033780" cy="222885"/>
                        </a:xfrm>
                        <a:prstGeom prst="rect">
                          <a:avLst/>
                        </a:prstGeom>
                        <a:solidFill>
                          <a:sysClr val="window" lastClr="FFFFFF"/>
                        </a:solidFill>
                        <a:ln w="6350">
                          <a:noFill/>
                        </a:ln>
                        <a:effectLst/>
                      </wps:spPr>
                      <wps:txbx>
                        <w:txbxContent>
                          <w:p w14:paraId="0E9B64B4" w14:textId="77777777" w:rsidR="00800510" w:rsidRPr="00D948A9" w:rsidRDefault="00800510" w:rsidP="006C59D3">
                            <w:pPr>
                              <w:rPr>
                                <w:b/>
                                <w:sz w:val="14"/>
                              </w:rPr>
                            </w:pPr>
                            <w:r w:rsidRPr="00D948A9">
                              <w:rPr>
                                <w:b/>
                                <w:sz w:val="14"/>
                              </w:rPr>
                              <w:t>Reduction in LDL-C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52" o:spid="_x0000_s1057" type="#_x0000_t202" style="position:absolute;left:0;text-align:left;margin-left:86.75pt;margin-top:165.45pt;width:81.4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" fillcolor="window" stroked="f" strokeweight=".5pt">
                <v:textbox>
                  <w:txbxContent>
                    <w:p w14:paraId="0E9B64B4" w14:textId="77777777" w:rsidR="00800510" w:rsidRPr="00D948A9" w:rsidRDefault="00800510" w:rsidP="006C59D3">
                      <w:pPr>
                        <w:rPr>
                          <w:b/>
                          <w:sz w:val="14"/>
                        </w:rPr>
                      </w:pPr>
                      <w:r w:rsidRPr="00D948A9">
                        <w:rPr>
                          <w:b/>
                          <w:sz w:val="14"/>
                        </w:rPr>
                        <w:t>Reduction in LDL-C</w:t>
                      </w:r>
                    </w:p>
                  </w:txbxContent>
                </v:textbox>
              </v:shape>
            </w:pict>
          </mc:Fallback>
        </mc:AlternateContent>
      </w:r>
      <w:r w:rsidRPr="006C59D3">
        <w:rPr>
          <w:rFonts w:ascii="Arial" w:eastAsia="Times New Roman" w:hAnsi="Arial" w:cs="Arial"/>
          <w:noProof/>
          <w:sz w:val="18"/>
          <w:szCs w:val="20"/>
          <w:lang w:eastAsia="en-AU"/>
        </w:rPr>
        <mc:AlternateContent>
          <mc:Choice Requires="wps">
            <w:drawing>
              <wp:anchor distT="0" distB="0" distL="114300" distR="114300" simplePos="0" relativeHeight="251660288" behindDoc="0" locked="0" layoutInCell="1" allowOverlap="1" wp14:anchorId="16E04AB7" wp14:editId="359F1583">
                <wp:simplePos x="0" y="0"/>
                <wp:positionH relativeFrom="column">
                  <wp:posOffset>40731</wp:posOffset>
                </wp:positionH>
                <wp:positionV relativeFrom="paragraph">
                  <wp:posOffset>419100</wp:posOffset>
                </wp:positionV>
                <wp:extent cx="304800" cy="1464038"/>
                <wp:effectExtent l="0" t="0" r="0" b="3175"/>
                <wp:wrapNone/>
                <wp:docPr id="14353" name="Text Box 14353"/>
                <wp:cNvGraphicFramePr/>
                <a:graphic xmlns:a="http://schemas.openxmlformats.org/drawingml/2006/main">
                  <a:graphicData uri="http://schemas.microsoft.com/office/word/2010/wordprocessingShape">
                    <wps:wsp>
                      <wps:cNvSpPr txBox="1"/>
                      <wps:spPr>
                        <a:xfrm>
                          <a:off x="0" y="0"/>
                          <a:ext cx="304800" cy="1464038"/>
                        </a:xfrm>
                        <a:prstGeom prst="rect">
                          <a:avLst/>
                        </a:prstGeom>
                        <a:solidFill>
                          <a:sysClr val="window" lastClr="FFFFFF"/>
                        </a:solidFill>
                        <a:ln w="6350">
                          <a:noFill/>
                        </a:ln>
                        <a:effectLst/>
                      </wps:spPr>
                      <wps:txbx>
                        <w:txbxContent>
                          <w:p w14:paraId="7A73134C" w14:textId="77777777" w:rsidR="00800510" w:rsidRPr="00D948A9" w:rsidRDefault="00800510" w:rsidP="006C59D3">
                            <w:pPr>
                              <w:rPr>
                                <w:b/>
                                <w:sz w:val="14"/>
                              </w:rPr>
                            </w:pPr>
                            <w:r w:rsidRPr="00D948A9">
                              <w:rPr>
                                <w:b/>
                                <w:sz w:val="14"/>
                              </w:rPr>
                              <w:t>% reduction in major CV events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53" o:spid="_x0000_s1058" type="#_x0000_t202" style="position:absolute;left:0;text-align:left;margin-left:3.2pt;margin-top:33pt;width:24pt;height:1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" fillcolor="window" stroked="f" strokeweight=".5pt">
                <v:textbox style="layout-flow:vertical;mso-layout-flow-alt:bottom-to-top">
                  <w:txbxContent>
                    <w:p w14:paraId="7A73134C" w14:textId="77777777" w:rsidR="00800510" w:rsidRPr="00D948A9" w:rsidRDefault="00800510" w:rsidP="006C59D3">
                      <w:pPr>
                        <w:rPr>
                          <w:b/>
                          <w:sz w:val="14"/>
                        </w:rPr>
                      </w:pPr>
                      <w:r w:rsidRPr="00D948A9">
                        <w:rPr>
                          <w:b/>
                          <w:sz w:val="14"/>
                        </w:rPr>
                        <w:t>% reduction in major CV events</w:t>
                      </w:r>
                    </w:p>
                  </w:txbxContent>
                </v:textbox>
              </v:shape>
            </w:pict>
          </mc:Fallback>
        </mc:AlternateContent>
      </w:r>
      <w:r w:rsidRPr="006C59D3">
        <w:rPr>
          <w:rFonts w:ascii="Arial" w:eastAsia="Times New Roman" w:hAnsi="Arial" w:cs="Arial"/>
          <w:sz w:val="18"/>
          <w:szCs w:val="20"/>
          <w:lang w:eastAsia="en-US"/>
        </w:rPr>
        <w:t xml:space="preserve">      </w:t>
      </w:r>
      <w:r w:rsidRPr="006C59D3">
        <w:rPr>
          <w:rFonts w:ascii="Arial" w:eastAsia="Times New Roman" w:hAnsi="Arial" w:cs="Arial"/>
          <w:noProof/>
          <w:sz w:val="18"/>
          <w:szCs w:val="20"/>
          <w:lang w:eastAsia="en-AU"/>
        </w:rPr>
        <w:drawing>
          <wp:inline distT="0" distB="0" distL="0" distR="0" wp14:anchorId="330923EC" wp14:editId="6D23C76C">
            <wp:extent cx="2703600" cy="2322000"/>
            <wp:effectExtent l="0" t="0" r="190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t="6345"/>
                    <a:stretch>
                      <a:fillRect/>
                    </a:stretch>
                  </pic:blipFill>
                  <pic:spPr bwMode="auto">
                    <a:xfrm>
                      <a:off x="0" y="0"/>
                      <a:ext cx="2703600" cy="2322000"/>
                    </a:xfrm>
                    <a:prstGeom prst="rect">
                      <a:avLst/>
                    </a:prstGeom>
                    <a:noFill/>
                    <a:ln>
                      <a:noFill/>
                    </a:ln>
                  </pic:spPr>
                </pic:pic>
              </a:graphicData>
            </a:graphic>
          </wp:inline>
        </w:drawing>
      </w:r>
    </w:p>
    <w:p w14:paraId="1A96C9EE" w14:textId="52242BEC" w:rsidR="008F7144" w:rsidRPr="00100CB9" w:rsidRDefault="006C59D3" w:rsidP="00100CB9">
      <w:pPr>
        <w:tabs>
          <w:tab w:val="left" w:pos="416"/>
          <w:tab w:val="left" w:pos="582"/>
        </w:tabs>
        <w:spacing w:before="40" w:after="20" w:line="360" w:lineRule="auto"/>
        <w:rPr>
          <w:rFonts w:ascii="Arial" w:eastAsia="Times New Roman" w:hAnsi="Arial" w:cs="Arial"/>
          <w:sz w:val="18"/>
          <w:szCs w:val="20"/>
          <w:lang w:eastAsia="en-US"/>
        </w:rPr>
      </w:pPr>
      <w:r w:rsidRPr="006C59D3">
        <w:rPr>
          <w:rFonts w:ascii="Arial" w:eastAsia="Times New Roman" w:hAnsi="Arial" w:cs="Arial"/>
          <w:sz w:val="16"/>
          <w:szCs w:val="16"/>
          <w:lang w:eastAsia="en-US"/>
        </w:rPr>
        <w:t>Source:</w:t>
      </w:r>
      <w:r w:rsidRPr="006C59D3">
        <w:rPr>
          <w:rFonts w:ascii="Arial" w:eastAsia="Times New Roman" w:hAnsi="Arial" w:cs="Arial"/>
          <w:sz w:val="16"/>
          <w:szCs w:val="16"/>
          <w:lang w:eastAsia="en-US"/>
        </w:rPr>
        <w:tab/>
        <w:t>Figure 3, CTTC 2005</w:t>
      </w:r>
    </w:p>
    <w:p w14:paraId="3DDB1008" w14:textId="4B585076" w:rsidR="006C59D3" w:rsidRDefault="005D3A8A" w:rsidP="00F601C5">
      <w:pPr>
        <w:jc w:val="both"/>
        <w:rPr>
          <w:lang w:eastAsia="en-US"/>
        </w:rPr>
      </w:pPr>
      <w:r w:rsidRPr="00687E27">
        <w:rPr>
          <w:rFonts w:eastAsia="OTNEJMQuadraat"/>
        </w:rPr>
        <w:t xml:space="preserve">Using the </w:t>
      </w:r>
      <w:r w:rsidR="007E1ECC">
        <w:rPr>
          <w:rFonts w:eastAsia="OTNEJMQuadraat"/>
        </w:rPr>
        <w:t>same</w:t>
      </w:r>
      <w:r w:rsidRPr="00687E27">
        <w:rPr>
          <w:rFonts w:eastAsia="OTNEJMQuadraat"/>
        </w:rPr>
        <w:t xml:space="preserve"> end point that were used by the CTT</w:t>
      </w:r>
      <w:r>
        <w:rPr>
          <w:rFonts w:eastAsia="OTNEJMQuadraat"/>
        </w:rPr>
        <w:t>C</w:t>
      </w:r>
      <w:r w:rsidRPr="00687E27">
        <w:rPr>
          <w:rFonts w:eastAsia="OTNEJMQuadraat"/>
        </w:rPr>
        <w:t xml:space="preserve">, the IMPROVE-IT authors </w:t>
      </w:r>
      <w:r w:rsidR="007E1ECC" w:rsidRPr="00687E27">
        <w:rPr>
          <w:rFonts w:eastAsia="OTNEJMQuadraat"/>
        </w:rPr>
        <w:t>(Cannon</w:t>
      </w:r>
      <w:r w:rsidR="007E1ECC">
        <w:rPr>
          <w:rFonts w:eastAsia="OTNEJMQuadraat"/>
        </w:rPr>
        <w:t xml:space="preserve">, 2015) </w:t>
      </w:r>
      <w:r w:rsidRPr="00687E27">
        <w:rPr>
          <w:rFonts w:eastAsia="OTNEJMQuadraat"/>
        </w:rPr>
        <w:t>observed a between-group difference in LDL</w:t>
      </w:r>
      <w:r>
        <w:rPr>
          <w:rFonts w:eastAsia="OTNEJMQuadraat"/>
        </w:rPr>
        <w:t>-C</w:t>
      </w:r>
      <w:r w:rsidRPr="00687E27">
        <w:rPr>
          <w:rFonts w:eastAsia="OTNEJMQuadraat"/>
        </w:rPr>
        <w:t xml:space="preserve"> levels (with imputation for missing values) of 12.8 mg</w:t>
      </w:r>
      <w:r w:rsidR="007E1ECC">
        <w:rPr>
          <w:rFonts w:eastAsia="OTNEJMQuadraat"/>
        </w:rPr>
        <w:t xml:space="preserve">/dL </w:t>
      </w:r>
      <w:r w:rsidRPr="00687E27">
        <w:rPr>
          <w:rFonts w:eastAsia="OTNEJMQuadraat"/>
        </w:rPr>
        <w:t>and a proportional 7.2% lower rate of major vascular events, a finding consistent with the reduction produced by statins.  The hazard ratio for clinical benefit per millimole of LDL cholesterol reduction with ezetimibe in IMPROVE-IT was 0.80</w:t>
      </w:r>
      <w:r w:rsidR="007E1ECC">
        <w:rPr>
          <w:rFonts w:eastAsia="OTNEJMQuadraat"/>
        </w:rPr>
        <w:t xml:space="preserve"> (</w:t>
      </w:r>
      <w:r w:rsidR="007E1ECC" w:rsidRPr="007E1ECC">
        <w:rPr>
          <w:rFonts w:eastAsiaTheme="minorHAnsi"/>
          <w:lang w:eastAsia="en-US"/>
        </w:rPr>
        <w:t>95% CI 0.68 to 0.94)</w:t>
      </w:r>
      <w:r w:rsidRPr="007E1ECC">
        <w:rPr>
          <w:rFonts w:eastAsia="OTNEJMQuadraat"/>
        </w:rPr>
        <w:t>,</w:t>
      </w:r>
      <w:r w:rsidRPr="00687E27">
        <w:rPr>
          <w:rFonts w:eastAsia="OTNEJMQuadraat"/>
        </w:rPr>
        <w:t xml:space="preserve"> as compared with 0.78 </w:t>
      </w:r>
      <w:r w:rsidR="007E1ECC">
        <w:rPr>
          <w:rFonts w:eastAsia="OTNEJMQuadraat"/>
        </w:rPr>
        <w:t>(</w:t>
      </w:r>
      <w:r w:rsidR="007E1ECC" w:rsidRPr="007E1ECC">
        <w:rPr>
          <w:rFonts w:eastAsiaTheme="minorHAnsi"/>
          <w:lang w:eastAsia="en-US"/>
        </w:rPr>
        <w:t>95% CI 0.76 to 0.80</w:t>
      </w:r>
      <w:r w:rsidR="007E1ECC">
        <w:rPr>
          <w:rFonts w:eastAsiaTheme="minorHAnsi"/>
          <w:lang w:eastAsia="en-US"/>
        </w:rPr>
        <w:t xml:space="preserve">) </w:t>
      </w:r>
      <w:r w:rsidRPr="007E1ECC">
        <w:rPr>
          <w:rFonts w:eastAsia="OTNEJMQuadraat"/>
        </w:rPr>
        <w:t>observed</w:t>
      </w:r>
      <w:r w:rsidRPr="00687E27">
        <w:rPr>
          <w:rFonts w:eastAsia="OTNEJMQuadraat"/>
        </w:rPr>
        <w:t xml:space="preserve"> with statins in the CTT</w:t>
      </w:r>
      <w:r w:rsidR="007E1ECC">
        <w:rPr>
          <w:rFonts w:eastAsia="OTNEJMQuadraat"/>
        </w:rPr>
        <w:t>C meta-analysis</w:t>
      </w:r>
      <w:r w:rsidRPr="00687E27">
        <w:rPr>
          <w:rFonts w:eastAsia="OTNEJMQuadraat"/>
        </w:rPr>
        <w:t xml:space="preserve"> </w:t>
      </w:r>
      <w:r w:rsidR="007E1ECC">
        <w:rPr>
          <w:rFonts w:eastAsia="OTNEJMQuadraat"/>
        </w:rPr>
        <w:t>(Figure</w:t>
      </w:r>
      <w:r w:rsidR="007E1ECC" w:rsidRPr="007E1ECC">
        <w:t xml:space="preserve"> </w:t>
      </w:r>
      <w:r w:rsidR="007E1ECC">
        <w:t>2.4.3.3, reproduced from</w:t>
      </w:r>
      <w:r w:rsidR="00DC4183">
        <w:t xml:space="preserve"> Figure 2, </w:t>
      </w:r>
      <w:r w:rsidR="00DC4183" w:rsidRPr="00687E27">
        <w:rPr>
          <w:rFonts w:eastAsia="OTNEJMQuadraat"/>
        </w:rPr>
        <w:t>Cannon</w:t>
      </w:r>
      <w:r w:rsidR="00DC4183">
        <w:rPr>
          <w:rFonts w:eastAsia="OTNEJMQuadraat"/>
        </w:rPr>
        <w:t>, 2015).</w:t>
      </w:r>
    </w:p>
    <w:p w14:paraId="3E4C07EB" w14:textId="7E5831A5" w:rsidR="00100CB9" w:rsidRPr="0083333B" w:rsidRDefault="00100CB9" w:rsidP="005B7FC1">
      <w:pPr>
        <w:pStyle w:val="Caption"/>
        <w:ind w:left="0"/>
        <w:rPr>
          <w:sz w:val="22"/>
          <w:szCs w:val="22"/>
        </w:rPr>
      </w:pPr>
      <w:r w:rsidRPr="0083333B">
        <w:rPr>
          <w:sz w:val="22"/>
          <w:szCs w:val="22"/>
        </w:rPr>
        <w:t>Figure 2.4.3.3 Plot of the IMPROVE-IT Trial Data and Statin Trials for Change i</w:t>
      </w:r>
      <w:r w:rsidR="005B7FC1" w:rsidRPr="0083333B">
        <w:rPr>
          <w:sz w:val="22"/>
          <w:szCs w:val="22"/>
        </w:rPr>
        <w:t xml:space="preserve">n Low-Density Lipoprotein (LDL) </w:t>
      </w:r>
      <w:r w:rsidRPr="0083333B">
        <w:rPr>
          <w:sz w:val="22"/>
          <w:szCs w:val="22"/>
        </w:rPr>
        <w:t>Cholesterol versus Clinical Benefit.</w:t>
      </w:r>
    </w:p>
    <w:p w14:paraId="4FA44F0C" w14:textId="1675F4D8" w:rsidR="00100CB9" w:rsidRPr="00DF5846" w:rsidRDefault="00100CB9" w:rsidP="00DF5846">
      <w:pPr>
        <w:pStyle w:val="Caption"/>
        <w:ind w:left="0"/>
      </w:pPr>
      <w:r>
        <w:rPr>
          <w:rFonts w:ascii="Arial" w:hAnsi="Arial" w:cs="Arial"/>
          <w:noProof/>
          <w:sz w:val="22"/>
        </w:rPr>
        <w:drawing>
          <wp:anchor distT="0" distB="0" distL="114300" distR="114300" simplePos="0" relativeHeight="251661312" behindDoc="0" locked="0" layoutInCell="1" allowOverlap="0" wp14:anchorId="2B223723" wp14:editId="6807720D">
            <wp:simplePos x="0" y="0"/>
            <wp:positionH relativeFrom="column">
              <wp:align>center</wp:align>
            </wp:positionH>
            <wp:positionV relativeFrom="line">
              <wp:align>top</wp:align>
            </wp:positionV>
            <wp:extent cx="3294000" cy="3139200"/>
            <wp:effectExtent l="0" t="0" r="1905" b="4445"/>
            <wp:wrapTopAndBottom/>
            <wp:docPr id="14359" name="Picture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94000" cy="313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A80067" w14:textId="078D9146" w:rsidR="00100CB9" w:rsidRPr="00DF5846" w:rsidRDefault="00DF5846" w:rsidP="00DF5846">
      <w:pPr>
        <w:tabs>
          <w:tab w:val="left" w:pos="416"/>
          <w:tab w:val="left" w:pos="582"/>
        </w:tabs>
        <w:spacing w:before="40" w:after="20" w:line="360" w:lineRule="auto"/>
        <w:rPr>
          <w:rFonts w:ascii="Arial" w:eastAsia="Times New Roman" w:hAnsi="Arial" w:cs="Arial"/>
          <w:sz w:val="18"/>
          <w:szCs w:val="20"/>
          <w:lang w:eastAsia="en-US"/>
        </w:rPr>
      </w:pPr>
      <w:r>
        <w:rPr>
          <w:rFonts w:ascii="Arial" w:eastAsia="Times New Roman" w:hAnsi="Arial" w:cs="Arial"/>
          <w:sz w:val="16"/>
          <w:szCs w:val="16"/>
          <w:lang w:eastAsia="en-US"/>
        </w:rPr>
        <w:t>Source:</w:t>
      </w:r>
      <w:r>
        <w:rPr>
          <w:rFonts w:ascii="Arial" w:eastAsia="Times New Roman" w:hAnsi="Arial" w:cs="Arial"/>
          <w:sz w:val="16"/>
          <w:szCs w:val="16"/>
          <w:lang w:eastAsia="en-US"/>
        </w:rPr>
        <w:tab/>
        <w:t>Figure 2</w:t>
      </w:r>
      <w:r w:rsidRPr="006C59D3">
        <w:rPr>
          <w:rFonts w:ascii="Arial" w:eastAsia="Times New Roman" w:hAnsi="Arial" w:cs="Arial"/>
          <w:sz w:val="16"/>
          <w:szCs w:val="16"/>
          <w:lang w:eastAsia="en-US"/>
        </w:rPr>
        <w:t xml:space="preserve">, </w:t>
      </w:r>
      <w:r>
        <w:rPr>
          <w:rFonts w:ascii="Arial" w:eastAsia="Times New Roman" w:hAnsi="Arial" w:cs="Arial"/>
          <w:sz w:val="16"/>
          <w:szCs w:val="16"/>
          <w:lang w:eastAsia="en-US"/>
        </w:rPr>
        <w:t>Cannon 2015.</w:t>
      </w:r>
    </w:p>
    <w:p w14:paraId="05FA32D7" w14:textId="79BAF855" w:rsidR="00F601C5" w:rsidRDefault="00083460" w:rsidP="009A77F6">
      <w:pPr>
        <w:spacing w:after="0"/>
        <w:jc w:val="both"/>
        <w:rPr>
          <w:lang w:eastAsia="en-US"/>
        </w:rPr>
      </w:pPr>
      <w:r>
        <w:rPr>
          <w:lang w:eastAsia="en-US"/>
        </w:rPr>
        <w:t>All identified RCTs reported LDL-C and TC outcomes as either primary or secondary outcomes. Many of the trials also reported HDL-C outcomes. Typically the outcomes were reported in terms of m</w:t>
      </w:r>
      <w:r w:rsidRPr="00083460">
        <w:rPr>
          <w:lang w:eastAsia="en-US"/>
        </w:rPr>
        <w:t>ean percent change in LDL-C from baseline to study endpoint</w:t>
      </w:r>
      <w:r>
        <w:rPr>
          <w:lang w:eastAsia="en-US"/>
        </w:rPr>
        <w:t xml:space="preserve">, but frequently the </w:t>
      </w:r>
      <w:r w:rsidRPr="00083460">
        <w:rPr>
          <w:lang w:eastAsia="en-US"/>
        </w:rPr>
        <w:t xml:space="preserve">percentage of patients reaching </w:t>
      </w:r>
      <w:r>
        <w:rPr>
          <w:lang w:eastAsia="en-US"/>
        </w:rPr>
        <w:t>a</w:t>
      </w:r>
      <w:r w:rsidRPr="00083460">
        <w:rPr>
          <w:lang w:eastAsia="en-US"/>
        </w:rPr>
        <w:t xml:space="preserve"> LDL-C target </w:t>
      </w:r>
      <w:r>
        <w:rPr>
          <w:lang w:eastAsia="en-US"/>
        </w:rPr>
        <w:t xml:space="preserve">(e.g. &lt;2.5 mmol/L) was also included. The </w:t>
      </w:r>
      <w:r w:rsidRPr="00083460">
        <w:rPr>
          <w:lang w:eastAsia="en-US"/>
        </w:rPr>
        <w:t>percent change was analysed using an ANOVA model with terms for treatment and study centre</w:t>
      </w:r>
      <w:r>
        <w:rPr>
          <w:lang w:eastAsia="en-US"/>
        </w:rPr>
        <w:t xml:space="preserve"> (in the multicentre trials)</w:t>
      </w:r>
      <w:r w:rsidR="00284176">
        <w:rPr>
          <w:lang w:eastAsia="en-US"/>
        </w:rPr>
        <w:t>;</w:t>
      </w:r>
      <w:r>
        <w:rPr>
          <w:lang w:eastAsia="en-US"/>
        </w:rPr>
        <w:t xml:space="preserve"> </w:t>
      </w:r>
      <w:r w:rsidR="00284176">
        <w:rPr>
          <w:lang w:eastAsia="en-US"/>
        </w:rPr>
        <w:t xml:space="preserve">in some studies </w:t>
      </w:r>
      <w:r>
        <w:rPr>
          <w:lang w:eastAsia="en-US"/>
        </w:rPr>
        <w:t xml:space="preserve">the baseline </w:t>
      </w:r>
      <w:r w:rsidR="00284176" w:rsidRPr="00284176">
        <w:rPr>
          <w:lang w:eastAsia="en-US"/>
        </w:rPr>
        <w:t xml:space="preserve">LDL-C pre-randomisation strata </w:t>
      </w:r>
      <w:r w:rsidR="00284176">
        <w:rPr>
          <w:lang w:eastAsia="en-US"/>
        </w:rPr>
        <w:t>were also included</w:t>
      </w:r>
      <w:r w:rsidRPr="00083460">
        <w:rPr>
          <w:lang w:eastAsia="en-US"/>
        </w:rPr>
        <w:t>. Data w</w:t>
      </w:r>
      <w:r w:rsidR="00284176">
        <w:rPr>
          <w:lang w:eastAsia="en-US"/>
        </w:rPr>
        <w:t>ere</w:t>
      </w:r>
      <w:r w:rsidRPr="00083460">
        <w:rPr>
          <w:lang w:eastAsia="en-US"/>
        </w:rPr>
        <w:t xml:space="preserve"> expressed as within-group means and between group differences.</w:t>
      </w:r>
      <w:r w:rsidR="00284176">
        <w:rPr>
          <w:lang w:eastAsia="en-US"/>
        </w:rPr>
        <w:t xml:space="preserve"> </w:t>
      </w:r>
      <w:r w:rsidR="00284176" w:rsidRPr="00284176">
        <w:rPr>
          <w:lang w:eastAsia="en-US"/>
        </w:rPr>
        <w:t xml:space="preserve">The mean percent change in LDL-C has been acknowledged by the PBAC as a clinically relevant outcome </w:t>
      </w:r>
      <w:r w:rsidR="00284176">
        <w:rPr>
          <w:lang w:eastAsia="en-US"/>
        </w:rPr>
        <w:t>and</w:t>
      </w:r>
      <w:r w:rsidR="00284176" w:rsidRPr="00284176">
        <w:rPr>
          <w:lang w:eastAsia="en-US"/>
        </w:rPr>
        <w:t xml:space="preserve"> a measure to define responders to treatment</w:t>
      </w:r>
      <w:r w:rsidR="00284176">
        <w:rPr>
          <w:lang w:eastAsia="en-US"/>
        </w:rPr>
        <w:t>.</w:t>
      </w:r>
      <w:r w:rsidR="00F601C5">
        <w:rPr>
          <w:lang w:eastAsia="en-US"/>
        </w:rPr>
        <w:t xml:space="preserve"> </w:t>
      </w:r>
    </w:p>
    <w:p w14:paraId="01F34828" w14:textId="77777777" w:rsidR="009A77F6" w:rsidRDefault="009A77F6" w:rsidP="009A77F6">
      <w:pPr>
        <w:spacing w:after="0"/>
        <w:jc w:val="both"/>
        <w:rPr>
          <w:lang w:eastAsia="en-US"/>
        </w:rPr>
      </w:pPr>
    </w:p>
    <w:p w14:paraId="4FCBA539" w14:textId="77777777" w:rsidR="00DF5846" w:rsidRDefault="00284176" w:rsidP="009A77F6">
      <w:pPr>
        <w:spacing w:after="0"/>
        <w:jc w:val="both"/>
      </w:pPr>
      <w:r>
        <w:t>The analysis of change in LDL-C can be either multiplicative (calculation of LDL-c reduction from the baseline observation based on a stable statin dose) or additive (calculation of LDL-c reduction from the baseline observation based on no treatment). Only the multiplicative effect of ezetimibe in combination with statin is relevant to the PBS- defined eligible population of adults who have inadequately controlled non-familial hypercholesterolemia with an HMG CoA reductase inhibitor (statin) at the maximum tolerated dose meeting the requirements set out by the General Statement For</w:t>
      </w:r>
      <w:r w:rsidR="00DF5846">
        <w:t xml:space="preserve"> Lipid-Lowering Drugs (GSLLD). </w:t>
      </w:r>
    </w:p>
    <w:p w14:paraId="1602D9B4" w14:textId="77777777" w:rsidR="009A77F6" w:rsidRDefault="009A77F6" w:rsidP="009A77F6">
      <w:pPr>
        <w:spacing w:after="0"/>
        <w:jc w:val="both"/>
      </w:pPr>
    </w:p>
    <w:p w14:paraId="48ED39E5" w14:textId="528E643B" w:rsidR="00284176" w:rsidRDefault="00284176" w:rsidP="009A77F6">
      <w:pPr>
        <w:spacing w:after="0"/>
        <w:jc w:val="both"/>
      </w:pPr>
      <w:r w:rsidRPr="00135E95">
        <w:rPr>
          <w:i/>
        </w:rPr>
        <w:t xml:space="preserve">However, since the PBAC agreed (November 2010 meeting) that although the restriction </w:t>
      </w:r>
      <w:r w:rsidR="00F601C5" w:rsidRPr="00135E95">
        <w:rPr>
          <w:i/>
        </w:rPr>
        <w:t>identifies</w:t>
      </w:r>
      <w:r w:rsidRPr="00135E95">
        <w:rPr>
          <w:i/>
        </w:rPr>
        <w:t xml:space="preserve"> ezetimibe in combination with statin as a second-line treatment, the results of trials in first line use were relevant, given that the outcome of interest is the effect on LDL</w:t>
      </w:r>
      <w:r w:rsidR="00F601C5" w:rsidRPr="00135E95">
        <w:rPr>
          <w:i/>
        </w:rPr>
        <w:t>-C</w:t>
      </w:r>
      <w:r w:rsidRPr="00135E95">
        <w:rPr>
          <w:i/>
        </w:rPr>
        <w:t xml:space="preserve"> and then modelling survival benefits from this in an appropriate (though different) population. The PBAC agreed that the effect on LDL is not modified by whether use is first- or second- line, although the size of any effect on survival would be</w:t>
      </w:r>
      <w:r w:rsidRPr="0012280B">
        <w:t>.</w:t>
      </w:r>
      <w:r>
        <w:t xml:space="preserve"> </w:t>
      </w:r>
    </w:p>
    <w:p w14:paraId="4F8A31A3" w14:textId="5C752C39" w:rsidR="005234EB" w:rsidRDefault="005234EB" w:rsidP="009A77F6">
      <w:pPr>
        <w:spacing w:after="0"/>
        <w:jc w:val="both"/>
      </w:pPr>
      <w:r>
        <w:br w:type="page"/>
      </w:r>
    </w:p>
    <w:p w14:paraId="162E7EF8" w14:textId="77777777" w:rsidR="005234EB" w:rsidRDefault="005234EB" w:rsidP="009A77F6">
      <w:pPr>
        <w:spacing w:after="0"/>
        <w:jc w:val="both"/>
      </w:pPr>
    </w:p>
    <w:p w14:paraId="6DE1CD7C" w14:textId="1495EC61" w:rsidR="00624197" w:rsidRDefault="00624197" w:rsidP="002E30F5">
      <w:pPr>
        <w:pStyle w:val="Heading1"/>
        <w:spacing w:before="0"/>
      </w:pPr>
      <w:bookmarkStart w:id="63" w:name="_Toc467857760"/>
      <w:r>
        <w:t xml:space="preserve">2.5. </w:t>
      </w:r>
      <w:r w:rsidR="00AE0D8F">
        <w:t>R</w:t>
      </w:r>
      <w:r>
        <w:t>esults</w:t>
      </w:r>
      <w:r w:rsidR="00F60023">
        <w:t xml:space="preserve"> </w:t>
      </w:r>
      <w:r w:rsidR="00DC58B8">
        <w:t>of the identified trials</w:t>
      </w:r>
      <w:bookmarkEnd w:id="63"/>
      <w:r w:rsidR="00DC58B8">
        <w:t xml:space="preserve"> </w:t>
      </w:r>
    </w:p>
    <w:p w14:paraId="2B6B75C1" w14:textId="77777777" w:rsidR="00F601C5" w:rsidRDefault="00F601C5" w:rsidP="002E30F5">
      <w:pPr>
        <w:spacing w:after="0"/>
      </w:pPr>
    </w:p>
    <w:p w14:paraId="2EACF025" w14:textId="5EF66B88" w:rsidR="002E30F5" w:rsidRDefault="002E30F5" w:rsidP="00B56280">
      <w:pPr>
        <w:pStyle w:val="Heading2"/>
        <w:spacing w:before="0"/>
      </w:pPr>
      <w:bookmarkStart w:id="64" w:name="_Toc467857761"/>
      <w:r>
        <w:t xml:space="preserve">2.5.1. </w:t>
      </w:r>
      <w:r w:rsidR="00B56280">
        <w:t>Mean</w:t>
      </w:r>
      <w:r w:rsidR="00B56280" w:rsidRPr="00EE6756">
        <w:t xml:space="preserve"> per</w:t>
      </w:r>
      <w:r w:rsidR="00B56280">
        <w:t xml:space="preserve"> </w:t>
      </w:r>
      <w:r w:rsidR="00B56280" w:rsidRPr="00EE6756">
        <w:t>cent</w:t>
      </w:r>
      <w:r w:rsidR="00B56280">
        <w:t xml:space="preserve"> change</w:t>
      </w:r>
      <w:r w:rsidR="00B56280" w:rsidRPr="00EE6756">
        <w:t xml:space="preserve"> </w:t>
      </w:r>
      <w:r w:rsidR="00B56280">
        <w:t>in LDL-C</w:t>
      </w:r>
      <w:r w:rsidR="00B56280" w:rsidRPr="00EE6756">
        <w:t xml:space="preserve"> </w:t>
      </w:r>
      <w:r w:rsidR="001D6040">
        <w:t>in</w:t>
      </w:r>
      <w:r w:rsidR="00B56280">
        <w:t xml:space="preserve"> RCTs of ezetimibe in combination with statin</w:t>
      </w:r>
      <w:bookmarkEnd w:id="64"/>
    </w:p>
    <w:p w14:paraId="35099C5B" w14:textId="77777777" w:rsidR="007A439C" w:rsidRDefault="007A439C" w:rsidP="007A439C">
      <w:pPr>
        <w:spacing w:after="0"/>
      </w:pPr>
    </w:p>
    <w:p w14:paraId="5A4A6C64" w14:textId="4D8DC0C9" w:rsidR="00173224" w:rsidRDefault="007A439C" w:rsidP="007E7E68">
      <w:pPr>
        <w:spacing w:after="0"/>
        <w:jc w:val="both"/>
      </w:pPr>
      <w:r>
        <w:t xml:space="preserve">Apart from IMPROVE-IT trial, no other RCTs that met the inclusion criteria assessed patient outcomes (morbidity and mortality) as clinical </w:t>
      </w:r>
      <w:r w:rsidRPr="00757C8B">
        <w:t>end-point</w:t>
      </w:r>
      <w:r>
        <w:t>s. A surroga</w:t>
      </w:r>
      <w:r w:rsidR="00C679AF">
        <w:t>te end point of percentage LDL-C</w:t>
      </w:r>
      <w:r>
        <w:t xml:space="preserve"> reduction from the baseline was primary or secondary outcome in all other </w:t>
      </w:r>
      <w:r w:rsidRPr="002E30F5">
        <w:t>29 phase III-IV multi-centre RCTs of</w:t>
      </w:r>
      <w:r w:rsidRPr="00757C8B">
        <w:t xml:space="preserve"> </w:t>
      </w:r>
      <w:r>
        <w:t>varying methodological quality,</w:t>
      </w:r>
      <w:r w:rsidRPr="00757C8B">
        <w:t xml:space="preserve"> </w:t>
      </w:r>
      <w:r>
        <w:t>different</w:t>
      </w:r>
      <w:r w:rsidRPr="00757C8B">
        <w:t xml:space="preserve"> duration</w:t>
      </w:r>
      <w:r>
        <w:t xml:space="preserve"> and design. </w:t>
      </w:r>
      <w:r w:rsidRPr="007A439C">
        <w:t xml:space="preserve">Of the </w:t>
      </w:r>
      <w:r w:rsidR="00D4730E">
        <w:t>30</w:t>
      </w:r>
      <w:r w:rsidRPr="007A439C">
        <w:t xml:space="preserve"> unique studies</w:t>
      </w:r>
      <w:r>
        <w:t xml:space="preserve"> listed in Table 2.5.1.1</w:t>
      </w:r>
      <w:r w:rsidRPr="007A439C">
        <w:t xml:space="preserve">, </w:t>
      </w:r>
      <w:r w:rsidR="00F41F2C">
        <w:t xml:space="preserve">all but one of the </w:t>
      </w:r>
      <w:r w:rsidR="001D5DCE">
        <w:t>eight “add-on” ezetimibe trial</w:t>
      </w:r>
      <w:r w:rsidR="00F41F2C">
        <w:t>s</w:t>
      </w:r>
      <w:r w:rsidR="001D5DCE">
        <w:t xml:space="preserve"> compared EZ+SIM therapy (all doses) with simvastatin monotherapy (all doses</w:t>
      </w:r>
      <w:r w:rsidR="00F41F2C">
        <w:t xml:space="preserve"> or a matching dose</w:t>
      </w:r>
      <w:r w:rsidR="001D5DCE">
        <w:t>)</w:t>
      </w:r>
      <w:r w:rsidR="00F41F2C">
        <w:t xml:space="preserve">. The remaining Ballantyne (2003) factorial study compared EZ+ATOR (all doses) with ATOR (all doses). </w:t>
      </w:r>
      <w:r w:rsidR="00D4730E">
        <w:t>Of 22</w:t>
      </w:r>
      <w:r w:rsidR="003433E8">
        <w:t xml:space="preserve"> </w:t>
      </w:r>
      <w:r w:rsidR="001D5DCE">
        <w:t xml:space="preserve">trials </w:t>
      </w:r>
      <w:r w:rsidR="003433E8">
        <w:t xml:space="preserve">that up-titrated the comparator statin either in dose </w:t>
      </w:r>
      <w:r w:rsidR="00173224">
        <w:t xml:space="preserve">or in more potent statin, only </w:t>
      </w:r>
      <w:r w:rsidR="00D4730E">
        <w:t>6</w:t>
      </w:r>
      <w:r w:rsidR="003433E8">
        <w:t xml:space="preserve"> compared EZ+SIM with the higher dose of </w:t>
      </w:r>
      <w:r w:rsidR="00D4730E">
        <w:t>simvastatin</w:t>
      </w:r>
      <w:r w:rsidR="009A2ECD">
        <w:t xml:space="preserve"> (Dobs 2003</w:t>
      </w:r>
      <w:r w:rsidR="003433E8">
        <w:t xml:space="preserve">, </w:t>
      </w:r>
      <w:r w:rsidR="003433E8" w:rsidRPr="009A2ECD">
        <w:t>Gaudiani</w:t>
      </w:r>
      <w:r w:rsidR="009A2ECD">
        <w:t>, 2008, Garcia</w:t>
      </w:r>
      <w:r w:rsidR="00035B89">
        <w:t xml:space="preserve"> 2016</w:t>
      </w:r>
      <w:r w:rsidR="009A2ECD">
        <w:t>, Pesaro 2013</w:t>
      </w:r>
      <w:r w:rsidR="00173224">
        <w:t>, Ballantyne 2004</w:t>
      </w:r>
      <w:r w:rsidR="00D4730E">
        <w:t>, Cannon 2015</w:t>
      </w:r>
      <w:r w:rsidR="00576C78">
        <w:t>), 7 trials compared EZ+SIM with</w:t>
      </w:r>
      <w:r w:rsidR="00035B89">
        <w:t xml:space="preserve"> a matching dose of</w:t>
      </w:r>
      <w:r w:rsidR="00576C78">
        <w:t xml:space="preserve"> ATOR, which is a more potent statin (Barrios 2005, Lee</w:t>
      </w:r>
      <w:r w:rsidR="00584A6D">
        <w:t xml:space="preserve"> 2013</w:t>
      </w:r>
      <w:r w:rsidR="00576C78">
        <w:t xml:space="preserve">, Constance 2007, Cho 2011, </w:t>
      </w:r>
      <w:r w:rsidR="00576C78" w:rsidRPr="00576C78">
        <w:t>McCormack 2010</w:t>
      </w:r>
      <w:r w:rsidR="00576C78">
        <w:t>, Ballantyne 2005, Goldberg 2006)</w:t>
      </w:r>
      <w:r w:rsidR="00584A6D">
        <w:t xml:space="preserve">. </w:t>
      </w:r>
      <w:r w:rsidR="00035B89">
        <w:t xml:space="preserve"> The rest of trials in this category either compared EZ+ATOR with a higher dose of ATOR, or </w:t>
      </w:r>
      <w:r w:rsidR="00173224">
        <w:t xml:space="preserve">EZ+SIM (all doses) </w:t>
      </w:r>
      <w:r w:rsidR="00035B89">
        <w:t>with ROSUV</w:t>
      </w:r>
      <w:r w:rsidR="00173224">
        <w:t xml:space="preserve"> (all dose</w:t>
      </w:r>
      <w:r w:rsidR="00D4730E">
        <w:t>s</w:t>
      </w:r>
      <w:r w:rsidR="00173224">
        <w:t>)</w:t>
      </w:r>
      <w:r w:rsidR="00035B89">
        <w:t xml:space="preserve"> (Catapano 2006</w:t>
      </w:r>
      <w:r w:rsidR="00173224">
        <w:t>, McKenney 2007</w:t>
      </w:r>
      <w:r w:rsidR="00F17F52">
        <w:t>, Farnier 2009</w:t>
      </w:r>
      <w:r w:rsidR="00035B89">
        <w:t>)</w:t>
      </w:r>
      <w:r w:rsidR="00173224">
        <w:t>.</w:t>
      </w:r>
      <w:r w:rsidR="00035B89">
        <w:t xml:space="preserve"> </w:t>
      </w:r>
    </w:p>
    <w:p w14:paraId="694D8447" w14:textId="77777777" w:rsidR="001D6E32" w:rsidRDefault="001D6E32" w:rsidP="007E7E68">
      <w:pPr>
        <w:spacing w:after="0"/>
        <w:jc w:val="both"/>
      </w:pPr>
    </w:p>
    <w:p w14:paraId="65EA6A89" w14:textId="127EC380" w:rsidR="00173224" w:rsidRDefault="00F601C5" w:rsidP="007E7E68">
      <w:pPr>
        <w:spacing w:after="0"/>
        <w:jc w:val="both"/>
      </w:pPr>
      <w:r>
        <w:t xml:space="preserve">Most of RCTs reported </w:t>
      </w:r>
      <w:r w:rsidR="00BC253A">
        <w:t>LDL-C values at a</w:t>
      </w:r>
      <w:r>
        <w:t xml:space="preserve"> study endpoint </w:t>
      </w:r>
      <w:r w:rsidR="00BC253A">
        <w:t>and calculated mean</w:t>
      </w:r>
      <w:r>
        <w:t xml:space="preserve"> </w:t>
      </w:r>
      <w:r w:rsidR="00BC253A">
        <w:t xml:space="preserve">per cent change in LDL-C with respect to </w:t>
      </w:r>
      <w:r>
        <w:t>the baseline level. Where there were multiple results at different time-points</w:t>
      </w:r>
      <w:r w:rsidR="00141AE5">
        <w:t xml:space="preserve"> for the same dose of statin</w:t>
      </w:r>
      <w:r>
        <w:t>, the results from the last follow-up were extracted; where the standard deviation (</w:t>
      </w:r>
      <w:r w:rsidR="00BC253A">
        <w:t>SD) of percent decrease in LDL-C</w:t>
      </w:r>
      <w:r>
        <w:t xml:space="preserve"> was not reported in the original study, it was calculated from the 95% confidence interval or standard error (SE). </w:t>
      </w:r>
      <w:r w:rsidRPr="00A85A70">
        <w:t>Table 2.5.1.1 shows the percentage reduction in LDL-c level from the baseline for ezetimibe combination therapy.</w:t>
      </w:r>
      <w:r>
        <w:t xml:space="preserve">  The studies were grouped into the following categories according to the a) study design; b) type of the population: whether primary or secondary; </w:t>
      </w:r>
      <w:r w:rsidR="00C679AF">
        <w:t xml:space="preserve">also, </w:t>
      </w:r>
      <w:r>
        <w:t>the type of the intervention</w:t>
      </w:r>
      <w:r w:rsidR="003A7F47">
        <w:t xml:space="preserve"> (</w:t>
      </w:r>
      <w:r>
        <w:t>whether first- or the second-line treatment</w:t>
      </w:r>
      <w:r w:rsidR="003A7F47">
        <w:t>)</w:t>
      </w:r>
      <w:r>
        <w:t xml:space="preserve"> is shown in the super</w:t>
      </w:r>
      <w:r w:rsidR="00BC253A">
        <w:t>script at the name of the trial.</w:t>
      </w:r>
    </w:p>
    <w:p w14:paraId="5D1C2DC3" w14:textId="77777777" w:rsidR="001D6E32" w:rsidRDefault="001D6E32" w:rsidP="007E7E68">
      <w:pPr>
        <w:spacing w:after="0"/>
        <w:jc w:val="both"/>
      </w:pPr>
    </w:p>
    <w:p w14:paraId="075627B4" w14:textId="06F319D2" w:rsidR="00D4730E" w:rsidRDefault="00D4730E" w:rsidP="007E7E68">
      <w:pPr>
        <w:spacing w:after="0"/>
        <w:jc w:val="both"/>
      </w:pPr>
      <w:r>
        <w:t>Mean per cent re</w:t>
      </w:r>
      <w:r w:rsidR="004E6B43">
        <w:t xml:space="preserve">duction in LDL-C </w:t>
      </w:r>
      <w:r w:rsidR="00C679AF">
        <w:t xml:space="preserve">from the baseline </w:t>
      </w:r>
      <w:r w:rsidR="004E6B43">
        <w:t xml:space="preserve">was greater </w:t>
      </w:r>
      <w:r>
        <w:t>in e</w:t>
      </w:r>
      <w:r w:rsidR="00830B60">
        <w:t xml:space="preserve">very </w:t>
      </w:r>
      <w:r w:rsidR="00C679AF">
        <w:t>EZ+</w:t>
      </w:r>
      <w:r w:rsidR="004E6B43">
        <w:t>statin arm in</w:t>
      </w:r>
      <w:r w:rsidR="00830B60">
        <w:t xml:space="preserve"> 28</w:t>
      </w:r>
      <w:r>
        <w:t xml:space="preserve"> out of </w:t>
      </w:r>
      <w:r w:rsidR="00830B60">
        <w:t>30 identified trials.</w:t>
      </w:r>
      <w:r>
        <w:t xml:space="preserve"> </w:t>
      </w:r>
      <w:r w:rsidR="00567A57">
        <w:t xml:space="preserve"> Mean </w:t>
      </w:r>
      <w:r w:rsidR="00830B60">
        <w:t>%</w:t>
      </w:r>
      <w:r w:rsidR="00830B60" w:rsidRPr="00830B60">
        <w:t xml:space="preserve"> </w:t>
      </w:r>
      <w:r w:rsidR="00830B60">
        <w:t xml:space="preserve">LDL-C reduction was greater in the comparator arms of </w:t>
      </w:r>
      <w:r w:rsidR="004E6B43">
        <w:t xml:space="preserve">the </w:t>
      </w:r>
      <w:r w:rsidR="00830B60">
        <w:t>trials</w:t>
      </w:r>
      <w:r w:rsidR="004E6B43">
        <w:t xml:space="preserve"> by </w:t>
      </w:r>
      <w:r w:rsidR="00B10E83">
        <w:t xml:space="preserve">Cho </w:t>
      </w:r>
      <w:r w:rsidR="004E6B43">
        <w:t>(</w:t>
      </w:r>
      <w:r w:rsidR="00B10E83">
        <w:t>201</w:t>
      </w:r>
      <w:r w:rsidR="00B10E83" w:rsidRPr="00B10E83">
        <w:t>1</w:t>
      </w:r>
      <w:r w:rsidR="00B10E83">
        <w:t xml:space="preserve">) and Ostad (2009). The </w:t>
      </w:r>
      <w:r w:rsidR="004E6B43">
        <w:t xml:space="preserve">trial by </w:t>
      </w:r>
      <w:r w:rsidR="00B10E83">
        <w:t xml:space="preserve">Cho </w:t>
      </w:r>
      <w:r w:rsidR="004E6B43">
        <w:t>(</w:t>
      </w:r>
      <w:r w:rsidR="00B10E83">
        <w:t>201</w:t>
      </w:r>
      <w:r w:rsidR="00B10E83" w:rsidRPr="00B10E83">
        <w:t>1</w:t>
      </w:r>
      <w:r w:rsidR="00B10E83">
        <w:t>)</w:t>
      </w:r>
      <w:r w:rsidR="004E6B43">
        <w:t xml:space="preserve"> compared </w:t>
      </w:r>
      <w:r w:rsidR="004E6B43" w:rsidRPr="00B10E83">
        <w:t>EZ +SIM 20</w:t>
      </w:r>
      <w:r w:rsidR="004E6B43">
        <w:t xml:space="preserve"> (N=36) with ATOR 20 (N=38)</w:t>
      </w:r>
      <w:r w:rsidR="00B10E83">
        <w:t xml:space="preserve">, and the </w:t>
      </w:r>
      <w:r w:rsidR="004E6B43">
        <w:t>trial</w:t>
      </w:r>
      <w:r w:rsidR="00B10E83">
        <w:t xml:space="preserve"> </w:t>
      </w:r>
      <w:r w:rsidR="004E6B43">
        <w:t xml:space="preserve">by Ostad (2009) </w:t>
      </w:r>
      <w:r w:rsidR="00B10E83">
        <w:t>compared EZ+ATOR 10</w:t>
      </w:r>
      <w:r w:rsidR="00100F6B">
        <w:t xml:space="preserve"> (N=25)</w:t>
      </w:r>
      <w:r w:rsidR="00B10E83">
        <w:t xml:space="preserve"> with the maximum available dose of atorvastatin</w:t>
      </w:r>
      <w:r w:rsidR="004E6B43">
        <w:t xml:space="preserve"> (80 mg)</w:t>
      </w:r>
      <w:r w:rsidR="00100F6B">
        <w:t xml:space="preserve"> (N=24)</w:t>
      </w:r>
      <w:r w:rsidR="00B10E83">
        <w:t xml:space="preserve">. </w:t>
      </w:r>
      <w:r w:rsidR="00A840B5">
        <w:t>In both cases the difference did not reach the level of statistical significance as the RCTs</w:t>
      </w:r>
      <w:r w:rsidR="00100F6B">
        <w:t xml:space="preserve"> </w:t>
      </w:r>
      <w:r w:rsidR="00100F6B" w:rsidRPr="00100F6B">
        <w:t>were underpowered to detect the difference in mean %LDL-C reduction from the baseline, which was not a primary outcome in either of these trials</w:t>
      </w:r>
      <w:r w:rsidR="00100F6B">
        <w:t>.</w:t>
      </w:r>
      <w:r w:rsidR="00100F6B" w:rsidRPr="00100F6B">
        <w:t xml:space="preserve"> </w:t>
      </w:r>
      <w:r w:rsidR="00B10E83">
        <w:t xml:space="preserve">In </w:t>
      </w:r>
      <w:r w:rsidR="00563AD6">
        <w:t xml:space="preserve">three </w:t>
      </w:r>
      <w:r w:rsidR="00B10E83">
        <w:t xml:space="preserve">other trials the difference in </w:t>
      </w:r>
      <w:r w:rsidR="004E75F5">
        <w:t xml:space="preserve">mean </w:t>
      </w:r>
      <w:r w:rsidR="00B10E83">
        <w:t xml:space="preserve">%LDL-C reduction between the arms, although favouring </w:t>
      </w:r>
      <w:r w:rsidR="00554F0B">
        <w:t>EZ+</w:t>
      </w:r>
      <w:r w:rsidR="00B10E83">
        <w:t>statin</w:t>
      </w:r>
      <w:r w:rsidR="004E75F5">
        <w:t xml:space="preserve">, </w:t>
      </w:r>
      <w:r w:rsidR="00B10E83">
        <w:t>was not statistically significant</w:t>
      </w:r>
      <w:r w:rsidR="00A840B5">
        <w:t xml:space="preserve"> either</w:t>
      </w:r>
      <w:r w:rsidR="00B10E83">
        <w:t xml:space="preserve">. </w:t>
      </w:r>
      <w:r w:rsidR="00563AD6">
        <w:t>These</w:t>
      </w:r>
      <w:r w:rsidR="00554F0B">
        <w:t xml:space="preserve"> trials </w:t>
      </w:r>
      <w:r w:rsidR="00563AD6">
        <w:t xml:space="preserve">by </w:t>
      </w:r>
      <w:r w:rsidR="00554F0B">
        <w:t>Garcia (2016</w:t>
      </w:r>
      <w:r w:rsidR="004E75F5">
        <w:t>), Lee (2013) and Pesar</w:t>
      </w:r>
      <w:r w:rsidR="00554F0B">
        <w:t xml:space="preserve">o (2013) compared </w:t>
      </w:r>
      <w:r w:rsidR="00554F0B" w:rsidRPr="00554F0B">
        <w:t>EZ+SIM 20</w:t>
      </w:r>
      <w:r w:rsidR="00554F0B">
        <w:t xml:space="preserve"> </w:t>
      </w:r>
      <w:r w:rsidR="004E75F5">
        <w:t xml:space="preserve">(Pesaro 2013) </w:t>
      </w:r>
      <w:r w:rsidR="00554F0B">
        <w:t>or EZ+SIM 1</w:t>
      </w:r>
      <w:r w:rsidR="00554F0B" w:rsidRPr="00554F0B">
        <w:t>0</w:t>
      </w:r>
      <w:r w:rsidR="00554F0B">
        <w:t xml:space="preserve"> </w:t>
      </w:r>
      <w:r w:rsidR="004E75F5">
        <w:t xml:space="preserve">(Garcia 2016) </w:t>
      </w:r>
      <w:r w:rsidR="00554F0B">
        <w:t>with either the maximum dose of 80 mg simvastatin or atorvastatin 20 mg</w:t>
      </w:r>
      <w:r w:rsidR="004E75F5">
        <w:t xml:space="preserve"> (Lee 2013)</w:t>
      </w:r>
      <w:r w:rsidR="00554F0B">
        <w:t xml:space="preserve">. </w:t>
      </w:r>
      <w:r w:rsidR="004E75F5">
        <w:t>All three small size RCTs were underpowered to detect the difference in mean %LDL-C reduction from the baseline, which was not a primary outcome in either of these trials.</w:t>
      </w:r>
    </w:p>
    <w:p w14:paraId="0F049017" w14:textId="77777777" w:rsidR="00A85A70" w:rsidRDefault="00A85A70" w:rsidP="007E7E68">
      <w:pPr>
        <w:spacing w:after="0"/>
        <w:jc w:val="both"/>
      </w:pPr>
    </w:p>
    <w:p w14:paraId="06CA0FD8" w14:textId="77777777" w:rsidR="00996085" w:rsidRDefault="00996085" w:rsidP="007E7E68">
      <w:pPr>
        <w:spacing w:after="0"/>
        <w:jc w:val="both"/>
      </w:pPr>
    </w:p>
    <w:p w14:paraId="686C6E58" w14:textId="77777777" w:rsidR="00563AD6" w:rsidRDefault="00563AD6" w:rsidP="007E7E68">
      <w:pPr>
        <w:spacing w:after="0"/>
        <w:jc w:val="both"/>
      </w:pPr>
    </w:p>
    <w:p w14:paraId="262C2667" w14:textId="77777777" w:rsidR="00996085" w:rsidRDefault="00996085" w:rsidP="007E7E68">
      <w:pPr>
        <w:spacing w:after="0"/>
        <w:jc w:val="both"/>
        <w:sectPr w:rsidR="00996085" w:rsidSect="00A85A70">
          <w:endnotePr>
            <w:numFmt w:val="decimal"/>
          </w:endnotePr>
          <w:pgSz w:w="11906" w:h="16838"/>
          <w:pgMar w:top="964" w:right="1134" w:bottom="1440" w:left="1440" w:header="709" w:footer="709" w:gutter="0"/>
          <w:cols w:space="708"/>
          <w:docGrid w:linePitch="360"/>
        </w:sectPr>
      </w:pPr>
    </w:p>
    <w:p w14:paraId="1E1B9408" w14:textId="14A4BD73" w:rsidR="007D67A2" w:rsidRPr="0083333B" w:rsidRDefault="007D67A2" w:rsidP="007D67A2">
      <w:pPr>
        <w:pStyle w:val="Caption"/>
        <w:ind w:left="0"/>
        <w:rPr>
          <w:sz w:val="22"/>
          <w:szCs w:val="22"/>
        </w:rPr>
      </w:pPr>
    </w:p>
    <w:p w14:paraId="1B3D5665" w14:textId="0ED1DF0A" w:rsidR="00DC25AA" w:rsidRPr="0083333B" w:rsidRDefault="00D90395" w:rsidP="00DC25AA">
      <w:pPr>
        <w:pStyle w:val="Caption"/>
        <w:ind w:hanging="720"/>
        <w:rPr>
          <w:sz w:val="22"/>
          <w:szCs w:val="22"/>
        </w:rPr>
      </w:pPr>
      <w:r w:rsidRPr="0083333B">
        <w:rPr>
          <w:sz w:val="22"/>
          <w:szCs w:val="22"/>
        </w:rPr>
        <w:t>Table 2.5.</w:t>
      </w:r>
      <w:r w:rsidR="0016290F" w:rsidRPr="0083333B">
        <w:rPr>
          <w:sz w:val="22"/>
          <w:szCs w:val="22"/>
        </w:rPr>
        <w:t>1</w:t>
      </w:r>
      <w:r w:rsidR="00504527" w:rsidRPr="0083333B">
        <w:rPr>
          <w:sz w:val="22"/>
          <w:szCs w:val="22"/>
        </w:rPr>
        <w:t>.1</w:t>
      </w:r>
      <w:r w:rsidR="007D67A2" w:rsidRPr="0083333B">
        <w:rPr>
          <w:sz w:val="22"/>
          <w:szCs w:val="22"/>
        </w:rPr>
        <w:t xml:space="preserve">: </w:t>
      </w:r>
      <w:r w:rsidR="00C02FC1" w:rsidRPr="0083333B">
        <w:rPr>
          <w:sz w:val="22"/>
          <w:szCs w:val="22"/>
        </w:rPr>
        <w:t>M</w:t>
      </w:r>
      <w:r w:rsidR="00DC25AA" w:rsidRPr="0083333B">
        <w:rPr>
          <w:sz w:val="22"/>
          <w:szCs w:val="22"/>
        </w:rPr>
        <w:t>ean %LDL-C reduction from the baseline</w:t>
      </w:r>
    </w:p>
    <w:tbl>
      <w:tblPr>
        <w:tblW w:w="15451" w:type="dxa"/>
        <w:tblInd w:w="-431" w:type="dxa"/>
        <w:tblLayout w:type="fixed"/>
        <w:tblCellMar>
          <w:left w:w="0" w:type="dxa"/>
          <w:right w:w="0" w:type="dxa"/>
        </w:tblCellMar>
        <w:tblLook w:val="0000" w:firstRow="0" w:lastRow="0" w:firstColumn="0" w:lastColumn="0" w:noHBand="0" w:noVBand="0"/>
      </w:tblPr>
      <w:tblGrid>
        <w:gridCol w:w="2127"/>
        <w:gridCol w:w="992"/>
        <w:gridCol w:w="851"/>
        <w:gridCol w:w="850"/>
        <w:gridCol w:w="2268"/>
        <w:gridCol w:w="992"/>
        <w:gridCol w:w="851"/>
        <w:gridCol w:w="850"/>
        <w:gridCol w:w="1842"/>
        <w:gridCol w:w="1842"/>
        <w:gridCol w:w="1986"/>
      </w:tblGrid>
      <w:tr w:rsidR="00C679AF" w:rsidRPr="00AB0BB0" w14:paraId="6EC91C9F" w14:textId="77777777" w:rsidTr="00DA1E76">
        <w:trPr>
          <w:trHeight w:hRule="exact" w:val="262"/>
        </w:trPr>
        <w:tc>
          <w:tcPr>
            <w:tcW w:w="2127" w:type="dxa"/>
            <w:tcBorders>
              <w:top w:val="single" w:sz="4" w:space="0" w:color="000000"/>
              <w:left w:val="single" w:sz="4" w:space="0" w:color="000000"/>
              <w:right w:val="single" w:sz="4" w:space="0" w:color="000000"/>
            </w:tcBorders>
          </w:tcPr>
          <w:p w14:paraId="013C6AF6" w14:textId="77777777" w:rsidR="00DC25AA" w:rsidRPr="00AB0BB0" w:rsidRDefault="00DC25AA" w:rsidP="00DC25AA">
            <w:pPr>
              <w:kinsoku w:val="0"/>
              <w:overflowPunct w:val="0"/>
              <w:autoSpaceDE w:val="0"/>
              <w:autoSpaceDN w:val="0"/>
              <w:adjustRightInd w:val="0"/>
              <w:spacing w:after="0" w:line="218" w:lineRule="exact"/>
              <w:ind w:left="102"/>
              <w:rPr>
                <w:rFonts w:ascii="Arial Narrow" w:hAnsi="Arial Narrow" w:cs="Times New Roman"/>
                <w:b/>
                <w:sz w:val="20"/>
                <w:szCs w:val="20"/>
              </w:rPr>
            </w:pPr>
            <w:r w:rsidRPr="00AB0BB0">
              <w:rPr>
                <w:rFonts w:ascii="Arial Narrow" w:hAnsi="Arial Narrow" w:cs="Calibri"/>
                <w:b/>
                <w:spacing w:val="-1"/>
                <w:sz w:val="20"/>
                <w:szCs w:val="20"/>
              </w:rPr>
              <w:t>Study</w:t>
            </w:r>
          </w:p>
        </w:tc>
        <w:tc>
          <w:tcPr>
            <w:tcW w:w="2693" w:type="dxa"/>
            <w:gridSpan w:val="3"/>
            <w:tcBorders>
              <w:top w:val="single" w:sz="4" w:space="0" w:color="000000"/>
              <w:left w:val="single" w:sz="4" w:space="0" w:color="000000"/>
              <w:bottom w:val="single" w:sz="4" w:space="0" w:color="000000"/>
              <w:right w:val="single" w:sz="4" w:space="0" w:color="000000"/>
            </w:tcBorders>
          </w:tcPr>
          <w:p w14:paraId="05E008BB" w14:textId="77777777" w:rsidR="00DC25AA" w:rsidRPr="00AB0BB0" w:rsidRDefault="00DC25AA" w:rsidP="00A63DAF">
            <w:pPr>
              <w:kinsoku w:val="0"/>
              <w:overflowPunct w:val="0"/>
              <w:autoSpaceDE w:val="0"/>
              <w:autoSpaceDN w:val="0"/>
              <w:adjustRightInd w:val="0"/>
              <w:spacing w:after="0" w:line="218" w:lineRule="exact"/>
              <w:ind w:left="783"/>
              <w:rPr>
                <w:rFonts w:ascii="Arial Narrow" w:hAnsi="Arial Narrow" w:cs="Calibri"/>
                <w:b/>
                <w:spacing w:val="-1"/>
                <w:sz w:val="20"/>
                <w:szCs w:val="20"/>
              </w:rPr>
            </w:pPr>
            <w:r w:rsidRPr="00AB0BB0">
              <w:rPr>
                <w:rFonts w:ascii="Arial Narrow" w:hAnsi="Arial Narrow" w:cs="Calibri"/>
                <w:b/>
                <w:spacing w:val="-1"/>
                <w:sz w:val="20"/>
                <w:szCs w:val="20"/>
              </w:rPr>
              <w:t>Statin arm</w:t>
            </w:r>
          </w:p>
        </w:tc>
        <w:tc>
          <w:tcPr>
            <w:tcW w:w="4961" w:type="dxa"/>
            <w:gridSpan w:val="4"/>
            <w:tcBorders>
              <w:top w:val="single" w:sz="4" w:space="0" w:color="000000"/>
              <w:left w:val="single" w:sz="4" w:space="0" w:color="000000"/>
              <w:bottom w:val="single" w:sz="4" w:space="0" w:color="000000"/>
              <w:right w:val="single" w:sz="4" w:space="0" w:color="000000"/>
            </w:tcBorders>
          </w:tcPr>
          <w:p w14:paraId="7EBBAB99" w14:textId="77777777" w:rsidR="00DC25AA" w:rsidRPr="00AB0BB0" w:rsidRDefault="00DC25AA" w:rsidP="00EE4B54">
            <w:pPr>
              <w:kinsoku w:val="0"/>
              <w:overflowPunct w:val="0"/>
              <w:autoSpaceDE w:val="0"/>
              <w:autoSpaceDN w:val="0"/>
              <w:adjustRightInd w:val="0"/>
              <w:spacing w:after="0" w:line="218" w:lineRule="exact"/>
              <w:ind w:left="783"/>
              <w:jc w:val="center"/>
              <w:rPr>
                <w:rFonts w:ascii="Arial Narrow" w:hAnsi="Arial Narrow" w:cs="Times New Roman"/>
                <w:b/>
                <w:sz w:val="20"/>
                <w:szCs w:val="20"/>
              </w:rPr>
            </w:pPr>
            <w:r w:rsidRPr="00AB0BB0">
              <w:rPr>
                <w:rFonts w:ascii="Arial Narrow" w:hAnsi="Arial Narrow" w:cs="Calibri"/>
                <w:b/>
                <w:spacing w:val="-1"/>
                <w:sz w:val="20"/>
                <w:szCs w:val="20"/>
              </w:rPr>
              <w:t xml:space="preserve">Statin </w:t>
            </w:r>
            <w:r w:rsidRPr="00AB0BB0">
              <w:rPr>
                <w:rFonts w:ascii="Arial Narrow" w:hAnsi="Arial Narrow" w:cs="Calibri"/>
                <w:b/>
                <w:sz w:val="20"/>
                <w:szCs w:val="20"/>
              </w:rPr>
              <w:t>+</w:t>
            </w:r>
            <w:r w:rsidRPr="00AB0BB0">
              <w:rPr>
                <w:rFonts w:ascii="Arial Narrow" w:hAnsi="Arial Narrow" w:cs="Calibri"/>
                <w:b/>
                <w:spacing w:val="-3"/>
                <w:sz w:val="20"/>
                <w:szCs w:val="20"/>
              </w:rPr>
              <w:t xml:space="preserve"> </w:t>
            </w:r>
            <w:r w:rsidRPr="00AB0BB0">
              <w:rPr>
                <w:rFonts w:ascii="Arial Narrow" w:hAnsi="Arial Narrow" w:cs="Calibri"/>
                <w:b/>
                <w:spacing w:val="-1"/>
                <w:sz w:val="20"/>
                <w:szCs w:val="20"/>
              </w:rPr>
              <w:t>ezetimibe</w:t>
            </w:r>
            <w:r w:rsidRPr="00AB0BB0">
              <w:rPr>
                <w:rFonts w:ascii="Arial Narrow" w:hAnsi="Arial Narrow" w:cs="Calibri"/>
                <w:b/>
                <w:spacing w:val="-3"/>
                <w:sz w:val="20"/>
                <w:szCs w:val="20"/>
              </w:rPr>
              <w:t xml:space="preserve"> </w:t>
            </w:r>
            <w:r w:rsidRPr="00AB0BB0">
              <w:rPr>
                <w:rFonts w:ascii="Arial Narrow" w:hAnsi="Arial Narrow" w:cs="Calibri"/>
                <w:b/>
                <w:sz w:val="20"/>
                <w:szCs w:val="20"/>
              </w:rPr>
              <w:t>arm</w:t>
            </w:r>
          </w:p>
        </w:tc>
        <w:tc>
          <w:tcPr>
            <w:tcW w:w="5670" w:type="dxa"/>
            <w:gridSpan w:val="3"/>
            <w:tcBorders>
              <w:top w:val="single" w:sz="4" w:space="0" w:color="000000"/>
              <w:left w:val="single" w:sz="4" w:space="0" w:color="000000"/>
              <w:bottom w:val="single" w:sz="4" w:space="0" w:color="000000"/>
              <w:right w:val="single" w:sz="4" w:space="0" w:color="auto"/>
            </w:tcBorders>
          </w:tcPr>
          <w:p w14:paraId="00B304BB" w14:textId="77777777" w:rsidR="00DC25AA" w:rsidRPr="00AB0BB0" w:rsidRDefault="00DC25AA" w:rsidP="00EE4B54">
            <w:pPr>
              <w:kinsoku w:val="0"/>
              <w:overflowPunct w:val="0"/>
              <w:autoSpaceDE w:val="0"/>
              <w:autoSpaceDN w:val="0"/>
              <w:adjustRightInd w:val="0"/>
              <w:spacing w:after="0" w:line="218" w:lineRule="exact"/>
              <w:ind w:left="781"/>
              <w:jc w:val="center"/>
              <w:rPr>
                <w:rFonts w:ascii="Arial Narrow" w:hAnsi="Arial Narrow" w:cs="Times New Roman"/>
                <w:b/>
                <w:sz w:val="20"/>
                <w:szCs w:val="20"/>
              </w:rPr>
            </w:pPr>
            <w:r w:rsidRPr="00AB0BB0">
              <w:rPr>
                <w:rFonts w:ascii="Arial Narrow" w:hAnsi="Arial Narrow" w:cs="Calibri"/>
                <w:b/>
                <w:spacing w:val="-1"/>
                <w:sz w:val="20"/>
                <w:szCs w:val="20"/>
              </w:rPr>
              <w:t>Percentage</w:t>
            </w:r>
            <w:r w:rsidRPr="00AB0BB0">
              <w:rPr>
                <w:rFonts w:ascii="Arial Narrow" w:hAnsi="Arial Narrow" w:cs="Calibri"/>
                <w:b/>
                <w:spacing w:val="-11"/>
                <w:sz w:val="20"/>
                <w:szCs w:val="20"/>
              </w:rPr>
              <w:t xml:space="preserve"> </w:t>
            </w:r>
            <w:r w:rsidRPr="00AB0BB0">
              <w:rPr>
                <w:rFonts w:ascii="Arial Narrow" w:hAnsi="Arial Narrow" w:cs="Calibri"/>
                <w:b/>
                <w:sz w:val="20"/>
                <w:szCs w:val="20"/>
              </w:rPr>
              <w:t>reduction</w:t>
            </w:r>
          </w:p>
        </w:tc>
      </w:tr>
      <w:tr w:rsidR="00C679AF" w:rsidRPr="00AB0BB0" w14:paraId="7D474D9C" w14:textId="77777777" w:rsidTr="00DA1E76">
        <w:tc>
          <w:tcPr>
            <w:tcW w:w="2127" w:type="dxa"/>
            <w:tcBorders>
              <w:left w:val="single" w:sz="4" w:space="0" w:color="000000"/>
              <w:bottom w:val="single" w:sz="4" w:space="0" w:color="000000"/>
              <w:right w:val="single" w:sz="4" w:space="0" w:color="000000"/>
            </w:tcBorders>
          </w:tcPr>
          <w:p w14:paraId="345C03CA" w14:textId="77777777" w:rsidR="00DC25AA" w:rsidRPr="00AB0BB0" w:rsidRDefault="00DC25AA" w:rsidP="00DC25AA">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Drug dose (mg) </w:t>
            </w:r>
          </w:p>
        </w:tc>
        <w:tc>
          <w:tcPr>
            <w:tcW w:w="992" w:type="dxa"/>
            <w:tcBorders>
              <w:top w:val="single" w:sz="4" w:space="0" w:color="000000"/>
              <w:left w:val="single" w:sz="4" w:space="0" w:color="000000"/>
              <w:bottom w:val="single" w:sz="4" w:space="0" w:color="000000"/>
              <w:right w:val="single" w:sz="4" w:space="0" w:color="000000"/>
            </w:tcBorders>
          </w:tcPr>
          <w:p w14:paraId="40D4CAAA" w14:textId="77777777" w:rsidR="001A47FB" w:rsidRPr="00AB0BB0" w:rsidRDefault="001A47FB" w:rsidP="001A47FB">
            <w:pPr>
              <w:kinsoku w:val="0"/>
              <w:overflowPunct w:val="0"/>
              <w:autoSpaceDE w:val="0"/>
              <w:autoSpaceDN w:val="0"/>
              <w:adjustRightInd w:val="0"/>
              <w:spacing w:after="0" w:line="218" w:lineRule="exact"/>
              <w:jc w:val="center"/>
              <w:rPr>
                <w:rFonts w:ascii="Arial Narrow" w:hAnsi="Arial Narrow" w:cs="Calibri"/>
                <w:spacing w:val="-1"/>
                <w:sz w:val="16"/>
                <w:szCs w:val="16"/>
              </w:rPr>
            </w:pPr>
            <w:r w:rsidRPr="00AB0BB0">
              <w:rPr>
                <w:rFonts w:ascii="Arial Narrow" w:hAnsi="Arial Narrow" w:cs="Calibri"/>
                <w:spacing w:val="-1"/>
                <w:sz w:val="20"/>
                <w:szCs w:val="20"/>
              </w:rPr>
              <w:t xml:space="preserve">N </w:t>
            </w:r>
            <w:r w:rsidRPr="00AB0BB0">
              <w:rPr>
                <w:rFonts w:ascii="Arial Narrow" w:hAnsi="Arial Narrow" w:cs="Calibri"/>
                <w:spacing w:val="-1"/>
                <w:sz w:val="16"/>
                <w:szCs w:val="16"/>
              </w:rPr>
              <w:t>(total randomised)</w:t>
            </w:r>
          </w:p>
          <w:p w14:paraId="2414A551" w14:textId="3E6FB213" w:rsidR="00DC25AA" w:rsidRPr="00AB0BB0" w:rsidRDefault="001A47FB" w:rsidP="001A47FB">
            <w:pPr>
              <w:kinsoku w:val="0"/>
              <w:overflowPunct w:val="0"/>
              <w:autoSpaceDE w:val="0"/>
              <w:autoSpaceDN w:val="0"/>
              <w:adjustRightInd w:val="0"/>
              <w:spacing w:after="0" w:line="218" w:lineRule="exact"/>
              <w:jc w:val="center"/>
              <w:rPr>
                <w:rFonts w:ascii="Arial Narrow" w:hAnsi="Arial Narrow" w:cs="Times New Roman"/>
                <w:sz w:val="20"/>
                <w:szCs w:val="20"/>
              </w:rPr>
            </w:pPr>
            <w:r w:rsidRPr="00AB0BB0">
              <w:rPr>
                <w:rFonts w:ascii="Arial Narrow" w:hAnsi="Arial Narrow" w:cs="Calibri"/>
                <w:spacing w:val="-1"/>
                <w:sz w:val="20"/>
                <w:szCs w:val="20"/>
              </w:rPr>
              <w:t xml:space="preserve">n </w:t>
            </w:r>
            <w:r w:rsidRPr="00AB0BB0">
              <w:rPr>
                <w:rFonts w:ascii="Arial Narrow" w:hAnsi="Arial Narrow" w:cs="Calibri"/>
                <w:spacing w:val="-1"/>
                <w:sz w:val="16"/>
                <w:szCs w:val="16"/>
              </w:rPr>
              <w:t>(arms)</w:t>
            </w:r>
          </w:p>
        </w:tc>
        <w:tc>
          <w:tcPr>
            <w:tcW w:w="851" w:type="dxa"/>
            <w:tcBorders>
              <w:top w:val="single" w:sz="4" w:space="0" w:color="000000"/>
              <w:left w:val="single" w:sz="4" w:space="0" w:color="000000"/>
              <w:bottom w:val="single" w:sz="4" w:space="0" w:color="000000"/>
              <w:right w:val="single" w:sz="4" w:space="0" w:color="000000"/>
            </w:tcBorders>
          </w:tcPr>
          <w:p w14:paraId="4716E0ED" w14:textId="77777777" w:rsidR="00DC25AA" w:rsidRPr="00AB0BB0" w:rsidRDefault="00DC25AA" w:rsidP="00A63DAF">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AB0BB0">
              <w:rPr>
                <w:rFonts w:ascii="Arial Narrow" w:hAnsi="Arial Narrow" w:cs="Calibri"/>
                <w:spacing w:val="-1"/>
                <w:sz w:val="20"/>
                <w:szCs w:val="20"/>
              </w:rPr>
              <w:t xml:space="preserve">LDL-c </w:t>
            </w:r>
          </w:p>
          <w:p w14:paraId="53BFCF65" w14:textId="77777777" w:rsidR="00DC25AA" w:rsidRPr="00AB0BB0" w:rsidRDefault="00DC25AA" w:rsidP="00A63DAF">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AB0BB0">
              <w:rPr>
                <w:rFonts w:ascii="Arial Narrow" w:hAnsi="Arial Narrow" w:cs="Calibri"/>
                <w:spacing w:val="-1"/>
                <w:sz w:val="20"/>
                <w:szCs w:val="20"/>
              </w:rPr>
              <w:t xml:space="preserve">baseline </w:t>
            </w:r>
          </w:p>
          <w:p w14:paraId="008433BB" w14:textId="77777777" w:rsidR="00DC25AA" w:rsidRPr="00AB0BB0" w:rsidRDefault="00DC25AA" w:rsidP="00A63DAF">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AB0BB0">
              <w:rPr>
                <w:rFonts w:ascii="Arial Narrow" w:hAnsi="Arial Narrow" w:cs="Calibri"/>
                <w:spacing w:val="-1"/>
                <w:sz w:val="20"/>
                <w:szCs w:val="20"/>
              </w:rPr>
              <w:t>(mmol/L)</w:t>
            </w:r>
          </w:p>
        </w:tc>
        <w:tc>
          <w:tcPr>
            <w:tcW w:w="850" w:type="dxa"/>
            <w:tcBorders>
              <w:top w:val="single" w:sz="4" w:space="0" w:color="000000"/>
              <w:left w:val="single" w:sz="4" w:space="0" w:color="000000"/>
              <w:bottom w:val="single" w:sz="4" w:space="0" w:color="000000"/>
              <w:right w:val="single" w:sz="4" w:space="0" w:color="000000"/>
            </w:tcBorders>
          </w:tcPr>
          <w:p w14:paraId="6AC13ED5" w14:textId="77777777" w:rsidR="00DC25AA" w:rsidRPr="00AB0BB0" w:rsidRDefault="00DC25AA" w:rsidP="00BF79BA">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LDL-c</w:t>
            </w:r>
          </w:p>
          <w:p w14:paraId="12947089" w14:textId="77777777" w:rsidR="00DC25AA" w:rsidRPr="00AB0BB0" w:rsidRDefault="00DC25AA" w:rsidP="00BF79BA">
            <w:pPr>
              <w:kinsoku w:val="0"/>
              <w:overflowPunct w:val="0"/>
              <w:autoSpaceDE w:val="0"/>
              <w:autoSpaceDN w:val="0"/>
              <w:adjustRightInd w:val="0"/>
              <w:spacing w:before="35" w:after="0" w:line="275" w:lineRule="auto"/>
              <w:ind w:hanging="1"/>
              <w:jc w:val="center"/>
              <w:rPr>
                <w:rFonts w:ascii="Arial Narrow" w:hAnsi="Arial Narrow" w:cs="Calibri"/>
                <w:spacing w:val="-1"/>
                <w:sz w:val="20"/>
                <w:szCs w:val="20"/>
              </w:rPr>
            </w:pPr>
            <w:r w:rsidRPr="00AB0BB0">
              <w:rPr>
                <w:rFonts w:ascii="Arial Narrow" w:hAnsi="Arial Narrow" w:cs="Calibri"/>
                <w:spacing w:val="-1"/>
                <w:sz w:val="20"/>
                <w:szCs w:val="20"/>
              </w:rPr>
              <w:t>endpoint (mmol/L)</w:t>
            </w:r>
          </w:p>
        </w:tc>
        <w:tc>
          <w:tcPr>
            <w:tcW w:w="2268" w:type="dxa"/>
            <w:tcBorders>
              <w:top w:val="single" w:sz="4" w:space="0" w:color="000000"/>
              <w:left w:val="single" w:sz="4" w:space="0" w:color="000000"/>
              <w:bottom w:val="single" w:sz="4" w:space="0" w:color="000000"/>
              <w:right w:val="single" w:sz="4" w:space="0" w:color="000000"/>
            </w:tcBorders>
          </w:tcPr>
          <w:p w14:paraId="63AE0013" w14:textId="77777777" w:rsidR="00DC25AA" w:rsidRPr="00AB0BB0" w:rsidRDefault="00DC25AA" w:rsidP="00DC25AA">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 xml:space="preserve">Drug dose </w:t>
            </w:r>
          </w:p>
          <w:p w14:paraId="2545BD9C" w14:textId="77777777" w:rsidR="00DC25AA" w:rsidRPr="00AB0BB0" w:rsidRDefault="00DC25AA" w:rsidP="00DC25AA">
            <w:pPr>
              <w:kinsoku w:val="0"/>
              <w:overflowPunct w:val="0"/>
              <w:autoSpaceDE w:val="0"/>
              <w:autoSpaceDN w:val="0"/>
              <w:adjustRightInd w:val="0"/>
              <w:spacing w:after="0" w:line="218" w:lineRule="exact"/>
              <w:jc w:val="center"/>
              <w:rPr>
                <w:rFonts w:ascii="Arial Narrow" w:hAnsi="Arial Narrow" w:cs="Calibri"/>
                <w:sz w:val="20"/>
                <w:szCs w:val="20"/>
              </w:rPr>
            </w:pPr>
            <w:r w:rsidRPr="00AB0BB0">
              <w:rPr>
                <w:rFonts w:ascii="Arial Narrow" w:hAnsi="Arial Narrow" w:cs="Calibri"/>
                <w:spacing w:val="-1"/>
                <w:sz w:val="20"/>
                <w:szCs w:val="20"/>
              </w:rPr>
              <w:t>(mg)</w:t>
            </w:r>
          </w:p>
        </w:tc>
        <w:tc>
          <w:tcPr>
            <w:tcW w:w="992" w:type="dxa"/>
            <w:tcBorders>
              <w:top w:val="single" w:sz="4" w:space="0" w:color="000000"/>
              <w:left w:val="single" w:sz="4" w:space="0" w:color="000000"/>
              <w:bottom w:val="single" w:sz="4" w:space="0" w:color="000000"/>
              <w:right w:val="single" w:sz="4" w:space="0" w:color="000000"/>
            </w:tcBorders>
          </w:tcPr>
          <w:p w14:paraId="0FD5A625" w14:textId="77777777" w:rsidR="001A47FB" w:rsidRPr="00AB0BB0" w:rsidRDefault="001A47FB" w:rsidP="001A47FB">
            <w:pPr>
              <w:kinsoku w:val="0"/>
              <w:overflowPunct w:val="0"/>
              <w:autoSpaceDE w:val="0"/>
              <w:autoSpaceDN w:val="0"/>
              <w:adjustRightInd w:val="0"/>
              <w:spacing w:after="0" w:line="218" w:lineRule="exact"/>
              <w:jc w:val="center"/>
              <w:rPr>
                <w:rFonts w:ascii="Arial Narrow" w:hAnsi="Arial Narrow" w:cs="Calibri"/>
                <w:spacing w:val="-1"/>
                <w:sz w:val="16"/>
                <w:szCs w:val="16"/>
              </w:rPr>
            </w:pPr>
            <w:r w:rsidRPr="00AB0BB0">
              <w:rPr>
                <w:rFonts w:ascii="Arial Narrow" w:hAnsi="Arial Narrow" w:cs="Calibri"/>
                <w:spacing w:val="-1"/>
                <w:sz w:val="20"/>
                <w:szCs w:val="20"/>
              </w:rPr>
              <w:t xml:space="preserve">N </w:t>
            </w:r>
            <w:r w:rsidRPr="00AB0BB0">
              <w:rPr>
                <w:rFonts w:ascii="Arial Narrow" w:hAnsi="Arial Narrow" w:cs="Calibri"/>
                <w:spacing w:val="-1"/>
                <w:sz w:val="16"/>
                <w:szCs w:val="16"/>
              </w:rPr>
              <w:t>(total randomised)</w:t>
            </w:r>
          </w:p>
          <w:p w14:paraId="16282434" w14:textId="12539610" w:rsidR="00DC25AA" w:rsidRPr="00AB0BB0" w:rsidRDefault="001A47FB" w:rsidP="001A47FB">
            <w:pPr>
              <w:kinsoku w:val="0"/>
              <w:overflowPunct w:val="0"/>
              <w:autoSpaceDE w:val="0"/>
              <w:autoSpaceDN w:val="0"/>
              <w:adjustRightInd w:val="0"/>
              <w:spacing w:after="0" w:line="218" w:lineRule="exact"/>
              <w:jc w:val="center"/>
              <w:rPr>
                <w:rFonts w:ascii="Arial Narrow" w:hAnsi="Arial Narrow" w:cs="Times New Roman"/>
                <w:sz w:val="20"/>
                <w:szCs w:val="20"/>
              </w:rPr>
            </w:pPr>
            <w:r w:rsidRPr="00AB0BB0">
              <w:rPr>
                <w:rFonts w:ascii="Arial Narrow" w:hAnsi="Arial Narrow" w:cs="Calibri"/>
                <w:spacing w:val="-1"/>
                <w:sz w:val="20"/>
                <w:szCs w:val="20"/>
              </w:rPr>
              <w:t xml:space="preserve">n </w:t>
            </w:r>
            <w:r w:rsidRPr="00AB0BB0">
              <w:rPr>
                <w:rFonts w:ascii="Arial Narrow" w:hAnsi="Arial Narrow" w:cs="Calibri"/>
                <w:spacing w:val="-1"/>
                <w:sz w:val="16"/>
                <w:szCs w:val="16"/>
              </w:rPr>
              <w:t>(arms)</w:t>
            </w:r>
          </w:p>
        </w:tc>
        <w:tc>
          <w:tcPr>
            <w:tcW w:w="851" w:type="dxa"/>
            <w:tcBorders>
              <w:top w:val="single" w:sz="4" w:space="0" w:color="000000"/>
              <w:left w:val="single" w:sz="4" w:space="0" w:color="000000"/>
              <w:bottom w:val="single" w:sz="4" w:space="0" w:color="000000"/>
              <w:right w:val="single" w:sz="4" w:space="0" w:color="000000"/>
            </w:tcBorders>
          </w:tcPr>
          <w:p w14:paraId="1D0196DD" w14:textId="77777777" w:rsidR="00DC25AA" w:rsidRPr="00AB0BB0" w:rsidRDefault="00DC25AA" w:rsidP="00BF79BA">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AB0BB0">
              <w:rPr>
                <w:rFonts w:ascii="Arial Narrow" w:hAnsi="Arial Narrow" w:cs="Calibri"/>
                <w:spacing w:val="-1"/>
                <w:sz w:val="20"/>
                <w:szCs w:val="20"/>
              </w:rPr>
              <w:t>LDL-c baseline (mmol/L)</w:t>
            </w:r>
          </w:p>
        </w:tc>
        <w:tc>
          <w:tcPr>
            <w:tcW w:w="850" w:type="dxa"/>
            <w:tcBorders>
              <w:top w:val="single" w:sz="4" w:space="0" w:color="000000"/>
              <w:left w:val="single" w:sz="4" w:space="0" w:color="000000"/>
              <w:bottom w:val="single" w:sz="4" w:space="0" w:color="000000"/>
              <w:right w:val="single" w:sz="4" w:space="0" w:color="000000"/>
            </w:tcBorders>
          </w:tcPr>
          <w:p w14:paraId="61056A0F" w14:textId="77777777" w:rsidR="00DC25AA" w:rsidRPr="00AB0BB0" w:rsidRDefault="00DC25AA" w:rsidP="00BF79BA">
            <w:pPr>
              <w:kinsoku w:val="0"/>
              <w:overflowPunct w:val="0"/>
              <w:autoSpaceDE w:val="0"/>
              <w:autoSpaceDN w:val="0"/>
              <w:adjustRightInd w:val="0"/>
              <w:spacing w:after="0" w:line="278" w:lineRule="auto"/>
              <w:ind w:left="1"/>
              <w:jc w:val="center"/>
              <w:rPr>
                <w:rFonts w:ascii="Arial Narrow" w:hAnsi="Arial Narrow" w:cs="Calibri"/>
                <w:spacing w:val="-1"/>
                <w:sz w:val="20"/>
                <w:szCs w:val="20"/>
              </w:rPr>
            </w:pPr>
            <w:r w:rsidRPr="00AB0BB0">
              <w:rPr>
                <w:rFonts w:ascii="Arial Narrow" w:hAnsi="Arial Narrow" w:cs="Calibri"/>
                <w:spacing w:val="-1"/>
                <w:sz w:val="20"/>
                <w:szCs w:val="20"/>
              </w:rPr>
              <w:t xml:space="preserve">LDL-c </w:t>
            </w:r>
          </w:p>
          <w:p w14:paraId="27C2B01F" w14:textId="77777777" w:rsidR="00DC25AA" w:rsidRPr="00AB0BB0" w:rsidRDefault="00DC25AA" w:rsidP="00BF79BA">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AB0BB0">
              <w:rPr>
                <w:rFonts w:ascii="Arial Narrow" w:hAnsi="Arial Narrow" w:cs="Calibri"/>
                <w:spacing w:val="-1"/>
                <w:sz w:val="20"/>
                <w:szCs w:val="20"/>
              </w:rPr>
              <w:t>endpoint (mmol/L)</w:t>
            </w:r>
          </w:p>
        </w:tc>
        <w:tc>
          <w:tcPr>
            <w:tcW w:w="1842" w:type="dxa"/>
            <w:tcBorders>
              <w:top w:val="single" w:sz="4" w:space="0" w:color="000000"/>
              <w:left w:val="single" w:sz="4" w:space="0" w:color="000000"/>
              <w:bottom w:val="single" w:sz="4" w:space="0" w:color="000000"/>
              <w:right w:val="single" w:sz="4" w:space="0" w:color="000000"/>
            </w:tcBorders>
          </w:tcPr>
          <w:p w14:paraId="72EB5399" w14:textId="77777777" w:rsidR="00DC25AA" w:rsidRPr="00AB0BB0" w:rsidRDefault="00DC25AA" w:rsidP="00DC25AA">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 xml:space="preserve">Mean %S </w:t>
            </w:r>
          </w:p>
          <w:p w14:paraId="48F31994" w14:textId="77777777" w:rsidR="00DC25AA" w:rsidRPr="00AB0BB0" w:rsidRDefault="00DC25AA" w:rsidP="00DC25AA">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(SD; SE or 95% CI)</w:t>
            </w:r>
          </w:p>
        </w:tc>
        <w:tc>
          <w:tcPr>
            <w:tcW w:w="1842" w:type="dxa"/>
            <w:tcBorders>
              <w:top w:val="single" w:sz="4" w:space="0" w:color="000000"/>
              <w:left w:val="single" w:sz="4" w:space="0" w:color="000000"/>
              <w:bottom w:val="single" w:sz="4" w:space="0" w:color="000000"/>
              <w:right w:val="single" w:sz="4" w:space="0" w:color="000000"/>
            </w:tcBorders>
          </w:tcPr>
          <w:p w14:paraId="31292C7E" w14:textId="77777777" w:rsidR="00DC25AA" w:rsidRPr="00AB0BB0" w:rsidRDefault="00DC25AA" w:rsidP="00DC25AA">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 xml:space="preserve">Mean %E+S </w:t>
            </w:r>
          </w:p>
          <w:p w14:paraId="139C9C91" w14:textId="77777777" w:rsidR="00DC25AA" w:rsidRPr="00AB0BB0" w:rsidRDefault="00DC25AA" w:rsidP="00DC25AA">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(SD; SE or 95% CI)</w:t>
            </w:r>
          </w:p>
        </w:tc>
        <w:tc>
          <w:tcPr>
            <w:tcW w:w="1986" w:type="dxa"/>
            <w:tcBorders>
              <w:top w:val="single" w:sz="4" w:space="0" w:color="000000"/>
              <w:left w:val="single" w:sz="4" w:space="0" w:color="000000"/>
              <w:bottom w:val="single" w:sz="4" w:space="0" w:color="000000"/>
              <w:right w:val="single" w:sz="4" w:space="0" w:color="000000"/>
            </w:tcBorders>
          </w:tcPr>
          <w:p w14:paraId="5B53345D" w14:textId="77777777" w:rsidR="00C02FC1" w:rsidRPr="00AB0BB0" w:rsidRDefault="00DC25AA" w:rsidP="00DC25AA">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AB0BB0">
              <w:rPr>
                <w:rFonts w:ascii="Arial Narrow" w:hAnsi="Arial Narrow" w:cs="Calibri"/>
                <w:spacing w:val="-1"/>
                <w:sz w:val="20"/>
                <w:szCs w:val="20"/>
              </w:rPr>
              <w:t xml:space="preserve">Mean % further reduction (%E+S - %S) </w:t>
            </w:r>
          </w:p>
          <w:p w14:paraId="7A2F2264" w14:textId="220CBC89" w:rsidR="00DC25AA" w:rsidRPr="00AB0BB0" w:rsidRDefault="00C02FC1" w:rsidP="00DC25AA">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AB0BB0">
              <w:rPr>
                <w:rFonts w:ascii="Arial Narrow" w:hAnsi="Arial Narrow" w:cs="Calibri"/>
                <w:spacing w:val="-1"/>
                <w:sz w:val="20"/>
                <w:szCs w:val="20"/>
              </w:rPr>
              <w:t>(SD; SE or 95% CI)</w:t>
            </w:r>
          </w:p>
        </w:tc>
      </w:tr>
      <w:tr w:rsidR="00C679AF" w:rsidRPr="00AB0BB0" w14:paraId="5276ACBE" w14:textId="77777777" w:rsidTr="00DA1E76">
        <w:trPr>
          <w:trHeight w:hRule="exact" w:val="339"/>
        </w:trPr>
        <w:tc>
          <w:tcPr>
            <w:tcW w:w="15451" w:type="dxa"/>
            <w:gridSpan w:val="11"/>
            <w:tcBorders>
              <w:top w:val="single" w:sz="4" w:space="0" w:color="000000"/>
              <w:left w:val="single" w:sz="4" w:space="0" w:color="000000"/>
              <w:bottom w:val="single" w:sz="4" w:space="0" w:color="000000"/>
              <w:right w:val="single" w:sz="4" w:space="0" w:color="000000"/>
            </w:tcBorders>
          </w:tcPr>
          <w:p w14:paraId="33796078" w14:textId="3799F3E5" w:rsidR="00DC25AA" w:rsidRPr="00AB0BB0" w:rsidRDefault="00DB3725" w:rsidP="00DB3725">
            <w:pPr>
              <w:kinsoku w:val="0"/>
              <w:overflowPunct w:val="0"/>
              <w:autoSpaceDE w:val="0"/>
              <w:autoSpaceDN w:val="0"/>
              <w:adjustRightInd w:val="0"/>
              <w:spacing w:after="0" w:line="240" w:lineRule="auto"/>
              <w:ind w:left="450" w:right="450"/>
              <w:jc w:val="center"/>
              <w:rPr>
                <w:rFonts w:ascii="Arial Narrow" w:hAnsi="Arial Narrow" w:cs="Calibri"/>
                <w:sz w:val="20"/>
                <w:szCs w:val="20"/>
              </w:rPr>
            </w:pPr>
            <w:r w:rsidRPr="00AB0BB0">
              <w:rPr>
                <w:rFonts w:ascii="Arial Narrow" w:hAnsi="Arial Narrow"/>
                <w:b/>
                <w:sz w:val="20"/>
                <w:szCs w:val="20"/>
              </w:rPr>
              <w:t>Up-titrating statin dose+ ezetimibe vs up-titrating statin dose</w:t>
            </w:r>
          </w:p>
        </w:tc>
      </w:tr>
      <w:tr w:rsidR="00C679AF" w:rsidRPr="00AB0BB0" w14:paraId="0D24DA46" w14:textId="77777777" w:rsidTr="00DA1E76">
        <w:trPr>
          <w:trHeight w:hRule="exact" w:val="277"/>
        </w:trPr>
        <w:tc>
          <w:tcPr>
            <w:tcW w:w="15451" w:type="dxa"/>
            <w:gridSpan w:val="11"/>
            <w:tcBorders>
              <w:top w:val="single" w:sz="4" w:space="0" w:color="000000"/>
              <w:left w:val="single" w:sz="4" w:space="0" w:color="000000"/>
              <w:bottom w:val="single" w:sz="4" w:space="0" w:color="000000"/>
              <w:right w:val="single" w:sz="4" w:space="0" w:color="000000"/>
            </w:tcBorders>
          </w:tcPr>
          <w:p w14:paraId="1F39F2D0" w14:textId="2B1DA7D4" w:rsidR="00BF79BA" w:rsidRPr="00AB0BB0" w:rsidRDefault="00786356" w:rsidP="00786356">
            <w:pPr>
              <w:kinsoku w:val="0"/>
              <w:overflowPunct w:val="0"/>
              <w:autoSpaceDE w:val="0"/>
              <w:autoSpaceDN w:val="0"/>
              <w:adjustRightInd w:val="0"/>
              <w:spacing w:after="0" w:line="240" w:lineRule="auto"/>
              <w:jc w:val="center"/>
              <w:rPr>
                <w:rFonts w:ascii="Arial Narrow" w:hAnsi="Arial Narrow" w:cs="Calibri"/>
                <w:i/>
                <w:sz w:val="20"/>
                <w:szCs w:val="20"/>
              </w:rPr>
            </w:pPr>
            <w:r w:rsidRPr="00AB0BB0">
              <w:rPr>
                <w:rFonts w:ascii="Arial Narrow" w:hAnsi="Arial Narrow" w:cs="Calibri"/>
                <w:i/>
                <w:sz w:val="20"/>
                <w:szCs w:val="20"/>
              </w:rPr>
              <w:t xml:space="preserve">Secondary prevention population </w:t>
            </w:r>
          </w:p>
        </w:tc>
      </w:tr>
      <w:tr w:rsidR="00C679AF" w:rsidRPr="00AB0BB0" w14:paraId="052A0F2B" w14:textId="77777777" w:rsidTr="000A080E">
        <w:trPr>
          <w:trHeight w:hRule="exact" w:val="1415"/>
        </w:trPr>
        <w:tc>
          <w:tcPr>
            <w:tcW w:w="2127" w:type="dxa"/>
            <w:tcBorders>
              <w:top w:val="single" w:sz="4" w:space="0" w:color="000000"/>
              <w:left w:val="single" w:sz="4" w:space="0" w:color="000000"/>
              <w:bottom w:val="single" w:sz="4" w:space="0" w:color="000000"/>
              <w:right w:val="single" w:sz="4" w:space="0" w:color="000000"/>
            </w:tcBorders>
          </w:tcPr>
          <w:p w14:paraId="6387928A"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IMPROVE-IT</w:t>
            </w:r>
            <w:r w:rsidRPr="00AB0BB0">
              <w:rPr>
                <w:rFonts w:ascii="Arial Narrow" w:hAnsi="Arial Narrow" w:cs="Calibri"/>
                <w:spacing w:val="-7"/>
                <w:sz w:val="20"/>
                <w:szCs w:val="20"/>
              </w:rPr>
              <w:t xml:space="preserve"> </w:t>
            </w:r>
            <w:r w:rsidRPr="00AB0BB0">
              <w:rPr>
                <w:rFonts w:ascii="Arial Narrow" w:hAnsi="Arial Narrow" w:cs="Calibri"/>
                <w:sz w:val="20"/>
                <w:szCs w:val="20"/>
              </w:rPr>
              <w:t>2015</w:t>
            </w:r>
            <w:r w:rsidRPr="00AB0BB0">
              <w:rPr>
                <w:rFonts w:ascii="Arial Narrow" w:hAnsi="Arial Narrow" w:cs="Calibri"/>
                <w:sz w:val="20"/>
                <w:szCs w:val="20"/>
                <w:vertAlign w:val="superscript"/>
              </w:rPr>
              <w:t>2</w:t>
            </w:r>
            <w:r w:rsidRPr="00AB0BB0">
              <w:rPr>
                <w:rFonts w:ascii="Arial Narrow" w:hAnsi="Arial Narrow" w:cs="Calibri"/>
                <w:spacing w:val="-1"/>
                <w:sz w:val="20"/>
                <w:szCs w:val="20"/>
              </w:rPr>
              <w:t xml:space="preserve"> </w:t>
            </w:r>
          </w:p>
          <w:p w14:paraId="630D9352"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SIM 40-80 (all doses)</w:t>
            </w:r>
          </w:p>
          <w:p w14:paraId="1AD98CCE"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18"/>
                <w:szCs w:val="18"/>
              </w:rPr>
            </w:pPr>
            <w:r w:rsidRPr="00AB0BB0">
              <w:rPr>
                <w:rFonts w:ascii="Arial Narrow" w:hAnsi="Arial Narrow" w:cs="Calibri"/>
                <w:spacing w:val="-1"/>
                <w:sz w:val="18"/>
                <w:szCs w:val="18"/>
              </w:rPr>
              <w:t xml:space="preserve">Up-titrated to 80 mg if target not met at 2 consecutive visits. </w:t>
            </w:r>
          </w:p>
          <w:p w14:paraId="26FB7069"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18"/>
                <w:szCs w:val="18"/>
              </w:rPr>
            </w:pPr>
            <w:r w:rsidRPr="00AB0BB0">
              <w:rPr>
                <w:rFonts w:ascii="Arial Narrow" w:hAnsi="Arial Narrow" w:cs="Calibri"/>
                <w:spacing w:val="-1"/>
                <w:sz w:val="18"/>
                <w:szCs w:val="18"/>
              </w:rPr>
              <w:t>For some clients 80 mg reduced back to 40 mg</w:t>
            </w:r>
          </w:p>
          <w:p w14:paraId="005A100D"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1714411E" w14:textId="77777777"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1A2666FE" w14:textId="7F12CE9F"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6897</w:t>
            </w:r>
          </w:p>
        </w:tc>
        <w:tc>
          <w:tcPr>
            <w:tcW w:w="851" w:type="dxa"/>
            <w:tcBorders>
              <w:top w:val="single" w:sz="4" w:space="0" w:color="000000"/>
              <w:left w:val="single" w:sz="4" w:space="0" w:color="000000"/>
              <w:bottom w:val="single" w:sz="4" w:space="0" w:color="000000"/>
              <w:right w:val="single" w:sz="4" w:space="0" w:color="000000"/>
            </w:tcBorders>
          </w:tcPr>
          <w:p w14:paraId="0F8DA8D8" w14:textId="77777777" w:rsidR="00786356" w:rsidRPr="00AB0BB0" w:rsidRDefault="00786356" w:rsidP="00786356">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4E49CE74" w14:textId="48931C58" w:rsidR="00786356" w:rsidRPr="00AB0BB0" w:rsidRDefault="00786356" w:rsidP="00786356">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2.43</w:t>
            </w:r>
          </w:p>
        </w:tc>
        <w:tc>
          <w:tcPr>
            <w:tcW w:w="850" w:type="dxa"/>
            <w:tcBorders>
              <w:top w:val="single" w:sz="4" w:space="0" w:color="000000"/>
              <w:left w:val="single" w:sz="4" w:space="0" w:color="000000"/>
              <w:bottom w:val="single" w:sz="4" w:space="0" w:color="000000"/>
              <w:right w:val="single" w:sz="4" w:space="0" w:color="000000"/>
            </w:tcBorders>
          </w:tcPr>
          <w:p w14:paraId="4EB32672"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0082187C" w14:textId="49D6D262"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1.93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151D3D1" w14:textId="77777777" w:rsidR="00786356" w:rsidRPr="00AB0BB0" w:rsidRDefault="00786356" w:rsidP="00786356">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p w14:paraId="4B37C713" w14:textId="77777777" w:rsidR="00786356" w:rsidRPr="00AB0BB0" w:rsidRDefault="00786356" w:rsidP="004D64AB">
            <w:pPr>
              <w:kinsoku w:val="0"/>
              <w:overflowPunct w:val="0"/>
              <w:autoSpaceDE w:val="0"/>
              <w:autoSpaceDN w:val="0"/>
              <w:adjustRightInd w:val="0"/>
              <w:spacing w:after="0" w:line="240" w:lineRule="auto"/>
              <w:ind w:left="14" w:right="142"/>
              <w:rPr>
                <w:rFonts w:ascii="Arial Narrow" w:hAnsi="Arial Narrow" w:cs="Calibri"/>
                <w:spacing w:val="-1"/>
                <w:sz w:val="20"/>
                <w:szCs w:val="20"/>
              </w:rPr>
            </w:pPr>
            <w:r w:rsidRPr="00AB0BB0">
              <w:rPr>
                <w:rFonts w:ascii="Arial Narrow" w:hAnsi="Arial Narrow" w:cs="Calibri"/>
                <w:spacing w:val="-1"/>
                <w:sz w:val="20"/>
                <w:szCs w:val="20"/>
              </w:rPr>
              <w:t>EZ+SIM 40-80 (all doses)</w:t>
            </w:r>
          </w:p>
          <w:p w14:paraId="35DD0F0D"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18"/>
                <w:szCs w:val="18"/>
              </w:rPr>
            </w:pPr>
            <w:r w:rsidRPr="00AB0BB0">
              <w:rPr>
                <w:rFonts w:ascii="Arial Narrow" w:hAnsi="Arial Narrow" w:cs="Calibri"/>
                <w:spacing w:val="-1"/>
                <w:sz w:val="18"/>
                <w:szCs w:val="18"/>
              </w:rPr>
              <w:t xml:space="preserve">Up-titrated to 80 mg if target not met at 2 consecutive visits. </w:t>
            </w:r>
          </w:p>
          <w:p w14:paraId="7C9735D1"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18"/>
                <w:szCs w:val="18"/>
              </w:rPr>
            </w:pPr>
            <w:r w:rsidRPr="00AB0BB0">
              <w:rPr>
                <w:rFonts w:ascii="Arial Narrow" w:hAnsi="Arial Narrow" w:cs="Calibri"/>
                <w:spacing w:val="-1"/>
                <w:sz w:val="18"/>
                <w:szCs w:val="18"/>
              </w:rPr>
              <w:t>For some clients 80 mg reduced back to 40 mg</w:t>
            </w:r>
          </w:p>
          <w:p w14:paraId="19F1F8A8" w14:textId="77777777" w:rsidR="00786356" w:rsidRPr="00AB0BB0" w:rsidRDefault="00786356" w:rsidP="00786356">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FF899CC" w14:textId="77777777" w:rsidR="00786356" w:rsidRPr="00AB0BB0" w:rsidRDefault="00786356" w:rsidP="00786356">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p w14:paraId="72DD13EE" w14:textId="0F30FF2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6809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5B93F0D" w14:textId="77777777" w:rsidR="00786356" w:rsidRPr="00AB0BB0" w:rsidRDefault="00786356" w:rsidP="00786356">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26528112" w14:textId="0EB4C54B"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2.43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01937B"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462E451D" w14:textId="7F83A93A" w:rsidR="00786356" w:rsidRPr="00AB0BB0" w:rsidRDefault="00786356" w:rsidP="00786356">
            <w:pPr>
              <w:kinsoku w:val="0"/>
              <w:overflowPunct w:val="0"/>
              <w:autoSpaceDE w:val="0"/>
              <w:autoSpaceDN w:val="0"/>
              <w:adjustRightInd w:val="0"/>
              <w:spacing w:after="0" w:line="240" w:lineRule="auto"/>
              <w:ind w:right="1"/>
              <w:jc w:val="center"/>
              <w:rPr>
                <w:rFonts w:ascii="Arial Narrow" w:hAnsi="Arial Narrow" w:cs="Calibri"/>
                <w:sz w:val="20"/>
                <w:szCs w:val="20"/>
              </w:rPr>
            </w:pPr>
            <w:r w:rsidRPr="00AB0BB0">
              <w:rPr>
                <w:rFonts w:ascii="Arial Narrow" w:hAnsi="Arial Narrow" w:cs="Calibri"/>
                <w:sz w:val="20"/>
                <w:szCs w:val="20"/>
              </w:rPr>
              <w:t>1.48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000436" w14:textId="77777777"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781E3E80" w14:textId="10AE8C6C"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4DC801" w14:textId="77777777"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3B50B3F4" w14:textId="29FE8DC1" w:rsidR="00786356" w:rsidRPr="00AB0BB0" w:rsidRDefault="00786356" w:rsidP="000A080E">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z w:val="20"/>
                <w:szCs w:val="20"/>
              </w:rPr>
              <w:t>NR</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590F237" w14:textId="77777777" w:rsidR="00786356" w:rsidRPr="00AB0BB0" w:rsidRDefault="00786356" w:rsidP="000A080E">
            <w:pPr>
              <w:kinsoku w:val="0"/>
              <w:overflowPunct w:val="0"/>
              <w:autoSpaceDE w:val="0"/>
              <w:autoSpaceDN w:val="0"/>
              <w:adjustRightInd w:val="0"/>
              <w:spacing w:after="0" w:line="240" w:lineRule="auto"/>
              <w:ind w:left="-2" w:firstLine="2"/>
              <w:jc w:val="center"/>
              <w:rPr>
                <w:rFonts w:ascii="Arial Narrow" w:hAnsi="Arial Narrow" w:cs="Calibri"/>
                <w:sz w:val="20"/>
                <w:szCs w:val="20"/>
              </w:rPr>
            </w:pPr>
          </w:p>
          <w:p w14:paraId="2214706F" w14:textId="5F9F04CE" w:rsidR="00786356" w:rsidRPr="00AB0BB0" w:rsidRDefault="00786356" w:rsidP="000A080E">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-16.75</w:t>
            </w:r>
            <w:r w:rsidR="005234EB" w:rsidRPr="00AB0BB0">
              <w:rPr>
                <w:rFonts w:ascii="Arial Narrow" w:hAnsi="Arial Narrow" w:cs="Calibri"/>
                <w:sz w:val="20"/>
                <w:szCs w:val="20"/>
                <w:vertAlign w:val="superscript"/>
              </w:rPr>
              <w:t>$</w:t>
            </w:r>
            <w:r w:rsidRPr="00AB0BB0">
              <w:rPr>
                <w:rFonts w:ascii="Arial Narrow" w:hAnsi="Arial Narrow" w:cs="Calibri"/>
                <w:sz w:val="20"/>
                <w:szCs w:val="20"/>
              </w:rPr>
              <w:t xml:space="preserve"> (-17.49, -16.02)***</w:t>
            </w:r>
          </w:p>
        </w:tc>
      </w:tr>
      <w:tr w:rsidR="00C679AF" w:rsidRPr="00AB0BB0" w14:paraId="62F44833" w14:textId="77777777" w:rsidTr="00076854">
        <w:trPr>
          <w:trHeight w:hRule="exact" w:val="287"/>
        </w:trPr>
        <w:tc>
          <w:tcPr>
            <w:tcW w:w="15451" w:type="dxa"/>
            <w:gridSpan w:val="11"/>
            <w:tcBorders>
              <w:top w:val="single" w:sz="4" w:space="0" w:color="000000"/>
              <w:left w:val="single" w:sz="4" w:space="0" w:color="000000"/>
              <w:bottom w:val="single" w:sz="4" w:space="0" w:color="000000"/>
              <w:right w:val="single" w:sz="4" w:space="0" w:color="000000"/>
            </w:tcBorders>
          </w:tcPr>
          <w:p w14:paraId="63377E47" w14:textId="2BBC37A6"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i/>
                <w:sz w:val="20"/>
                <w:szCs w:val="20"/>
              </w:rPr>
              <w:t>Mixed (both primary and secondary) prevention population</w:t>
            </w:r>
          </w:p>
        </w:tc>
      </w:tr>
      <w:tr w:rsidR="00C679AF" w:rsidRPr="00AB0BB0" w14:paraId="3D7635AC" w14:textId="77777777" w:rsidTr="00DA1E76">
        <w:trPr>
          <w:trHeight w:hRule="exact" w:val="2691"/>
        </w:trPr>
        <w:tc>
          <w:tcPr>
            <w:tcW w:w="2127" w:type="dxa"/>
            <w:tcBorders>
              <w:top w:val="single" w:sz="4" w:space="0" w:color="000000"/>
              <w:left w:val="single" w:sz="4" w:space="0" w:color="000000"/>
              <w:bottom w:val="single" w:sz="4" w:space="0" w:color="000000"/>
              <w:right w:val="single" w:sz="4" w:space="0" w:color="000000"/>
            </w:tcBorders>
          </w:tcPr>
          <w:p w14:paraId="758A81EA"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lang w:eastAsia="en-US"/>
              </w:rPr>
              <w:t xml:space="preserve">P025 </w:t>
            </w:r>
            <w:r w:rsidRPr="00AB0BB0">
              <w:rPr>
                <w:rFonts w:ascii="Arial Narrow" w:hAnsi="Arial Narrow" w:cs="Calibri"/>
                <w:spacing w:val="-1"/>
                <w:sz w:val="20"/>
                <w:szCs w:val="20"/>
              </w:rPr>
              <w:t>Ballantyne 2004</w:t>
            </w:r>
            <w:r w:rsidRPr="00AB0BB0">
              <w:rPr>
                <w:rFonts w:ascii="Arial Narrow" w:hAnsi="Arial Narrow" w:cs="Calibri"/>
                <w:spacing w:val="-1"/>
                <w:sz w:val="20"/>
                <w:szCs w:val="20"/>
                <w:vertAlign w:val="superscript"/>
              </w:rPr>
              <w:t>1</w:t>
            </w:r>
          </w:p>
          <w:p w14:paraId="67300965"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p>
          <w:p w14:paraId="38E5596F"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p>
          <w:p w14:paraId="51A4C6D3" w14:textId="1377B6DF"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ATOR 10 (start dose)</w:t>
            </w:r>
          </w:p>
          <w:p w14:paraId="396C5BC7" w14:textId="5E99078A"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Week 7-12    ATOR 20 </w:t>
            </w:r>
          </w:p>
          <w:p w14:paraId="0D09B3F1" w14:textId="00A81CB4"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Week 13-18  ATOR 40 </w:t>
            </w:r>
          </w:p>
          <w:p w14:paraId="4848E570" w14:textId="6B149C9C"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Week 19-24  ATOR 80 </w:t>
            </w:r>
          </w:p>
          <w:p w14:paraId="02BC8085"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F96DF11" w14:textId="77777777"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49F85FCC" w14:textId="77777777"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58800008" w14:textId="77777777"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418E1477" w14:textId="77777777"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149B1FB2" w14:textId="02B3DFBE"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262</w:t>
            </w:r>
          </w:p>
        </w:tc>
        <w:tc>
          <w:tcPr>
            <w:tcW w:w="851" w:type="dxa"/>
            <w:tcBorders>
              <w:top w:val="single" w:sz="4" w:space="0" w:color="000000"/>
              <w:left w:val="single" w:sz="4" w:space="0" w:color="000000"/>
              <w:bottom w:val="single" w:sz="4" w:space="0" w:color="000000"/>
              <w:right w:val="single" w:sz="4" w:space="0" w:color="000000"/>
            </w:tcBorders>
          </w:tcPr>
          <w:p w14:paraId="499B2C94" w14:textId="77777777" w:rsidR="00786356" w:rsidRPr="00AB0BB0" w:rsidRDefault="00786356" w:rsidP="00786356">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6109F837" w14:textId="77777777" w:rsidR="00786356" w:rsidRPr="00AB0BB0" w:rsidRDefault="00786356" w:rsidP="00786356">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56844DA4" w14:textId="77777777" w:rsidR="00786356" w:rsidRPr="00AB0BB0" w:rsidRDefault="00786356" w:rsidP="00786356">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2CA3697E" w14:textId="77777777" w:rsidR="00786356" w:rsidRPr="00AB0BB0" w:rsidRDefault="00786356" w:rsidP="00786356">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1E1BBE0B" w14:textId="1412C33E" w:rsidR="00786356" w:rsidRPr="00AB0BB0" w:rsidRDefault="00786356" w:rsidP="00786356">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4.67</w:t>
            </w:r>
          </w:p>
        </w:tc>
        <w:tc>
          <w:tcPr>
            <w:tcW w:w="850" w:type="dxa"/>
            <w:tcBorders>
              <w:top w:val="single" w:sz="4" w:space="0" w:color="000000"/>
              <w:left w:val="single" w:sz="4" w:space="0" w:color="000000"/>
              <w:bottom w:val="single" w:sz="4" w:space="0" w:color="000000"/>
              <w:right w:val="single" w:sz="4" w:space="0" w:color="000000"/>
            </w:tcBorders>
          </w:tcPr>
          <w:p w14:paraId="2ED8EB67"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52CBAC01"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6A92772E"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0FF3113B"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29567654" w14:textId="7AE8BF06"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F54B08" w14:textId="77777777" w:rsidR="00786356" w:rsidRPr="00AB0BB0" w:rsidRDefault="00786356" w:rsidP="00786356">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p w14:paraId="564C4381" w14:textId="77777777" w:rsidR="00786356" w:rsidRPr="00AB0BB0" w:rsidRDefault="00786356" w:rsidP="00786356">
            <w:pPr>
              <w:kinsoku w:val="0"/>
              <w:overflowPunct w:val="0"/>
              <w:autoSpaceDE w:val="0"/>
              <w:autoSpaceDN w:val="0"/>
              <w:adjustRightInd w:val="0"/>
              <w:spacing w:after="0" w:line="240" w:lineRule="auto"/>
              <w:ind w:left="14"/>
              <w:rPr>
                <w:rFonts w:ascii="Arial Narrow" w:hAnsi="Arial Narrow" w:cs="Calibri"/>
                <w:spacing w:val="-1"/>
                <w:sz w:val="20"/>
                <w:szCs w:val="20"/>
              </w:rPr>
            </w:pPr>
            <w:r w:rsidRPr="00AB0BB0">
              <w:rPr>
                <w:rFonts w:ascii="Arial Narrow" w:hAnsi="Arial Narrow" w:cs="Calibri"/>
                <w:spacing w:val="-1"/>
                <w:sz w:val="20"/>
                <w:szCs w:val="20"/>
              </w:rPr>
              <w:t>EZ +SIM 10 (start dose)</w:t>
            </w:r>
          </w:p>
          <w:p w14:paraId="46C67E49" w14:textId="11C32654" w:rsidR="00786356" w:rsidRPr="00AB0BB0" w:rsidRDefault="00786356" w:rsidP="00786356">
            <w:pPr>
              <w:kinsoku w:val="0"/>
              <w:overflowPunct w:val="0"/>
              <w:autoSpaceDE w:val="0"/>
              <w:autoSpaceDN w:val="0"/>
              <w:adjustRightInd w:val="0"/>
              <w:spacing w:after="0" w:line="240" w:lineRule="auto"/>
              <w:ind w:left="14"/>
              <w:rPr>
                <w:rFonts w:ascii="Arial Narrow" w:hAnsi="Arial Narrow" w:cs="Calibri"/>
                <w:spacing w:val="-1"/>
                <w:sz w:val="20"/>
                <w:szCs w:val="20"/>
              </w:rPr>
            </w:pPr>
            <w:r w:rsidRPr="00AB0BB0">
              <w:rPr>
                <w:rFonts w:ascii="Arial Narrow" w:hAnsi="Arial Narrow" w:cs="Calibri"/>
                <w:spacing w:val="-1"/>
                <w:sz w:val="20"/>
                <w:szCs w:val="20"/>
              </w:rPr>
              <w:t xml:space="preserve">      Week 7-12   EZ +SIM 20 </w:t>
            </w:r>
          </w:p>
          <w:p w14:paraId="47E788DE" w14:textId="10267DED" w:rsidR="00786356" w:rsidRPr="00AB0BB0" w:rsidRDefault="00786356" w:rsidP="00786356">
            <w:pPr>
              <w:kinsoku w:val="0"/>
              <w:overflowPunct w:val="0"/>
              <w:autoSpaceDE w:val="0"/>
              <w:autoSpaceDN w:val="0"/>
              <w:adjustRightInd w:val="0"/>
              <w:spacing w:after="0" w:line="240" w:lineRule="auto"/>
              <w:ind w:left="14"/>
              <w:rPr>
                <w:rFonts w:ascii="Arial Narrow" w:hAnsi="Arial Narrow" w:cs="Calibri"/>
                <w:spacing w:val="-1"/>
                <w:sz w:val="20"/>
                <w:szCs w:val="20"/>
              </w:rPr>
            </w:pPr>
            <w:r w:rsidRPr="00AB0BB0">
              <w:rPr>
                <w:rFonts w:ascii="Arial Narrow" w:hAnsi="Arial Narrow" w:cs="Calibri"/>
                <w:spacing w:val="-1"/>
                <w:sz w:val="20"/>
                <w:szCs w:val="20"/>
              </w:rPr>
              <w:t xml:space="preserve">      Week 13-18 EZ +SIM 40 </w:t>
            </w:r>
          </w:p>
          <w:p w14:paraId="187A7807" w14:textId="01F85A8F" w:rsidR="00786356" w:rsidRPr="00AB0BB0" w:rsidRDefault="00786356" w:rsidP="00786356">
            <w:pPr>
              <w:kinsoku w:val="0"/>
              <w:overflowPunct w:val="0"/>
              <w:autoSpaceDE w:val="0"/>
              <w:autoSpaceDN w:val="0"/>
              <w:adjustRightInd w:val="0"/>
              <w:spacing w:after="0" w:line="240" w:lineRule="auto"/>
              <w:ind w:left="14"/>
              <w:rPr>
                <w:rFonts w:ascii="Arial Narrow" w:hAnsi="Arial Narrow" w:cs="Calibri"/>
                <w:spacing w:val="-1"/>
                <w:sz w:val="20"/>
                <w:szCs w:val="20"/>
              </w:rPr>
            </w:pPr>
            <w:r w:rsidRPr="00AB0BB0">
              <w:rPr>
                <w:rFonts w:ascii="Arial Narrow" w:hAnsi="Arial Narrow" w:cs="Calibri"/>
                <w:spacing w:val="-1"/>
                <w:sz w:val="20"/>
                <w:szCs w:val="20"/>
              </w:rPr>
              <w:t xml:space="preserve">      Week 19-24 EZ +SIM 80 </w:t>
            </w:r>
          </w:p>
          <w:p w14:paraId="2D5B740B" w14:textId="77777777" w:rsidR="00786356" w:rsidRPr="00AB0BB0" w:rsidRDefault="00786356" w:rsidP="00786356">
            <w:pPr>
              <w:kinsoku w:val="0"/>
              <w:overflowPunct w:val="0"/>
              <w:autoSpaceDE w:val="0"/>
              <w:autoSpaceDN w:val="0"/>
              <w:adjustRightInd w:val="0"/>
              <w:spacing w:after="0" w:line="240" w:lineRule="auto"/>
              <w:ind w:left="14"/>
              <w:rPr>
                <w:rFonts w:ascii="Arial Narrow" w:hAnsi="Arial Narrow" w:cs="Calibri"/>
                <w:spacing w:val="-1"/>
                <w:sz w:val="20"/>
                <w:szCs w:val="20"/>
              </w:rPr>
            </w:pPr>
          </w:p>
          <w:p w14:paraId="287F991F" w14:textId="77777777" w:rsidR="00786356" w:rsidRPr="00AB0BB0" w:rsidRDefault="00786356" w:rsidP="00786356">
            <w:pPr>
              <w:kinsoku w:val="0"/>
              <w:overflowPunct w:val="0"/>
              <w:autoSpaceDE w:val="0"/>
              <w:autoSpaceDN w:val="0"/>
              <w:adjustRightInd w:val="0"/>
              <w:spacing w:after="0" w:line="240" w:lineRule="auto"/>
              <w:ind w:left="14"/>
              <w:rPr>
                <w:rFonts w:ascii="Arial Narrow" w:hAnsi="Arial Narrow" w:cs="Calibri"/>
                <w:spacing w:val="-1"/>
                <w:sz w:val="20"/>
                <w:szCs w:val="20"/>
              </w:rPr>
            </w:pPr>
          </w:p>
          <w:p w14:paraId="42220CE8" w14:textId="77777777" w:rsidR="00786356" w:rsidRPr="00AB0BB0" w:rsidRDefault="00786356" w:rsidP="00786356">
            <w:pPr>
              <w:kinsoku w:val="0"/>
              <w:overflowPunct w:val="0"/>
              <w:autoSpaceDE w:val="0"/>
              <w:autoSpaceDN w:val="0"/>
              <w:adjustRightInd w:val="0"/>
              <w:spacing w:after="0" w:line="240" w:lineRule="auto"/>
              <w:ind w:left="14"/>
              <w:rPr>
                <w:rFonts w:ascii="Arial Narrow" w:hAnsi="Arial Narrow" w:cs="Calibri"/>
                <w:spacing w:val="-1"/>
                <w:sz w:val="20"/>
                <w:szCs w:val="20"/>
              </w:rPr>
            </w:pPr>
            <w:r w:rsidRPr="00AB0BB0">
              <w:rPr>
                <w:rFonts w:ascii="Arial Narrow" w:hAnsi="Arial Narrow" w:cs="Calibri"/>
                <w:spacing w:val="-1"/>
                <w:sz w:val="20"/>
                <w:szCs w:val="20"/>
              </w:rPr>
              <w:t>EZ +SIM 20 (start dose)</w:t>
            </w:r>
          </w:p>
          <w:p w14:paraId="2F560789" w14:textId="0E47AC4C" w:rsidR="00786356" w:rsidRPr="00AB0BB0" w:rsidRDefault="00786356" w:rsidP="00786356">
            <w:pPr>
              <w:kinsoku w:val="0"/>
              <w:overflowPunct w:val="0"/>
              <w:autoSpaceDE w:val="0"/>
              <w:autoSpaceDN w:val="0"/>
              <w:adjustRightInd w:val="0"/>
              <w:spacing w:after="0" w:line="240" w:lineRule="auto"/>
              <w:ind w:left="14"/>
              <w:rPr>
                <w:rFonts w:ascii="Arial Narrow" w:hAnsi="Arial Narrow" w:cs="Calibri"/>
                <w:spacing w:val="-1"/>
                <w:sz w:val="20"/>
                <w:szCs w:val="20"/>
              </w:rPr>
            </w:pPr>
            <w:r w:rsidRPr="00AB0BB0">
              <w:rPr>
                <w:rFonts w:ascii="Arial Narrow" w:hAnsi="Arial Narrow" w:cs="Calibri"/>
                <w:spacing w:val="-1"/>
                <w:sz w:val="20"/>
                <w:szCs w:val="20"/>
              </w:rPr>
              <w:t xml:space="preserve">      Week 7-12    EZ +SIM 40 </w:t>
            </w:r>
          </w:p>
          <w:p w14:paraId="126BD1CA" w14:textId="6EA98FDC" w:rsidR="00786356" w:rsidRPr="00AB0BB0" w:rsidRDefault="00786356" w:rsidP="00786356">
            <w:pPr>
              <w:kinsoku w:val="0"/>
              <w:overflowPunct w:val="0"/>
              <w:autoSpaceDE w:val="0"/>
              <w:autoSpaceDN w:val="0"/>
              <w:adjustRightInd w:val="0"/>
              <w:spacing w:after="0" w:line="240" w:lineRule="auto"/>
              <w:ind w:left="14"/>
              <w:rPr>
                <w:rFonts w:ascii="Arial Narrow" w:hAnsi="Arial Narrow" w:cs="Calibri"/>
                <w:spacing w:val="-1"/>
                <w:sz w:val="20"/>
                <w:szCs w:val="20"/>
                <w:lang w:val="nl-NL"/>
              </w:rPr>
            </w:pPr>
            <w:r w:rsidRPr="00AB0BB0">
              <w:rPr>
                <w:rFonts w:ascii="Arial Narrow" w:hAnsi="Arial Narrow" w:cs="Calibri"/>
                <w:spacing w:val="-1"/>
                <w:sz w:val="20"/>
                <w:szCs w:val="20"/>
              </w:rPr>
              <w:t xml:space="preserve">      </w:t>
            </w:r>
            <w:r w:rsidRPr="00AB0BB0">
              <w:rPr>
                <w:rFonts w:ascii="Arial Narrow" w:hAnsi="Arial Narrow" w:cs="Calibri"/>
                <w:spacing w:val="-1"/>
                <w:sz w:val="20"/>
                <w:szCs w:val="20"/>
                <w:lang w:val="nl-NL"/>
              </w:rPr>
              <w:t xml:space="preserve">Week 13-18  EZ +SIM 40 </w:t>
            </w:r>
          </w:p>
          <w:p w14:paraId="4D5BDCA4" w14:textId="2FB6C57D" w:rsidR="00786356" w:rsidRPr="00AB0BB0" w:rsidRDefault="00786356" w:rsidP="00786356">
            <w:pPr>
              <w:kinsoku w:val="0"/>
              <w:overflowPunct w:val="0"/>
              <w:autoSpaceDE w:val="0"/>
              <w:autoSpaceDN w:val="0"/>
              <w:adjustRightInd w:val="0"/>
              <w:spacing w:after="0" w:line="240" w:lineRule="auto"/>
              <w:ind w:left="14"/>
              <w:rPr>
                <w:rFonts w:ascii="Arial Narrow" w:hAnsi="Arial Narrow" w:cs="Calibri"/>
                <w:spacing w:val="-1"/>
                <w:sz w:val="20"/>
                <w:szCs w:val="20"/>
                <w:lang w:val="nl-NL"/>
              </w:rPr>
            </w:pPr>
            <w:r w:rsidRPr="00AB0BB0">
              <w:rPr>
                <w:rFonts w:ascii="Arial Narrow" w:hAnsi="Arial Narrow" w:cs="Calibri"/>
                <w:spacing w:val="-1"/>
                <w:sz w:val="20"/>
                <w:szCs w:val="20"/>
                <w:lang w:val="nl-NL"/>
              </w:rPr>
              <w:t xml:space="preserve">      Week 19-24  EZ +SIM 80 </w:t>
            </w:r>
          </w:p>
          <w:p w14:paraId="75062F2E" w14:textId="68CE1799" w:rsidR="00786356" w:rsidRPr="00AB0BB0" w:rsidRDefault="00786356" w:rsidP="00786356">
            <w:pPr>
              <w:kinsoku w:val="0"/>
              <w:overflowPunct w:val="0"/>
              <w:autoSpaceDE w:val="0"/>
              <w:autoSpaceDN w:val="0"/>
              <w:adjustRightInd w:val="0"/>
              <w:spacing w:after="0" w:line="240" w:lineRule="auto"/>
              <w:ind w:left="14" w:right="1"/>
              <w:jc w:val="center"/>
              <w:rPr>
                <w:rFonts w:ascii="Arial Narrow" w:hAnsi="Arial Narrow" w:cs="Calibri"/>
                <w:spacing w:val="-1"/>
                <w:sz w:val="20"/>
                <w:szCs w:val="20"/>
                <w:lang w:val="nl-NL"/>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2C6A80"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lang w:val="nl-NL"/>
              </w:rPr>
            </w:pPr>
          </w:p>
          <w:p w14:paraId="3AFE920F"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lang w:val="nl-NL"/>
              </w:rPr>
              <w:t xml:space="preserve">      </w:t>
            </w:r>
            <w:r w:rsidRPr="00AB0BB0">
              <w:rPr>
                <w:rFonts w:ascii="Arial Narrow" w:hAnsi="Arial Narrow" w:cs="Calibri"/>
                <w:spacing w:val="-1"/>
                <w:sz w:val="20"/>
                <w:szCs w:val="20"/>
              </w:rPr>
              <w:t>263</w:t>
            </w:r>
          </w:p>
          <w:p w14:paraId="53360FF5"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p>
          <w:p w14:paraId="5C0F00EB"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p>
          <w:p w14:paraId="46A32C2F"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p>
          <w:p w14:paraId="7CE2E7BA"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p>
          <w:p w14:paraId="27E0D6EA"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t>
            </w:r>
          </w:p>
          <w:p w14:paraId="094D0089" w14:textId="77A18AB9"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263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B53D27F"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29BF0C35" w14:textId="0CA1D3A2"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 xml:space="preserve">    4.65</w:t>
            </w:r>
          </w:p>
          <w:p w14:paraId="21441E54"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rPr>
            </w:pPr>
          </w:p>
          <w:p w14:paraId="4D4C4485"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rPr>
            </w:pPr>
          </w:p>
          <w:p w14:paraId="01ED9184"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rPr>
            </w:pPr>
          </w:p>
          <w:p w14:paraId="11F41759"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rPr>
            </w:pPr>
          </w:p>
          <w:p w14:paraId="5C30731F"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rPr>
            </w:pPr>
            <w:r w:rsidRPr="00AB0BB0">
              <w:rPr>
                <w:rFonts w:ascii="Arial Narrow" w:hAnsi="Arial Narrow" w:cs="Calibri"/>
                <w:sz w:val="20"/>
                <w:szCs w:val="20"/>
              </w:rPr>
              <w:t xml:space="preserve">       </w:t>
            </w:r>
          </w:p>
          <w:p w14:paraId="6A1A2EF4" w14:textId="49BD492C"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4.63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ACFFD0" w14:textId="77777777" w:rsidR="00786356" w:rsidRPr="00AB0BB0" w:rsidRDefault="00786356" w:rsidP="00786356">
            <w:pPr>
              <w:kinsoku w:val="0"/>
              <w:overflowPunct w:val="0"/>
              <w:autoSpaceDE w:val="0"/>
              <w:autoSpaceDN w:val="0"/>
              <w:adjustRightInd w:val="0"/>
              <w:spacing w:after="0" w:line="240" w:lineRule="auto"/>
              <w:ind w:right="1"/>
              <w:jc w:val="center"/>
              <w:rPr>
                <w:rFonts w:ascii="Arial Narrow" w:hAnsi="Arial Narrow" w:cs="Calibri"/>
                <w:sz w:val="20"/>
                <w:szCs w:val="20"/>
              </w:rPr>
            </w:pPr>
          </w:p>
          <w:p w14:paraId="70DEBECD" w14:textId="3E227346" w:rsidR="00786356" w:rsidRPr="00AB0BB0" w:rsidRDefault="00786356" w:rsidP="00786356">
            <w:pPr>
              <w:kinsoku w:val="0"/>
              <w:overflowPunct w:val="0"/>
              <w:autoSpaceDE w:val="0"/>
              <w:autoSpaceDN w:val="0"/>
              <w:adjustRightInd w:val="0"/>
              <w:spacing w:after="0" w:line="240" w:lineRule="auto"/>
              <w:ind w:right="299"/>
              <w:jc w:val="center"/>
              <w:rPr>
                <w:rFonts w:ascii="Arial Narrow" w:hAnsi="Arial Narrow" w:cs="Calibri"/>
                <w:sz w:val="20"/>
                <w:szCs w:val="20"/>
              </w:rPr>
            </w:pPr>
            <w:r w:rsidRPr="00AB0BB0">
              <w:rPr>
                <w:rFonts w:ascii="Arial Narrow" w:hAnsi="Arial Narrow" w:cs="Calibri"/>
                <w:sz w:val="20"/>
                <w:szCs w:val="20"/>
              </w:rPr>
              <w:t xml:space="preserve"> NR</w:t>
            </w:r>
          </w:p>
          <w:p w14:paraId="2C4AC293" w14:textId="77777777" w:rsidR="00786356" w:rsidRPr="00AB0BB0" w:rsidRDefault="00786356" w:rsidP="00786356">
            <w:pPr>
              <w:kinsoku w:val="0"/>
              <w:overflowPunct w:val="0"/>
              <w:autoSpaceDE w:val="0"/>
              <w:autoSpaceDN w:val="0"/>
              <w:adjustRightInd w:val="0"/>
              <w:spacing w:after="0" w:line="240" w:lineRule="auto"/>
              <w:ind w:right="299"/>
              <w:jc w:val="center"/>
              <w:rPr>
                <w:rFonts w:ascii="Arial Narrow" w:hAnsi="Arial Narrow" w:cs="Calibri"/>
                <w:sz w:val="20"/>
                <w:szCs w:val="20"/>
              </w:rPr>
            </w:pPr>
          </w:p>
          <w:p w14:paraId="4B173DDE" w14:textId="77777777" w:rsidR="00786356" w:rsidRPr="00AB0BB0" w:rsidRDefault="00786356" w:rsidP="00786356">
            <w:pPr>
              <w:kinsoku w:val="0"/>
              <w:overflowPunct w:val="0"/>
              <w:autoSpaceDE w:val="0"/>
              <w:autoSpaceDN w:val="0"/>
              <w:adjustRightInd w:val="0"/>
              <w:spacing w:after="0" w:line="240" w:lineRule="auto"/>
              <w:ind w:right="299"/>
              <w:jc w:val="center"/>
              <w:rPr>
                <w:rFonts w:ascii="Arial Narrow" w:hAnsi="Arial Narrow" w:cs="Calibri"/>
                <w:sz w:val="20"/>
                <w:szCs w:val="20"/>
              </w:rPr>
            </w:pPr>
          </w:p>
          <w:p w14:paraId="55AD5DE4" w14:textId="77777777" w:rsidR="00786356" w:rsidRPr="00AB0BB0" w:rsidRDefault="00786356" w:rsidP="00786356">
            <w:pPr>
              <w:kinsoku w:val="0"/>
              <w:overflowPunct w:val="0"/>
              <w:autoSpaceDE w:val="0"/>
              <w:autoSpaceDN w:val="0"/>
              <w:adjustRightInd w:val="0"/>
              <w:spacing w:after="0" w:line="240" w:lineRule="auto"/>
              <w:ind w:right="299"/>
              <w:jc w:val="center"/>
              <w:rPr>
                <w:rFonts w:ascii="Arial Narrow" w:hAnsi="Arial Narrow" w:cs="Calibri"/>
                <w:sz w:val="20"/>
                <w:szCs w:val="20"/>
              </w:rPr>
            </w:pPr>
          </w:p>
          <w:p w14:paraId="76F7D169" w14:textId="77777777" w:rsidR="00786356" w:rsidRPr="00AB0BB0" w:rsidRDefault="00786356" w:rsidP="00786356">
            <w:pPr>
              <w:kinsoku w:val="0"/>
              <w:overflowPunct w:val="0"/>
              <w:autoSpaceDE w:val="0"/>
              <w:autoSpaceDN w:val="0"/>
              <w:adjustRightInd w:val="0"/>
              <w:spacing w:after="0" w:line="240" w:lineRule="auto"/>
              <w:ind w:right="299"/>
              <w:jc w:val="center"/>
              <w:rPr>
                <w:rFonts w:ascii="Arial Narrow" w:hAnsi="Arial Narrow" w:cs="Calibri"/>
                <w:sz w:val="20"/>
                <w:szCs w:val="20"/>
              </w:rPr>
            </w:pPr>
          </w:p>
          <w:p w14:paraId="1C29A454" w14:textId="77777777" w:rsidR="00786356" w:rsidRPr="00AB0BB0" w:rsidRDefault="00786356" w:rsidP="00786356">
            <w:pPr>
              <w:kinsoku w:val="0"/>
              <w:overflowPunct w:val="0"/>
              <w:autoSpaceDE w:val="0"/>
              <w:autoSpaceDN w:val="0"/>
              <w:adjustRightInd w:val="0"/>
              <w:spacing w:after="0" w:line="240" w:lineRule="auto"/>
              <w:ind w:right="299"/>
              <w:jc w:val="center"/>
              <w:rPr>
                <w:rFonts w:ascii="Arial Narrow" w:hAnsi="Arial Narrow" w:cs="Calibri"/>
                <w:sz w:val="20"/>
                <w:szCs w:val="20"/>
              </w:rPr>
            </w:pPr>
          </w:p>
          <w:p w14:paraId="0491F5AC" w14:textId="1506BA36" w:rsidR="00786356" w:rsidRPr="00AB0BB0" w:rsidRDefault="00786356" w:rsidP="00786356">
            <w:pPr>
              <w:kinsoku w:val="0"/>
              <w:overflowPunct w:val="0"/>
              <w:autoSpaceDE w:val="0"/>
              <w:autoSpaceDN w:val="0"/>
              <w:adjustRightInd w:val="0"/>
              <w:spacing w:after="0" w:line="240" w:lineRule="auto"/>
              <w:ind w:right="299"/>
              <w:jc w:val="center"/>
              <w:rPr>
                <w:rFonts w:ascii="Arial Narrow" w:hAnsi="Arial Narrow" w:cs="Calibri"/>
                <w:sz w:val="20"/>
                <w:szCs w:val="20"/>
              </w:rPr>
            </w:pPr>
            <w:r w:rsidRPr="00AB0BB0">
              <w:rPr>
                <w:rFonts w:ascii="Arial Narrow" w:hAnsi="Arial Narrow" w:cs="Calibri"/>
                <w:sz w:val="20"/>
                <w:szCs w:val="20"/>
              </w:rPr>
              <w:t xml:space="preserve">  NR</w:t>
            </w:r>
          </w:p>
          <w:p w14:paraId="098846C6" w14:textId="12C40623"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E8A8213" w14:textId="77777777" w:rsidR="00786356" w:rsidRPr="00AB0BB0" w:rsidRDefault="00786356" w:rsidP="00786356">
            <w:pPr>
              <w:kinsoku w:val="0"/>
              <w:overflowPunct w:val="0"/>
              <w:autoSpaceDE w:val="0"/>
              <w:autoSpaceDN w:val="0"/>
              <w:adjustRightInd w:val="0"/>
              <w:spacing w:after="0" w:line="240" w:lineRule="auto"/>
              <w:ind w:left="222"/>
              <w:rPr>
                <w:rFonts w:ascii="Arial Narrow" w:hAnsi="Arial Narrow" w:cs="Calibri"/>
                <w:sz w:val="20"/>
                <w:szCs w:val="20"/>
              </w:rPr>
            </w:pPr>
          </w:p>
          <w:p w14:paraId="52AD14C1" w14:textId="77777777" w:rsidR="00786356" w:rsidRPr="00AB0BB0" w:rsidRDefault="00786356" w:rsidP="00786356">
            <w:pPr>
              <w:kinsoku w:val="0"/>
              <w:overflowPunct w:val="0"/>
              <w:autoSpaceDE w:val="0"/>
              <w:autoSpaceDN w:val="0"/>
              <w:adjustRightInd w:val="0"/>
              <w:spacing w:after="0" w:line="240" w:lineRule="auto"/>
              <w:ind w:left="222"/>
              <w:rPr>
                <w:rFonts w:ascii="Arial Narrow" w:hAnsi="Arial Narrow" w:cs="Calibri"/>
                <w:sz w:val="20"/>
                <w:szCs w:val="20"/>
              </w:rPr>
            </w:pPr>
          </w:p>
          <w:p w14:paraId="550201B6"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p>
          <w:p w14:paraId="4908758A"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p>
          <w:p w14:paraId="6492017A"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rPr>
            </w:pPr>
            <w:r w:rsidRPr="00AB0BB0">
              <w:rPr>
                <w:rFonts w:ascii="Arial Narrow" w:hAnsi="Arial Narrow" w:cs="Calibri"/>
                <w:spacing w:val="-1"/>
                <w:sz w:val="20"/>
                <w:szCs w:val="20"/>
              </w:rPr>
              <w:t xml:space="preserve">Week 6   </w:t>
            </w:r>
            <w:r w:rsidRPr="00AB0BB0">
              <w:rPr>
                <w:rFonts w:ascii="Arial Narrow" w:hAnsi="Arial Narrow" w:cs="Calibri"/>
                <w:sz w:val="20"/>
                <w:szCs w:val="20"/>
              </w:rPr>
              <w:t>-37.2 (0.8)</w:t>
            </w:r>
          </w:p>
          <w:p w14:paraId="504F9710" w14:textId="77777777" w:rsidR="00786356" w:rsidRPr="00AB0BB0" w:rsidRDefault="00786356" w:rsidP="00786356">
            <w:pPr>
              <w:kinsoku w:val="0"/>
              <w:overflowPunct w:val="0"/>
              <w:autoSpaceDE w:val="0"/>
              <w:autoSpaceDN w:val="0"/>
              <w:adjustRightInd w:val="0"/>
              <w:spacing w:after="0" w:line="240" w:lineRule="auto"/>
              <w:ind w:left="222"/>
              <w:rPr>
                <w:rFonts w:ascii="Arial Narrow" w:hAnsi="Arial Narrow" w:cs="Calibri"/>
                <w:sz w:val="20"/>
                <w:szCs w:val="20"/>
              </w:rPr>
            </w:pPr>
            <w:r w:rsidRPr="00AB0BB0">
              <w:rPr>
                <w:rFonts w:ascii="Arial Narrow" w:hAnsi="Arial Narrow" w:cs="Calibri"/>
                <w:spacing w:val="-1"/>
                <w:sz w:val="20"/>
                <w:szCs w:val="20"/>
              </w:rPr>
              <w:t xml:space="preserve">Week 12 </w:t>
            </w:r>
            <w:r w:rsidRPr="00AB0BB0">
              <w:rPr>
                <w:rFonts w:ascii="Arial Narrow" w:hAnsi="Arial Narrow" w:cs="Calibri"/>
                <w:sz w:val="20"/>
                <w:szCs w:val="20"/>
              </w:rPr>
              <w:t>-44.3 (0.9)</w:t>
            </w:r>
          </w:p>
          <w:p w14:paraId="18631050" w14:textId="77777777" w:rsidR="00786356" w:rsidRPr="00AB0BB0" w:rsidRDefault="00786356" w:rsidP="00786356">
            <w:pPr>
              <w:kinsoku w:val="0"/>
              <w:overflowPunct w:val="0"/>
              <w:autoSpaceDE w:val="0"/>
              <w:autoSpaceDN w:val="0"/>
              <w:adjustRightInd w:val="0"/>
              <w:spacing w:after="0" w:line="240" w:lineRule="auto"/>
              <w:ind w:left="222"/>
              <w:rPr>
                <w:rFonts w:ascii="Arial Narrow" w:hAnsi="Arial Narrow" w:cs="Calibri"/>
                <w:sz w:val="20"/>
                <w:szCs w:val="20"/>
              </w:rPr>
            </w:pPr>
            <w:r w:rsidRPr="00AB0BB0">
              <w:rPr>
                <w:rFonts w:ascii="Arial Narrow" w:hAnsi="Arial Narrow" w:cs="Calibri"/>
                <w:spacing w:val="-1"/>
                <w:sz w:val="20"/>
                <w:szCs w:val="20"/>
              </w:rPr>
              <w:t xml:space="preserve">Week 18 </w:t>
            </w:r>
            <w:r w:rsidRPr="00AB0BB0">
              <w:rPr>
                <w:rFonts w:ascii="Arial Narrow" w:hAnsi="Arial Narrow" w:cs="Calibri"/>
                <w:sz w:val="20"/>
                <w:szCs w:val="20"/>
              </w:rPr>
              <w:t>-49.1 (0.9)</w:t>
            </w:r>
          </w:p>
          <w:p w14:paraId="2B759C30" w14:textId="77777777" w:rsidR="00786356" w:rsidRPr="00AB0BB0" w:rsidRDefault="00786356" w:rsidP="00786356">
            <w:pPr>
              <w:kinsoku w:val="0"/>
              <w:overflowPunct w:val="0"/>
              <w:autoSpaceDE w:val="0"/>
              <w:autoSpaceDN w:val="0"/>
              <w:adjustRightInd w:val="0"/>
              <w:spacing w:after="0" w:line="240" w:lineRule="auto"/>
              <w:ind w:left="222"/>
              <w:rPr>
                <w:rFonts w:ascii="Arial Narrow" w:hAnsi="Arial Narrow" w:cs="Calibri"/>
                <w:sz w:val="20"/>
                <w:szCs w:val="20"/>
              </w:rPr>
            </w:pPr>
            <w:r w:rsidRPr="00AB0BB0">
              <w:rPr>
                <w:rFonts w:ascii="Arial Narrow" w:hAnsi="Arial Narrow" w:cs="Calibri"/>
                <w:spacing w:val="-1"/>
                <w:sz w:val="20"/>
                <w:szCs w:val="20"/>
              </w:rPr>
              <w:t xml:space="preserve">Week 24 </w:t>
            </w:r>
            <w:r w:rsidRPr="00AB0BB0">
              <w:rPr>
                <w:rFonts w:ascii="Arial Narrow" w:hAnsi="Arial Narrow" w:cs="Calibri"/>
                <w:sz w:val="20"/>
                <w:szCs w:val="20"/>
              </w:rPr>
              <w:t>-52.5 (1.0)</w:t>
            </w:r>
          </w:p>
          <w:p w14:paraId="59F5B015" w14:textId="77777777" w:rsidR="00786356" w:rsidRPr="00AB0BB0" w:rsidRDefault="00786356" w:rsidP="00786356">
            <w:pPr>
              <w:kinsoku w:val="0"/>
              <w:overflowPunct w:val="0"/>
              <w:autoSpaceDE w:val="0"/>
              <w:autoSpaceDN w:val="0"/>
              <w:adjustRightInd w:val="0"/>
              <w:spacing w:after="0" w:line="240" w:lineRule="auto"/>
              <w:ind w:left="222"/>
              <w:rPr>
                <w:rFonts w:ascii="Arial Narrow" w:hAnsi="Arial Narrow" w:cs="Calibri"/>
                <w:sz w:val="20"/>
                <w:szCs w:val="20"/>
              </w:rPr>
            </w:pPr>
          </w:p>
          <w:p w14:paraId="4170FCE1" w14:textId="77777777" w:rsidR="00786356" w:rsidRPr="00AB0BB0" w:rsidRDefault="00786356" w:rsidP="00786356">
            <w:pPr>
              <w:kinsoku w:val="0"/>
              <w:overflowPunct w:val="0"/>
              <w:autoSpaceDE w:val="0"/>
              <w:autoSpaceDN w:val="0"/>
              <w:adjustRightInd w:val="0"/>
              <w:spacing w:after="0" w:line="240" w:lineRule="auto"/>
              <w:ind w:left="222"/>
              <w:rPr>
                <w:rFonts w:ascii="Arial Narrow" w:hAnsi="Arial Narrow" w:cs="Calibri"/>
                <w:sz w:val="20"/>
                <w:szCs w:val="20"/>
              </w:rPr>
            </w:pPr>
          </w:p>
          <w:p w14:paraId="4C0FBE45" w14:textId="686C0335" w:rsidR="00786356" w:rsidRPr="00AB0BB0" w:rsidRDefault="00786356" w:rsidP="00786356">
            <w:pPr>
              <w:kinsoku w:val="0"/>
              <w:overflowPunct w:val="0"/>
              <w:autoSpaceDE w:val="0"/>
              <w:autoSpaceDN w:val="0"/>
              <w:adjustRightInd w:val="0"/>
              <w:spacing w:after="0" w:line="240" w:lineRule="auto"/>
              <w:ind w:left="222"/>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6A2291E"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lang w:val="nl-NL"/>
              </w:rPr>
            </w:pPr>
          </w:p>
          <w:p w14:paraId="36103486"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lang w:val="nl-NL"/>
              </w:rPr>
            </w:pPr>
            <w:r w:rsidRPr="00AB0BB0">
              <w:rPr>
                <w:rFonts w:ascii="Arial Narrow" w:hAnsi="Arial Narrow" w:cs="Calibri"/>
                <w:spacing w:val="-1"/>
                <w:sz w:val="20"/>
                <w:szCs w:val="20"/>
                <w:lang w:val="nl-NL"/>
              </w:rPr>
              <w:t xml:space="preserve">Week 6  </w:t>
            </w:r>
            <w:r w:rsidRPr="00AB0BB0">
              <w:rPr>
                <w:rFonts w:ascii="Arial Narrow" w:hAnsi="Arial Narrow" w:cs="Calibri"/>
                <w:sz w:val="20"/>
                <w:szCs w:val="20"/>
                <w:lang w:val="nl-NL"/>
              </w:rPr>
              <w:t>-46.1 (0.8)</w:t>
            </w:r>
          </w:p>
          <w:p w14:paraId="26BBBD3E" w14:textId="77777777" w:rsidR="00786356" w:rsidRPr="00AB0BB0" w:rsidRDefault="00786356" w:rsidP="00786356">
            <w:pPr>
              <w:kinsoku w:val="0"/>
              <w:overflowPunct w:val="0"/>
              <w:autoSpaceDE w:val="0"/>
              <w:autoSpaceDN w:val="0"/>
              <w:adjustRightInd w:val="0"/>
              <w:spacing w:after="0" w:line="240" w:lineRule="auto"/>
              <w:ind w:left="191"/>
              <w:rPr>
                <w:rFonts w:ascii="Arial Narrow" w:hAnsi="Arial Narrow" w:cs="Calibri"/>
                <w:sz w:val="20"/>
                <w:szCs w:val="20"/>
                <w:lang w:val="nl-NL"/>
              </w:rPr>
            </w:pPr>
            <w:r w:rsidRPr="00AB0BB0">
              <w:rPr>
                <w:rFonts w:ascii="Arial Narrow" w:hAnsi="Arial Narrow" w:cs="Calibri"/>
                <w:spacing w:val="-1"/>
                <w:sz w:val="20"/>
                <w:szCs w:val="20"/>
                <w:lang w:val="nl-NL"/>
              </w:rPr>
              <w:t xml:space="preserve">Week 12  </w:t>
            </w:r>
            <w:r w:rsidRPr="00AB0BB0">
              <w:rPr>
                <w:rFonts w:ascii="Arial Narrow" w:hAnsi="Arial Narrow" w:cs="Calibri"/>
                <w:sz w:val="20"/>
                <w:szCs w:val="20"/>
                <w:lang w:val="nl-NL"/>
              </w:rPr>
              <w:t>-50.2(0.8)</w:t>
            </w:r>
          </w:p>
          <w:p w14:paraId="0B57AEB8" w14:textId="77777777" w:rsidR="00786356" w:rsidRPr="00AB0BB0" w:rsidRDefault="00786356" w:rsidP="00786356">
            <w:pPr>
              <w:kinsoku w:val="0"/>
              <w:overflowPunct w:val="0"/>
              <w:autoSpaceDE w:val="0"/>
              <w:autoSpaceDN w:val="0"/>
              <w:adjustRightInd w:val="0"/>
              <w:spacing w:after="0" w:line="240" w:lineRule="auto"/>
              <w:ind w:left="191"/>
              <w:rPr>
                <w:rFonts w:ascii="Arial Narrow" w:hAnsi="Arial Narrow" w:cs="Calibri"/>
                <w:sz w:val="20"/>
                <w:szCs w:val="20"/>
                <w:lang w:val="nl-NL"/>
              </w:rPr>
            </w:pPr>
            <w:r w:rsidRPr="00AB0BB0">
              <w:rPr>
                <w:rFonts w:ascii="Arial Narrow" w:hAnsi="Arial Narrow" w:cs="Calibri"/>
                <w:spacing w:val="-1"/>
                <w:sz w:val="20"/>
                <w:szCs w:val="20"/>
                <w:lang w:val="nl-NL"/>
              </w:rPr>
              <w:t xml:space="preserve">Week 18  </w:t>
            </w:r>
            <w:r w:rsidRPr="00AB0BB0">
              <w:rPr>
                <w:rFonts w:ascii="Arial Narrow" w:hAnsi="Arial Narrow" w:cs="Calibri"/>
                <w:sz w:val="20"/>
                <w:szCs w:val="20"/>
                <w:lang w:val="nl-NL"/>
              </w:rPr>
              <w:t>-55.6(0.6)</w:t>
            </w:r>
            <w:r w:rsidRPr="00AB0BB0">
              <w:rPr>
                <w:rFonts w:ascii="Arial Narrow" w:hAnsi="Arial Narrow" w:cs="Calibri"/>
                <w:sz w:val="20"/>
                <w:szCs w:val="20"/>
                <w:vertAlign w:val="superscript"/>
                <w:lang w:val="nl-NL"/>
              </w:rPr>
              <w:t>#</w:t>
            </w:r>
          </w:p>
          <w:p w14:paraId="3DD68F5A" w14:textId="77777777" w:rsidR="00786356" w:rsidRPr="00AB0BB0" w:rsidRDefault="00786356" w:rsidP="00786356">
            <w:pPr>
              <w:kinsoku w:val="0"/>
              <w:overflowPunct w:val="0"/>
              <w:autoSpaceDE w:val="0"/>
              <w:autoSpaceDN w:val="0"/>
              <w:adjustRightInd w:val="0"/>
              <w:spacing w:after="0" w:line="240" w:lineRule="auto"/>
              <w:ind w:left="191"/>
              <w:rPr>
                <w:rFonts w:ascii="Arial Narrow" w:hAnsi="Arial Narrow" w:cs="Calibri"/>
                <w:sz w:val="20"/>
                <w:szCs w:val="20"/>
                <w:lang w:val="nl-NL"/>
              </w:rPr>
            </w:pPr>
            <w:r w:rsidRPr="00AB0BB0">
              <w:rPr>
                <w:rFonts w:ascii="Arial Narrow" w:hAnsi="Arial Narrow" w:cs="Calibri"/>
                <w:spacing w:val="-1"/>
                <w:sz w:val="20"/>
                <w:szCs w:val="20"/>
                <w:lang w:val="nl-NL"/>
              </w:rPr>
              <w:t xml:space="preserve">Week 24  </w:t>
            </w:r>
            <w:r w:rsidRPr="00AB0BB0">
              <w:rPr>
                <w:rFonts w:ascii="Arial Narrow" w:hAnsi="Arial Narrow" w:cs="Calibri"/>
                <w:sz w:val="20"/>
                <w:szCs w:val="20"/>
                <w:lang w:val="nl-NL"/>
              </w:rPr>
              <w:t>-59.4(0.7)</w:t>
            </w:r>
            <w:r w:rsidRPr="00AB0BB0">
              <w:rPr>
                <w:rFonts w:ascii="Arial Narrow" w:hAnsi="Arial Narrow" w:cs="Calibri"/>
                <w:sz w:val="20"/>
                <w:szCs w:val="20"/>
                <w:vertAlign w:val="superscript"/>
                <w:lang w:val="nl-NL"/>
              </w:rPr>
              <w:t>#</w:t>
            </w:r>
          </w:p>
          <w:p w14:paraId="6B46469C" w14:textId="77777777" w:rsidR="00786356" w:rsidRPr="00AB0BB0" w:rsidRDefault="00786356" w:rsidP="00786356">
            <w:pPr>
              <w:kinsoku w:val="0"/>
              <w:overflowPunct w:val="0"/>
              <w:autoSpaceDE w:val="0"/>
              <w:autoSpaceDN w:val="0"/>
              <w:adjustRightInd w:val="0"/>
              <w:spacing w:after="0" w:line="240" w:lineRule="auto"/>
              <w:ind w:left="222"/>
              <w:rPr>
                <w:rFonts w:ascii="Arial Narrow" w:hAnsi="Arial Narrow" w:cs="Calibri"/>
                <w:spacing w:val="-1"/>
                <w:sz w:val="20"/>
                <w:szCs w:val="20"/>
                <w:lang w:val="nl-NL"/>
              </w:rPr>
            </w:pPr>
          </w:p>
          <w:p w14:paraId="020FC37D"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lang w:val="nl-NL"/>
              </w:rPr>
            </w:pPr>
          </w:p>
          <w:p w14:paraId="31CB4CC8"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lang w:val="nl-NL"/>
              </w:rPr>
            </w:pPr>
            <w:r w:rsidRPr="00AB0BB0">
              <w:rPr>
                <w:rFonts w:ascii="Arial Narrow" w:hAnsi="Arial Narrow" w:cs="Calibri"/>
                <w:spacing w:val="-1"/>
                <w:sz w:val="20"/>
                <w:szCs w:val="20"/>
                <w:lang w:val="nl-NL"/>
              </w:rPr>
              <w:t xml:space="preserve">Week 6  </w:t>
            </w:r>
            <w:r w:rsidRPr="00AB0BB0">
              <w:rPr>
                <w:rFonts w:ascii="Arial Narrow" w:hAnsi="Arial Narrow" w:cs="Calibri"/>
                <w:sz w:val="20"/>
                <w:szCs w:val="20"/>
                <w:lang w:val="nl-NL"/>
              </w:rPr>
              <w:t>-50.3(0.8)</w:t>
            </w:r>
          </w:p>
          <w:p w14:paraId="5F4D5B3D" w14:textId="77777777" w:rsidR="00786356" w:rsidRPr="00AB0BB0" w:rsidRDefault="00786356" w:rsidP="00786356">
            <w:pPr>
              <w:kinsoku w:val="0"/>
              <w:overflowPunct w:val="0"/>
              <w:autoSpaceDE w:val="0"/>
              <w:autoSpaceDN w:val="0"/>
              <w:adjustRightInd w:val="0"/>
              <w:spacing w:after="0" w:line="240" w:lineRule="auto"/>
              <w:ind w:left="191"/>
              <w:rPr>
                <w:rFonts w:ascii="Arial Narrow" w:hAnsi="Arial Narrow" w:cs="Calibri"/>
                <w:sz w:val="20"/>
                <w:szCs w:val="20"/>
              </w:rPr>
            </w:pPr>
            <w:r w:rsidRPr="00AB0BB0">
              <w:rPr>
                <w:rFonts w:ascii="Arial Narrow" w:hAnsi="Arial Narrow" w:cs="Calibri"/>
                <w:spacing w:val="-1"/>
                <w:sz w:val="20"/>
                <w:szCs w:val="20"/>
              </w:rPr>
              <w:t xml:space="preserve">Week 12  </w:t>
            </w:r>
            <w:r w:rsidRPr="00AB0BB0">
              <w:rPr>
                <w:rFonts w:ascii="Arial Narrow" w:hAnsi="Arial Narrow" w:cs="Calibri"/>
                <w:sz w:val="20"/>
                <w:szCs w:val="20"/>
              </w:rPr>
              <w:t>-54.3(0.8)</w:t>
            </w:r>
          </w:p>
          <w:p w14:paraId="35B2280D" w14:textId="77777777" w:rsidR="00786356" w:rsidRPr="00AB0BB0" w:rsidRDefault="00786356" w:rsidP="00786356">
            <w:pPr>
              <w:kinsoku w:val="0"/>
              <w:overflowPunct w:val="0"/>
              <w:autoSpaceDE w:val="0"/>
              <w:autoSpaceDN w:val="0"/>
              <w:adjustRightInd w:val="0"/>
              <w:spacing w:after="0" w:line="240" w:lineRule="auto"/>
              <w:ind w:left="191"/>
              <w:rPr>
                <w:rFonts w:ascii="Arial Narrow" w:hAnsi="Arial Narrow" w:cs="Calibri"/>
                <w:sz w:val="20"/>
                <w:szCs w:val="20"/>
              </w:rPr>
            </w:pPr>
            <w:r w:rsidRPr="00AB0BB0">
              <w:rPr>
                <w:rFonts w:ascii="Arial Narrow" w:hAnsi="Arial Narrow" w:cs="Calibri"/>
                <w:spacing w:val="-1"/>
                <w:sz w:val="20"/>
                <w:szCs w:val="20"/>
              </w:rPr>
              <w:t xml:space="preserve">Week 18  </w:t>
            </w:r>
            <w:r w:rsidRPr="00AB0BB0">
              <w:rPr>
                <w:rFonts w:ascii="Arial Narrow" w:hAnsi="Arial Narrow" w:cs="Calibri"/>
                <w:sz w:val="20"/>
                <w:szCs w:val="20"/>
              </w:rPr>
              <w:t>-55.6(0.6)</w:t>
            </w:r>
            <w:r w:rsidRPr="00AB0BB0">
              <w:rPr>
                <w:rFonts w:ascii="Arial Narrow" w:hAnsi="Arial Narrow" w:cs="Calibri"/>
                <w:sz w:val="20"/>
                <w:szCs w:val="20"/>
                <w:vertAlign w:val="superscript"/>
              </w:rPr>
              <w:t>#</w:t>
            </w:r>
          </w:p>
          <w:p w14:paraId="0EB73BFD" w14:textId="77777777" w:rsidR="00786356" w:rsidRPr="00AB0BB0" w:rsidRDefault="00786356" w:rsidP="00786356">
            <w:pPr>
              <w:kinsoku w:val="0"/>
              <w:overflowPunct w:val="0"/>
              <w:autoSpaceDE w:val="0"/>
              <w:autoSpaceDN w:val="0"/>
              <w:adjustRightInd w:val="0"/>
              <w:spacing w:after="0" w:line="240" w:lineRule="auto"/>
              <w:ind w:left="191"/>
              <w:rPr>
                <w:rFonts w:ascii="Arial Narrow" w:hAnsi="Arial Narrow" w:cs="Calibri"/>
                <w:sz w:val="20"/>
                <w:szCs w:val="20"/>
              </w:rPr>
            </w:pPr>
            <w:r w:rsidRPr="00AB0BB0">
              <w:rPr>
                <w:rFonts w:ascii="Arial Narrow" w:hAnsi="Arial Narrow" w:cs="Calibri"/>
                <w:spacing w:val="-1"/>
                <w:sz w:val="20"/>
                <w:szCs w:val="20"/>
              </w:rPr>
              <w:t xml:space="preserve">Week 24  </w:t>
            </w:r>
            <w:r w:rsidRPr="00AB0BB0">
              <w:rPr>
                <w:rFonts w:ascii="Arial Narrow" w:hAnsi="Arial Narrow" w:cs="Calibri"/>
                <w:sz w:val="20"/>
                <w:szCs w:val="20"/>
              </w:rPr>
              <w:t>-59.4(0.7)</w:t>
            </w:r>
            <w:r w:rsidRPr="00AB0BB0">
              <w:rPr>
                <w:rFonts w:ascii="Arial Narrow" w:hAnsi="Arial Narrow" w:cs="Calibri"/>
                <w:sz w:val="20"/>
                <w:szCs w:val="20"/>
                <w:vertAlign w:val="superscript"/>
              </w:rPr>
              <w:t>#</w:t>
            </w:r>
          </w:p>
          <w:p w14:paraId="26851468"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rPr>
            </w:pPr>
          </w:p>
          <w:p w14:paraId="13033A94" w14:textId="131003BC" w:rsidR="00786356" w:rsidRPr="00AB0BB0" w:rsidRDefault="00786356" w:rsidP="00786356">
            <w:pPr>
              <w:kinsoku w:val="0"/>
              <w:overflowPunct w:val="0"/>
              <w:autoSpaceDE w:val="0"/>
              <w:autoSpaceDN w:val="0"/>
              <w:adjustRightInd w:val="0"/>
              <w:spacing w:after="0" w:line="240" w:lineRule="auto"/>
              <w:ind w:left="191"/>
              <w:jc w:val="center"/>
              <w:rPr>
                <w:rFonts w:ascii="Arial Narrow" w:hAnsi="Arial Narrow" w:cs="Calibri"/>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A6C95CC"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12BB9FE9" w14:textId="61B33315"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-8.9 (-11.1,</w:t>
            </w:r>
            <w:r w:rsidRPr="00AB0BB0">
              <w:rPr>
                <w:rFonts w:ascii="Arial Narrow" w:hAnsi="Arial Narrow" w:cs="Calibri" w:hint="eastAsia"/>
                <w:sz w:val="20"/>
                <w:szCs w:val="20"/>
              </w:rPr>
              <w:t>-</w:t>
            </w:r>
            <w:r w:rsidRPr="00AB0BB0">
              <w:rPr>
                <w:rFonts w:ascii="Arial Narrow" w:hAnsi="Arial Narrow" w:cs="Calibri"/>
                <w:sz w:val="20"/>
                <w:szCs w:val="20"/>
              </w:rPr>
              <w:t>6.7)*</w:t>
            </w:r>
          </w:p>
          <w:p w14:paraId="42F2573B"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p w14:paraId="66094501"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p w14:paraId="0CA917A6" w14:textId="32BB96E1"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-6.9 (-</w:t>
            </w:r>
            <w:r w:rsidRPr="00AB0BB0">
              <w:rPr>
                <w:rFonts w:ascii="Arial Narrow" w:hAnsi="Arial Narrow" w:cs="Calibri" w:hint="eastAsia"/>
                <w:sz w:val="20"/>
                <w:szCs w:val="20"/>
              </w:rPr>
              <w:t>9.2, -4.6)</w:t>
            </w:r>
            <w:r w:rsidRPr="00AB0BB0">
              <w:rPr>
                <w:rFonts w:ascii="Arial Narrow" w:hAnsi="Arial Narrow" w:cs="Calibri"/>
                <w:sz w:val="20"/>
                <w:szCs w:val="20"/>
              </w:rPr>
              <w:t>*</w:t>
            </w:r>
          </w:p>
          <w:p w14:paraId="4DFCFE71"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7DBA054C"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646A230D" w14:textId="6197FEF1"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-13.1 (-15.2,</w:t>
            </w:r>
            <w:r w:rsidRPr="00AB0BB0">
              <w:rPr>
                <w:rFonts w:ascii="Arial Narrow" w:hAnsi="Arial Narrow" w:cs="Calibri" w:hint="eastAsia"/>
                <w:sz w:val="20"/>
                <w:szCs w:val="20"/>
              </w:rPr>
              <w:t>-</w:t>
            </w:r>
            <w:r w:rsidRPr="00AB0BB0">
              <w:rPr>
                <w:rFonts w:ascii="Arial Narrow" w:hAnsi="Arial Narrow" w:cs="Calibri"/>
                <w:sz w:val="20"/>
                <w:szCs w:val="20"/>
              </w:rPr>
              <w:t>10.9)*</w:t>
            </w:r>
          </w:p>
          <w:p w14:paraId="56CFA009"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p w14:paraId="763B4BD6"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p w14:paraId="5BD95763" w14:textId="1F1C4F26"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-6.9 (-</w:t>
            </w:r>
            <w:r w:rsidRPr="00AB0BB0">
              <w:rPr>
                <w:rFonts w:ascii="Arial Narrow" w:hAnsi="Arial Narrow" w:cs="Calibri" w:hint="eastAsia"/>
                <w:sz w:val="20"/>
                <w:szCs w:val="20"/>
              </w:rPr>
              <w:t>9.2, -4.6)</w:t>
            </w:r>
            <w:r w:rsidRPr="00AB0BB0">
              <w:rPr>
                <w:rFonts w:ascii="Arial Narrow" w:hAnsi="Arial Narrow" w:cs="Calibri"/>
                <w:sz w:val="20"/>
                <w:szCs w:val="20"/>
              </w:rPr>
              <w:t>*</w:t>
            </w:r>
          </w:p>
          <w:p w14:paraId="7DEB0D9D" w14:textId="7678CAFB" w:rsidR="00786356" w:rsidRPr="00AB0BB0" w:rsidRDefault="00786356" w:rsidP="00786356">
            <w:pPr>
              <w:kinsoku w:val="0"/>
              <w:overflowPunct w:val="0"/>
              <w:autoSpaceDE w:val="0"/>
              <w:autoSpaceDN w:val="0"/>
              <w:adjustRightInd w:val="0"/>
              <w:spacing w:after="0" w:line="240" w:lineRule="auto"/>
              <w:ind w:left="142"/>
              <w:jc w:val="center"/>
              <w:rPr>
                <w:rFonts w:ascii="Arial Narrow" w:hAnsi="Arial Narrow" w:cs="Calibri"/>
                <w:sz w:val="20"/>
                <w:szCs w:val="20"/>
              </w:rPr>
            </w:pPr>
          </w:p>
        </w:tc>
      </w:tr>
      <w:tr w:rsidR="00C679AF" w:rsidRPr="00AB0BB0" w14:paraId="6EA84124" w14:textId="77777777" w:rsidTr="000A080E">
        <w:trPr>
          <w:trHeight w:hRule="exact" w:val="1552"/>
        </w:trPr>
        <w:tc>
          <w:tcPr>
            <w:tcW w:w="2127" w:type="dxa"/>
            <w:tcBorders>
              <w:top w:val="single" w:sz="4" w:space="0" w:color="000000"/>
              <w:left w:val="single" w:sz="4" w:space="0" w:color="000000"/>
              <w:bottom w:val="single" w:sz="4" w:space="0" w:color="000000"/>
              <w:right w:val="single" w:sz="4" w:space="0" w:color="000000"/>
            </w:tcBorders>
          </w:tcPr>
          <w:p w14:paraId="4C78E635"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rPr>
            </w:pPr>
            <w:r w:rsidRPr="00AB0BB0">
              <w:rPr>
                <w:rFonts w:ascii="Arial Narrow" w:hAnsi="Arial Narrow" w:cs="Calibri"/>
                <w:sz w:val="20"/>
                <w:szCs w:val="20"/>
              </w:rPr>
              <w:t xml:space="preserve">P693 </w:t>
            </w:r>
            <w:r w:rsidRPr="00AB0BB0">
              <w:rPr>
                <w:rFonts w:ascii="Arial Narrow" w:hAnsi="Arial Narrow" w:cs="Calibri"/>
                <w:spacing w:val="-1"/>
                <w:sz w:val="20"/>
                <w:szCs w:val="20"/>
              </w:rPr>
              <w:t>Stein</w:t>
            </w:r>
            <w:r w:rsidRPr="00AB0BB0">
              <w:rPr>
                <w:rFonts w:ascii="Arial Narrow" w:hAnsi="Arial Narrow" w:cs="Calibri"/>
                <w:spacing w:val="-7"/>
                <w:sz w:val="20"/>
                <w:szCs w:val="20"/>
              </w:rPr>
              <w:t xml:space="preserve"> </w:t>
            </w:r>
            <w:r w:rsidRPr="00AB0BB0">
              <w:rPr>
                <w:rFonts w:ascii="Arial Narrow" w:hAnsi="Arial Narrow" w:cs="Calibri"/>
                <w:sz w:val="20"/>
                <w:szCs w:val="20"/>
              </w:rPr>
              <w:t>2004</w:t>
            </w:r>
            <w:r w:rsidRPr="00AB0BB0">
              <w:rPr>
                <w:rFonts w:ascii="Arial Narrow" w:hAnsi="Arial Narrow" w:cs="Calibri"/>
                <w:sz w:val="20"/>
                <w:szCs w:val="20"/>
                <w:vertAlign w:val="superscript"/>
              </w:rPr>
              <w:t>2</w:t>
            </w:r>
            <w:r w:rsidRPr="00AB0BB0">
              <w:rPr>
                <w:rFonts w:ascii="Arial Narrow" w:hAnsi="Arial Narrow" w:cs="Calibri"/>
                <w:sz w:val="20"/>
                <w:szCs w:val="20"/>
              </w:rPr>
              <w:t xml:space="preserve"> </w:t>
            </w:r>
          </w:p>
          <w:p w14:paraId="552450A0" w14:textId="7777777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6D35EE01" w14:textId="7777777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18"/>
                <w:szCs w:val="18"/>
              </w:rPr>
            </w:pPr>
            <w:r w:rsidRPr="00AB0BB0">
              <w:rPr>
                <w:rFonts w:ascii="Arial Narrow" w:hAnsi="Arial Narrow" w:cs="Calibri"/>
                <w:spacing w:val="-1"/>
                <w:sz w:val="18"/>
                <w:szCs w:val="18"/>
              </w:rPr>
              <w:t>ATOR 10 (run-in dose)</w:t>
            </w:r>
          </w:p>
          <w:p w14:paraId="48F87B13" w14:textId="2F6EA09E"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Week  1-4   ATOR 20 </w:t>
            </w:r>
          </w:p>
          <w:p w14:paraId="7F965227" w14:textId="2D32A2E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    Week  5-8   ATOR 40 </w:t>
            </w:r>
          </w:p>
          <w:p w14:paraId="44DAA298" w14:textId="41BE248C"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    Week  9-14 ATOR 80</w:t>
            </w:r>
          </w:p>
          <w:p w14:paraId="07706D3C" w14:textId="2A597959"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2C0B63D9" w14:textId="757D60F3"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C023DC5" w14:textId="65FD32CD"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316 (all)</w:t>
            </w:r>
          </w:p>
          <w:p w14:paraId="0D08826A"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A7FD9CD" w14:textId="32AE906B"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303 (96%)</w:t>
            </w:r>
          </w:p>
          <w:p w14:paraId="35D35747" w14:textId="438E00DF"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07C8156A" w14:textId="39C431D2"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270 (85%)</w:t>
            </w:r>
          </w:p>
          <w:p w14:paraId="7F1B4553" w14:textId="77777777"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1EA3616" w14:textId="77777777" w:rsidR="00786356" w:rsidRPr="00AB0BB0" w:rsidRDefault="00786356" w:rsidP="00786356">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3129B4C6" w14:textId="77777777" w:rsidR="00786356" w:rsidRPr="00AB0BB0" w:rsidRDefault="00786356" w:rsidP="00786356">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4.8</w:t>
            </w:r>
          </w:p>
          <w:p w14:paraId="543F79A3" w14:textId="77777777" w:rsidR="00786356" w:rsidRPr="00AB0BB0" w:rsidRDefault="00786356" w:rsidP="00786356">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2808CE0C" w14:textId="77777777" w:rsidR="00786356" w:rsidRPr="00AB0BB0" w:rsidRDefault="00786356" w:rsidP="00786356">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222A3F0E" w14:textId="1098891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 xml:space="preserve"> NR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AA07E01" w14:textId="77777777" w:rsidR="00786356" w:rsidRPr="00AB0BB0" w:rsidRDefault="00786356" w:rsidP="00786356">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lang w:val="nl-NL"/>
              </w:rPr>
            </w:pPr>
          </w:p>
          <w:p w14:paraId="3A0EC980" w14:textId="77777777" w:rsidR="00786356" w:rsidRPr="00AB0BB0" w:rsidRDefault="00786356" w:rsidP="00786356">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lang w:val="nl-NL"/>
              </w:rPr>
            </w:pPr>
          </w:p>
          <w:p w14:paraId="645504DF" w14:textId="77777777" w:rsidR="00786356" w:rsidRPr="00AB0BB0" w:rsidRDefault="00786356" w:rsidP="00786356">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lang w:val="nl-NL"/>
              </w:rPr>
            </w:pPr>
          </w:p>
          <w:p w14:paraId="2CA8C2E5" w14:textId="75EF856F" w:rsidR="00786356" w:rsidRPr="00AB0BB0" w:rsidRDefault="00786356" w:rsidP="00786356">
            <w:pPr>
              <w:kinsoku w:val="0"/>
              <w:overflowPunct w:val="0"/>
              <w:autoSpaceDE w:val="0"/>
              <w:autoSpaceDN w:val="0"/>
              <w:adjustRightInd w:val="0"/>
              <w:spacing w:after="0" w:line="240" w:lineRule="auto"/>
              <w:ind w:left="13" w:right="1"/>
              <w:rPr>
                <w:rFonts w:ascii="Arial Narrow" w:hAnsi="Arial Narrow" w:cs="Calibri"/>
                <w:spacing w:val="-1"/>
                <w:sz w:val="20"/>
                <w:szCs w:val="20"/>
                <w:lang w:val="nl-NL"/>
              </w:rPr>
            </w:pPr>
            <w:r w:rsidRPr="00AB0BB0">
              <w:rPr>
                <w:rFonts w:ascii="Arial Narrow" w:hAnsi="Arial Narrow" w:cs="Calibri"/>
                <w:spacing w:val="-1"/>
                <w:sz w:val="20"/>
                <w:szCs w:val="20"/>
                <w:lang w:val="nl-NL"/>
              </w:rPr>
              <w:t xml:space="preserve">       Week 4   EZ+  ATOR 10</w:t>
            </w:r>
          </w:p>
          <w:p w14:paraId="61498389" w14:textId="01C46FBA"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AB0BB0">
              <w:rPr>
                <w:rFonts w:ascii="Arial Narrow" w:hAnsi="Arial Narrow" w:cs="Calibri"/>
                <w:spacing w:val="-1"/>
                <w:sz w:val="20"/>
                <w:szCs w:val="20"/>
                <w:lang w:val="nl-NL"/>
              </w:rPr>
              <w:t xml:space="preserve">     Week 8   EZ + ATOR 20</w:t>
            </w:r>
          </w:p>
          <w:p w14:paraId="5C480F63" w14:textId="09AE2BE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lang w:val="nl-NL"/>
              </w:rPr>
              <w:t xml:space="preserve">     </w:t>
            </w:r>
            <w:r w:rsidRPr="00AB0BB0">
              <w:rPr>
                <w:rFonts w:ascii="Arial Narrow" w:hAnsi="Arial Narrow" w:cs="Calibri"/>
                <w:spacing w:val="-1"/>
                <w:sz w:val="20"/>
                <w:szCs w:val="20"/>
              </w:rPr>
              <w:t>Week 14 EZ + ATOR 40</w:t>
            </w:r>
          </w:p>
          <w:p w14:paraId="186D7C76"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p>
          <w:p w14:paraId="49C1B196"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8E3AA1E"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t>
            </w:r>
          </w:p>
          <w:p w14:paraId="0102344B"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 xml:space="preserve">   305 (all)</w:t>
            </w:r>
          </w:p>
          <w:p w14:paraId="4C9CCA3B"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60720FD" w14:textId="296A9D9B"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 xml:space="preserve">  293(96%)</w:t>
            </w:r>
          </w:p>
          <w:p w14:paraId="4A8949E6"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 xml:space="preserve">  NR</w:t>
            </w:r>
          </w:p>
          <w:p w14:paraId="26C6957F" w14:textId="0FE4DB0B"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 xml:space="preserve">  84 (60%)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9B3EA58"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66321865"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4.8</w:t>
            </w:r>
          </w:p>
          <w:p w14:paraId="2B61DFFC"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ADEC025"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64DA9EE3" w14:textId="4AAD0D1C" w:rsidR="00786356" w:rsidRPr="00AB0BB0" w:rsidRDefault="00786356" w:rsidP="00786356">
            <w:pPr>
              <w:kinsoku w:val="0"/>
              <w:overflowPunct w:val="0"/>
              <w:autoSpaceDE w:val="0"/>
              <w:autoSpaceDN w:val="0"/>
              <w:adjustRightInd w:val="0"/>
              <w:spacing w:after="0" w:line="240" w:lineRule="auto"/>
              <w:ind w:right="1"/>
              <w:rPr>
                <w:rFonts w:ascii="Arial Narrow" w:hAnsi="Arial Narrow" w:cs="Calibri"/>
                <w:sz w:val="20"/>
                <w:szCs w:val="20"/>
              </w:rPr>
            </w:pPr>
            <w:r w:rsidRPr="00AB0BB0">
              <w:rPr>
                <w:rFonts w:ascii="Arial Narrow" w:hAnsi="Arial Narrow" w:cs="Calibri"/>
                <w:sz w:val="20"/>
                <w:szCs w:val="20"/>
              </w:rPr>
              <w:t xml:space="preserve">     NR</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812D0B6" w14:textId="77777777"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32ACFEC" w14:textId="77777777" w:rsidR="00786356" w:rsidRPr="00AB0BB0" w:rsidRDefault="00786356" w:rsidP="000A080E">
            <w:pPr>
              <w:kinsoku w:val="0"/>
              <w:overflowPunct w:val="0"/>
              <w:autoSpaceDE w:val="0"/>
              <w:autoSpaceDN w:val="0"/>
              <w:adjustRightInd w:val="0"/>
              <w:spacing w:after="0" w:line="240" w:lineRule="auto"/>
              <w:jc w:val="center"/>
              <w:rPr>
                <w:rFonts w:ascii="Arial Narrow" w:hAnsi="Arial Narrow" w:cs="Calibri"/>
                <w:sz w:val="20"/>
                <w:szCs w:val="20"/>
              </w:rPr>
            </w:pPr>
          </w:p>
          <w:p w14:paraId="2C777969" w14:textId="77777777"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7E798177" w14:textId="79D6FD34"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-8.6(0.7)</w:t>
            </w:r>
          </w:p>
          <w:p w14:paraId="1668A7A5" w14:textId="77777777"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47F430B2" w14:textId="732C37A5"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-20.3(0.9)</w:t>
            </w:r>
          </w:p>
          <w:p w14:paraId="320E4A39" w14:textId="77777777"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FCE8A3" w14:textId="77777777"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41CBCF76" w14:textId="77777777" w:rsidR="00786356" w:rsidRPr="00AB0BB0" w:rsidRDefault="00786356" w:rsidP="000A080E">
            <w:pPr>
              <w:kinsoku w:val="0"/>
              <w:overflowPunct w:val="0"/>
              <w:autoSpaceDE w:val="0"/>
              <w:autoSpaceDN w:val="0"/>
              <w:adjustRightInd w:val="0"/>
              <w:spacing w:after="0" w:line="240" w:lineRule="auto"/>
              <w:jc w:val="center"/>
              <w:rPr>
                <w:rFonts w:ascii="Arial Narrow" w:hAnsi="Arial Narrow" w:cs="Calibri"/>
                <w:sz w:val="20"/>
                <w:szCs w:val="20"/>
              </w:rPr>
            </w:pPr>
          </w:p>
          <w:p w14:paraId="42E2BE7B" w14:textId="77777777"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0FB23BA5" w14:textId="111D0B6D"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-22.8(0.7)</w:t>
            </w:r>
          </w:p>
          <w:p w14:paraId="43A6DCF1" w14:textId="77777777"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7376E5A3" w14:textId="224C1C62"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-33.2(0.9)</w:t>
            </w:r>
          </w:p>
          <w:p w14:paraId="69424BCA" w14:textId="77777777" w:rsidR="00786356" w:rsidRPr="00AB0BB0" w:rsidRDefault="00786356" w:rsidP="000A080E">
            <w:pPr>
              <w:kinsoku w:val="0"/>
              <w:overflowPunct w:val="0"/>
              <w:autoSpaceDE w:val="0"/>
              <w:autoSpaceDN w:val="0"/>
              <w:adjustRightInd w:val="0"/>
              <w:spacing w:after="0" w:line="240" w:lineRule="auto"/>
              <w:jc w:val="center"/>
              <w:rPr>
                <w:rFonts w:ascii="Arial Narrow" w:hAnsi="Arial Narrow" w:cs="Calibri"/>
                <w:spacing w:val="-1"/>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354811F" w14:textId="77777777" w:rsidR="00786356" w:rsidRPr="00AB0BB0" w:rsidRDefault="00786356" w:rsidP="000A080E">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778332A2" w14:textId="77777777" w:rsidR="00786356" w:rsidRPr="00AB0BB0" w:rsidRDefault="00786356" w:rsidP="000A080E">
            <w:pPr>
              <w:kinsoku w:val="0"/>
              <w:overflowPunct w:val="0"/>
              <w:autoSpaceDE w:val="0"/>
              <w:autoSpaceDN w:val="0"/>
              <w:adjustRightInd w:val="0"/>
              <w:spacing w:after="0" w:line="240" w:lineRule="auto"/>
              <w:jc w:val="center"/>
              <w:rPr>
                <w:rFonts w:ascii="Arial Narrow" w:hAnsi="Arial Narrow" w:cs="Calibri"/>
                <w:sz w:val="20"/>
                <w:szCs w:val="20"/>
              </w:rPr>
            </w:pPr>
          </w:p>
          <w:p w14:paraId="7F3A6C68" w14:textId="77777777" w:rsidR="00786356" w:rsidRPr="00AB0BB0" w:rsidRDefault="00786356" w:rsidP="000A080E">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7F5DBFD9" w14:textId="2C75988E" w:rsidR="00786356" w:rsidRPr="00AB0BB0" w:rsidRDefault="00786356" w:rsidP="000A080E">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-14.2 (–16.24,–12.20)**</w:t>
            </w:r>
          </w:p>
          <w:p w14:paraId="4A95E197" w14:textId="77777777" w:rsidR="00786356" w:rsidRPr="00AB0BB0" w:rsidRDefault="00786356" w:rsidP="000A080E">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2F62717B" w14:textId="1DD8034A" w:rsidR="00786356" w:rsidRPr="00AB0BB0" w:rsidRDefault="00786356" w:rsidP="000A080E">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-12.9 (NR)</w:t>
            </w:r>
          </w:p>
        </w:tc>
      </w:tr>
      <w:tr w:rsidR="00C679AF" w:rsidRPr="00AB0BB0" w14:paraId="11C62263" w14:textId="77777777" w:rsidTr="000A080E">
        <w:trPr>
          <w:trHeight w:hRule="exact" w:val="1757"/>
        </w:trPr>
        <w:tc>
          <w:tcPr>
            <w:tcW w:w="2127" w:type="dxa"/>
            <w:tcBorders>
              <w:top w:val="single" w:sz="4" w:space="0" w:color="000000"/>
              <w:left w:val="single" w:sz="4" w:space="0" w:color="000000"/>
              <w:bottom w:val="single" w:sz="4" w:space="0" w:color="000000"/>
              <w:right w:val="single" w:sz="4" w:space="0" w:color="000000"/>
            </w:tcBorders>
          </w:tcPr>
          <w:p w14:paraId="51E8AE37"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McKenney 2007</w:t>
            </w:r>
            <w:r w:rsidRPr="00AB0BB0">
              <w:rPr>
                <w:rFonts w:ascii="Arial Narrow" w:hAnsi="Arial Narrow" w:cs="Calibri"/>
                <w:spacing w:val="-1"/>
                <w:sz w:val="20"/>
                <w:szCs w:val="20"/>
                <w:vertAlign w:val="superscript"/>
              </w:rPr>
              <w:t>1</w:t>
            </w:r>
          </w:p>
          <w:p w14:paraId="6670443A" w14:textId="0D83B756"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t>
            </w:r>
          </w:p>
          <w:p w14:paraId="7BF65383" w14:textId="79D4808B"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Week 1-4    ROSUV 10 </w:t>
            </w:r>
          </w:p>
          <w:p w14:paraId="33EEBEC1" w14:textId="5BC042EE"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     Week  5-8   ROSUV 20 </w:t>
            </w:r>
          </w:p>
          <w:p w14:paraId="6918B6D2" w14:textId="37693FC5"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Week  9-12  ROSUV 40</w:t>
            </w:r>
          </w:p>
          <w:p w14:paraId="7FD3C031" w14:textId="03A6A645"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B0B7E43" w14:textId="77777777"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72F79EB6" w14:textId="77777777"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7981165A" w14:textId="2090AC2C"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76</w:t>
            </w:r>
          </w:p>
        </w:tc>
        <w:tc>
          <w:tcPr>
            <w:tcW w:w="851" w:type="dxa"/>
            <w:tcBorders>
              <w:top w:val="single" w:sz="4" w:space="0" w:color="000000"/>
              <w:left w:val="single" w:sz="4" w:space="0" w:color="000000"/>
              <w:bottom w:val="single" w:sz="4" w:space="0" w:color="000000"/>
              <w:right w:val="single" w:sz="4" w:space="0" w:color="000000"/>
            </w:tcBorders>
          </w:tcPr>
          <w:p w14:paraId="6929D7CB" w14:textId="77777777" w:rsidR="00786356" w:rsidRPr="00AB0BB0" w:rsidRDefault="00786356" w:rsidP="00786356">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05486F5A" w14:textId="77777777" w:rsidR="00786356" w:rsidRPr="00AB0BB0" w:rsidRDefault="00786356" w:rsidP="00786356">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684372F4" w14:textId="46E472B0" w:rsidR="00786356" w:rsidRPr="00AB0BB0" w:rsidRDefault="00786356" w:rsidP="00786356">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5.12</w:t>
            </w:r>
          </w:p>
        </w:tc>
        <w:tc>
          <w:tcPr>
            <w:tcW w:w="850" w:type="dxa"/>
            <w:tcBorders>
              <w:top w:val="single" w:sz="4" w:space="0" w:color="000000"/>
              <w:left w:val="single" w:sz="4" w:space="0" w:color="000000"/>
              <w:bottom w:val="single" w:sz="4" w:space="0" w:color="000000"/>
              <w:right w:val="single" w:sz="4" w:space="0" w:color="000000"/>
            </w:tcBorders>
          </w:tcPr>
          <w:p w14:paraId="45109D1C"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16CD3EDB"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rPr>
            </w:pPr>
          </w:p>
          <w:p w14:paraId="5AF10470"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6B443552"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2.53</w:t>
            </w:r>
          </w:p>
          <w:p w14:paraId="7E9DE902" w14:textId="32BE7590"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2.35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FB0E902"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lang w:val="nl-NL"/>
              </w:rPr>
            </w:pPr>
          </w:p>
          <w:p w14:paraId="50E7C772" w14:textId="7777777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p>
          <w:p w14:paraId="66DB3275" w14:textId="7777777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AB0BB0">
              <w:rPr>
                <w:rFonts w:ascii="Arial Narrow" w:hAnsi="Arial Narrow" w:cs="Calibri"/>
                <w:spacing w:val="-1"/>
                <w:sz w:val="20"/>
                <w:szCs w:val="20"/>
                <w:lang w:val="nl-NL"/>
              </w:rPr>
              <w:t xml:space="preserve">      Week 1   EZ +SIM 20 </w:t>
            </w:r>
          </w:p>
          <w:p w14:paraId="022BAEBD" w14:textId="7777777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AB0BB0">
              <w:rPr>
                <w:rFonts w:ascii="Arial Narrow" w:hAnsi="Arial Narrow" w:cs="Calibri"/>
                <w:spacing w:val="-1"/>
                <w:sz w:val="20"/>
                <w:szCs w:val="20"/>
                <w:lang w:val="nl-NL"/>
              </w:rPr>
              <w:t xml:space="preserve">      Week 4   EZ +SIM 20 </w:t>
            </w:r>
          </w:p>
          <w:p w14:paraId="60DB4247" w14:textId="7777777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lang w:val="nl-NL"/>
              </w:rPr>
              <w:t xml:space="preserve">      </w:t>
            </w:r>
            <w:r w:rsidRPr="00AB0BB0">
              <w:rPr>
                <w:rFonts w:ascii="Arial Narrow" w:hAnsi="Arial Narrow" w:cs="Calibri"/>
                <w:spacing w:val="-1"/>
                <w:sz w:val="20"/>
                <w:szCs w:val="20"/>
              </w:rPr>
              <w:t xml:space="preserve">Week 8   EZ +SIM 40 </w:t>
            </w:r>
          </w:p>
          <w:p w14:paraId="1D079D65" w14:textId="2B456535"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t>
            </w:r>
          </w:p>
          <w:p w14:paraId="0B00E0EC" w14:textId="77777777" w:rsidR="00786356" w:rsidRPr="00AB0BB0" w:rsidRDefault="00786356" w:rsidP="00786356">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2DE935"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45874F7"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BC1867E" w14:textId="708BF1FB"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77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3CF2A9C"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7DA28965"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0A515190" w14:textId="5F7DE904"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5.22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612C12"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7C92320B"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rPr>
            </w:pPr>
          </w:p>
          <w:p w14:paraId="0F96C257"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25AA3E47"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2.43</w:t>
            </w:r>
          </w:p>
          <w:p w14:paraId="6CB2C738" w14:textId="0F23E5E4" w:rsidR="00786356" w:rsidRPr="00AB0BB0" w:rsidRDefault="00786356" w:rsidP="00786356">
            <w:pPr>
              <w:kinsoku w:val="0"/>
              <w:overflowPunct w:val="0"/>
              <w:autoSpaceDE w:val="0"/>
              <w:autoSpaceDN w:val="0"/>
              <w:adjustRightInd w:val="0"/>
              <w:spacing w:after="0" w:line="240" w:lineRule="auto"/>
              <w:ind w:right="1"/>
              <w:jc w:val="center"/>
              <w:rPr>
                <w:rFonts w:ascii="Arial Narrow" w:hAnsi="Arial Narrow" w:cs="Calibri"/>
                <w:sz w:val="20"/>
                <w:szCs w:val="20"/>
              </w:rPr>
            </w:pPr>
            <w:r w:rsidRPr="00AB0BB0">
              <w:rPr>
                <w:rFonts w:ascii="Arial Narrow" w:hAnsi="Arial Narrow" w:cs="Calibri"/>
                <w:sz w:val="20"/>
                <w:szCs w:val="20"/>
              </w:rPr>
              <w:t>2.22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F3702DD" w14:textId="77777777"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3DE57D44" w14:textId="77777777" w:rsidR="00786356" w:rsidRPr="00AB0BB0" w:rsidRDefault="00786356" w:rsidP="000A080E">
            <w:pPr>
              <w:kinsoku w:val="0"/>
              <w:overflowPunct w:val="0"/>
              <w:autoSpaceDE w:val="0"/>
              <w:autoSpaceDN w:val="0"/>
              <w:adjustRightInd w:val="0"/>
              <w:spacing w:after="0" w:line="240" w:lineRule="auto"/>
              <w:jc w:val="center"/>
              <w:rPr>
                <w:rFonts w:ascii="Arial Narrow" w:hAnsi="Arial Narrow" w:cs="Calibri"/>
                <w:sz w:val="20"/>
                <w:szCs w:val="20"/>
              </w:rPr>
            </w:pPr>
          </w:p>
          <w:p w14:paraId="28037677" w14:textId="77777777"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27E48820" w14:textId="77777777"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−50 (−53, −47)</w:t>
            </w:r>
          </w:p>
          <w:p w14:paraId="21919B3E" w14:textId="054705C0"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−53 (−57, −50)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0035F91" w14:textId="77777777" w:rsidR="00786356" w:rsidRPr="00AB0BB0" w:rsidRDefault="00786356" w:rsidP="000A080E">
            <w:pPr>
              <w:kinsoku w:val="0"/>
              <w:overflowPunct w:val="0"/>
              <w:autoSpaceDE w:val="0"/>
              <w:autoSpaceDN w:val="0"/>
              <w:adjustRightInd w:val="0"/>
              <w:spacing w:after="0" w:line="240" w:lineRule="auto"/>
              <w:jc w:val="center"/>
              <w:rPr>
                <w:rFonts w:ascii="Arial Narrow" w:hAnsi="Arial Narrow" w:cs="Calibri"/>
                <w:sz w:val="20"/>
                <w:szCs w:val="20"/>
              </w:rPr>
            </w:pPr>
          </w:p>
          <w:p w14:paraId="4C76320A" w14:textId="77777777"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6D6A86EB" w14:textId="77777777"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2AC6C4AE" w14:textId="77777777"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−53 (−56, −50)</w:t>
            </w:r>
          </w:p>
          <w:p w14:paraId="69FD6294" w14:textId="08779995"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−57 (−61, −54)</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3B60676" w14:textId="77777777" w:rsidR="00786356" w:rsidRPr="00AB0BB0" w:rsidRDefault="00786356" w:rsidP="00786356">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3DA3B62B"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z w:val="20"/>
                <w:szCs w:val="20"/>
              </w:rPr>
            </w:pPr>
          </w:p>
          <w:p w14:paraId="4C905FDE" w14:textId="77777777" w:rsidR="00786356" w:rsidRPr="00AB0BB0" w:rsidRDefault="00786356" w:rsidP="00786356">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59BAB617" w14:textId="70F544AC" w:rsidR="00786356" w:rsidRPr="00AB0BB0" w:rsidRDefault="00786356" w:rsidP="00786356">
            <w:pPr>
              <w:kinsoku w:val="0"/>
              <w:overflowPunct w:val="0"/>
              <w:autoSpaceDE w:val="0"/>
              <w:autoSpaceDN w:val="0"/>
              <w:adjustRightInd w:val="0"/>
              <w:spacing w:after="0" w:line="240" w:lineRule="auto"/>
              <w:ind w:left="142"/>
              <w:rPr>
                <w:rFonts w:ascii="Arial Narrow" w:hAnsi="Arial Narrow" w:cs="Calibri"/>
                <w:sz w:val="20"/>
                <w:szCs w:val="20"/>
              </w:rPr>
            </w:pPr>
            <w:r w:rsidRPr="00AB0BB0">
              <w:rPr>
                <w:rFonts w:ascii="Arial Narrow" w:hAnsi="Arial Narrow" w:cs="Calibri"/>
                <w:sz w:val="20"/>
                <w:szCs w:val="20"/>
              </w:rPr>
              <w:t xml:space="preserve">      -3 (NR) p=.105</w:t>
            </w:r>
          </w:p>
          <w:p w14:paraId="38BBA56D" w14:textId="0734032A"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-4 (NR) p=0.09</w:t>
            </w:r>
          </w:p>
        </w:tc>
      </w:tr>
      <w:tr w:rsidR="00C679AF" w:rsidRPr="00AB0BB0" w14:paraId="70822A7A" w14:textId="77777777" w:rsidTr="00DA1E76">
        <w:trPr>
          <w:trHeight w:hRule="exact" w:val="461"/>
        </w:trPr>
        <w:tc>
          <w:tcPr>
            <w:tcW w:w="15451" w:type="dxa"/>
            <w:gridSpan w:val="11"/>
            <w:tcBorders>
              <w:top w:val="single" w:sz="4" w:space="0" w:color="000000"/>
              <w:left w:val="single" w:sz="4" w:space="0" w:color="000000"/>
              <w:bottom w:val="single" w:sz="4" w:space="0" w:color="000000"/>
              <w:right w:val="single" w:sz="4" w:space="0" w:color="000000"/>
            </w:tcBorders>
            <w:vAlign w:val="center"/>
          </w:tcPr>
          <w:p w14:paraId="6939FBEA" w14:textId="70AB5132" w:rsidR="00786356" w:rsidRPr="00AB0BB0" w:rsidRDefault="00786356" w:rsidP="00786356">
            <w:pPr>
              <w:kinsoku w:val="0"/>
              <w:overflowPunct w:val="0"/>
              <w:autoSpaceDE w:val="0"/>
              <w:autoSpaceDN w:val="0"/>
              <w:adjustRightInd w:val="0"/>
              <w:spacing w:after="0" w:line="240" w:lineRule="auto"/>
              <w:ind w:firstLine="2"/>
              <w:jc w:val="center"/>
              <w:rPr>
                <w:rFonts w:ascii="Arial Narrow" w:hAnsi="Arial Narrow" w:cs="Calibri"/>
                <w:sz w:val="20"/>
                <w:szCs w:val="20"/>
              </w:rPr>
            </w:pPr>
            <w:r w:rsidRPr="00AB0BB0">
              <w:rPr>
                <w:rFonts w:ascii="Arial Narrow" w:hAnsi="Arial Narrow" w:cs="Calibri"/>
                <w:b/>
                <w:spacing w:val="-1"/>
                <w:sz w:val="20"/>
                <w:szCs w:val="20"/>
              </w:rPr>
              <w:t>Fixed dose of statin +ezetimibe vs up-titrating the dose of statin</w:t>
            </w:r>
            <w:r w:rsidR="007A671C" w:rsidRPr="00AB0BB0">
              <w:rPr>
                <w:rFonts w:ascii="Arial Narrow" w:hAnsi="Arial Narrow" w:cs="Calibri"/>
                <w:b/>
                <w:spacing w:val="-1"/>
                <w:sz w:val="20"/>
                <w:szCs w:val="20"/>
              </w:rPr>
              <w:t xml:space="preserve"> </w:t>
            </w:r>
          </w:p>
        </w:tc>
      </w:tr>
      <w:tr w:rsidR="00C679AF" w:rsidRPr="00AB0BB0" w14:paraId="685943BB" w14:textId="77777777" w:rsidTr="00076854">
        <w:trPr>
          <w:trHeight w:hRule="exact" w:val="291"/>
        </w:trPr>
        <w:tc>
          <w:tcPr>
            <w:tcW w:w="15451" w:type="dxa"/>
            <w:gridSpan w:val="11"/>
            <w:tcBorders>
              <w:top w:val="single" w:sz="4" w:space="0" w:color="000000"/>
              <w:left w:val="single" w:sz="4" w:space="0" w:color="000000"/>
              <w:bottom w:val="single" w:sz="4" w:space="0" w:color="000000"/>
              <w:right w:val="single" w:sz="4" w:space="0" w:color="000000"/>
            </w:tcBorders>
          </w:tcPr>
          <w:p w14:paraId="31D23573" w14:textId="3490D1BF" w:rsidR="00786356" w:rsidRPr="00AB0BB0" w:rsidRDefault="00786356" w:rsidP="00786356">
            <w:pPr>
              <w:kinsoku w:val="0"/>
              <w:overflowPunct w:val="0"/>
              <w:autoSpaceDE w:val="0"/>
              <w:autoSpaceDN w:val="0"/>
              <w:adjustRightInd w:val="0"/>
              <w:spacing w:after="0" w:line="240" w:lineRule="auto"/>
              <w:ind w:left="-2" w:firstLine="2"/>
              <w:jc w:val="center"/>
              <w:rPr>
                <w:rFonts w:ascii="Arial Narrow" w:hAnsi="Arial Narrow" w:cs="Calibri"/>
                <w:sz w:val="20"/>
                <w:szCs w:val="20"/>
              </w:rPr>
            </w:pPr>
            <w:r w:rsidRPr="00AB0BB0">
              <w:rPr>
                <w:rFonts w:ascii="Arial Narrow" w:hAnsi="Arial Narrow" w:cs="Calibri"/>
                <w:i/>
                <w:sz w:val="20"/>
                <w:szCs w:val="20"/>
              </w:rPr>
              <w:t>Primary prevention population</w:t>
            </w:r>
          </w:p>
        </w:tc>
      </w:tr>
      <w:tr w:rsidR="00C679AF" w:rsidRPr="00AB0BB0" w14:paraId="22E7BAFD" w14:textId="77777777" w:rsidTr="000A080E">
        <w:trPr>
          <w:trHeight w:hRule="exact" w:val="848"/>
        </w:trPr>
        <w:tc>
          <w:tcPr>
            <w:tcW w:w="2127" w:type="dxa"/>
            <w:tcBorders>
              <w:top w:val="single" w:sz="4" w:space="0" w:color="000000"/>
              <w:left w:val="single" w:sz="4" w:space="0" w:color="000000"/>
              <w:bottom w:val="single" w:sz="4" w:space="0" w:color="000000"/>
              <w:right w:val="single" w:sz="4" w:space="0" w:color="000000"/>
            </w:tcBorders>
          </w:tcPr>
          <w:p w14:paraId="42F42D99" w14:textId="3BFCB41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Teramoto 2012</w:t>
            </w:r>
            <w:r w:rsidR="009B00F2" w:rsidRPr="00AB0BB0">
              <w:rPr>
                <w:rFonts w:ascii="Arial Narrow" w:hAnsi="Arial Narrow" w:cs="Calibri"/>
                <w:spacing w:val="-1"/>
                <w:sz w:val="20"/>
                <w:szCs w:val="20"/>
                <w:vertAlign w:val="superscript"/>
              </w:rPr>
              <w:t>1</w:t>
            </w:r>
          </w:p>
          <w:p w14:paraId="2C860C14" w14:textId="77777777" w:rsidR="00786356" w:rsidRPr="00AB0BB0" w:rsidRDefault="00786356" w:rsidP="00786356">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16"/>
                <w:szCs w:val="16"/>
              </w:rPr>
              <w:t xml:space="preserve">   ATOR 10 (run in)</w:t>
            </w:r>
          </w:p>
          <w:p w14:paraId="2D8A33FB" w14:textId="7777777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ATOR 20</w:t>
            </w:r>
          </w:p>
          <w:p w14:paraId="18E5578B" w14:textId="77777777" w:rsidR="00786356" w:rsidRPr="00AB0BB0" w:rsidRDefault="00786356" w:rsidP="0019135F">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15C3EC5" w14:textId="29F9006C"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46</w:t>
            </w:r>
          </w:p>
        </w:tc>
        <w:tc>
          <w:tcPr>
            <w:tcW w:w="851" w:type="dxa"/>
            <w:tcBorders>
              <w:top w:val="single" w:sz="4" w:space="0" w:color="000000"/>
              <w:left w:val="single" w:sz="4" w:space="0" w:color="000000"/>
              <w:bottom w:val="single" w:sz="4" w:space="0" w:color="000000"/>
              <w:right w:val="single" w:sz="4" w:space="0" w:color="000000"/>
            </w:tcBorders>
            <w:vAlign w:val="center"/>
          </w:tcPr>
          <w:p w14:paraId="3AE0EC26" w14:textId="5091F9B6" w:rsidR="00786356" w:rsidRPr="00AB0BB0" w:rsidRDefault="00786356" w:rsidP="00786356">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5.54</w:t>
            </w:r>
          </w:p>
        </w:tc>
        <w:tc>
          <w:tcPr>
            <w:tcW w:w="850" w:type="dxa"/>
            <w:tcBorders>
              <w:top w:val="single" w:sz="4" w:space="0" w:color="000000"/>
              <w:left w:val="single" w:sz="4" w:space="0" w:color="000000"/>
              <w:bottom w:val="single" w:sz="4" w:space="0" w:color="000000"/>
              <w:right w:val="single" w:sz="4" w:space="0" w:color="000000"/>
            </w:tcBorders>
            <w:vAlign w:val="center"/>
          </w:tcPr>
          <w:p w14:paraId="61D04CD0" w14:textId="0B25AA1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0F1FADB1" w14:textId="3EFAE835" w:rsidR="00786356" w:rsidRPr="00AB0BB0" w:rsidRDefault="00786356" w:rsidP="007439F4">
            <w:pPr>
              <w:kinsoku w:val="0"/>
              <w:overflowPunct w:val="0"/>
              <w:autoSpaceDE w:val="0"/>
              <w:autoSpaceDN w:val="0"/>
              <w:adjustRightInd w:val="0"/>
              <w:spacing w:after="0" w:line="240" w:lineRule="auto"/>
              <w:ind w:left="14"/>
              <w:jc w:val="center"/>
              <w:rPr>
                <w:rFonts w:ascii="Arial Narrow" w:hAnsi="Arial Narrow" w:cs="Calibri"/>
                <w:spacing w:val="-1"/>
                <w:sz w:val="20"/>
                <w:szCs w:val="20"/>
              </w:rPr>
            </w:pPr>
            <w:r w:rsidRPr="00AB0BB0">
              <w:rPr>
                <w:rFonts w:ascii="Arial Narrow" w:hAnsi="Arial Narrow" w:cs="Calibri"/>
                <w:spacing w:val="-1"/>
                <w:sz w:val="20"/>
                <w:szCs w:val="20"/>
              </w:rPr>
              <w:t>EZ+ATOR 10</w:t>
            </w:r>
          </w:p>
        </w:tc>
        <w:tc>
          <w:tcPr>
            <w:tcW w:w="992" w:type="dxa"/>
            <w:tcBorders>
              <w:top w:val="single" w:sz="4" w:space="0" w:color="000000"/>
              <w:left w:val="single" w:sz="4" w:space="0" w:color="000000"/>
              <w:bottom w:val="single" w:sz="4" w:space="0" w:color="000000"/>
              <w:right w:val="single" w:sz="4" w:space="0" w:color="000000"/>
            </w:tcBorders>
            <w:vAlign w:val="center"/>
          </w:tcPr>
          <w:p w14:paraId="4D5728E1" w14:textId="3AAB0768" w:rsidR="00786356" w:rsidRPr="00AB0BB0" w:rsidRDefault="00786356" w:rsidP="00786356">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47</w:t>
            </w:r>
          </w:p>
        </w:tc>
        <w:tc>
          <w:tcPr>
            <w:tcW w:w="851" w:type="dxa"/>
            <w:tcBorders>
              <w:top w:val="single" w:sz="4" w:space="0" w:color="000000"/>
              <w:left w:val="single" w:sz="4" w:space="0" w:color="000000"/>
              <w:bottom w:val="single" w:sz="4" w:space="0" w:color="000000"/>
              <w:right w:val="single" w:sz="4" w:space="0" w:color="000000"/>
            </w:tcBorders>
            <w:vAlign w:val="center"/>
          </w:tcPr>
          <w:p w14:paraId="23C827D1" w14:textId="4E47E591" w:rsidR="00786356" w:rsidRPr="00AB0BB0" w:rsidRDefault="00786356" w:rsidP="00786356">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5.54</w:t>
            </w:r>
          </w:p>
        </w:tc>
        <w:tc>
          <w:tcPr>
            <w:tcW w:w="850" w:type="dxa"/>
            <w:tcBorders>
              <w:top w:val="single" w:sz="4" w:space="0" w:color="000000"/>
              <w:left w:val="single" w:sz="4" w:space="0" w:color="000000"/>
              <w:bottom w:val="single" w:sz="4" w:space="0" w:color="000000"/>
              <w:right w:val="single" w:sz="4" w:space="0" w:color="000000"/>
            </w:tcBorders>
            <w:vAlign w:val="center"/>
          </w:tcPr>
          <w:p w14:paraId="50AC3BDD" w14:textId="373EBBC6"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7CF0F280" w14:textId="77777777"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7A817D4D" w14:textId="7CB67B6F"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-15.1 (-18.6,-11.7)</w:t>
            </w:r>
          </w:p>
        </w:tc>
        <w:tc>
          <w:tcPr>
            <w:tcW w:w="1842" w:type="dxa"/>
            <w:tcBorders>
              <w:top w:val="single" w:sz="4" w:space="0" w:color="000000"/>
              <w:left w:val="single" w:sz="4" w:space="0" w:color="000000"/>
              <w:bottom w:val="single" w:sz="4" w:space="0" w:color="000000"/>
              <w:right w:val="single" w:sz="4" w:space="0" w:color="000000"/>
            </w:tcBorders>
          </w:tcPr>
          <w:p w14:paraId="429400CD" w14:textId="77777777"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54B0E204" w14:textId="7FAA4FBA"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-25.8(-29.2,-22.4)</w:t>
            </w:r>
          </w:p>
        </w:tc>
        <w:tc>
          <w:tcPr>
            <w:tcW w:w="1986" w:type="dxa"/>
            <w:tcBorders>
              <w:top w:val="single" w:sz="4" w:space="0" w:color="000000"/>
              <w:left w:val="single" w:sz="4" w:space="0" w:color="000000"/>
              <w:bottom w:val="single" w:sz="4" w:space="0" w:color="000000"/>
              <w:right w:val="single" w:sz="4" w:space="0" w:color="000000"/>
            </w:tcBorders>
          </w:tcPr>
          <w:p w14:paraId="42EF8C51" w14:textId="636D879B" w:rsidR="00786356" w:rsidRPr="00AB0BB0" w:rsidRDefault="00786356" w:rsidP="000A080E">
            <w:pPr>
              <w:kinsoku w:val="0"/>
              <w:overflowPunct w:val="0"/>
              <w:autoSpaceDE w:val="0"/>
              <w:autoSpaceDN w:val="0"/>
              <w:adjustRightInd w:val="0"/>
              <w:spacing w:after="0" w:line="240" w:lineRule="auto"/>
              <w:ind w:left="-2" w:firstLine="2"/>
              <w:jc w:val="center"/>
              <w:rPr>
                <w:rFonts w:ascii="Arial Narrow" w:hAnsi="Arial Narrow" w:cs="Calibri"/>
                <w:sz w:val="20"/>
                <w:szCs w:val="20"/>
              </w:rPr>
            </w:pPr>
          </w:p>
          <w:p w14:paraId="20DB94CA" w14:textId="3DFD2FC4" w:rsidR="00786356" w:rsidRPr="00AB0BB0" w:rsidRDefault="00786356" w:rsidP="000A080E">
            <w:pPr>
              <w:kinsoku w:val="0"/>
              <w:overflowPunct w:val="0"/>
              <w:autoSpaceDE w:val="0"/>
              <w:autoSpaceDN w:val="0"/>
              <w:adjustRightInd w:val="0"/>
              <w:spacing w:after="0" w:line="240" w:lineRule="auto"/>
              <w:ind w:left="-2" w:firstLine="2"/>
              <w:jc w:val="center"/>
              <w:rPr>
                <w:rFonts w:ascii="Arial Narrow" w:hAnsi="Arial Narrow" w:cs="Calibri"/>
                <w:sz w:val="20"/>
                <w:szCs w:val="20"/>
              </w:rPr>
            </w:pPr>
            <w:r w:rsidRPr="00AB0BB0">
              <w:rPr>
                <w:rFonts w:ascii="Arial Narrow" w:hAnsi="Arial Narrow" w:cs="Calibri"/>
                <w:sz w:val="20"/>
                <w:szCs w:val="20"/>
              </w:rPr>
              <w:t>-10.6(-15.4,-5.8)</w:t>
            </w:r>
            <w:r w:rsidR="005C57C1" w:rsidRPr="00AB0BB0">
              <w:rPr>
                <w:rFonts w:ascii="Arial Narrow" w:hAnsi="Arial Narrow" w:cs="Calibri"/>
                <w:spacing w:val="-1"/>
                <w:sz w:val="20"/>
                <w:szCs w:val="20"/>
              </w:rPr>
              <w:t>***</w:t>
            </w:r>
          </w:p>
        </w:tc>
      </w:tr>
      <w:tr w:rsidR="00C679AF" w:rsidRPr="00AB0BB0" w14:paraId="2219FD59" w14:textId="77777777" w:rsidTr="007439F4">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59623DA0" w14:textId="7777777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P079 Conard 2008</w:t>
            </w:r>
            <w:r w:rsidRPr="00AB0BB0">
              <w:rPr>
                <w:rFonts w:ascii="Arial Narrow" w:hAnsi="Arial Narrow" w:cs="Calibri"/>
                <w:spacing w:val="-1"/>
                <w:sz w:val="20"/>
                <w:szCs w:val="20"/>
                <w:vertAlign w:val="superscript"/>
              </w:rPr>
              <w:t>2</w:t>
            </w:r>
          </w:p>
          <w:p w14:paraId="28E30BE0" w14:textId="7777777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16"/>
                <w:szCs w:val="16"/>
              </w:rPr>
            </w:pPr>
            <w:r w:rsidRPr="00AB0BB0">
              <w:rPr>
                <w:rFonts w:ascii="Arial Narrow" w:hAnsi="Arial Narrow" w:cs="Calibri"/>
                <w:spacing w:val="-1"/>
                <w:sz w:val="16"/>
                <w:szCs w:val="16"/>
              </w:rPr>
              <w:t>ATOR 20 (run in)</w:t>
            </w:r>
          </w:p>
          <w:p w14:paraId="294B67AB" w14:textId="7777777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ATOR 40</w:t>
            </w:r>
          </w:p>
          <w:p w14:paraId="5B845BA2" w14:textId="77777777" w:rsidR="00786356" w:rsidRPr="00AB0BB0" w:rsidRDefault="00786356" w:rsidP="00786356">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C247CC7" w14:textId="77777777"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3ED39FC8" w14:textId="77777777"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7FBC4604" w14:textId="57A58C0E" w:rsidR="00786356" w:rsidRPr="00AB0BB0" w:rsidRDefault="00786356" w:rsidP="00786356">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98^</w:t>
            </w:r>
          </w:p>
        </w:tc>
        <w:tc>
          <w:tcPr>
            <w:tcW w:w="851" w:type="dxa"/>
            <w:tcBorders>
              <w:top w:val="single" w:sz="4" w:space="0" w:color="000000"/>
              <w:left w:val="single" w:sz="4" w:space="0" w:color="000000"/>
              <w:bottom w:val="single" w:sz="4" w:space="0" w:color="000000"/>
              <w:right w:val="single" w:sz="4" w:space="0" w:color="000000"/>
            </w:tcBorders>
          </w:tcPr>
          <w:p w14:paraId="04FACB1C" w14:textId="77777777" w:rsidR="00786356" w:rsidRPr="00AB0BB0" w:rsidRDefault="00786356" w:rsidP="00786356">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244E925E" w14:textId="77777777" w:rsidR="00786356" w:rsidRPr="00AB0BB0" w:rsidRDefault="00786356" w:rsidP="00786356">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74D7046E" w14:textId="7551E587" w:rsidR="00786356" w:rsidRPr="00AB0BB0" w:rsidRDefault="00786356" w:rsidP="00786356">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3.05</w:t>
            </w:r>
          </w:p>
        </w:tc>
        <w:tc>
          <w:tcPr>
            <w:tcW w:w="850" w:type="dxa"/>
            <w:tcBorders>
              <w:top w:val="single" w:sz="4" w:space="0" w:color="000000"/>
              <w:left w:val="single" w:sz="4" w:space="0" w:color="000000"/>
              <w:bottom w:val="single" w:sz="4" w:space="0" w:color="000000"/>
              <w:right w:val="single" w:sz="4" w:space="0" w:color="000000"/>
            </w:tcBorders>
          </w:tcPr>
          <w:p w14:paraId="61DF73E3"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546DB171"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77D1EF43" w14:textId="0F3D1E0F"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36B6EF68" w14:textId="77777777" w:rsidR="00786356" w:rsidRPr="00AB0BB0" w:rsidRDefault="00786356" w:rsidP="007439F4">
            <w:pPr>
              <w:kinsoku w:val="0"/>
              <w:overflowPunct w:val="0"/>
              <w:autoSpaceDE w:val="0"/>
              <w:autoSpaceDN w:val="0"/>
              <w:adjustRightInd w:val="0"/>
              <w:spacing w:after="0" w:line="240" w:lineRule="auto"/>
              <w:ind w:right="142"/>
              <w:jc w:val="center"/>
              <w:rPr>
                <w:rFonts w:ascii="Arial Narrow" w:hAnsi="Arial Narrow" w:cs="Calibri"/>
                <w:spacing w:val="-1"/>
                <w:sz w:val="20"/>
                <w:szCs w:val="20"/>
              </w:rPr>
            </w:pPr>
          </w:p>
          <w:p w14:paraId="230B26F9" w14:textId="6B003BB8" w:rsidR="00786356" w:rsidRPr="00AB0BB0" w:rsidRDefault="007439F4" w:rsidP="007439F4">
            <w:pPr>
              <w:kinsoku w:val="0"/>
              <w:overflowPunct w:val="0"/>
              <w:autoSpaceDE w:val="0"/>
              <w:autoSpaceDN w:val="0"/>
              <w:adjustRightInd w:val="0"/>
              <w:spacing w:after="0" w:line="240" w:lineRule="auto"/>
              <w:ind w:left="14"/>
              <w:jc w:val="center"/>
              <w:rPr>
                <w:rFonts w:ascii="Arial Narrow" w:hAnsi="Arial Narrow" w:cs="Calibri"/>
                <w:spacing w:val="-1"/>
                <w:sz w:val="20"/>
                <w:szCs w:val="20"/>
              </w:rPr>
            </w:pPr>
            <w:r w:rsidRPr="00AB0BB0">
              <w:rPr>
                <w:rFonts w:ascii="Arial Narrow" w:hAnsi="Arial Narrow" w:cs="Calibri"/>
                <w:spacing w:val="-1"/>
                <w:sz w:val="20"/>
                <w:szCs w:val="20"/>
              </w:rPr>
              <w:t>EZ+ATOR 20</w:t>
            </w:r>
          </w:p>
          <w:p w14:paraId="4BD4CE8E" w14:textId="3D3D129F" w:rsidR="00786356" w:rsidRPr="00AB0BB0" w:rsidRDefault="00786356" w:rsidP="007439F4">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5FD9D10" w14:textId="77777777" w:rsidR="00786356" w:rsidRPr="00AB0BB0" w:rsidRDefault="00786356" w:rsidP="00786356">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p w14:paraId="6D7F25E2" w14:textId="77777777" w:rsidR="00786356" w:rsidRPr="00AB0BB0" w:rsidRDefault="00786356" w:rsidP="00786356">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p w14:paraId="3E05091C" w14:textId="41DD3C59" w:rsidR="00786356" w:rsidRPr="00AB0BB0" w:rsidRDefault="00786356" w:rsidP="00786356">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98^</w:t>
            </w:r>
          </w:p>
        </w:tc>
        <w:tc>
          <w:tcPr>
            <w:tcW w:w="851" w:type="dxa"/>
            <w:tcBorders>
              <w:top w:val="single" w:sz="4" w:space="0" w:color="000000"/>
              <w:left w:val="single" w:sz="4" w:space="0" w:color="000000"/>
              <w:bottom w:val="single" w:sz="4" w:space="0" w:color="000000"/>
              <w:right w:val="single" w:sz="4" w:space="0" w:color="000000"/>
            </w:tcBorders>
          </w:tcPr>
          <w:p w14:paraId="5F60F5E0" w14:textId="77777777" w:rsidR="00786356" w:rsidRPr="00AB0BB0" w:rsidRDefault="00786356" w:rsidP="00786356">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25C58086" w14:textId="77777777" w:rsidR="00786356" w:rsidRPr="00AB0BB0" w:rsidRDefault="00786356" w:rsidP="00786356">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623B43BF" w14:textId="24E0489B" w:rsidR="00786356" w:rsidRPr="00AB0BB0" w:rsidRDefault="00786356" w:rsidP="00786356">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3.1</w:t>
            </w:r>
          </w:p>
        </w:tc>
        <w:tc>
          <w:tcPr>
            <w:tcW w:w="850" w:type="dxa"/>
            <w:tcBorders>
              <w:top w:val="single" w:sz="4" w:space="0" w:color="000000"/>
              <w:left w:val="single" w:sz="4" w:space="0" w:color="000000"/>
              <w:bottom w:val="single" w:sz="4" w:space="0" w:color="000000"/>
              <w:right w:val="single" w:sz="4" w:space="0" w:color="000000"/>
            </w:tcBorders>
          </w:tcPr>
          <w:p w14:paraId="4B4E376D"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12B137A1" w14:textId="77777777"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p>
          <w:p w14:paraId="16A2E8A8" w14:textId="33AFC599" w:rsidR="00786356" w:rsidRPr="00AB0BB0" w:rsidRDefault="00786356" w:rsidP="00786356">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793C5B91" w14:textId="77777777"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1B91B37A" w14:textId="77777777"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02C42896" w14:textId="67E290CB" w:rsidR="00786356" w:rsidRPr="00AB0BB0" w:rsidRDefault="00786356" w:rsidP="000A080E">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hint="eastAsia"/>
                <w:sz w:val="20"/>
                <w:szCs w:val="20"/>
              </w:rPr>
              <w:t>-</w:t>
            </w:r>
            <w:r w:rsidRPr="00AB0BB0">
              <w:rPr>
                <w:rFonts w:ascii="Arial Narrow" w:hAnsi="Arial Narrow" w:cs="Calibri"/>
                <w:sz w:val="20"/>
                <w:szCs w:val="20"/>
              </w:rPr>
              <w:t>11 (</w:t>
            </w:r>
            <w:r w:rsidRPr="00AB0BB0">
              <w:rPr>
                <w:rFonts w:ascii="Arial Narrow" w:hAnsi="Arial Narrow" w:cs="Calibri" w:hint="eastAsia"/>
                <w:sz w:val="20"/>
                <w:szCs w:val="20"/>
              </w:rPr>
              <w:t>-</w:t>
            </w:r>
            <w:r w:rsidRPr="00AB0BB0">
              <w:rPr>
                <w:rFonts w:ascii="Arial Narrow" w:hAnsi="Arial Narrow" w:cs="Calibri"/>
                <w:sz w:val="20"/>
                <w:szCs w:val="20"/>
              </w:rPr>
              <w:t>15, -7)</w:t>
            </w:r>
          </w:p>
        </w:tc>
        <w:tc>
          <w:tcPr>
            <w:tcW w:w="1842" w:type="dxa"/>
            <w:tcBorders>
              <w:top w:val="single" w:sz="4" w:space="0" w:color="000000"/>
              <w:left w:val="single" w:sz="4" w:space="0" w:color="000000"/>
              <w:bottom w:val="single" w:sz="4" w:space="0" w:color="000000"/>
              <w:right w:val="single" w:sz="4" w:space="0" w:color="000000"/>
            </w:tcBorders>
          </w:tcPr>
          <w:p w14:paraId="54F87E3A" w14:textId="77777777" w:rsidR="00786356" w:rsidRPr="00AB0BB0" w:rsidRDefault="00786356" w:rsidP="000A080E">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5C0F485E" w14:textId="77777777" w:rsidR="00786356" w:rsidRPr="00AB0BB0" w:rsidRDefault="00786356" w:rsidP="000A080E">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3A55B4C5" w14:textId="3B741747" w:rsidR="00786356" w:rsidRPr="00AB0BB0" w:rsidRDefault="00786356" w:rsidP="000A080E">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hint="eastAsia"/>
                <w:sz w:val="20"/>
                <w:szCs w:val="20"/>
              </w:rPr>
              <w:t>-31 (-35, -27)</w:t>
            </w:r>
          </w:p>
        </w:tc>
        <w:tc>
          <w:tcPr>
            <w:tcW w:w="1986" w:type="dxa"/>
            <w:tcBorders>
              <w:top w:val="single" w:sz="4" w:space="0" w:color="000000"/>
              <w:left w:val="single" w:sz="4" w:space="0" w:color="000000"/>
              <w:bottom w:val="single" w:sz="4" w:space="0" w:color="000000"/>
              <w:right w:val="single" w:sz="4" w:space="0" w:color="000000"/>
            </w:tcBorders>
          </w:tcPr>
          <w:p w14:paraId="3C12F148" w14:textId="77777777" w:rsidR="00786356" w:rsidRPr="00AB0BB0" w:rsidRDefault="00786356" w:rsidP="000A080E">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3DBF2109" w14:textId="77777777" w:rsidR="00786356" w:rsidRPr="00AB0BB0" w:rsidRDefault="00786356" w:rsidP="000A080E">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0504BED7" w14:textId="6F98AE98" w:rsidR="00786356" w:rsidRPr="00AB0BB0" w:rsidRDefault="00786356" w:rsidP="000A080E">
            <w:pPr>
              <w:kinsoku w:val="0"/>
              <w:overflowPunct w:val="0"/>
              <w:autoSpaceDE w:val="0"/>
              <w:autoSpaceDN w:val="0"/>
              <w:adjustRightInd w:val="0"/>
              <w:spacing w:after="0" w:line="240" w:lineRule="auto"/>
              <w:ind w:left="-2" w:firstLine="2"/>
              <w:jc w:val="center"/>
              <w:rPr>
                <w:rFonts w:ascii="Arial Narrow" w:hAnsi="Arial Narrow" w:cs="Calibri"/>
                <w:sz w:val="20"/>
                <w:szCs w:val="20"/>
              </w:rPr>
            </w:pPr>
            <w:r w:rsidRPr="00AB0BB0">
              <w:rPr>
                <w:rFonts w:ascii="Arial Narrow" w:hAnsi="Arial Narrow" w:cs="Calibri" w:hint="eastAsia"/>
                <w:sz w:val="20"/>
                <w:szCs w:val="20"/>
              </w:rPr>
              <w:t></w:t>
            </w:r>
            <w:r w:rsidRPr="00AB0BB0">
              <w:rPr>
                <w:rFonts w:ascii="Arial Narrow" w:hAnsi="Arial Narrow" w:cs="Calibri" w:hint="eastAsia"/>
                <w:sz w:val="20"/>
                <w:szCs w:val="20"/>
              </w:rPr>
              <w:t>-20 (-25, -15)</w:t>
            </w:r>
            <w:r w:rsidR="005C57C1" w:rsidRPr="00AB0BB0">
              <w:rPr>
                <w:rFonts w:ascii="Arial Narrow" w:hAnsi="Arial Narrow" w:cs="Calibri"/>
                <w:spacing w:val="-1"/>
                <w:sz w:val="20"/>
                <w:szCs w:val="20"/>
              </w:rPr>
              <w:t>***</w:t>
            </w:r>
          </w:p>
        </w:tc>
      </w:tr>
      <w:tr w:rsidR="00C679AF" w:rsidRPr="00AB0BB0" w14:paraId="3AA6F4C7" w14:textId="77777777" w:rsidTr="007439F4">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3C990F8D" w14:textId="77777777" w:rsidR="007A671C" w:rsidRPr="00AB0BB0" w:rsidRDefault="007A671C" w:rsidP="007A671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Lee 2013</w:t>
            </w:r>
            <w:r w:rsidRPr="00AB0BB0">
              <w:rPr>
                <w:rFonts w:ascii="Arial Narrow" w:hAnsi="Arial Narrow" w:cs="Calibri"/>
                <w:spacing w:val="-1"/>
                <w:sz w:val="20"/>
                <w:szCs w:val="20"/>
                <w:vertAlign w:val="superscript"/>
              </w:rPr>
              <w:t>1</w:t>
            </w:r>
            <w:r w:rsidRPr="00AB0BB0">
              <w:rPr>
                <w:rFonts w:ascii="Arial Narrow" w:hAnsi="Arial Narrow" w:cs="Calibri"/>
                <w:spacing w:val="-1"/>
                <w:sz w:val="20"/>
                <w:szCs w:val="20"/>
              </w:rPr>
              <w:t xml:space="preserve"> </w:t>
            </w:r>
          </w:p>
          <w:p w14:paraId="592DDE7D" w14:textId="56F659D4" w:rsidR="007A671C" w:rsidRPr="00AB0BB0" w:rsidRDefault="007A671C" w:rsidP="007A671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ATOR 20</w:t>
            </w:r>
          </w:p>
        </w:tc>
        <w:tc>
          <w:tcPr>
            <w:tcW w:w="992" w:type="dxa"/>
            <w:tcBorders>
              <w:top w:val="single" w:sz="4" w:space="0" w:color="000000"/>
              <w:left w:val="single" w:sz="4" w:space="0" w:color="000000"/>
              <w:bottom w:val="single" w:sz="4" w:space="0" w:color="000000"/>
              <w:right w:val="single" w:sz="4" w:space="0" w:color="000000"/>
            </w:tcBorders>
          </w:tcPr>
          <w:p w14:paraId="43E11067" w14:textId="77777777" w:rsidR="007A671C" w:rsidRPr="00AB0BB0" w:rsidRDefault="007A671C" w:rsidP="007A671C">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4FBD4FDB" w14:textId="2C3F18F5" w:rsidR="007A671C" w:rsidRPr="00AB0BB0" w:rsidRDefault="007A671C" w:rsidP="007A671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63</w:t>
            </w:r>
          </w:p>
        </w:tc>
        <w:tc>
          <w:tcPr>
            <w:tcW w:w="851" w:type="dxa"/>
            <w:tcBorders>
              <w:top w:val="single" w:sz="4" w:space="0" w:color="000000"/>
              <w:left w:val="single" w:sz="4" w:space="0" w:color="000000"/>
              <w:bottom w:val="single" w:sz="4" w:space="0" w:color="000000"/>
              <w:right w:val="single" w:sz="4" w:space="0" w:color="000000"/>
            </w:tcBorders>
          </w:tcPr>
          <w:p w14:paraId="0BAD4B2B" w14:textId="77777777" w:rsidR="007A671C" w:rsidRPr="00AB0BB0" w:rsidRDefault="007A671C" w:rsidP="007A671C">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2CAD545C" w14:textId="12297422" w:rsidR="007A671C" w:rsidRPr="00AB0BB0" w:rsidRDefault="007A671C" w:rsidP="007A671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3.46</w:t>
            </w:r>
          </w:p>
        </w:tc>
        <w:tc>
          <w:tcPr>
            <w:tcW w:w="850" w:type="dxa"/>
            <w:tcBorders>
              <w:top w:val="single" w:sz="4" w:space="0" w:color="000000"/>
              <w:left w:val="single" w:sz="4" w:space="0" w:color="000000"/>
              <w:bottom w:val="single" w:sz="4" w:space="0" w:color="000000"/>
              <w:right w:val="single" w:sz="4" w:space="0" w:color="000000"/>
            </w:tcBorders>
          </w:tcPr>
          <w:p w14:paraId="5B590914" w14:textId="77777777" w:rsidR="007A671C" w:rsidRPr="00AB0BB0" w:rsidRDefault="007A671C" w:rsidP="007A671C">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p w14:paraId="108A120F" w14:textId="01BE1E1C" w:rsidR="007A671C" w:rsidRPr="00AB0BB0" w:rsidRDefault="007A671C" w:rsidP="007A671C">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r w:rsidRPr="00AB0BB0">
              <w:rPr>
                <w:rFonts w:ascii="Arial Narrow" w:hAnsi="Arial Narrow" w:cs="Calibri"/>
                <w:spacing w:val="-1"/>
                <w:sz w:val="20"/>
                <w:szCs w:val="20"/>
              </w:rPr>
              <w:t>1.81</w:t>
            </w:r>
          </w:p>
        </w:tc>
        <w:tc>
          <w:tcPr>
            <w:tcW w:w="2268" w:type="dxa"/>
            <w:tcBorders>
              <w:top w:val="single" w:sz="4" w:space="0" w:color="000000"/>
              <w:left w:val="single" w:sz="4" w:space="0" w:color="000000"/>
              <w:bottom w:val="single" w:sz="4" w:space="0" w:color="000000"/>
              <w:right w:val="single" w:sz="4" w:space="0" w:color="000000"/>
            </w:tcBorders>
            <w:vAlign w:val="center"/>
          </w:tcPr>
          <w:p w14:paraId="1BE38B9D" w14:textId="7595C37A" w:rsidR="007A671C" w:rsidRPr="00AB0BB0" w:rsidRDefault="007A671C" w:rsidP="007439F4">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r w:rsidRPr="00AB0BB0">
              <w:rPr>
                <w:rFonts w:ascii="Arial Narrow" w:hAnsi="Arial Narrow" w:cs="Calibri"/>
                <w:spacing w:val="-1"/>
                <w:sz w:val="20"/>
                <w:szCs w:val="20"/>
              </w:rPr>
              <w:t>EZ+SIM 20</w:t>
            </w:r>
          </w:p>
        </w:tc>
        <w:tc>
          <w:tcPr>
            <w:tcW w:w="992" w:type="dxa"/>
            <w:tcBorders>
              <w:top w:val="single" w:sz="4" w:space="0" w:color="000000"/>
              <w:left w:val="single" w:sz="4" w:space="0" w:color="000000"/>
              <w:bottom w:val="single" w:sz="4" w:space="0" w:color="000000"/>
              <w:right w:val="single" w:sz="4" w:space="0" w:color="000000"/>
            </w:tcBorders>
          </w:tcPr>
          <w:p w14:paraId="0D791F14" w14:textId="77777777" w:rsidR="007A671C" w:rsidRPr="00AB0BB0" w:rsidRDefault="007A671C" w:rsidP="007A671C">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036FC86D" w14:textId="7AAA0121" w:rsidR="007A671C" w:rsidRPr="00AB0BB0" w:rsidRDefault="007A671C" w:rsidP="007A671C">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62</w:t>
            </w:r>
          </w:p>
        </w:tc>
        <w:tc>
          <w:tcPr>
            <w:tcW w:w="851" w:type="dxa"/>
            <w:tcBorders>
              <w:top w:val="single" w:sz="4" w:space="0" w:color="000000"/>
              <w:left w:val="single" w:sz="4" w:space="0" w:color="000000"/>
              <w:bottom w:val="single" w:sz="4" w:space="0" w:color="000000"/>
              <w:right w:val="single" w:sz="4" w:space="0" w:color="000000"/>
            </w:tcBorders>
          </w:tcPr>
          <w:p w14:paraId="66FA3809" w14:textId="77777777" w:rsidR="007A671C" w:rsidRPr="00AB0BB0" w:rsidRDefault="007A671C" w:rsidP="007A671C">
            <w:pPr>
              <w:kinsoku w:val="0"/>
              <w:overflowPunct w:val="0"/>
              <w:autoSpaceDE w:val="0"/>
              <w:autoSpaceDN w:val="0"/>
              <w:adjustRightInd w:val="0"/>
              <w:spacing w:after="0" w:line="278" w:lineRule="auto"/>
              <w:jc w:val="center"/>
              <w:rPr>
                <w:rFonts w:ascii="Arial Narrow" w:hAnsi="Arial Narrow" w:cs="Calibri"/>
                <w:spacing w:val="-1"/>
                <w:sz w:val="20"/>
                <w:szCs w:val="20"/>
              </w:rPr>
            </w:pPr>
          </w:p>
          <w:p w14:paraId="7268AE86" w14:textId="2844A496" w:rsidR="007A671C" w:rsidRPr="00AB0BB0" w:rsidRDefault="007A671C" w:rsidP="007A671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3.60</w:t>
            </w:r>
          </w:p>
        </w:tc>
        <w:tc>
          <w:tcPr>
            <w:tcW w:w="850" w:type="dxa"/>
            <w:tcBorders>
              <w:top w:val="single" w:sz="4" w:space="0" w:color="000000"/>
              <w:left w:val="single" w:sz="4" w:space="0" w:color="000000"/>
              <w:bottom w:val="single" w:sz="4" w:space="0" w:color="000000"/>
              <w:right w:val="single" w:sz="4" w:space="0" w:color="000000"/>
            </w:tcBorders>
          </w:tcPr>
          <w:p w14:paraId="6C6AD6DF" w14:textId="77777777" w:rsidR="007A671C" w:rsidRPr="00AB0BB0" w:rsidRDefault="007A671C" w:rsidP="007A671C">
            <w:pPr>
              <w:kinsoku w:val="0"/>
              <w:overflowPunct w:val="0"/>
              <w:autoSpaceDE w:val="0"/>
              <w:autoSpaceDN w:val="0"/>
              <w:adjustRightInd w:val="0"/>
              <w:spacing w:after="0" w:line="218" w:lineRule="exact"/>
              <w:ind w:right="142"/>
              <w:jc w:val="center"/>
              <w:rPr>
                <w:rFonts w:ascii="Arial Narrow" w:hAnsi="Arial Narrow" w:cs="Calibri"/>
                <w:spacing w:val="-1"/>
                <w:sz w:val="20"/>
                <w:szCs w:val="20"/>
              </w:rPr>
            </w:pPr>
          </w:p>
          <w:p w14:paraId="34FC3BF9" w14:textId="59C214AF" w:rsidR="007A671C" w:rsidRPr="00AB0BB0" w:rsidRDefault="007A671C" w:rsidP="007A671C">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1.88</w:t>
            </w:r>
          </w:p>
        </w:tc>
        <w:tc>
          <w:tcPr>
            <w:tcW w:w="1842" w:type="dxa"/>
            <w:tcBorders>
              <w:top w:val="single" w:sz="4" w:space="0" w:color="000000"/>
              <w:left w:val="single" w:sz="4" w:space="0" w:color="000000"/>
              <w:bottom w:val="single" w:sz="4" w:space="0" w:color="000000"/>
              <w:right w:val="single" w:sz="4" w:space="0" w:color="000000"/>
            </w:tcBorders>
          </w:tcPr>
          <w:p w14:paraId="05A0582B" w14:textId="77777777" w:rsidR="007A671C" w:rsidRPr="00AB0BB0" w:rsidRDefault="007A671C" w:rsidP="007A671C">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4B958B82" w14:textId="73630DE2" w:rsidR="007A671C" w:rsidRPr="00AB0BB0" w:rsidRDefault="007A671C" w:rsidP="007A671C">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pacing w:val="-1"/>
                <w:sz w:val="20"/>
                <w:szCs w:val="20"/>
              </w:rPr>
              <w:t>-</w:t>
            </w:r>
            <w:r w:rsidRPr="00AB0BB0">
              <w:rPr>
                <w:rFonts w:ascii="Arial Narrow" w:hAnsi="Arial Narrow" w:cs="Calibri"/>
                <w:sz w:val="20"/>
                <w:szCs w:val="20"/>
              </w:rPr>
              <w:t>47.2(15.6)</w:t>
            </w:r>
          </w:p>
        </w:tc>
        <w:tc>
          <w:tcPr>
            <w:tcW w:w="1842" w:type="dxa"/>
            <w:tcBorders>
              <w:top w:val="single" w:sz="4" w:space="0" w:color="000000"/>
              <w:left w:val="single" w:sz="4" w:space="0" w:color="000000"/>
              <w:bottom w:val="single" w:sz="4" w:space="0" w:color="000000"/>
              <w:right w:val="single" w:sz="4" w:space="0" w:color="000000"/>
            </w:tcBorders>
          </w:tcPr>
          <w:p w14:paraId="3A189402" w14:textId="77777777" w:rsidR="007A671C" w:rsidRPr="00AB0BB0" w:rsidRDefault="007A671C" w:rsidP="007A671C">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4315E214" w14:textId="5BF2E2C6" w:rsidR="007A671C" w:rsidRPr="00AB0BB0" w:rsidRDefault="007A671C" w:rsidP="007A671C">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pacing w:val="-1"/>
                <w:sz w:val="20"/>
                <w:szCs w:val="20"/>
              </w:rPr>
              <w:t>-47.9(20.7)</w:t>
            </w:r>
          </w:p>
        </w:tc>
        <w:tc>
          <w:tcPr>
            <w:tcW w:w="1986" w:type="dxa"/>
            <w:tcBorders>
              <w:top w:val="single" w:sz="4" w:space="0" w:color="000000"/>
              <w:left w:val="single" w:sz="4" w:space="0" w:color="000000"/>
              <w:bottom w:val="single" w:sz="4" w:space="0" w:color="000000"/>
              <w:right w:val="single" w:sz="4" w:space="0" w:color="000000"/>
            </w:tcBorders>
          </w:tcPr>
          <w:p w14:paraId="0FF29BCD" w14:textId="77777777" w:rsidR="007A671C" w:rsidRPr="00AB0BB0" w:rsidRDefault="007A671C" w:rsidP="007A671C">
            <w:pPr>
              <w:kinsoku w:val="0"/>
              <w:overflowPunct w:val="0"/>
              <w:autoSpaceDE w:val="0"/>
              <w:autoSpaceDN w:val="0"/>
              <w:adjustRightInd w:val="0"/>
              <w:spacing w:after="0" w:line="278" w:lineRule="auto"/>
              <w:ind w:left="142" w:hanging="1"/>
              <w:jc w:val="center"/>
              <w:rPr>
                <w:rFonts w:ascii="Arial Narrow" w:hAnsi="Arial Narrow" w:cs="Calibri"/>
                <w:sz w:val="20"/>
                <w:szCs w:val="20"/>
              </w:rPr>
            </w:pPr>
          </w:p>
          <w:p w14:paraId="398EE9AA" w14:textId="1EE0A058" w:rsidR="007A671C" w:rsidRPr="00AB0BB0" w:rsidRDefault="007A671C" w:rsidP="007A671C">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NR</w:t>
            </w:r>
            <w:r w:rsidR="00495312" w:rsidRPr="00AB0BB0">
              <w:rPr>
                <w:rFonts w:ascii="Arial Narrow" w:hAnsi="Arial Narrow" w:cs="Calibri"/>
                <w:sz w:val="20"/>
                <w:szCs w:val="20"/>
              </w:rPr>
              <w:t xml:space="preserve"> (not significant)</w:t>
            </w:r>
          </w:p>
        </w:tc>
      </w:tr>
      <w:tr w:rsidR="00C679AF" w:rsidRPr="00AB0BB0" w14:paraId="3D901029" w14:textId="77777777" w:rsidTr="004B471D">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717CD748" w14:textId="77777777" w:rsidR="00282EF3" w:rsidRPr="00AB0BB0" w:rsidRDefault="00282EF3" w:rsidP="00282EF3">
            <w:pPr>
              <w:kinsoku w:val="0"/>
              <w:overflowPunct w:val="0"/>
              <w:autoSpaceDE w:val="0"/>
              <w:autoSpaceDN w:val="0"/>
              <w:adjustRightInd w:val="0"/>
              <w:spacing w:after="0" w:line="240" w:lineRule="auto"/>
              <w:ind w:left="102"/>
              <w:rPr>
                <w:rFonts w:ascii="Arial Narrow" w:hAnsi="Arial Narrow" w:cs="Calibri"/>
                <w:sz w:val="20"/>
                <w:szCs w:val="20"/>
              </w:rPr>
            </w:pPr>
            <w:r w:rsidRPr="00AB0BB0">
              <w:rPr>
                <w:rFonts w:ascii="Arial Narrow" w:hAnsi="Arial Narrow" w:cs="Calibri"/>
                <w:spacing w:val="-1"/>
                <w:sz w:val="20"/>
                <w:szCs w:val="20"/>
              </w:rPr>
              <w:t>Garcia 2016</w:t>
            </w:r>
            <w:r w:rsidRPr="00AB0BB0">
              <w:rPr>
                <w:rFonts w:ascii="Arial Narrow" w:hAnsi="Arial Narrow" w:cs="Calibri"/>
                <w:spacing w:val="-1"/>
                <w:sz w:val="20"/>
                <w:szCs w:val="20"/>
                <w:vertAlign w:val="superscript"/>
              </w:rPr>
              <w:t>1</w:t>
            </w:r>
            <w:r w:rsidRPr="00AB0BB0">
              <w:rPr>
                <w:rFonts w:ascii="Arial Narrow" w:hAnsi="Arial Narrow" w:cs="Calibri"/>
                <w:sz w:val="20"/>
                <w:szCs w:val="20"/>
              </w:rPr>
              <w:t xml:space="preserve"> </w:t>
            </w:r>
          </w:p>
          <w:p w14:paraId="46E4E4CF" w14:textId="5D5BE4E8" w:rsidR="00282EF3" w:rsidRPr="00AB0BB0" w:rsidRDefault="00282EF3" w:rsidP="00282EF3">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z w:val="20"/>
                <w:szCs w:val="20"/>
              </w:rPr>
              <w:t>SIM 80</w:t>
            </w:r>
          </w:p>
        </w:tc>
        <w:tc>
          <w:tcPr>
            <w:tcW w:w="992" w:type="dxa"/>
            <w:tcBorders>
              <w:top w:val="single" w:sz="4" w:space="0" w:color="000000"/>
              <w:left w:val="single" w:sz="4" w:space="0" w:color="000000"/>
              <w:bottom w:val="single" w:sz="4" w:space="0" w:color="000000"/>
              <w:right w:val="single" w:sz="4" w:space="0" w:color="000000"/>
            </w:tcBorders>
          </w:tcPr>
          <w:p w14:paraId="29698CF2" w14:textId="77777777" w:rsidR="00282EF3" w:rsidRPr="00AB0BB0" w:rsidRDefault="00282EF3" w:rsidP="00282EF3">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562AA985" w14:textId="5150F2A2" w:rsidR="00282EF3" w:rsidRPr="00AB0BB0" w:rsidRDefault="00282EF3" w:rsidP="00282EF3">
            <w:pPr>
              <w:kinsoku w:val="0"/>
              <w:overflowPunct w:val="0"/>
              <w:autoSpaceDE w:val="0"/>
              <w:autoSpaceDN w:val="0"/>
              <w:adjustRightInd w:val="0"/>
              <w:spacing w:after="0" w:line="240" w:lineRule="auto"/>
              <w:ind w:right="224"/>
              <w:jc w:val="center"/>
              <w:rPr>
                <w:rFonts w:ascii="Arial Narrow" w:hAnsi="Arial Narrow" w:cs="Calibri"/>
                <w:spacing w:val="-1"/>
                <w:sz w:val="20"/>
                <w:szCs w:val="20"/>
              </w:rPr>
            </w:pPr>
            <w:r w:rsidRPr="00AB0BB0">
              <w:rPr>
                <w:rFonts w:ascii="Arial Narrow" w:hAnsi="Arial Narrow" w:cs="Calibri"/>
                <w:sz w:val="20"/>
                <w:szCs w:val="20"/>
              </w:rPr>
              <w:t>16</w:t>
            </w:r>
          </w:p>
        </w:tc>
        <w:tc>
          <w:tcPr>
            <w:tcW w:w="851" w:type="dxa"/>
            <w:tcBorders>
              <w:top w:val="single" w:sz="4" w:space="0" w:color="000000"/>
              <w:left w:val="single" w:sz="4" w:space="0" w:color="000000"/>
              <w:bottom w:val="single" w:sz="4" w:space="0" w:color="000000"/>
              <w:right w:val="single" w:sz="4" w:space="0" w:color="000000"/>
            </w:tcBorders>
          </w:tcPr>
          <w:p w14:paraId="29791F13" w14:textId="77777777" w:rsidR="00282EF3" w:rsidRPr="00AB0BB0" w:rsidRDefault="00282EF3" w:rsidP="00282EF3">
            <w:pPr>
              <w:kinsoku w:val="0"/>
              <w:overflowPunct w:val="0"/>
              <w:autoSpaceDE w:val="0"/>
              <w:autoSpaceDN w:val="0"/>
              <w:adjustRightInd w:val="0"/>
              <w:spacing w:after="0" w:line="218" w:lineRule="exact"/>
              <w:jc w:val="center"/>
              <w:rPr>
                <w:rFonts w:ascii="Arial Narrow" w:hAnsi="Arial Narrow" w:cs="Calibri"/>
                <w:sz w:val="20"/>
                <w:szCs w:val="20"/>
              </w:rPr>
            </w:pPr>
          </w:p>
          <w:p w14:paraId="3DB648BB" w14:textId="26A9D6CC" w:rsidR="00282EF3" w:rsidRPr="00AB0BB0" w:rsidRDefault="00282EF3" w:rsidP="00282EF3">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z w:val="20"/>
                <w:szCs w:val="20"/>
              </w:rPr>
              <w:t>3.44</w:t>
            </w:r>
          </w:p>
        </w:tc>
        <w:tc>
          <w:tcPr>
            <w:tcW w:w="850" w:type="dxa"/>
            <w:tcBorders>
              <w:top w:val="single" w:sz="4" w:space="0" w:color="000000"/>
              <w:left w:val="single" w:sz="4" w:space="0" w:color="000000"/>
              <w:bottom w:val="single" w:sz="4" w:space="0" w:color="000000"/>
              <w:right w:val="single" w:sz="4" w:space="0" w:color="000000"/>
            </w:tcBorders>
          </w:tcPr>
          <w:p w14:paraId="5CA2211B" w14:textId="77777777" w:rsidR="00282EF3" w:rsidRPr="00AB0BB0" w:rsidRDefault="00282EF3" w:rsidP="00282EF3">
            <w:pPr>
              <w:kinsoku w:val="0"/>
              <w:overflowPunct w:val="0"/>
              <w:autoSpaceDE w:val="0"/>
              <w:autoSpaceDN w:val="0"/>
              <w:adjustRightInd w:val="0"/>
              <w:spacing w:after="0" w:line="240" w:lineRule="auto"/>
              <w:jc w:val="center"/>
              <w:rPr>
                <w:rFonts w:ascii="Arial Narrow" w:hAnsi="Arial Narrow" w:cs="Calibri"/>
                <w:sz w:val="20"/>
                <w:szCs w:val="20"/>
              </w:rPr>
            </w:pPr>
          </w:p>
          <w:p w14:paraId="1510F99D" w14:textId="52DCF035" w:rsidR="00282EF3" w:rsidRPr="00AB0BB0" w:rsidRDefault="00282EF3" w:rsidP="00282EF3">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00F81493" w14:textId="77777777" w:rsidR="00282EF3" w:rsidRPr="00AB0BB0" w:rsidRDefault="00282EF3" w:rsidP="00282EF3">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4744C10B" w14:textId="35AD11A9" w:rsidR="00282EF3" w:rsidRPr="00AB0BB0" w:rsidRDefault="003433E8" w:rsidP="00282EF3">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z w:val="20"/>
                <w:szCs w:val="20"/>
              </w:rPr>
              <w:t>EZ+SIM 1</w:t>
            </w:r>
            <w:r w:rsidR="00282EF3" w:rsidRPr="00AB0BB0">
              <w:rPr>
                <w:rFonts w:ascii="Arial Narrow" w:hAnsi="Arial Narrow" w:cs="Calibri"/>
                <w:sz w:val="20"/>
                <w:szCs w:val="20"/>
              </w:rPr>
              <w:t>0</w:t>
            </w:r>
          </w:p>
        </w:tc>
        <w:tc>
          <w:tcPr>
            <w:tcW w:w="992" w:type="dxa"/>
            <w:tcBorders>
              <w:top w:val="single" w:sz="4" w:space="0" w:color="000000"/>
              <w:left w:val="single" w:sz="4" w:space="0" w:color="000000"/>
              <w:bottom w:val="single" w:sz="4" w:space="0" w:color="000000"/>
              <w:right w:val="single" w:sz="4" w:space="0" w:color="000000"/>
            </w:tcBorders>
          </w:tcPr>
          <w:p w14:paraId="71560D8B" w14:textId="77777777" w:rsidR="00282EF3" w:rsidRPr="00AB0BB0" w:rsidRDefault="00282EF3" w:rsidP="00282EF3">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33AEA800" w14:textId="0D52737A" w:rsidR="00282EF3" w:rsidRPr="00AB0BB0" w:rsidRDefault="00282EF3" w:rsidP="00282EF3">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z w:val="20"/>
                <w:szCs w:val="20"/>
              </w:rPr>
              <w:t>16</w:t>
            </w:r>
          </w:p>
        </w:tc>
        <w:tc>
          <w:tcPr>
            <w:tcW w:w="851" w:type="dxa"/>
            <w:tcBorders>
              <w:top w:val="single" w:sz="4" w:space="0" w:color="000000"/>
              <w:left w:val="single" w:sz="4" w:space="0" w:color="000000"/>
              <w:bottom w:val="single" w:sz="4" w:space="0" w:color="000000"/>
              <w:right w:val="single" w:sz="4" w:space="0" w:color="000000"/>
            </w:tcBorders>
          </w:tcPr>
          <w:p w14:paraId="2F24CB0A" w14:textId="77777777" w:rsidR="00282EF3" w:rsidRPr="00AB0BB0" w:rsidRDefault="00282EF3" w:rsidP="00282EF3">
            <w:pPr>
              <w:kinsoku w:val="0"/>
              <w:overflowPunct w:val="0"/>
              <w:autoSpaceDE w:val="0"/>
              <w:autoSpaceDN w:val="0"/>
              <w:adjustRightInd w:val="0"/>
              <w:spacing w:after="0" w:line="218" w:lineRule="exact"/>
              <w:jc w:val="center"/>
              <w:rPr>
                <w:rFonts w:ascii="Arial Narrow" w:hAnsi="Arial Narrow" w:cs="Calibri"/>
                <w:sz w:val="20"/>
                <w:szCs w:val="20"/>
              </w:rPr>
            </w:pPr>
          </w:p>
          <w:p w14:paraId="4E6FDC25" w14:textId="318E0F8E" w:rsidR="00282EF3" w:rsidRPr="00AB0BB0" w:rsidRDefault="00282EF3" w:rsidP="00282EF3">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z w:val="20"/>
                <w:szCs w:val="20"/>
              </w:rPr>
              <w:t>3.85</w:t>
            </w:r>
          </w:p>
        </w:tc>
        <w:tc>
          <w:tcPr>
            <w:tcW w:w="850" w:type="dxa"/>
            <w:tcBorders>
              <w:top w:val="single" w:sz="4" w:space="0" w:color="000000"/>
              <w:left w:val="single" w:sz="4" w:space="0" w:color="000000"/>
              <w:bottom w:val="single" w:sz="4" w:space="0" w:color="000000"/>
              <w:right w:val="single" w:sz="4" w:space="0" w:color="000000"/>
            </w:tcBorders>
          </w:tcPr>
          <w:p w14:paraId="31F79B05" w14:textId="77777777" w:rsidR="00282EF3" w:rsidRPr="00AB0BB0" w:rsidRDefault="00282EF3" w:rsidP="00282EF3">
            <w:pPr>
              <w:kinsoku w:val="0"/>
              <w:overflowPunct w:val="0"/>
              <w:autoSpaceDE w:val="0"/>
              <w:autoSpaceDN w:val="0"/>
              <w:adjustRightInd w:val="0"/>
              <w:spacing w:after="0" w:line="240" w:lineRule="auto"/>
              <w:jc w:val="center"/>
              <w:rPr>
                <w:rFonts w:ascii="Arial Narrow" w:hAnsi="Arial Narrow" w:cs="Calibri"/>
                <w:sz w:val="20"/>
                <w:szCs w:val="20"/>
              </w:rPr>
            </w:pPr>
          </w:p>
          <w:p w14:paraId="345D509B" w14:textId="0302DFE5" w:rsidR="00282EF3" w:rsidRPr="00AB0BB0" w:rsidRDefault="00282EF3" w:rsidP="00282EF3">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2053F5D6" w14:textId="77777777" w:rsidR="00282EF3" w:rsidRPr="00AB0BB0" w:rsidRDefault="00282EF3" w:rsidP="00282EF3">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7AEA29FD" w14:textId="500ADB93" w:rsidR="00282EF3" w:rsidRPr="00AB0BB0" w:rsidRDefault="00282EF3" w:rsidP="00282EF3">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AB0BB0">
              <w:rPr>
                <w:rFonts w:ascii="Arial Narrow" w:hAnsi="Arial Narrow" w:cs="Calibri"/>
                <w:spacing w:val="-1"/>
                <w:sz w:val="20"/>
                <w:szCs w:val="20"/>
              </w:rPr>
              <w:t>-27 (31)</w:t>
            </w:r>
          </w:p>
        </w:tc>
        <w:tc>
          <w:tcPr>
            <w:tcW w:w="1842" w:type="dxa"/>
            <w:tcBorders>
              <w:top w:val="single" w:sz="4" w:space="0" w:color="000000"/>
              <w:left w:val="single" w:sz="4" w:space="0" w:color="000000"/>
              <w:bottom w:val="single" w:sz="4" w:space="0" w:color="000000"/>
              <w:right w:val="single" w:sz="4" w:space="0" w:color="000000"/>
            </w:tcBorders>
          </w:tcPr>
          <w:p w14:paraId="4B967629" w14:textId="77777777" w:rsidR="00282EF3" w:rsidRPr="00AB0BB0" w:rsidRDefault="00282EF3" w:rsidP="00282EF3">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0459CD65" w14:textId="663FE1FA" w:rsidR="00282EF3" w:rsidRPr="00AB0BB0" w:rsidRDefault="00282EF3" w:rsidP="00282EF3">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-30(29)</w:t>
            </w:r>
          </w:p>
        </w:tc>
        <w:tc>
          <w:tcPr>
            <w:tcW w:w="1986" w:type="dxa"/>
            <w:tcBorders>
              <w:top w:val="single" w:sz="4" w:space="0" w:color="000000"/>
              <w:left w:val="single" w:sz="4" w:space="0" w:color="000000"/>
              <w:bottom w:val="single" w:sz="4" w:space="0" w:color="000000"/>
              <w:right w:val="single" w:sz="4" w:space="0" w:color="000000"/>
            </w:tcBorders>
          </w:tcPr>
          <w:p w14:paraId="3BCD20EB" w14:textId="77777777" w:rsidR="00282EF3" w:rsidRPr="00AB0BB0" w:rsidRDefault="00282EF3" w:rsidP="00282EF3">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0429402F" w14:textId="6CE12F94" w:rsidR="00282EF3" w:rsidRPr="00AB0BB0" w:rsidRDefault="00282EF3" w:rsidP="00282EF3">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AB0BB0">
              <w:rPr>
                <w:rFonts w:ascii="Arial Narrow" w:hAnsi="Arial Narrow" w:cs="Calibri"/>
                <w:sz w:val="20"/>
                <w:szCs w:val="20"/>
              </w:rPr>
              <w:t>NR</w:t>
            </w:r>
            <w:r w:rsidR="004B471D" w:rsidRPr="00AB0BB0">
              <w:rPr>
                <w:rFonts w:ascii="Arial Narrow" w:hAnsi="Arial Narrow" w:cs="Calibri"/>
                <w:sz w:val="20"/>
                <w:szCs w:val="20"/>
              </w:rPr>
              <w:t xml:space="preserve"> p=0.57</w:t>
            </w:r>
          </w:p>
        </w:tc>
      </w:tr>
      <w:tr w:rsidR="00E140AA" w:rsidRPr="00AB0BB0" w14:paraId="4627FE62" w14:textId="77777777" w:rsidTr="00D666E2">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073F1EF8" w14:textId="77777777" w:rsidR="00E140AA" w:rsidRPr="00AB0BB0" w:rsidRDefault="00E140AA" w:rsidP="00E140AA">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P090 Leiter 2008</w:t>
            </w:r>
            <w:r w:rsidRPr="00AB0BB0">
              <w:rPr>
                <w:rFonts w:ascii="Arial Narrow" w:hAnsi="Arial Narrow" w:cs="Calibri"/>
                <w:spacing w:val="-1"/>
                <w:sz w:val="20"/>
                <w:szCs w:val="20"/>
                <w:vertAlign w:val="superscript"/>
              </w:rPr>
              <w:t>2</w:t>
            </w:r>
          </w:p>
          <w:p w14:paraId="1B93CC7D" w14:textId="77777777" w:rsidR="00E140AA" w:rsidRPr="00AB0BB0" w:rsidRDefault="00E140AA" w:rsidP="00E140AA">
            <w:pPr>
              <w:kinsoku w:val="0"/>
              <w:overflowPunct w:val="0"/>
              <w:autoSpaceDE w:val="0"/>
              <w:autoSpaceDN w:val="0"/>
              <w:adjustRightInd w:val="0"/>
              <w:spacing w:after="0" w:line="240" w:lineRule="auto"/>
              <w:rPr>
                <w:rFonts w:ascii="Arial Narrow" w:hAnsi="Arial Narrow" w:cs="Calibri"/>
                <w:spacing w:val="-1"/>
                <w:sz w:val="16"/>
                <w:szCs w:val="16"/>
              </w:rPr>
            </w:pPr>
            <w:r w:rsidRPr="00AB0BB0">
              <w:rPr>
                <w:rFonts w:ascii="Arial Narrow" w:hAnsi="Arial Narrow" w:cs="Calibri"/>
                <w:spacing w:val="-1"/>
                <w:sz w:val="20"/>
                <w:szCs w:val="20"/>
              </w:rPr>
              <w:t xml:space="preserve">   </w:t>
            </w:r>
            <w:r w:rsidRPr="00AB0BB0">
              <w:rPr>
                <w:rFonts w:ascii="Arial Narrow" w:hAnsi="Arial Narrow" w:cs="Calibri"/>
                <w:spacing w:val="-1"/>
                <w:sz w:val="16"/>
                <w:szCs w:val="16"/>
              </w:rPr>
              <w:t>ATOR 40 (run in)</w:t>
            </w:r>
          </w:p>
          <w:p w14:paraId="6D8691FC" w14:textId="10189A53" w:rsidR="00E140AA" w:rsidRPr="00AB0BB0" w:rsidRDefault="00E140AA" w:rsidP="00E140AA">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ATOR 80</w:t>
            </w:r>
          </w:p>
        </w:tc>
        <w:tc>
          <w:tcPr>
            <w:tcW w:w="992" w:type="dxa"/>
            <w:tcBorders>
              <w:top w:val="single" w:sz="4" w:space="0" w:color="000000"/>
              <w:left w:val="single" w:sz="4" w:space="0" w:color="000000"/>
              <w:bottom w:val="single" w:sz="4" w:space="0" w:color="000000"/>
              <w:right w:val="single" w:sz="4" w:space="0" w:color="000000"/>
            </w:tcBorders>
            <w:vAlign w:val="center"/>
          </w:tcPr>
          <w:p w14:paraId="5E9B6954" w14:textId="1AE51D80" w:rsidR="00E140AA" w:rsidRPr="00AB0BB0" w:rsidRDefault="00E140AA" w:rsidP="00E140AA">
            <w:pPr>
              <w:kinsoku w:val="0"/>
              <w:overflowPunct w:val="0"/>
              <w:autoSpaceDE w:val="0"/>
              <w:autoSpaceDN w:val="0"/>
              <w:adjustRightInd w:val="0"/>
              <w:spacing w:after="0" w:line="240" w:lineRule="auto"/>
              <w:ind w:left="222" w:right="224"/>
              <w:jc w:val="center"/>
              <w:rPr>
                <w:rFonts w:ascii="Arial Narrow" w:hAnsi="Arial Narrow" w:cs="Calibri"/>
                <w:sz w:val="20"/>
                <w:szCs w:val="20"/>
              </w:rPr>
            </w:pPr>
            <w:r w:rsidRPr="00AB0BB0">
              <w:rPr>
                <w:rFonts w:ascii="Arial Narrow" w:hAnsi="Arial Narrow" w:cs="Calibri"/>
                <w:spacing w:val="-1"/>
                <w:sz w:val="20"/>
                <w:szCs w:val="20"/>
              </w:rPr>
              <w:t>291^</w:t>
            </w:r>
          </w:p>
        </w:tc>
        <w:tc>
          <w:tcPr>
            <w:tcW w:w="851" w:type="dxa"/>
            <w:tcBorders>
              <w:top w:val="single" w:sz="4" w:space="0" w:color="000000"/>
              <w:left w:val="single" w:sz="4" w:space="0" w:color="000000"/>
              <w:bottom w:val="single" w:sz="4" w:space="0" w:color="000000"/>
              <w:right w:val="single" w:sz="4" w:space="0" w:color="000000"/>
            </w:tcBorders>
            <w:vAlign w:val="center"/>
          </w:tcPr>
          <w:p w14:paraId="0B24B43B" w14:textId="62A96594" w:rsidR="00E140AA" w:rsidRPr="00AB0BB0" w:rsidRDefault="00E140AA" w:rsidP="00E140AA">
            <w:pPr>
              <w:kinsoku w:val="0"/>
              <w:overflowPunct w:val="0"/>
              <w:autoSpaceDE w:val="0"/>
              <w:autoSpaceDN w:val="0"/>
              <w:adjustRightInd w:val="0"/>
              <w:spacing w:after="0" w:line="218" w:lineRule="exact"/>
              <w:jc w:val="center"/>
              <w:rPr>
                <w:rFonts w:ascii="Arial Narrow" w:hAnsi="Arial Narrow" w:cs="Calibri"/>
                <w:sz w:val="20"/>
                <w:szCs w:val="20"/>
              </w:rPr>
            </w:pPr>
            <w:r w:rsidRPr="00AB0BB0">
              <w:rPr>
                <w:rFonts w:ascii="Arial Narrow" w:hAnsi="Arial Narrow" w:cs="Calibri"/>
                <w:sz w:val="20"/>
                <w:szCs w:val="20"/>
              </w:rPr>
              <w:t>2.33</w:t>
            </w:r>
          </w:p>
        </w:tc>
        <w:tc>
          <w:tcPr>
            <w:tcW w:w="850" w:type="dxa"/>
            <w:tcBorders>
              <w:top w:val="single" w:sz="4" w:space="0" w:color="000000"/>
              <w:left w:val="single" w:sz="4" w:space="0" w:color="000000"/>
              <w:bottom w:val="single" w:sz="4" w:space="0" w:color="000000"/>
              <w:right w:val="single" w:sz="4" w:space="0" w:color="000000"/>
            </w:tcBorders>
            <w:vAlign w:val="center"/>
          </w:tcPr>
          <w:p w14:paraId="1A22E073" w14:textId="17AAD3CE" w:rsidR="00E140AA" w:rsidRPr="00AB0BB0" w:rsidRDefault="00E140AA" w:rsidP="00E140AA">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47096B47" w14:textId="0F8C550A" w:rsidR="00E140AA" w:rsidRPr="00AB0BB0" w:rsidRDefault="00E140AA" w:rsidP="00E140AA">
            <w:pPr>
              <w:kinsoku w:val="0"/>
              <w:overflowPunct w:val="0"/>
              <w:autoSpaceDE w:val="0"/>
              <w:autoSpaceDN w:val="0"/>
              <w:adjustRightInd w:val="0"/>
              <w:spacing w:after="0" w:line="240" w:lineRule="auto"/>
              <w:ind w:left="254" w:right="256"/>
              <w:jc w:val="center"/>
              <w:rPr>
                <w:rFonts w:ascii="Arial Narrow" w:hAnsi="Arial Narrow" w:cs="Calibri"/>
                <w:sz w:val="20"/>
                <w:szCs w:val="20"/>
              </w:rPr>
            </w:pPr>
            <w:r w:rsidRPr="00AB0BB0">
              <w:rPr>
                <w:rFonts w:ascii="Arial Narrow" w:hAnsi="Arial Narrow" w:cs="Calibri"/>
                <w:spacing w:val="-1"/>
                <w:sz w:val="20"/>
                <w:szCs w:val="20"/>
              </w:rPr>
              <w:t>EZ+ATOR 40</w:t>
            </w:r>
          </w:p>
        </w:tc>
        <w:tc>
          <w:tcPr>
            <w:tcW w:w="992" w:type="dxa"/>
            <w:tcBorders>
              <w:top w:val="single" w:sz="4" w:space="0" w:color="000000"/>
              <w:left w:val="single" w:sz="4" w:space="0" w:color="000000"/>
              <w:bottom w:val="single" w:sz="4" w:space="0" w:color="000000"/>
              <w:right w:val="single" w:sz="4" w:space="0" w:color="000000"/>
            </w:tcBorders>
            <w:vAlign w:val="center"/>
          </w:tcPr>
          <w:p w14:paraId="4F6551EB" w14:textId="15A713E3" w:rsidR="00E140AA" w:rsidRPr="00AB0BB0" w:rsidRDefault="00E140AA" w:rsidP="00E140AA">
            <w:pPr>
              <w:kinsoku w:val="0"/>
              <w:overflowPunct w:val="0"/>
              <w:autoSpaceDE w:val="0"/>
              <w:autoSpaceDN w:val="0"/>
              <w:adjustRightInd w:val="0"/>
              <w:spacing w:after="0" w:line="240" w:lineRule="auto"/>
              <w:ind w:left="254" w:right="256"/>
              <w:jc w:val="center"/>
              <w:rPr>
                <w:rFonts w:ascii="Arial Narrow" w:hAnsi="Arial Narrow" w:cs="Calibri"/>
                <w:sz w:val="20"/>
                <w:szCs w:val="20"/>
              </w:rPr>
            </w:pPr>
            <w:r w:rsidRPr="00AB0BB0">
              <w:rPr>
                <w:rFonts w:ascii="Arial Narrow" w:hAnsi="Arial Narrow" w:cs="Calibri"/>
                <w:spacing w:val="-1"/>
                <w:sz w:val="20"/>
                <w:szCs w:val="20"/>
              </w:rPr>
              <w:t>288^</w:t>
            </w:r>
          </w:p>
        </w:tc>
        <w:tc>
          <w:tcPr>
            <w:tcW w:w="851" w:type="dxa"/>
            <w:tcBorders>
              <w:top w:val="single" w:sz="4" w:space="0" w:color="000000"/>
              <w:left w:val="single" w:sz="4" w:space="0" w:color="000000"/>
              <w:bottom w:val="single" w:sz="4" w:space="0" w:color="000000"/>
              <w:right w:val="single" w:sz="4" w:space="0" w:color="000000"/>
            </w:tcBorders>
            <w:vAlign w:val="center"/>
          </w:tcPr>
          <w:p w14:paraId="7D047703" w14:textId="45B2A83B" w:rsidR="00E140AA" w:rsidRPr="00AB0BB0" w:rsidRDefault="00E140AA" w:rsidP="00E140AA">
            <w:pPr>
              <w:kinsoku w:val="0"/>
              <w:overflowPunct w:val="0"/>
              <w:autoSpaceDE w:val="0"/>
              <w:autoSpaceDN w:val="0"/>
              <w:adjustRightInd w:val="0"/>
              <w:spacing w:after="0" w:line="218" w:lineRule="exact"/>
              <w:jc w:val="center"/>
              <w:rPr>
                <w:rFonts w:ascii="Arial Narrow" w:hAnsi="Arial Narrow" w:cs="Calibri"/>
                <w:sz w:val="20"/>
                <w:szCs w:val="20"/>
              </w:rPr>
            </w:pPr>
            <w:r w:rsidRPr="00AB0BB0">
              <w:rPr>
                <w:rFonts w:ascii="Arial Narrow" w:hAnsi="Arial Narrow" w:cs="Calibri"/>
                <w:sz w:val="20"/>
                <w:szCs w:val="20"/>
              </w:rPr>
              <w:t>2.30</w:t>
            </w:r>
          </w:p>
        </w:tc>
        <w:tc>
          <w:tcPr>
            <w:tcW w:w="850" w:type="dxa"/>
            <w:tcBorders>
              <w:top w:val="single" w:sz="4" w:space="0" w:color="000000"/>
              <w:left w:val="single" w:sz="4" w:space="0" w:color="000000"/>
              <w:bottom w:val="single" w:sz="4" w:space="0" w:color="000000"/>
              <w:right w:val="single" w:sz="4" w:space="0" w:color="000000"/>
            </w:tcBorders>
            <w:vAlign w:val="center"/>
          </w:tcPr>
          <w:p w14:paraId="2F56BBB5" w14:textId="71ECC52F" w:rsidR="00E140AA" w:rsidRPr="00AB0BB0" w:rsidRDefault="00E140AA" w:rsidP="00E140AA">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23558F8A" w14:textId="77777777" w:rsidR="00E140AA" w:rsidRPr="00AB0BB0" w:rsidRDefault="00E140AA" w:rsidP="00E140AA">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2D6BCDEB" w14:textId="24707787" w:rsidR="00E140AA" w:rsidRPr="00AB0BB0" w:rsidRDefault="00E140AA" w:rsidP="00E140AA">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AB0BB0">
              <w:rPr>
                <w:rFonts w:ascii="Arial Narrow" w:hAnsi="Arial Narrow" w:cs="Calibri"/>
                <w:sz w:val="20"/>
                <w:szCs w:val="20"/>
              </w:rPr>
              <w:t>-11 (-13,-9)</w:t>
            </w:r>
          </w:p>
        </w:tc>
        <w:tc>
          <w:tcPr>
            <w:tcW w:w="1842" w:type="dxa"/>
            <w:tcBorders>
              <w:top w:val="single" w:sz="4" w:space="0" w:color="000000"/>
              <w:left w:val="single" w:sz="4" w:space="0" w:color="000000"/>
              <w:bottom w:val="single" w:sz="4" w:space="0" w:color="000000"/>
              <w:right w:val="single" w:sz="4" w:space="0" w:color="000000"/>
            </w:tcBorders>
          </w:tcPr>
          <w:p w14:paraId="09A63A15" w14:textId="77777777" w:rsidR="00E140AA" w:rsidRPr="00AB0BB0" w:rsidRDefault="00E140AA" w:rsidP="00E140AA">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1BC78EEF" w14:textId="490EE868" w:rsidR="00E140AA" w:rsidRPr="00AB0BB0" w:rsidRDefault="00E140AA" w:rsidP="00E140AA">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AB0BB0">
              <w:rPr>
                <w:rFonts w:ascii="Arial Narrow" w:hAnsi="Arial Narrow" w:cs="Calibri"/>
                <w:sz w:val="20"/>
                <w:szCs w:val="20"/>
              </w:rPr>
              <w:t>-27 (-30,-25)</w:t>
            </w:r>
          </w:p>
        </w:tc>
        <w:tc>
          <w:tcPr>
            <w:tcW w:w="1986" w:type="dxa"/>
            <w:tcBorders>
              <w:top w:val="single" w:sz="4" w:space="0" w:color="000000"/>
              <w:left w:val="single" w:sz="4" w:space="0" w:color="000000"/>
              <w:bottom w:val="single" w:sz="4" w:space="0" w:color="000000"/>
              <w:right w:val="single" w:sz="4" w:space="0" w:color="000000"/>
            </w:tcBorders>
          </w:tcPr>
          <w:p w14:paraId="5BF6C123" w14:textId="77777777" w:rsidR="00E140AA" w:rsidRPr="00AB0BB0" w:rsidRDefault="00E140AA" w:rsidP="00E140AA">
            <w:pPr>
              <w:kinsoku w:val="0"/>
              <w:overflowPunct w:val="0"/>
              <w:autoSpaceDE w:val="0"/>
              <w:autoSpaceDN w:val="0"/>
              <w:adjustRightInd w:val="0"/>
              <w:spacing w:after="0" w:line="240" w:lineRule="auto"/>
              <w:ind w:left="-2" w:firstLine="2"/>
              <w:jc w:val="center"/>
              <w:rPr>
                <w:rFonts w:ascii="Arial Narrow" w:hAnsi="Arial Narrow" w:cs="Calibri"/>
                <w:sz w:val="20"/>
                <w:szCs w:val="20"/>
              </w:rPr>
            </w:pPr>
          </w:p>
          <w:p w14:paraId="51C32324" w14:textId="245C3003" w:rsidR="00E140AA" w:rsidRPr="00AB0BB0" w:rsidRDefault="00E140AA" w:rsidP="00E140AA">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-16 (-19, -13)</w:t>
            </w:r>
            <w:r w:rsidRPr="00AB0BB0">
              <w:rPr>
                <w:rFonts w:ascii="Arial Narrow" w:hAnsi="Arial Narrow" w:cs="Calibri"/>
                <w:spacing w:val="-1"/>
                <w:sz w:val="20"/>
                <w:szCs w:val="20"/>
              </w:rPr>
              <w:t xml:space="preserve"> ***</w:t>
            </w:r>
          </w:p>
        </w:tc>
      </w:tr>
      <w:tr w:rsidR="009F61A2" w:rsidRPr="00AB0BB0" w14:paraId="1FE208BD" w14:textId="77777777" w:rsidTr="009F61A2">
        <w:trPr>
          <w:trHeight w:hRule="exact" w:val="1183"/>
        </w:trPr>
        <w:tc>
          <w:tcPr>
            <w:tcW w:w="2127" w:type="dxa"/>
            <w:tcBorders>
              <w:top w:val="single" w:sz="4" w:space="0" w:color="000000"/>
              <w:left w:val="single" w:sz="4" w:space="0" w:color="000000"/>
              <w:bottom w:val="single" w:sz="4" w:space="0" w:color="000000"/>
              <w:right w:val="single" w:sz="4" w:space="0" w:color="000000"/>
            </w:tcBorders>
          </w:tcPr>
          <w:p w14:paraId="79B3A26B"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vertAlign w:val="superscript"/>
              </w:rPr>
            </w:pPr>
            <w:r w:rsidRPr="00AB0BB0">
              <w:rPr>
                <w:rFonts w:ascii="Arial Narrow" w:hAnsi="Arial Narrow" w:cs="Calibri"/>
                <w:spacing w:val="-1"/>
                <w:sz w:val="20"/>
                <w:szCs w:val="20"/>
              </w:rPr>
              <w:t>P058 Catapano 2006</w:t>
            </w:r>
            <w:r w:rsidRPr="00AB0BB0">
              <w:rPr>
                <w:rFonts w:ascii="Arial Narrow" w:hAnsi="Arial Narrow" w:cs="Calibri"/>
                <w:spacing w:val="-1"/>
                <w:sz w:val="20"/>
                <w:szCs w:val="20"/>
                <w:vertAlign w:val="superscript"/>
              </w:rPr>
              <w:t>1</w:t>
            </w:r>
          </w:p>
          <w:p w14:paraId="7B6AE611"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sz w:val="20"/>
                <w:szCs w:val="18"/>
                <w:lang w:val="en-US"/>
              </w:rPr>
            </w:pPr>
          </w:p>
          <w:p w14:paraId="4F091C7A"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sz w:val="20"/>
                <w:szCs w:val="18"/>
                <w:lang w:val="en-US"/>
              </w:rPr>
            </w:pPr>
            <w:r w:rsidRPr="00AB0BB0">
              <w:rPr>
                <w:rFonts w:ascii="Arial Narrow" w:hAnsi="Arial Narrow"/>
                <w:sz w:val="20"/>
                <w:szCs w:val="18"/>
                <w:lang w:val="en-US"/>
              </w:rPr>
              <w:t>ROSU 10</w:t>
            </w:r>
          </w:p>
          <w:p w14:paraId="2B96495E"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sz w:val="20"/>
                <w:szCs w:val="18"/>
                <w:lang w:val="en-US"/>
              </w:rPr>
            </w:pPr>
            <w:r w:rsidRPr="00AB0BB0">
              <w:rPr>
                <w:rFonts w:ascii="Arial Narrow" w:hAnsi="Arial Narrow"/>
                <w:sz w:val="20"/>
                <w:szCs w:val="18"/>
                <w:lang w:val="en-US"/>
              </w:rPr>
              <w:t>ROSU 20</w:t>
            </w:r>
          </w:p>
          <w:p w14:paraId="3F8954D8"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sz w:val="20"/>
                <w:szCs w:val="18"/>
                <w:lang w:val="en-US"/>
              </w:rPr>
            </w:pPr>
            <w:r w:rsidRPr="00AB0BB0">
              <w:rPr>
                <w:rFonts w:ascii="Arial Narrow" w:hAnsi="Arial Narrow"/>
                <w:sz w:val="20"/>
                <w:szCs w:val="18"/>
                <w:lang w:val="en-US"/>
              </w:rPr>
              <w:t>ROSU 40</w:t>
            </w:r>
          </w:p>
          <w:p w14:paraId="2BAD73CA"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288B711"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21E3BD6D"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38E6C58E"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492</w:t>
            </w:r>
          </w:p>
          <w:p w14:paraId="0835B2F4"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495</w:t>
            </w:r>
          </w:p>
          <w:p w14:paraId="383FD42A" w14:textId="0F1EF05E"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494</w:t>
            </w:r>
          </w:p>
        </w:tc>
        <w:tc>
          <w:tcPr>
            <w:tcW w:w="851" w:type="dxa"/>
            <w:tcBorders>
              <w:top w:val="single" w:sz="4" w:space="0" w:color="000000"/>
              <w:left w:val="single" w:sz="4" w:space="0" w:color="000000"/>
              <w:bottom w:val="single" w:sz="4" w:space="0" w:color="000000"/>
              <w:right w:val="single" w:sz="4" w:space="0" w:color="000000"/>
            </w:tcBorders>
          </w:tcPr>
          <w:p w14:paraId="30F802B1" w14:textId="77777777" w:rsidR="009F61A2" w:rsidRPr="00AB0BB0" w:rsidRDefault="009F61A2" w:rsidP="009F61A2">
            <w:pPr>
              <w:kinsoku w:val="0"/>
              <w:overflowPunct w:val="0"/>
              <w:autoSpaceDE w:val="0"/>
              <w:autoSpaceDN w:val="0"/>
              <w:adjustRightInd w:val="0"/>
              <w:spacing w:after="0" w:line="240" w:lineRule="auto"/>
              <w:ind w:left="1"/>
              <w:jc w:val="center"/>
              <w:rPr>
                <w:rFonts w:ascii="Arial Narrow" w:hAnsi="Arial Narrow" w:cs="Calibri"/>
                <w:sz w:val="20"/>
                <w:szCs w:val="20"/>
              </w:rPr>
            </w:pPr>
          </w:p>
          <w:p w14:paraId="358C1126" w14:textId="77777777" w:rsidR="009F61A2" w:rsidRPr="00AB0BB0" w:rsidRDefault="009F61A2" w:rsidP="009F61A2">
            <w:pPr>
              <w:kinsoku w:val="0"/>
              <w:overflowPunct w:val="0"/>
              <w:autoSpaceDE w:val="0"/>
              <w:autoSpaceDN w:val="0"/>
              <w:adjustRightInd w:val="0"/>
              <w:spacing w:after="0" w:line="240" w:lineRule="auto"/>
              <w:ind w:left="1"/>
              <w:jc w:val="center"/>
              <w:rPr>
                <w:rFonts w:ascii="Arial Narrow" w:hAnsi="Arial Narrow" w:cs="Calibri"/>
                <w:sz w:val="20"/>
                <w:szCs w:val="20"/>
              </w:rPr>
            </w:pPr>
          </w:p>
          <w:p w14:paraId="597AB845" w14:textId="77777777" w:rsidR="009F61A2" w:rsidRPr="00AB0BB0" w:rsidRDefault="009F61A2" w:rsidP="009F61A2">
            <w:pPr>
              <w:kinsoku w:val="0"/>
              <w:overflowPunct w:val="0"/>
              <w:autoSpaceDE w:val="0"/>
              <w:autoSpaceDN w:val="0"/>
              <w:adjustRightInd w:val="0"/>
              <w:spacing w:after="0" w:line="240" w:lineRule="auto"/>
              <w:ind w:left="1"/>
              <w:jc w:val="center"/>
              <w:rPr>
                <w:rFonts w:ascii="Arial Narrow" w:hAnsi="Arial Narrow" w:cs="Calibri"/>
                <w:spacing w:val="-1"/>
                <w:sz w:val="20"/>
                <w:szCs w:val="20"/>
              </w:rPr>
            </w:pPr>
            <w:r w:rsidRPr="00AB0BB0">
              <w:rPr>
                <w:rFonts w:ascii="Arial Narrow" w:hAnsi="Arial Narrow" w:cs="Calibri"/>
                <w:spacing w:val="-1"/>
                <w:sz w:val="20"/>
                <w:szCs w:val="20"/>
              </w:rPr>
              <w:t>4.5</w:t>
            </w:r>
          </w:p>
          <w:p w14:paraId="53FC0442" w14:textId="77777777" w:rsidR="009F61A2" w:rsidRPr="00AB0BB0" w:rsidRDefault="009F61A2" w:rsidP="009F61A2">
            <w:pPr>
              <w:kinsoku w:val="0"/>
              <w:overflowPunct w:val="0"/>
              <w:autoSpaceDE w:val="0"/>
              <w:autoSpaceDN w:val="0"/>
              <w:adjustRightInd w:val="0"/>
              <w:spacing w:after="0" w:line="240" w:lineRule="auto"/>
              <w:ind w:left="1"/>
              <w:jc w:val="center"/>
              <w:rPr>
                <w:rFonts w:ascii="Arial Narrow" w:hAnsi="Arial Narrow" w:cs="Calibri"/>
                <w:spacing w:val="-1"/>
                <w:sz w:val="20"/>
                <w:szCs w:val="20"/>
              </w:rPr>
            </w:pPr>
            <w:r w:rsidRPr="00AB0BB0">
              <w:rPr>
                <w:rFonts w:ascii="Arial Narrow" w:hAnsi="Arial Narrow" w:cs="Calibri"/>
                <w:spacing w:val="-1"/>
                <w:sz w:val="20"/>
                <w:szCs w:val="20"/>
              </w:rPr>
              <w:t>4.5</w:t>
            </w:r>
          </w:p>
          <w:p w14:paraId="03BB298D" w14:textId="063C45FA"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r w:rsidRPr="00AB0BB0">
              <w:rPr>
                <w:rFonts w:ascii="Arial Narrow" w:hAnsi="Arial Narrow" w:cs="Calibri"/>
                <w:spacing w:val="-1"/>
                <w:sz w:val="20"/>
                <w:szCs w:val="20"/>
              </w:rPr>
              <w:t>4.5</w:t>
            </w:r>
          </w:p>
        </w:tc>
        <w:tc>
          <w:tcPr>
            <w:tcW w:w="850" w:type="dxa"/>
            <w:tcBorders>
              <w:top w:val="single" w:sz="4" w:space="0" w:color="000000"/>
              <w:left w:val="single" w:sz="4" w:space="0" w:color="000000"/>
              <w:bottom w:val="single" w:sz="4" w:space="0" w:color="000000"/>
              <w:right w:val="single" w:sz="4" w:space="0" w:color="000000"/>
            </w:tcBorders>
          </w:tcPr>
          <w:p w14:paraId="51552DC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4BCB3B8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4EB8C33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21265F97"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3E35B4FA" w14:textId="582DDD53"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72909F34"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13876D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5E34E88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EZ +SIM 20</w:t>
            </w:r>
          </w:p>
          <w:p w14:paraId="2ECA7B7C"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EZ +SIM 40</w:t>
            </w:r>
          </w:p>
          <w:p w14:paraId="2D6CC1D9" w14:textId="28F00D1B"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pacing w:val="-1"/>
                <w:sz w:val="20"/>
                <w:szCs w:val="20"/>
              </w:rPr>
              <w:t>EZ +SIM 80</w:t>
            </w:r>
          </w:p>
        </w:tc>
        <w:tc>
          <w:tcPr>
            <w:tcW w:w="992" w:type="dxa"/>
            <w:tcBorders>
              <w:top w:val="single" w:sz="4" w:space="0" w:color="000000"/>
              <w:left w:val="single" w:sz="4" w:space="0" w:color="000000"/>
              <w:bottom w:val="single" w:sz="4" w:space="0" w:color="000000"/>
              <w:right w:val="single" w:sz="4" w:space="0" w:color="000000"/>
            </w:tcBorders>
          </w:tcPr>
          <w:p w14:paraId="1C337C1C"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E2CF39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D89FB9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492</w:t>
            </w:r>
          </w:p>
          <w:p w14:paraId="5186975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493</w:t>
            </w:r>
          </w:p>
          <w:p w14:paraId="4055724E" w14:textId="3369C91E"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pacing w:val="-1"/>
                <w:sz w:val="20"/>
                <w:szCs w:val="20"/>
              </w:rPr>
              <w:t>493</w:t>
            </w:r>
          </w:p>
        </w:tc>
        <w:tc>
          <w:tcPr>
            <w:tcW w:w="851" w:type="dxa"/>
            <w:tcBorders>
              <w:top w:val="single" w:sz="4" w:space="0" w:color="000000"/>
              <w:left w:val="single" w:sz="4" w:space="0" w:color="000000"/>
              <w:bottom w:val="single" w:sz="4" w:space="0" w:color="000000"/>
              <w:right w:val="single" w:sz="4" w:space="0" w:color="000000"/>
            </w:tcBorders>
          </w:tcPr>
          <w:p w14:paraId="7C5540D0"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6DA45F4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55E70579"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w:t>
            </w:r>
          </w:p>
          <w:p w14:paraId="1AC9CA1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w:t>
            </w:r>
          </w:p>
          <w:p w14:paraId="290EF753" w14:textId="4A5B0470"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r w:rsidRPr="00AB0BB0">
              <w:rPr>
                <w:rFonts w:ascii="Arial Narrow" w:hAnsi="Arial Narrow" w:cs="Calibri"/>
                <w:spacing w:val="-1"/>
                <w:sz w:val="20"/>
                <w:szCs w:val="20"/>
              </w:rPr>
              <w:t>4.5</w:t>
            </w:r>
          </w:p>
        </w:tc>
        <w:tc>
          <w:tcPr>
            <w:tcW w:w="850" w:type="dxa"/>
            <w:tcBorders>
              <w:top w:val="single" w:sz="4" w:space="0" w:color="000000"/>
              <w:left w:val="single" w:sz="4" w:space="0" w:color="000000"/>
              <w:bottom w:val="single" w:sz="4" w:space="0" w:color="000000"/>
              <w:right w:val="single" w:sz="4" w:space="0" w:color="000000"/>
            </w:tcBorders>
          </w:tcPr>
          <w:p w14:paraId="20C610FC"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69865448"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615C4BF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2CDAF53C"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3E32EE97" w14:textId="66FEC29B"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567C9CE8"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059C6001"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B1BB32B"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-45.8 (0.5)</w:t>
            </w:r>
          </w:p>
          <w:p w14:paraId="50B56A49"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-52.3 (0.5)</w:t>
            </w:r>
          </w:p>
          <w:p w14:paraId="42F7DC9D" w14:textId="5ABB6169"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-56.7 (0.5)</w:t>
            </w:r>
          </w:p>
        </w:tc>
        <w:tc>
          <w:tcPr>
            <w:tcW w:w="1842" w:type="dxa"/>
            <w:tcBorders>
              <w:top w:val="single" w:sz="4" w:space="0" w:color="000000"/>
              <w:left w:val="single" w:sz="4" w:space="0" w:color="000000"/>
              <w:bottom w:val="single" w:sz="4" w:space="0" w:color="000000"/>
              <w:right w:val="single" w:sz="4" w:space="0" w:color="000000"/>
            </w:tcBorders>
          </w:tcPr>
          <w:p w14:paraId="6194F2C0"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2A31A863"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4E15A260"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-51.5 (0.5)</w:t>
            </w:r>
          </w:p>
          <w:p w14:paraId="2F03107F"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-54.8 (0.5)</w:t>
            </w:r>
          </w:p>
          <w:p w14:paraId="39D750FF" w14:textId="239CA6E3"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-61.0 (0.5)</w:t>
            </w:r>
          </w:p>
        </w:tc>
        <w:tc>
          <w:tcPr>
            <w:tcW w:w="1986" w:type="dxa"/>
            <w:tcBorders>
              <w:top w:val="single" w:sz="4" w:space="0" w:color="000000"/>
              <w:left w:val="single" w:sz="4" w:space="0" w:color="000000"/>
              <w:bottom w:val="single" w:sz="4" w:space="0" w:color="000000"/>
              <w:right w:val="single" w:sz="4" w:space="0" w:color="000000"/>
            </w:tcBorders>
          </w:tcPr>
          <w:p w14:paraId="4BBB28A2"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612A45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437A77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-5.7 (0.8)***</w:t>
            </w:r>
          </w:p>
          <w:p w14:paraId="1620AF31"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 xml:space="preserve">-2.5 (0.8)*** </w:t>
            </w:r>
          </w:p>
          <w:p w14:paraId="144B17F0" w14:textId="19EBB7E6" w:rsidR="009F61A2" w:rsidRPr="00AB0BB0" w:rsidRDefault="009F61A2" w:rsidP="009F61A2">
            <w:pPr>
              <w:kinsoku w:val="0"/>
              <w:overflowPunct w:val="0"/>
              <w:autoSpaceDE w:val="0"/>
              <w:autoSpaceDN w:val="0"/>
              <w:adjustRightInd w:val="0"/>
              <w:spacing w:after="0" w:line="240" w:lineRule="auto"/>
              <w:ind w:left="-2" w:firstLine="2"/>
              <w:jc w:val="center"/>
              <w:rPr>
                <w:rFonts w:ascii="Arial Narrow" w:hAnsi="Arial Narrow" w:cs="Calibri"/>
                <w:sz w:val="20"/>
                <w:szCs w:val="20"/>
              </w:rPr>
            </w:pPr>
            <w:r>
              <w:rPr>
                <w:rFonts w:ascii="Arial Narrow" w:hAnsi="Arial Narrow" w:cs="Calibri"/>
                <w:spacing w:val="-1"/>
                <w:sz w:val="20"/>
                <w:szCs w:val="20"/>
              </w:rPr>
              <w:t xml:space="preserve"> </w:t>
            </w:r>
            <w:r w:rsidRPr="00AB0BB0">
              <w:rPr>
                <w:rFonts w:ascii="Arial Narrow" w:hAnsi="Arial Narrow" w:cs="Calibri"/>
                <w:spacing w:val="-1"/>
                <w:sz w:val="20"/>
                <w:szCs w:val="20"/>
              </w:rPr>
              <w:t xml:space="preserve">-3.9 (0.8)*** </w:t>
            </w:r>
          </w:p>
        </w:tc>
      </w:tr>
      <w:tr w:rsidR="009F61A2" w:rsidRPr="00AB0BB0" w14:paraId="26BC2EDD" w14:textId="77777777" w:rsidTr="00786356">
        <w:trPr>
          <w:trHeight w:hRule="exact" w:val="275"/>
        </w:trPr>
        <w:tc>
          <w:tcPr>
            <w:tcW w:w="15451" w:type="dxa"/>
            <w:gridSpan w:val="11"/>
            <w:tcBorders>
              <w:top w:val="single" w:sz="4" w:space="0" w:color="000000"/>
              <w:left w:val="single" w:sz="4" w:space="0" w:color="000000"/>
              <w:bottom w:val="single" w:sz="4" w:space="0" w:color="000000"/>
              <w:right w:val="single" w:sz="4" w:space="0" w:color="000000"/>
            </w:tcBorders>
          </w:tcPr>
          <w:p w14:paraId="7124AADF" w14:textId="179B9360" w:rsidR="009F61A2" w:rsidRPr="00AB0BB0" w:rsidRDefault="009F61A2" w:rsidP="009F61A2">
            <w:pPr>
              <w:kinsoku w:val="0"/>
              <w:overflowPunct w:val="0"/>
              <w:autoSpaceDE w:val="0"/>
              <w:autoSpaceDN w:val="0"/>
              <w:adjustRightInd w:val="0"/>
              <w:spacing w:after="0" w:line="240" w:lineRule="auto"/>
              <w:ind w:left="-2" w:firstLine="2"/>
              <w:jc w:val="center"/>
              <w:rPr>
                <w:rFonts w:ascii="Arial Narrow" w:hAnsi="Arial Narrow" w:cs="Calibri"/>
                <w:sz w:val="20"/>
                <w:szCs w:val="20"/>
              </w:rPr>
            </w:pPr>
            <w:r w:rsidRPr="00AB0BB0">
              <w:rPr>
                <w:rFonts w:ascii="Arial Narrow" w:hAnsi="Arial Narrow" w:cs="Calibri"/>
                <w:i/>
                <w:sz w:val="20"/>
                <w:szCs w:val="20"/>
              </w:rPr>
              <w:t>Secondary prevention population</w:t>
            </w:r>
          </w:p>
        </w:tc>
      </w:tr>
      <w:tr w:rsidR="009F61A2" w:rsidRPr="00AB0BB0" w14:paraId="0948EC51" w14:textId="77777777" w:rsidTr="000A080E">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75D67DD6"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Pesaro 2013</w:t>
            </w:r>
            <w:r w:rsidRPr="00AB0BB0">
              <w:rPr>
                <w:rFonts w:ascii="Arial Narrow" w:hAnsi="Arial Narrow" w:cs="Calibri"/>
                <w:spacing w:val="-1"/>
                <w:sz w:val="20"/>
                <w:szCs w:val="20"/>
                <w:vertAlign w:val="superscript"/>
              </w:rPr>
              <w:t>2</w:t>
            </w:r>
            <w:r w:rsidRPr="00AB0BB0">
              <w:rPr>
                <w:rFonts w:ascii="Arial Narrow" w:hAnsi="Arial Narrow" w:cs="Calibri"/>
                <w:spacing w:val="-1"/>
                <w:sz w:val="20"/>
                <w:szCs w:val="20"/>
              </w:rPr>
              <w:t xml:space="preserve"> </w:t>
            </w:r>
          </w:p>
          <w:p w14:paraId="40A66E48"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t>
            </w:r>
            <w:r w:rsidRPr="00AB0BB0">
              <w:rPr>
                <w:rFonts w:ascii="Arial Narrow" w:hAnsi="Arial Narrow" w:cs="Calibri"/>
                <w:spacing w:val="-1"/>
                <w:sz w:val="16"/>
                <w:szCs w:val="16"/>
              </w:rPr>
              <w:t>SIM 20 (run in)</w:t>
            </w:r>
          </w:p>
          <w:p w14:paraId="598CC2DF" w14:textId="0698BD43"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 SIM 80</w:t>
            </w:r>
          </w:p>
        </w:tc>
        <w:tc>
          <w:tcPr>
            <w:tcW w:w="992" w:type="dxa"/>
            <w:tcBorders>
              <w:top w:val="single" w:sz="4" w:space="0" w:color="000000"/>
              <w:left w:val="single" w:sz="4" w:space="0" w:color="000000"/>
              <w:bottom w:val="single" w:sz="4" w:space="0" w:color="000000"/>
              <w:right w:val="single" w:sz="4" w:space="0" w:color="000000"/>
            </w:tcBorders>
            <w:vAlign w:val="center"/>
          </w:tcPr>
          <w:p w14:paraId="7FF5868A" w14:textId="2967971A"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31</w:t>
            </w:r>
          </w:p>
        </w:tc>
        <w:tc>
          <w:tcPr>
            <w:tcW w:w="851" w:type="dxa"/>
            <w:tcBorders>
              <w:top w:val="single" w:sz="4" w:space="0" w:color="000000"/>
              <w:left w:val="single" w:sz="4" w:space="0" w:color="000000"/>
              <w:bottom w:val="single" w:sz="4" w:space="0" w:color="000000"/>
              <w:right w:val="single" w:sz="4" w:space="0" w:color="000000"/>
            </w:tcBorders>
            <w:vAlign w:val="center"/>
          </w:tcPr>
          <w:p w14:paraId="4E368DDB" w14:textId="061C93D8" w:rsidR="009F61A2" w:rsidRPr="00AB0BB0" w:rsidRDefault="009F61A2" w:rsidP="009F61A2">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2.72</w:t>
            </w:r>
          </w:p>
        </w:tc>
        <w:tc>
          <w:tcPr>
            <w:tcW w:w="850" w:type="dxa"/>
            <w:tcBorders>
              <w:top w:val="single" w:sz="4" w:space="0" w:color="000000"/>
              <w:left w:val="single" w:sz="4" w:space="0" w:color="000000"/>
              <w:bottom w:val="single" w:sz="4" w:space="0" w:color="000000"/>
              <w:right w:val="single" w:sz="4" w:space="0" w:color="000000"/>
            </w:tcBorders>
            <w:vAlign w:val="center"/>
          </w:tcPr>
          <w:p w14:paraId="43005B2E" w14:textId="11607F51"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1BEDC9B3" w14:textId="3E010298" w:rsidR="009F61A2" w:rsidRPr="00AB0BB0" w:rsidRDefault="009F61A2" w:rsidP="009F61A2">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r w:rsidRPr="00AB0BB0">
              <w:rPr>
                <w:rFonts w:ascii="Arial Narrow" w:hAnsi="Arial Narrow" w:cs="Calibri"/>
                <w:spacing w:val="-1"/>
                <w:sz w:val="20"/>
                <w:szCs w:val="20"/>
              </w:rPr>
              <w:t>EZ+SIM 20</w:t>
            </w:r>
          </w:p>
        </w:tc>
        <w:tc>
          <w:tcPr>
            <w:tcW w:w="992" w:type="dxa"/>
            <w:tcBorders>
              <w:top w:val="single" w:sz="4" w:space="0" w:color="000000"/>
              <w:left w:val="single" w:sz="4" w:space="0" w:color="000000"/>
              <w:bottom w:val="single" w:sz="4" w:space="0" w:color="000000"/>
              <w:right w:val="single" w:sz="4" w:space="0" w:color="000000"/>
            </w:tcBorders>
            <w:vAlign w:val="center"/>
          </w:tcPr>
          <w:p w14:paraId="34C4FD2E" w14:textId="47CD5596"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37</w:t>
            </w:r>
          </w:p>
        </w:tc>
        <w:tc>
          <w:tcPr>
            <w:tcW w:w="851" w:type="dxa"/>
            <w:tcBorders>
              <w:top w:val="single" w:sz="4" w:space="0" w:color="000000"/>
              <w:left w:val="single" w:sz="4" w:space="0" w:color="000000"/>
              <w:bottom w:val="single" w:sz="4" w:space="0" w:color="000000"/>
              <w:right w:val="single" w:sz="4" w:space="0" w:color="000000"/>
            </w:tcBorders>
            <w:vAlign w:val="center"/>
          </w:tcPr>
          <w:p w14:paraId="4DAAA59D" w14:textId="2B594990" w:rsidR="009F61A2" w:rsidRPr="00AB0BB0" w:rsidRDefault="009F61A2" w:rsidP="009F61A2">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2.74</w:t>
            </w:r>
          </w:p>
        </w:tc>
        <w:tc>
          <w:tcPr>
            <w:tcW w:w="850" w:type="dxa"/>
            <w:tcBorders>
              <w:top w:val="single" w:sz="4" w:space="0" w:color="000000"/>
              <w:left w:val="single" w:sz="4" w:space="0" w:color="000000"/>
              <w:bottom w:val="single" w:sz="4" w:space="0" w:color="000000"/>
              <w:right w:val="single" w:sz="4" w:space="0" w:color="000000"/>
            </w:tcBorders>
            <w:vAlign w:val="center"/>
          </w:tcPr>
          <w:p w14:paraId="7E8E3A06" w14:textId="1B67ECA3"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690DA572"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78D5AB2D" w14:textId="1C197A08"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-21 (33)</w:t>
            </w:r>
          </w:p>
        </w:tc>
        <w:tc>
          <w:tcPr>
            <w:tcW w:w="1842" w:type="dxa"/>
            <w:tcBorders>
              <w:top w:val="single" w:sz="4" w:space="0" w:color="000000"/>
              <w:left w:val="single" w:sz="4" w:space="0" w:color="000000"/>
              <w:bottom w:val="single" w:sz="4" w:space="0" w:color="000000"/>
              <w:right w:val="single" w:sz="4" w:space="0" w:color="000000"/>
            </w:tcBorders>
          </w:tcPr>
          <w:p w14:paraId="4B90E6D9"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37A251EB" w14:textId="7CAC99FC"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-29(13)</w:t>
            </w:r>
          </w:p>
        </w:tc>
        <w:tc>
          <w:tcPr>
            <w:tcW w:w="1986" w:type="dxa"/>
            <w:tcBorders>
              <w:top w:val="single" w:sz="4" w:space="0" w:color="000000"/>
              <w:left w:val="single" w:sz="4" w:space="0" w:color="000000"/>
              <w:bottom w:val="single" w:sz="4" w:space="0" w:color="000000"/>
              <w:right w:val="single" w:sz="4" w:space="0" w:color="000000"/>
            </w:tcBorders>
          </w:tcPr>
          <w:p w14:paraId="10F4E3E8"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474DA893" w14:textId="6A57B6C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NR p=0.46</w:t>
            </w:r>
          </w:p>
        </w:tc>
      </w:tr>
      <w:tr w:rsidR="009F61A2" w:rsidRPr="00AB0BB0" w14:paraId="5C343D1A" w14:textId="77777777" w:rsidTr="000A080E">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5DAC5304"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Cho 2011</w:t>
            </w:r>
            <w:r w:rsidRPr="00AB0BB0">
              <w:rPr>
                <w:rFonts w:ascii="Arial Narrow" w:hAnsi="Arial Narrow" w:cs="Calibri"/>
                <w:spacing w:val="-1"/>
                <w:sz w:val="20"/>
                <w:szCs w:val="20"/>
                <w:vertAlign w:val="superscript"/>
              </w:rPr>
              <w:t>1</w:t>
            </w:r>
          </w:p>
          <w:p w14:paraId="26C979DC" w14:textId="36F9ADB3"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lang w:eastAsia="en-US"/>
              </w:rPr>
            </w:pPr>
            <w:r w:rsidRPr="00AB0BB0">
              <w:rPr>
                <w:rFonts w:ascii="Arial Narrow" w:hAnsi="Arial Narrow" w:cs="Calibri"/>
                <w:spacing w:val="-1"/>
                <w:sz w:val="20"/>
                <w:szCs w:val="20"/>
              </w:rPr>
              <w:t>ATOR 20</w:t>
            </w:r>
          </w:p>
        </w:tc>
        <w:tc>
          <w:tcPr>
            <w:tcW w:w="992" w:type="dxa"/>
            <w:tcBorders>
              <w:top w:val="single" w:sz="4" w:space="0" w:color="000000"/>
              <w:left w:val="single" w:sz="4" w:space="0" w:color="000000"/>
              <w:bottom w:val="single" w:sz="4" w:space="0" w:color="000000"/>
              <w:right w:val="single" w:sz="4" w:space="0" w:color="000000"/>
            </w:tcBorders>
          </w:tcPr>
          <w:p w14:paraId="23897F6D" w14:textId="77777777" w:rsidR="009F61A2" w:rsidRPr="00AB0BB0" w:rsidRDefault="009F61A2" w:rsidP="009F61A2">
            <w:pPr>
              <w:kinsoku w:val="0"/>
              <w:overflowPunct w:val="0"/>
              <w:autoSpaceDE w:val="0"/>
              <w:autoSpaceDN w:val="0"/>
              <w:adjustRightInd w:val="0"/>
              <w:spacing w:after="0" w:line="240" w:lineRule="auto"/>
              <w:ind w:right="224"/>
              <w:rPr>
                <w:rFonts w:ascii="Arial Narrow" w:hAnsi="Arial Narrow" w:cs="Calibri"/>
                <w:spacing w:val="-1"/>
                <w:sz w:val="20"/>
                <w:szCs w:val="20"/>
              </w:rPr>
            </w:pPr>
          </w:p>
          <w:p w14:paraId="1A54A5A5" w14:textId="6CEA3271"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43</w:t>
            </w:r>
          </w:p>
        </w:tc>
        <w:tc>
          <w:tcPr>
            <w:tcW w:w="851" w:type="dxa"/>
            <w:tcBorders>
              <w:top w:val="single" w:sz="4" w:space="0" w:color="000000"/>
              <w:left w:val="single" w:sz="4" w:space="0" w:color="000000"/>
              <w:bottom w:val="single" w:sz="4" w:space="0" w:color="000000"/>
              <w:right w:val="single" w:sz="4" w:space="0" w:color="000000"/>
            </w:tcBorders>
          </w:tcPr>
          <w:p w14:paraId="6F9DFB94" w14:textId="77777777" w:rsidR="009F61A2" w:rsidRPr="00AB0BB0" w:rsidRDefault="009F61A2" w:rsidP="009F61A2">
            <w:pPr>
              <w:tabs>
                <w:tab w:val="left" w:pos="849"/>
              </w:tabs>
              <w:kinsoku w:val="0"/>
              <w:overflowPunct w:val="0"/>
              <w:autoSpaceDE w:val="0"/>
              <w:autoSpaceDN w:val="0"/>
              <w:adjustRightInd w:val="0"/>
              <w:spacing w:after="0" w:line="240" w:lineRule="auto"/>
              <w:ind w:right="224"/>
              <w:rPr>
                <w:rFonts w:ascii="Arial Narrow" w:hAnsi="Arial Narrow" w:cs="Calibri"/>
                <w:spacing w:val="-1"/>
                <w:sz w:val="20"/>
                <w:szCs w:val="20"/>
              </w:rPr>
            </w:pPr>
          </w:p>
          <w:p w14:paraId="3C6371AD" w14:textId="1AC95793"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3.42</w:t>
            </w:r>
          </w:p>
        </w:tc>
        <w:tc>
          <w:tcPr>
            <w:tcW w:w="850" w:type="dxa"/>
            <w:tcBorders>
              <w:top w:val="single" w:sz="4" w:space="0" w:color="000000"/>
              <w:left w:val="single" w:sz="4" w:space="0" w:color="000000"/>
              <w:bottom w:val="single" w:sz="4" w:space="0" w:color="000000"/>
              <w:right w:val="single" w:sz="4" w:space="0" w:color="000000"/>
            </w:tcBorders>
          </w:tcPr>
          <w:p w14:paraId="39317127" w14:textId="77777777" w:rsidR="009F61A2" w:rsidRPr="00AB0BB0" w:rsidRDefault="009F61A2" w:rsidP="009F61A2">
            <w:pPr>
              <w:kinsoku w:val="0"/>
              <w:overflowPunct w:val="0"/>
              <w:autoSpaceDE w:val="0"/>
              <w:autoSpaceDN w:val="0"/>
              <w:adjustRightInd w:val="0"/>
              <w:spacing w:after="0" w:line="240" w:lineRule="auto"/>
              <w:ind w:right="224"/>
              <w:rPr>
                <w:rFonts w:ascii="Arial Narrow" w:hAnsi="Arial Narrow" w:cs="Calibri"/>
                <w:spacing w:val="-1"/>
                <w:sz w:val="20"/>
                <w:szCs w:val="20"/>
              </w:rPr>
            </w:pPr>
          </w:p>
          <w:p w14:paraId="4E0CBF4E" w14:textId="38CEBB56"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1.89</w:t>
            </w:r>
          </w:p>
        </w:tc>
        <w:tc>
          <w:tcPr>
            <w:tcW w:w="2268" w:type="dxa"/>
            <w:tcBorders>
              <w:top w:val="single" w:sz="4" w:space="0" w:color="000000"/>
              <w:left w:val="single" w:sz="4" w:space="0" w:color="000000"/>
              <w:bottom w:val="single" w:sz="4" w:space="0" w:color="000000"/>
              <w:right w:val="single" w:sz="4" w:space="0" w:color="000000"/>
            </w:tcBorders>
          </w:tcPr>
          <w:p w14:paraId="6DF5A7BC" w14:textId="77777777" w:rsidR="009F61A2" w:rsidRPr="00AB0BB0" w:rsidRDefault="009F61A2" w:rsidP="009F61A2">
            <w:pPr>
              <w:kinsoku w:val="0"/>
              <w:overflowPunct w:val="0"/>
              <w:autoSpaceDE w:val="0"/>
              <w:autoSpaceDN w:val="0"/>
              <w:adjustRightInd w:val="0"/>
              <w:spacing w:after="0" w:line="240" w:lineRule="auto"/>
              <w:ind w:right="142"/>
              <w:jc w:val="center"/>
              <w:rPr>
                <w:rFonts w:ascii="Arial Narrow" w:hAnsi="Arial Narrow" w:cs="Calibri"/>
                <w:spacing w:val="-1"/>
                <w:sz w:val="20"/>
                <w:szCs w:val="20"/>
              </w:rPr>
            </w:pPr>
          </w:p>
          <w:p w14:paraId="5A13FBC9" w14:textId="0430BACE" w:rsidR="009F61A2" w:rsidRPr="00AB0BB0" w:rsidRDefault="009F61A2" w:rsidP="009F61A2">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r w:rsidRPr="00AB0BB0">
              <w:rPr>
                <w:rFonts w:ascii="Arial Narrow" w:hAnsi="Arial Narrow" w:cs="Calibri"/>
                <w:spacing w:val="-1"/>
                <w:sz w:val="20"/>
                <w:szCs w:val="20"/>
              </w:rPr>
              <w:t>EZ +SIM 20</w:t>
            </w:r>
          </w:p>
        </w:tc>
        <w:tc>
          <w:tcPr>
            <w:tcW w:w="992" w:type="dxa"/>
            <w:tcBorders>
              <w:top w:val="single" w:sz="4" w:space="0" w:color="000000"/>
              <w:left w:val="single" w:sz="4" w:space="0" w:color="000000"/>
              <w:bottom w:val="single" w:sz="4" w:space="0" w:color="000000"/>
              <w:right w:val="single" w:sz="4" w:space="0" w:color="000000"/>
            </w:tcBorders>
          </w:tcPr>
          <w:p w14:paraId="5C7B2CB4" w14:textId="77777777" w:rsidR="009F61A2" w:rsidRPr="00AB0BB0" w:rsidRDefault="009F61A2" w:rsidP="009F61A2">
            <w:pPr>
              <w:kinsoku w:val="0"/>
              <w:overflowPunct w:val="0"/>
              <w:autoSpaceDE w:val="0"/>
              <w:autoSpaceDN w:val="0"/>
              <w:adjustRightInd w:val="0"/>
              <w:spacing w:after="0" w:line="240" w:lineRule="auto"/>
              <w:ind w:right="155"/>
              <w:jc w:val="center"/>
              <w:rPr>
                <w:rFonts w:ascii="Arial Narrow" w:hAnsi="Arial Narrow" w:cs="Calibri"/>
                <w:spacing w:val="-1"/>
                <w:sz w:val="20"/>
                <w:szCs w:val="20"/>
              </w:rPr>
            </w:pPr>
          </w:p>
          <w:p w14:paraId="4BAF2FCD" w14:textId="7C6ED43F"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42</w:t>
            </w:r>
          </w:p>
        </w:tc>
        <w:tc>
          <w:tcPr>
            <w:tcW w:w="851" w:type="dxa"/>
            <w:tcBorders>
              <w:top w:val="single" w:sz="4" w:space="0" w:color="000000"/>
              <w:left w:val="single" w:sz="4" w:space="0" w:color="000000"/>
              <w:bottom w:val="single" w:sz="4" w:space="0" w:color="000000"/>
              <w:right w:val="single" w:sz="4" w:space="0" w:color="000000"/>
            </w:tcBorders>
          </w:tcPr>
          <w:p w14:paraId="42D17371" w14:textId="77777777" w:rsidR="009F61A2" w:rsidRPr="00AB0BB0" w:rsidRDefault="009F61A2" w:rsidP="009F61A2">
            <w:pPr>
              <w:tabs>
                <w:tab w:val="left" w:pos="849"/>
              </w:tabs>
              <w:kinsoku w:val="0"/>
              <w:overflowPunct w:val="0"/>
              <w:autoSpaceDE w:val="0"/>
              <w:autoSpaceDN w:val="0"/>
              <w:adjustRightInd w:val="0"/>
              <w:spacing w:after="0" w:line="240" w:lineRule="auto"/>
              <w:jc w:val="center"/>
              <w:rPr>
                <w:rFonts w:ascii="Arial Narrow" w:hAnsi="Arial Narrow" w:cs="Calibri"/>
                <w:spacing w:val="-1"/>
                <w:sz w:val="20"/>
                <w:szCs w:val="20"/>
              </w:rPr>
            </w:pPr>
          </w:p>
          <w:p w14:paraId="1AC9A6E3" w14:textId="784687F2"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z w:val="20"/>
                <w:szCs w:val="20"/>
              </w:rPr>
            </w:pPr>
            <w:r w:rsidRPr="00AB0BB0">
              <w:rPr>
                <w:rFonts w:ascii="Arial Narrow" w:hAnsi="Arial Narrow" w:cs="Calibri"/>
                <w:spacing w:val="-1"/>
                <w:sz w:val="20"/>
                <w:szCs w:val="20"/>
              </w:rPr>
              <w:t>3.47</w:t>
            </w:r>
          </w:p>
        </w:tc>
        <w:tc>
          <w:tcPr>
            <w:tcW w:w="850" w:type="dxa"/>
            <w:tcBorders>
              <w:top w:val="single" w:sz="4" w:space="0" w:color="000000"/>
              <w:left w:val="single" w:sz="4" w:space="0" w:color="000000"/>
              <w:bottom w:val="single" w:sz="4" w:space="0" w:color="000000"/>
              <w:right w:val="single" w:sz="4" w:space="0" w:color="000000"/>
            </w:tcBorders>
          </w:tcPr>
          <w:p w14:paraId="44DA3D35"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5141D05" w14:textId="036B027C"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z w:val="20"/>
                <w:szCs w:val="20"/>
              </w:rPr>
            </w:pPr>
            <w:r w:rsidRPr="00AB0BB0">
              <w:rPr>
                <w:rFonts w:ascii="Arial Narrow" w:hAnsi="Arial Narrow" w:cs="Calibri"/>
                <w:spacing w:val="-1"/>
                <w:sz w:val="20"/>
                <w:szCs w:val="20"/>
              </w:rPr>
              <w:t>2.00</w:t>
            </w:r>
          </w:p>
        </w:tc>
        <w:tc>
          <w:tcPr>
            <w:tcW w:w="1842" w:type="dxa"/>
            <w:tcBorders>
              <w:top w:val="single" w:sz="4" w:space="0" w:color="000000"/>
              <w:left w:val="single" w:sz="4" w:space="0" w:color="000000"/>
              <w:bottom w:val="single" w:sz="4" w:space="0" w:color="000000"/>
              <w:right w:val="single" w:sz="4" w:space="0" w:color="000000"/>
            </w:tcBorders>
          </w:tcPr>
          <w:p w14:paraId="3B4AF590"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2FAA1864" w14:textId="45BB56BA"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pacing w:val="-1"/>
                <w:sz w:val="20"/>
                <w:szCs w:val="20"/>
              </w:rPr>
              <w:t>-44.2 (14.0)</w:t>
            </w:r>
          </w:p>
        </w:tc>
        <w:tc>
          <w:tcPr>
            <w:tcW w:w="1842" w:type="dxa"/>
            <w:tcBorders>
              <w:top w:val="single" w:sz="4" w:space="0" w:color="000000"/>
              <w:left w:val="single" w:sz="4" w:space="0" w:color="000000"/>
              <w:bottom w:val="single" w:sz="4" w:space="0" w:color="000000"/>
              <w:right w:val="single" w:sz="4" w:space="0" w:color="000000"/>
            </w:tcBorders>
          </w:tcPr>
          <w:p w14:paraId="3EFAE70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B768A6C" w14:textId="3A7CC524"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pacing w:val="-1"/>
                <w:sz w:val="20"/>
                <w:szCs w:val="20"/>
              </w:rPr>
              <w:t>-41.1(17.3)</w:t>
            </w:r>
          </w:p>
        </w:tc>
        <w:tc>
          <w:tcPr>
            <w:tcW w:w="1986" w:type="dxa"/>
            <w:tcBorders>
              <w:top w:val="single" w:sz="4" w:space="0" w:color="000000"/>
              <w:left w:val="single" w:sz="4" w:space="0" w:color="000000"/>
              <w:bottom w:val="single" w:sz="4" w:space="0" w:color="000000"/>
              <w:right w:val="single" w:sz="4" w:space="0" w:color="000000"/>
            </w:tcBorders>
          </w:tcPr>
          <w:p w14:paraId="5FA3BD42"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76BCDFA9" w14:textId="17CBADB8" w:rsidR="009F61A2" w:rsidRPr="00AB0BB0" w:rsidRDefault="009F61A2" w:rsidP="009F61A2">
            <w:pPr>
              <w:kinsoku w:val="0"/>
              <w:overflowPunct w:val="0"/>
              <w:autoSpaceDE w:val="0"/>
              <w:autoSpaceDN w:val="0"/>
              <w:adjustRightInd w:val="0"/>
              <w:spacing w:after="0" w:line="278" w:lineRule="auto"/>
              <w:ind w:left="142" w:hanging="1"/>
              <w:jc w:val="center"/>
              <w:rPr>
                <w:rFonts w:ascii="Arial Narrow" w:hAnsi="Arial Narrow" w:cs="Calibri"/>
                <w:sz w:val="20"/>
                <w:szCs w:val="20"/>
              </w:rPr>
            </w:pPr>
            <w:r w:rsidRPr="00AB0BB0">
              <w:rPr>
                <w:rFonts w:ascii="Arial Narrow" w:hAnsi="Arial Narrow" w:cs="Calibri"/>
                <w:sz w:val="20"/>
                <w:szCs w:val="20"/>
              </w:rPr>
              <w:t>NR (not significant)</w:t>
            </w:r>
          </w:p>
          <w:p w14:paraId="7DA91FC1" w14:textId="0821E7F1"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tc>
      </w:tr>
      <w:tr w:rsidR="009F61A2" w:rsidRPr="00AB0BB0" w14:paraId="5EDC86FC" w14:textId="77777777" w:rsidTr="00E27959">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52CB4C9C"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vertAlign w:val="superscript"/>
              </w:rPr>
            </w:pPr>
            <w:r w:rsidRPr="00AB0BB0">
              <w:rPr>
                <w:rFonts w:ascii="Arial Narrow" w:hAnsi="Arial Narrow" w:cs="Calibri"/>
                <w:spacing w:val="-1"/>
                <w:sz w:val="20"/>
                <w:szCs w:val="20"/>
              </w:rPr>
              <w:t xml:space="preserve">   Barrios 2005</w:t>
            </w:r>
            <w:r w:rsidRPr="00AB0BB0">
              <w:rPr>
                <w:rFonts w:ascii="Arial Narrow" w:hAnsi="Arial Narrow" w:cs="Calibri"/>
                <w:spacing w:val="-1"/>
                <w:sz w:val="20"/>
                <w:szCs w:val="20"/>
                <w:vertAlign w:val="superscript"/>
              </w:rPr>
              <w:t>2</w:t>
            </w:r>
          </w:p>
          <w:p w14:paraId="5C46E0B3"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t>
            </w:r>
            <w:r w:rsidRPr="00AB0BB0">
              <w:rPr>
                <w:rFonts w:ascii="Arial Narrow" w:hAnsi="Arial Narrow" w:cs="Calibri"/>
                <w:spacing w:val="-1"/>
                <w:sz w:val="16"/>
                <w:szCs w:val="16"/>
              </w:rPr>
              <w:t>ATOR 10 (run in)</w:t>
            </w:r>
            <w:r w:rsidRPr="00AB0BB0">
              <w:rPr>
                <w:rFonts w:ascii="Arial Narrow" w:hAnsi="Arial Narrow" w:cs="Calibri"/>
                <w:spacing w:val="-1"/>
                <w:sz w:val="20"/>
                <w:szCs w:val="20"/>
              </w:rPr>
              <w:t xml:space="preserve"> </w:t>
            </w:r>
          </w:p>
          <w:p w14:paraId="26271FAD"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ATOR 20</w:t>
            </w:r>
          </w:p>
          <w:p w14:paraId="343DE952"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5F6F1DC" w14:textId="77777777"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2DA95FBD" w14:textId="44FBC062"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214</w:t>
            </w:r>
          </w:p>
          <w:p w14:paraId="462CAEED" w14:textId="3314EE03"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61D800B" w14:textId="77777777" w:rsidR="009F61A2" w:rsidRPr="00AB0BB0" w:rsidRDefault="009F61A2" w:rsidP="009F61A2">
            <w:pPr>
              <w:kinsoku w:val="0"/>
              <w:overflowPunct w:val="0"/>
              <w:autoSpaceDE w:val="0"/>
              <w:autoSpaceDN w:val="0"/>
              <w:adjustRightInd w:val="0"/>
              <w:spacing w:after="0" w:line="218" w:lineRule="exact"/>
              <w:rPr>
                <w:rFonts w:ascii="Arial Narrow" w:hAnsi="Arial Narrow" w:cs="Calibri"/>
                <w:spacing w:val="-1"/>
                <w:sz w:val="20"/>
                <w:szCs w:val="20"/>
              </w:rPr>
            </w:pPr>
          </w:p>
          <w:p w14:paraId="1D7B4951" w14:textId="36B554CD"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3.24</w:t>
            </w:r>
          </w:p>
          <w:p w14:paraId="3B3FA685" w14:textId="77777777" w:rsidR="009F61A2" w:rsidRPr="00AB0BB0" w:rsidRDefault="009F61A2" w:rsidP="009F61A2">
            <w:pPr>
              <w:kinsoku w:val="0"/>
              <w:overflowPunct w:val="0"/>
              <w:autoSpaceDE w:val="0"/>
              <w:autoSpaceDN w:val="0"/>
              <w:adjustRightInd w:val="0"/>
              <w:spacing w:after="0" w:line="240" w:lineRule="auto"/>
              <w:ind w:right="338"/>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DB87B4D" w14:textId="77777777"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495EE867" w14:textId="3BF80FC9"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NR</w:t>
            </w:r>
          </w:p>
          <w:p w14:paraId="13E40FCA" w14:textId="7697E34E"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BDFC412" w14:textId="77777777" w:rsidR="009F61A2" w:rsidRPr="00AB0BB0" w:rsidRDefault="009F61A2" w:rsidP="009F61A2">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p>
          <w:p w14:paraId="0271C6E7" w14:textId="260B87AC" w:rsidR="009F61A2" w:rsidRPr="00AB0BB0" w:rsidRDefault="009F61A2" w:rsidP="009F61A2">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r w:rsidRPr="00AB0BB0">
              <w:rPr>
                <w:rFonts w:ascii="Arial Narrow" w:hAnsi="Arial Narrow" w:cs="Calibri"/>
                <w:spacing w:val="-1"/>
                <w:sz w:val="20"/>
                <w:szCs w:val="20"/>
              </w:rPr>
              <w:t>EZ+ SIM 20</w:t>
            </w:r>
          </w:p>
          <w:p w14:paraId="2F3E7932" w14:textId="2C5A7A1D" w:rsidR="009F61A2" w:rsidRPr="00AB0BB0" w:rsidRDefault="009F61A2" w:rsidP="009F61A2">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37EF244"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p>
          <w:p w14:paraId="5820F1EB" w14:textId="75AABAB2"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pacing w:val="-1"/>
                <w:sz w:val="20"/>
                <w:szCs w:val="20"/>
              </w:rPr>
              <w:t>221</w:t>
            </w:r>
          </w:p>
          <w:p w14:paraId="0ABC5194" w14:textId="50CD7913"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353B2D6" w14:textId="77777777" w:rsidR="009F61A2" w:rsidRPr="00AB0BB0" w:rsidRDefault="009F61A2" w:rsidP="009F61A2">
            <w:pPr>
              <w:tabs>
                <w:tab w:val="left" w:pos="849"/>
              </w:tabs>
              <w:kinsoku w:val="0"/>
              <w:overflowPunct w:val="0"/>
              <w:autoSpaceDE w:val="0"/>
              <w:autoSpaceDN w:val="0"/>
              <w:adjustRightInd w:val="0"/>
              <w:spacing w:after="0" w:line="218" w:lineRule="exact"/>
              <w:jc w:val="center"/>
              <w:rPr>
                <w:rFonts w:ascii="Arial Narrow" w:hAnsi="Arial Narrow" w:cs="Calibri"/>
                <w:spacing w:val="-1"/>
                <w:sz w:val="20"/>
                <w:szCs w:val="20"/>
              </w:rPr>
            </w:pPr>
          </w:p>
          <w:p w14:paraId="6D00A338" w14:textId="4BA2919E" w:rsidR="009F61A2" w:rsidRPr="00AB0BB0" w:rsidRDefault="009F61A2" w:rsidP="009F61A2">
            <w:pPr>
              <w:tabs>
                <w:tab w:val="left" w:pos="849"/>
              </w:tabs>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3.19</w:t>
            </w:r>
          </w:p>
          <w:p w14:paraId="75924925" w14:textId="253A60DC" w:rsidR="009F61A2" w:rsidRPr="00AB0BB0" w:rsidRDefault="009F61A2" w:rsidP="009F61A2">
            <w:pPr>
              <w:tabs>
                <w:tab w:val="left" w:pos="849"/>
              </w:tabs>
              <w:kinsoku w:val="0"/>
              <w:overflowPunct w:val="0"/>
              <w:autoSpaceDE w:val="0"/>
              <w:autoSpaceDN w:val="0"/>
              <w:adjustRightInd w:val="0"/>
              <w:spacing w:after="0" w:line="240" w:lineRule="auto"/>
              <w:ind w:right="338"/>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665C05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489070B8" w14:textId="680D40C1"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p w14:paraId="080CFAFE" w14:textId="4D6CF559"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3E80368"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16D7638F" w14:textId="4FEA4550"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-20.3 (1.2)</w:t>
            </w:r>
          </w:p>
          <w:p w14:paraId="7505A123" w14:textId="5C1BBD2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56580DE2"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0B1975D1" w14:textId="4D1B7A50"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-32.8 (1.2)</w:t>
            </w:r>
          </w:p>
          <w:p w14:paraId="7403A4C3" w14:textId="5A652CDD"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center"/>
          </w:tcPr>
          <w:p w14:paraId="4DE009FD"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26EC15A4" w14:textId="600A132B"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-12.6 (1.6)***</w:t>
            </w:r>
          </w:p>
          <w:p w14:paraId="4AD4C027" w14:textId="532F7E38"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tc>
      </w:tr>
      <w:tr w:rsidR="009F61A2" w:rsidRPr="00AB0BB0" w14:paraId="39005610" w14:textId="77777777" w:rsidTr="004B471D">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62C132D2"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z w:val="20"/>
                <w:szCs w:val="20"/>
              </w:rPr>
            </w:pPr>
            <w:r w:rsidRPr="00AB0BB0">
              <w:rPr>
                <w:rFonts w:ascii="Arial Narrow" w:hAnsi="Arial Narrow" w:cs="Calibri"/>
                <w:spacing w:val="-1"/>
                <w:sz w:val="20"/>
                <w:szCs w:val="20"/>
              </w:rPr>
              <w:t>Ostad 2009</w:t>
            </w:r>
            <w:r w:rsidRPr="00AB0BB0">
              <w:rPr>
                <w:rFonts w:ascii="Arial Narrow" w:hAnsi="Arial Narrow" w:cs="Calibri"/>
                <w:spacing w:val="-1"/>
                <w:sz w:val="20"/>
                <w:szCs w:val="20"/>
                <w:vertAlign w:val="superscript"/>
              </w:rPr>
              <w:t>2</w:t>
            </w:r>
            <w:r w:rsidRPr="00AB0BB0">
              <w:rPr>
                <w:rFonts w:ascii="Arial Narrow" w:hAnsi="Arial Narrow" w:cs="Calibri"/>
                <w:sz w:val="20"/>
                <w:szCs w:val="20"/>
              </w:rPr>
              <w:t xml:space="preserve"> </w:t>
            </w:r>
          </w:p>
          <w:p w14:paraId="7B38A1F7" w14:textId="271E0169"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ATOR 80</w:t>
            </w:r>
          </w:p>
        </w:tc>
        <w:tc>
          <w:tcPr>
            <w:tcW w:w="992" w:type="dxa"/>
            <w:tcBorders>
              <w:top w:val="single" w:sz="4" w:space="0" w:color="000000"/>
              <w:left w:val="single" w:sz="4" w:space="0" w:color="000000"/>
              <w:bottom w:val="single" w:sz="4" w:space="0" w:color="000000"/>
              <w:right w:val="single" w:sz="4" w:space="0" w:color="000000"/>
            </w:tcBorders>
          </w:tcPr>
          <w:p w14:paraId="0914229A"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46AA7F82" w14:textId="648026BD"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z w:val="20"/>
                <w:szCs w:val="20"/>
              </w:rPr>
              <w:t>24</w:t>
            </w:r>
          </w:p>
        </w:tc>
        <w:tc>
          <w:tcPr>
            <w:tcW w:w="851" w:type="dxa"/>
            <w:tcBorders>
              <w:top w:val="single" w:sz="4" w:space="0" w:color="000000"/>
              <w:left w:val="single" w:sz="4" w:space="0" w:color="000000"/>
              <w:bottom w:val="single" w:sz="4" w:space="0" w:color="000000"/>
              <w:right w:val="single" w:sz="4" w:space="0" w:color="000000"/>
            </w:tcBorders>
          </w:tcPr>
          <w:p w14:paraId="235B14B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15EA84F5" w14:textId="7836E4E8"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3.83</w:t>
            </w:r>
          </w:p>
        </w:tc>
        <w:tc>
          <w:tcPr>
            <w:tcW w:w="850" w:type="dxa"/>
            <w:tcBorders>
              <w:top w:val="single" w:sz="4" w:space="0" w:color="000000"/>
              <w:left w:val="single" w:sz="4" w:space="0" w:color="000000"/>
              <w:bottom w:val="single" w:sz="4" w:space="0" w:color="000000"/>
              <w:right w:val="single" w:sz="4" w:space="0" w:color="000000"/>
            </w:tcBorders>
          </w:tcPr>
          <w:p w14:paraId="6CF8811B" w14:textId="77777777" w:rsidR="009F61A2" w:rsidRPr="00AB0BB0" w:rsidRDefault="009F61A2" w:rsidP="009F61A2">
            <w:pPr>
              <w:kinsoku w:val="0"/>
              <w:overflowPunct w:val="0"/>
              <w:autoSpaceDE w:val="0"/>
              <w:autoSpaceDN w:val="0"/>
              <w:adjustRightInd w:val="0"/>
              <w:spacing w:after="0" w:line="240" w:lineRule="auto"/>
              <w:ind w:right="-1"/>
              <w:jc w:val="center"/>
              <w:rPr>
                <w:rFonts w:ascii="Arial Narrow" w:hAnsi="Arial Narrow" w:cs="Calibri"/>
                <w:sz w:val="20"/>
                <w:szCs w:val="20"/>
              </w:rPr>
            </w:pPr>
          </w:p>
          <w:p w14:paraId="60FB5F9A" w14:textId="147DC725"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z w:val="20"/>
                <w:szCs w:val="20"/>
              </w:rPr>
              <w:t>1.53</w:t>
            </w:r>
          </w:p>
        </w:tc>
        <w:tc>
          <w:tcPr>
            <w:tcW w:w="2268" w:type="dxa"/>
            <w:tcBorders>
              <w:top w:val="single" w:sz="4" w:space="0" w:color="000000"/>
              <w:left w:val="single" w:sz="4" w:space="0" w:color="000000"/>
              <w:bottom w:val="single" w:sz="4" w:space="0" w:color="000000"/>
              <w:right w:val="single" w:sz="4" w:space="0" w:color="000000"/>
            </w:tcBorders>
          </w:tcPr>
          <w:p w14:paraId="384DA44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268F846B" w14:textId="15A4A086" w:rsidR="009F61A2" w:rsidRPr="00AB0BB0" w:rsidRDefault="009F61A2" w:rsidP="009F61A2">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r w:rsidRPr="00AB0BB0">
              <w:rPr>
                <w:rFonts w:ascii="Arial Narrow" w:hAnsi="Arial Narrow" w:cs="Calibri"/>
                <w:sz w:val="20"/>
                <w:szCs w:val="20"/>
              </w:rPr>
              <w:t>EZ+ATOR 10</w:t>
            </w:r>
          </w:p>
        </w:tc>
        <w:tc>
          <w:tcPr>
            <w:tcW w:w="992" w:type="dxa"/>
            <w:tcBorders>
              <w:top w:val="single" w:sz="4" w:space="0" w:color="000000"/>
              <w:left w:val="single" w:sz="4" w:space="0" w:color="000000"/>
              <w:bottom w:val="single" w:sz="4" w:space="0" w:color="000000"/>
              <w:right w:val="single" w:sz="4" w:space="0" w:color="000000"/>
            </w:tcBorders>
          </w:tcPr>
          <w:p w14:paraId="67AEEEE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6AD7BECE" w14:textId="3D0FCC90"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z w:val="20"/>
                <w:szCs w:val="20"/>
              </w:rPr>
              <w:t>25</w:t>
            </w:r>
          </w:p>
        </w:tc>
        <w:tc>
          <w:tcPr>
            <w:tcW w:w="851" w:type="dxa"/>
            <w:tcBorders>
              <w:top w:val="single" w:sz="4" w:space="0" w:color="000000"/>
              <w:left w:val="single" w:sz="4" w:space="0" w:color="000000"/>
              <w:bottom w:val="single" w:sz="4" w:space="0" w:color="000000"/>
              <w:right w:val="single" w:sz="4" w:space="0" w:color="000000"/>
            </w:tcBorders>
          </w:tcPr>
          <w:p w14:paraId="22279671"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71BFDF0B" w14:textId="63C336A1" w:rsidR="009F61A2" w:rsidRPr="00AB0BB0" w:rsidRDefault="009F61A2" w:rsidP="009F61A2">
            <w:pPr>
              <w:tabs>
                <w:tab w:val="left" w:pos="849"/>
              </w:tabs>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z w:val="20"/>
                <w:szCs w:val="20"/>
              </w:rPr>
              <w:t>3.90</w:t>
            </w:r>
          </w:p>
        </w:tc>
        <w:tc>
          <w:tcPr>
            <w:tcW w:w="850" w:type="dxa"/>
            <w:tcBorders>
              <w:top w:val="single" w:sz="4" w:space="0" w:color="000000"/>
              <w:left w:val="single" w:sz="4" w:space="0" w:color="000000"/>
              <w:bottom w:val="single" w:sz="4" w:space="0" w:color="000000"/>
              <w:right w:val="single" w:sz="4" w:space="0" w:color="000000"/>
            </w:tcBorders>
          </w:tcPr>
          <w:p w14:paraId="5313A69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68DC8CB9" w14:textId="33E9C79E"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1.73</w:t>
            </w:r>
          </w:p>
        </w:tc>
        <w:tc>
          <w:tcPr>
            <w:tcW w:w="1842" w:type="dxa"/>
            <w:tcBorders>
              <w:top w:val="single" w:sz="4" w:space="0" w:color="000000"/>
              <w:left w:val="single" w:sz="4" w:space="0" w:color="000000"/>
              <w:bottom w:val="single" w:sz="4" w:space="0" w:color="000000"/>
              <w:right w:val="single" w:sz="4" w:space="0" w:color="000000"/>
            </w:tcBorders>
          </w:tcPr>
          <w:p w14:paraId="2A9BC20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00F8C6A" w14:textId="34705BC4"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pacing w:val="-1"/>
                <w:sz w:val="20"/>
                <w:szCs w:val="20"/>
              </w:rPr>
              <w:t>-60 (11)</w:t>
            </w:r>
          </w:p>
        </w:tc>
        <w:tc>
          <w:tcPr>
            <w:tcW w:w="1842" w:type="dxa"/>
            <w:tcBorders>
              <w:top w:val="single" w:sz="4" w:space="0" w:color="000000"/>
              <w:left w:val="single" w:sz="4" w:space="0" w:color="000000"/>
              <w:bottom w:val="single" w:sz="4" w:space="0" w:color="000000"/>
              <w:right w:val="single" w:sz="4" w:space="0" w:color="000000"/>
            </w:tcBorders>
          </w:tcPr>
          <w:p w14:paraId="557D4F62"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F8ABE56" w14:textId="435B52FE"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pacing w:val="-1"/>
                <w:sz w:val="20"/>
                <w:szCs w:val="20"/>
              </w:rPr>
              <w:t>-54(18)</w:t>
            </w:r>
          </w:p>
        </w:tc>
        <w:tc>
          <w:tcPr>
            <w:tcW w:w="1986" w:type="dxa"/>
            <w:tcBorders>
              <w:top w:val="single" w:sz="4" w:space="0" w:color="000000"/>
              <w:left w:val="single" w:sz="4" w:space="0" w:color="000000"/>
              <w:bottom w:val="single" w:sz="4" w:space="0" w:color="000000"/>
              <w:right w:val="single" w:sz="4" w:space="0" w:color="000000"/>
            </w:tcBorders>
          </w:tcPr>
          <w:p w14:paraId="218BC5CC"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28B4BE96" w14:textId="62E1237B"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NR p=0.73</w:t>
            </w:r>
          </w:p>
        </w:tc>
      </w:tr>
      <w:tr w:rsidR="009F61A2" w:rsidRPr="00AB0BB0" w14:paraId="5F20FC1E" w14:textId="77777777" w:rsidTr="00076854">
        <w:trPr>
          <w:trHeight w:hRule="exact" w:val="289"/>
        </w:trPr>
        <w:tc>
          <w:tcPr>
            <w:tcW w:w="15451" w:type="dxa"/>
            <w:gridSpan w:val="11"/>
            <w:tcBorders>
              <w:top w:val="single" w:sz="4" w:space="0" w:color="000000"/>
              <w:left w:val="single" w:sz="4" w:space="0" w:color="000000"/>
              <w:bottom w:val="single" w:sz="4" w:space="0" w:color="000000"/>
              <w:right w:val="single" w:sz="4" w:space="0" w:color="000000"/>
            </w:tcBorders>
          </w:tcPr>
          <w:p w14:paraId="16087FF1" w14:textId="0F436A65"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i/>
                <w:sz w:val="20"/>
                <w:szCs w:val="20"/>
              </w:rPr>
              <w:t>Mixed (both primary and secondary) prevention population</w:t>
            </w:r>
          </w:p>
        </w:tc>
      </w:tr>
      <w:tr w:rsidR="009F61A2" w:rsidRPr="00AB0BB0" w14:paraId="2E4CC42B" w14:textId="77777777" w:rsidTr="00D86496">
        <w:trPr>
          <w:trHeight w:val="737"/>
        </w:trPr>
        <w:tc>
          <w:tcPr>
            <w:tcW w:w="2127" w:type="dxa"/>
            <w:tcBorders>
              <w:top w:val="single" w:sz="4" w:space="0" w:color="000000"/>
              <w:left w:val="single" w:sz="4" w:space="0" w:color="000000"/>
              <w:bottom w:val="single" w:sz="4" w:space="0" w:color="000000"/>
              <w:right w:val="single" w:sz="4" w:space="0" w:color="000000"/>
            </w:tcBorders>
            <w:vAlign w:val="center"/>
          </w:tcPr>
          <w:p w14:paraId="02361CAB"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lang w:eastAsia="en-US"/>
              </w:rPr>
              <w:t xml:space="preserve">P021 </w:t>
            </w:r>
            <w:r w:rsidRPr="00AB0BB0">
              <w:rPr>
                <w:rFonts w:ascii="Arial Narrow" w:hAnsi="Arial Narrow" w:cs="Calibri"/>
                <w:spacing w:val="-1"/>
                <w:sz w:val="20"/>
                <w:szCs w:val="20"/>
              </w:rPr>
              <w:t>Gaudiani 2005</w:t>
            </w:r>
            <w:r w:rsidRPr="00AB0BB0">
              <w:rPr>
                <w:rFonts w:ascii="Arial Narrow" w:hAnsi="Arial Narrow" w:cs="Calibri"/>
                <w:spacing w:val="-1"/>
                <w:sz w:val="20"/>
                <w:szCs w:val="20"/>
                <w:vertAlign w:val="superscript"/>
              </w:rPr>
              <w:t>2</w:t>
            </w:r>
          </w:p>
          <w:p w14:paraId="70F6854A"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16"/>
                <w:szCs w:val="16"/>
              </w:rPr>
            </w:pPr>
            <w:r w:rsidRPr="00AB0BB0">
              <w:rPr>
                <w:rFonts w:ascii="Arial Narrow" w:hAnsi="Arial Narrow" w:cs="Calibri"/>
                <w:spacing w:val="-1"/>
                <w:sz w:val="16"/>
                <w:szCs w:val="16"/>
              </w:rPr>
              <w:t>SIM 20 (run in)</w:t>
            </w:r>
          </w:p>
          <w:p w14:paraId="71590A8F" w14:textId="3C64586E"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SIM 40</w:t>
            </w:r>
          </w:p>
        </w:tc>
        <w:tc>
          <w:tcPr>
            <w:tcW w:w="992" w:type="dxa"/>
            <w:tcBorders>
              <w:top w:val="single" w:sz="4" w:space="0" w:color="000000"/>
              <w:left w:val="single" w:sz="4" w:space="0" w:color="000000"/>
              <w:bottom w:val="single" w:sz="4" w:space="0" w:color="000000"/>
              <w:right w:val="single" w:sz="4" w:space="0" w:color="000000"/>
            </w:tcBorders>
            <w:vAlign w:val="center"/>
          </w:tcPr>
          <w:p w14:paraId="0210E2F9" w14:textId="77777777" w:rsidR="009F61A2" w:rsidRPr="00AB0BB0" w:rsidRDefault="009F61A2" w:rsidP="009F61A2">
            <w:pPr>
              <w:kinsoku w:val="0"/>
              <w:overflowPunct w:val="0"/>
              <w:autoSpaceDE w:val="0"/>
              <w:autoSpaceDN w:val="0"/>
              <w:adjustRightInd w:val="0"/>
              <w:spacing w:after="0" w:line="240" w:lineRule="auto"/>
              <w:ind w:right="224"/>
              <w:jc w:val="center"/>
              <w:rPr>
                <w:rFonts w:ascii="Arial Narrow" w:hAnsi="Arial Narrow" w:cs="Calibri"/>
                <w:spacing w:val="-1"/>
                <w:sz w:val="20"/>
                <w:szCs w:val="20"/>
              </w:rPr>
            </w:pPr>
          </w:p>
          <w:p w14:paraId="5CE015B0"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107</w:t>
            </w:r>
          </w:p>
          <w:p w14:paraId="7FF6F878"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BACF9BA" w14:textId="77777777" w:rsidR="009F61A2" w:rsidRPr="00AB0BB0" w:rsidRDefault="009F61A2" w:rsidP="009F61A2">
            <w:pPr>
              <w:kinsoku w:val="0"/>
              <w:overflowPunct w:val="0"/>
              <w:autoSpaceDE w:val="0"/>
              <w:autoSpaceDN w:val="0"/>
              <w:adjustRightInd w:val="0"/>
              <w:spacing w:after="0" w:line="240" w:lineRule="auto"/>
              <w:ind w:right="338"/>
              <w:jc w:val="center"/>
              <w:rPr>
                <w:rFonts w:ascii="Arial Narrow" w:hAnsi="Arial Narrow" w:cs="Calibri"/>
                <w:sz w:val="20"/>
                <w:szCs w:val="20"/>
              </w:rPr>
            </w:pPr>
          </w:p>
          <w:p w14:paraId="55F5178E"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2.37</w:t>
            </w:r>
          </w:p>
          <w:p w14:paraId="40A722C8" w14:textId="77777777" w:rsidR="009F61A2" w:rsidRPr="00AB0BB0" w:rsidRDefault="009F61A2" w:rsidP="009F61A2">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6958B43"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220C59AA"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2.33</w:t>
            </w:r>
          </w:p>
          <w:p w14:paraId="66EE30FD"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ED89DCE" w14:textId="77777777" w:rsidR="009F61A2" w:rsidRPr="00AB0BB0" w:rsidRDefault="009F61A2" w:rsidP="009F61A2">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p w14:paraId="672AD9E0" w14:textId="77777777" w:rsidR="009F61A2" w:rsidRPr="00AB0BB0" w:rsidRDefault="009F61A2" w:rsidP="009F61A2">
            <w:pPr>
              <w:kinsoku w:val="0"/>
              <w:overflowPunct w:val="0"/>
              <w:autoSpaceDE w:val="0"/>
              <w:autoSpaceDN w:val="0"/>
              <w:adjustRightInd w:val="0"/>
              <w:spacing w:after="0" w:line="240" w:lineRule="auto"/>
              <w:ind w:right="142"/>
              <w:jc w:val="center"/>
              <w:rPr>
                <w:rFonts w:ascii="Arial Narrow" w:hAnsi="Arial Narrow" w:cs="Calibri"/>
                <w:spacing w:val="-1"/>
                <w:sz w:val="20"/>
                <w:szCs w:val="20"/>
              </w:rPr>
            </w:pPr>
            <w:r w:rsidRPr="00AB0BB0">
              <w:rPr>
                <w:rFonts w:ascii="Arial Narrow" w:hAnsi="Arial Narrow" w:cs="Calibri"/>
                <w:spacing w:val="-1"/>
                <w:sz w:val="20"/>
                <w:szCs w:val="20"/>
              </w:rPr>
              <w:t>EZ + SIM 20</w:t>
            </w:r>
          </w:p>
          <w:p w14:paraId="5ADA4E0C" w14:textId="77777777" w:rsidR="009F61A2" w:rsidRPr="00AB0BB0" w:rsidRDefault="009F61A2" w:rsidP="009F61A2">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1F551BF" w14:textId="77777777"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p w14:paraId="6B4DF163" w14:textId="77777777" w:rsidR="009F61A2" w:rsidRPr="00AB0BB0" w:rsidRDefault="009F61A2" w:rsidP="009F61A2">
            <w:pPr>
              <w:kinsoku w:val="0"/>
              <w:overflowPunct w:val="0"/>
              <w:autoSpaceDE w:val="0"/>
              <w:autoSpaceDN w:val="0"/>
              <w:adjustRightInd w:val="0"/>
              <w:spacing w:after="0" w:line="240" w:lineRule="auto"/>
              <w:ind w:right="155"/>
              <w:jc w:val="center"/>
              <w:rPr>
                <w:rFonts w:ascii="Arial Narrow" w:hAnsi="Arial Narrow" w:cs="Calibri"/>
                <w:spacing w:val="-1"/>
                <w:sz w:val="20"/>
                <w:szCs w:val="20"/>
              </w:rPr>
            </w:pPr>
            <w:r w:rsidRPr="00AB0BB0">
              <w:rPr>
                <w:rFonts w:ascii="Arial Narrow" w:hAnsi="Arial Narrow" w:cs="Calibri"/>
                <w:spacing w:val="-1"/>
                <w:sz w:val="20"/>
                <w:szCs w:val="20"/>
              </w:rPr>
              <w:t>103</w:t>
            </w:r>
          </w:p>
          <w:p w14:paraId="03F11108"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8325D79"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2F38C433" w14:textId="77777777" w:rsidR="009F61A2" w:rsidRPr="00AB0BB0" w:rsidRDefault="009F61A2" w:rsidP="009F61A2">
            <w:pPr>
              <w:kinsoku w:val="0"/>
              <w:overflowPunct w:val="0"/>
              <w:autoSpaceDE w:val="0"/>
              <w:autoSpaceDN w:val="0"/>
              <w:adjustRightInd w:val="0"/>
              <w:spacing w:after="0" w:line="240" w:lineRule="auto"/>
              <w:ind w:right="155"/>
              <w:jc w:val="center"/>
              <w:rPr>
                <w:rFonts w:ascii="Arial Narrow" w:hAnsi="Arial Narrow" w:cs="Calibri"/>
                <w:spacing w:val="-1"/>
                <w:sz w:val="20"/>
                <w:szCs w:val="20"/>
              </w:rPr>
            </w:pPr>
            <w:r w:rsidRPr="00AB0BB0">
              <w:rPr>
                <w:rFonts w:ascii="Arial Narrow" w:hAnsi="Arial Narrow" w:cs="Calibri"/>
                <w:spacing w:val="-1"/>
                <w:sz w:val="20"/>
                <w:szCs w:val="20"/>
              </w:rPr>
              <w:t>2.43</w:t>
            </w:r>
          </w:p>
          <w:p w14:paraId="52271E3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FCB98D1"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30B25DEC"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1.91</w:t>
            </w:r>
          </w:p>
          <w:p w14:paraId="41C03585"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45C9F1F6"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6F54524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-0.3 (22.8)</w:t>
            </w:r>
          </w:p>
          <w:p w14:paraId="05D218F8"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0E5DE9E"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5D99FF15"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-20.8(22.3)</w:t>
            </w:r>
          </w:p>
          <w:p w14:paraId="681499EA"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center"/>
          </w:tcPr>
          <w:p w14:paraId="77DB9E7E"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3F5C4E1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-20.5 (NR)</w:t>
            </w:r>
            <w:r w:rsidRPr="00AB0BB0">
              <w:rPr>
                <w:rFonts w:ascii="Arial Narrow" w:hAnsi="Arial Narrow" w:cs="Calibri"/>
                <w:spacing w:val="-1"/>
                <w:sz w:val="20"/>
                <w:szCs w:val="20"/>
              </w:rPr>
              <w:t>***</w:t>
            </w:r>
          </w:p>
          <w:p w14:paraId="79618C35" w14:textId="77777777" w:rsidR="009F61A2" w:rsidRPr="00AB0BB0" w:rsidRDefault="009F61A2" w:rsidP="009F61A2">
            <w:pPr>
              <w:kinsoku w:val="0"/>
              <w:overflowPunct w:val="0"/>
              <w:autoSpaceDE w:val="0"/>
              <w:autoSpaceDN w:val="0"/>
              <w:adjustRightInd w:val="0"/>
              <w:spacing w:after="0" w:line="240" w:lineRule="auto"/>
              <w:ind w:left="-2" w:firstLine="2"/>
              <w:jc w:val="center"/>
              <w:rPr>
                <w:rFonts w:ascii="Arial Narrow" w:hAnsi="Arial Narrow" w:cs="Calibri"/>
                <w:sz w:val="20"/>
                <w:szCs w:val="20"/>
              </w:rPr>
            </w:pPr>
          </w:p>
        </w:tc>
      </w:tr>
      <w:tr w:rsidR="009F61A2" w:rsidRPr="00AB0BB0" w14:paraId="4998ED6C" w14:textId="77777777" w:rsidTr="000A080E">
        <w:trPr>
          <w:trHeight w:val="989"/>
        </w:trPr>
        <w:tc>
          <w:tcPr>
            <w:tcW w:w="2127" w:type="dxa"/>
            <w:tcBorders>
              <w:top w:val="single" w:sz="4" w:space="0" w:color="000000"/>
              <w:left w:val="single" w:sz="4" w:space="0" w:color="000000"/>
              <w:bottom w:val="single" w:sz="4" w:space="0" w:color="000000"/>
              <w:right w:val="single" w:sz="4" w:space="0" w:color="000000"/>
            </w:tcBorders>
          </w:tcPr>
          <w:p w14:paraId="307A4EE1"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lang w:eastAsia="en-US"/>
              </w:rPr>
            </w:pPr>
            <w:r w:rsidRPr="00AB0BB0">
              <w:rPr>
                <w:rFonts w:ascii="Arial Narrow" w:hAnsi="Arial Narrow" w:cs="Calibri"/>
                <w:spacing w:val="-1"/>
                <w:sz w:val="20"/>
                <w:szCs w:val="20"/>
                <w:lang w:eastAsia="en-US"/>
              </w:rPr>
              <w:t>P112 Zieve 2010</w:t>
            </w:r>
            <w:r w:rsidRPr="00AB0BB0">
              <w:rPr>
                <w:rFonts w:ascii="Arial Narrow" w:hAnsi="Arial Narrow" w:cs="Calibri"/>
                <w:spacing w:val="-1"/>
                <w:sz w:val="20"/>
                <w:szCs w:val="20"/>
                <w:vertAlign w:val="superscript"/>
                <w:lang w:eastAsia="en-US"/>
              </w:rPr>
              <w:t>2</w:t>
            </w:r>
            <w:r w:rsidRPr="00AB0BB0">
              <w:rPr>
                <w:rFonts w:ascii="Arial Narrow" w:hAnsi="Arial Narrow" w:cs="Calibri"/>
                <w:spacing w:val="-1"/>
                <w:sz w:val="20"/>
                <w:szCs w:val="20"/>
                <w:lang w:eastAsia="en-US"/>
              </w:rPr>
              <w:t xml:space="preserve"> </w:t>
            </w:r>
          </w:p>
          <w:p w14:paraId="5386A056"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18"/>
                <w:szCs w:val="18"/>
              </w:rPr>
            </w:pPr>
          </w:p>
          <w:p w14:paraId="6EA1B36E"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18"/>
                <w:szCs w:val="18"/>
              </w:rPr>
            </w:pPr>
            <w:r w:rsidRPr="00AB0BB0">
              <w:rPr>
                <w:rFonts w:ascii="Arial Narrow" w:hAnsi="Arial Narrow" w:cs="Calibri"/>
                <w:spacing w:val="-1"/>
                <w:sz w:val="18"/>
                <w:szCs w:val="18"/>
              </w:rPr>
              <w:t>ATOR 10 (run-in dose)</w:t>
            </w:r>
          </w:p>
          <w:p w14:paraId="4C6D84BC" w14:textId="5C820C83"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Week  1-6    ATOR 20 </w:t>
            </w:r>
          </w:p>
          <w:p w14:paraId="208A1137" w14:textId="5FC395E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     Week  7-12  ATOR 40 </w:t>
            </w:r>
          </w:p>
          <w:p w14:paraId="4D9E9BE4" w14:textId="723AC439"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AF3F4D0"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4C0397CB"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64FB6570" w14:textId="16FF516F"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526</w:t>
            </w:r>
          </w:p>
          <w:p w14:paraId="1B6F62F7"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515</w:t>
            </w:r>
          </w:p>
          <w:p w14:paraId="58CF6A12" w14:textId="1B345914"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509</w:t>
            </w:r>
          </w:p>
        </w:tc>
        <w:tc>
          <w:tcPr>
            <w:tcW w:w="851" w:type="dxa"/>
            <w:tcBorders>
              <w:top w:val="single" w:sz="4" w:space="0" w:color="000000"/>
              <w:left w:val="single" w:sz="4" w:space="0" w:color="000000"/>
              <w:bottom w:val="single" w:sz="4" w:space="0" w:color="000000"/>
              <w:right w:val="single" w:sz="4" w:space="0" w:color="000000"/>
            </w:tcBorders>
          </w:tcPr>
          <w:p w14:paraId="424A0259" w14:textId="77777777" w:rsidR="009F61A2" w:rsidRPr="00AB0BB0" w:rsidRDefault="009F61A2" w:rsidP="009F61A2">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2C48DF02" w14:textId="77777777" w:rsidR="009F61A2" w:rsidRPr="00AB0BB0" w:rsidRDefault="009F61A2" w:rsidP="009F61A2">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28251220" w14:textId="02A01EEE" w:rsidR="009F61A2" w:rsidRPr="00AB0BB0" w:rsidRDefault="009F61A2" w:rsidP="009F61A2">
            <w:pPr>
              <w:kinsoku w:val="0"/>
              <w:overflowPunct w:val="0"/>
              <w:autoSpaceDE w:val="0"/>
              <w:autoSpaceDN w:val="0"/>
              <w:adjustRightInd w:val="0"/>
              <w:spacing w:after="0" w:line="240" w:lineRule="auto"/>
              <w:ind w:right="338"/>
              <w:jc w:val="center"/>
              <w:rPr>
                <w:rFonts w:ascii="Arial Narrow" w:hAnsi="Arial Narrow" w:cs="Calibri"/>
                <w:sz w:val="20"/>
                <w:szCs w:val="20"/>
              </w:rPr>
            </w:pPr>
            <w:r w:rsidRPr="00AB0BB0">
              <w:rPr>
                <w:rFonts w:ascii="Arial Narrow" w:hAnsi="Arial Narrow" w:cs="Calibri"/>
                <w:sz w:val="20"/>
                <w:szCs w:val="20"/>
              </w:rPr>
              <w:t xml:space="preserve">  2.64</w:t>
            </w:r>
          </w:p>
        </w:tc>
        <w:tc>
          <w:tcPr>
            <w:tcW w:w="850" w:type="dxa"/>
            <w:tcBorders>
              <w:top w:val="single" w:sz="4" w:space="0" w:color="000000"/>
              <w:left w:val="single" w:sz="4" w:space="0" w:color="000000"/>
              <w:bottom w:val="single" w:sz="4" w:space="0" w:color="000000"/>
              <w:right w:val="single" w:sz="4" w:space="0" w:color="000000"/>
            </w:tcBorders>
          </w:tcPr>
          <w:p w14:paraId="53CF43B6"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51658040"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31352A72" w14:textId="3DF5EDA5"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1EAA96FB" w14:textId="77777777" w:rsidR="009F61A2" w:rsidRPr="00AB0BB0" w:rsidRDefault="009F61A2" w:rsidP="009F61A2">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lang w:val="nl-NL"/>
              </w:rPr>
            </w:pPr>
          </w:p>
          <w:p w14:paraId="116ECBF7" w14:textId="77777777" w:rsidR="009F61A2" w:rsidRPr="00AB0BB0" w:rsidRDefault="009F61A2" w:rsidP="009F61A2">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lang w:val="nl-NL"/>
              </w:rPr>
            </w:pPr>
          </w:p>
          <w:p w14:paraId="62937FB8"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lang w:val="nl-NL"/>
              </w:rPr>
            </w:pPr>
          </w:p>
          <w:p w14:paraId="4F97B080" w14:textId="0D2070BD"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AB0BB0">
              <w:rPr>
                <w:rFonts w:ascii="Arial Narrow" w:hAnsi="Arial Narrow" w:cs="Calibri"/>
                <w:spacing w:val="-1"/>
                <w:sz w:val="20"/>
                <w:szCs w:val="20"/>
                <w:lang w:val="nl-NL"/>
              </w:rPr>
              <w:t xml:space="preserve">     Week 6    EZ + ATOR 10</w:t>
            </w:r>
          </w:p>
          <w:p w14:paraId="095B059B" w14:textId="43C49378"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AB0BB0">
              <w:rPr>
                <w:rFonts w:ascii="Arial Narrow" w:hAnsi="Arial Narrow" w:cs="Calibri"/>
                <w:spacing w:val="-1"/>
                <w:sz w:val="20"/>
                <w:szCs w:val="20"/>
                <w:lang w:val="nl-NL"/>
              </w:rPr>
              <w:t xml:space="preserve">     Week 12  EZ + ATOR 10</w:t>
            </w:r>
          </w:p>
          <w:p w14:paraId="03F2BC64" w14:textId="15A8E343"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lang w:val="nl-NL"/>
              </w:rPr>
            </w:pPr>
            <w:r w:rsidRPr="00AB0BB0">
              <w:rPr>
                <w:rFonts w:ascii="Arial Narrow" w:hAnsi="Arial Narrow" w:cs="Calibri"/>
                <w:spacing w:val="-1"/>
                <w:sz w:val="20"/>
                <w:szCs w:val="20"/>
                <w:lang w:val="nl-NL"/>
              </w:rPr>
              <w:t xml:space="preserve">       </w:t>
            </w:r>
          </w:p>
          <w:p w14:paraId="5FAA2291" w14:textId="77777777" w:rsidR="009F61A2" w:rsidRPr="00AB0BB0" w:rsidRDefault="009F61A2" w:rsidP="009F61A2">
            <w:pPr>
              <w:kinsoku w:val="0"/>
              <w:overflowPunct w:val="0"/>
              <w:autoSpaceDE w:val="0"/>
              <w:autoSpaceDN w:val="0"/>
              <w:adjustRightInd w:val="0"/>
              <w:spacing w:after="0" w:line="240" w:lineRule="auto"/>
              <w:ind w:right="142"/>
              <w:rPr>
                <w:rFonts w:ascii="Arial Narrow" w:hAnsi="Arial Narrow" w:cs="Calibri"/>
                <w:spacing w:val="-1"/>
                <w:sz w:val="20"/>
                <w:szCs w:val="20"/>
                <w:lang w:val="nl-NL"/>
              </w:rPr>
            </w:pPr>
          </w:p>
        </w:tc>
        <w:tc>
          <w:tcPr>
            <w:tcW w:w="992" w:type="dxa"/>
            <w:tcBorders>
              <w:top w:val="single" w:sz="4" w:space="0" w:color="000000"/>
              <w:left w:val="single" w:sz="4" w:space="0" w:color="000000"/>
              <w:bottom w:val="single" w:sz="4" w:space="0" w:color="000000"/>
              <w:right w:val="single" w:sz="4" w:space="0" w:color="000000"/>
            </w:tcBorders>
          </w:tcPr>
          <w:p w14:paraId="22708131"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lang w:val="nl-NL"/>
              </w:rPr>
            </w:pPr>
          </w:p>
          <w:p w14:paraId="45CA03FD" w14:textId="77777777" w:rsidR="009F61A2" w:rsidRPr="00AB0BB0" w:rsidRDefault="009F61A2" w:rsidP="009F61A2">
            <w:pPr>
              <w:kinsoku w:val="0"/>
              <w:overflowPunct w:val="0"/>
              <w:autoSpaceDE w:val="0"/>
              <w:autoSpaceDN w:val="0"/>
              <w:adjustRightInd w:val="0"/>
              <w:spacing w:after="0" w:line="240" w:lineRule="auto"/>
              <w:ind w:right="256"/>
              <w:rPr>
                <w:rFonts w:ascii="Arial Narrow" w:hAnsi="Arial Narrow" w:cs="Calibri"/>
                <w:spacing w:val="-1"/>
                <w:sz w:val="20"/>
                <w:szCs w:val="20"/>
                <w:lang w:val="nl-NL"/>
              </w:rPr>
            </w:pPr>
          </w:p>
          <w:p w14:paraId="7207D414"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pacing w:val="-1"/>
                <w:sz w:val="20"/>
                <w:szCs w:val="20"/>
              </w:rPr>
              <w:t>527</w:t>
            </w:r>
          </w:p>
          <w:p w14:paraId="315FF4EF"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pacing w:val="-1"/>
                <w:sz w:val="20"/>
                <w:szCs w:val="20"/>
              </w:rPr>
              <w:t>516</w:t>
            </w:r>
          </w:p>
          <w:p w14:paraId="1CFCF5A3" w14:textId="49443D6E"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 xml:space="preserve"> 516</w:t>
            </w:r>
          </w:p>
        </w:tc>
        <w:tc>
          <w:tcPr>
            <w:tcW w:w="851" w:type="dxa"/>
            <w:tcBorders>
              <w:top w:val="single" w:sz="4" w:space="0" w:color="000000"/>
              <w:left w:val="single" w:sz="4" w:space="0" w:color="000000"/>
              <w:bottom w:val="single" w:sz="4" w:space="0" w:color="000000"/>
              <w:right w:val="single" w:sz="4" w:space="0" w:color="000000"/>
            </w:tcBorders>
          </w:tcPr>
          <w:p w14:paraId="59F57F2C"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79858648"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z w:val="20"/>
                <w:szCs w:val="20"/>
              </w:rPr>
            </w:pPr>
          </w:p>
          <w:p w14:paraId="2F682357" w14:textId="127D6E9F"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2.66</w:t>
            </w:r>
          </w:p>
        </w:tc>
        <w:tc>
          <w:tcPr>
            <w:tcW w:w="850" w:type="dxa"/>
            <w:tcBorders>
              <w:top w:val="single" w:sz="4" w:space="0" w:color="000000"/>
              <w:left w:val="single" w:sz="4" w:space="0" w:color="000000"/>
              <w:bottom w:val="single" w:sz="4" w:space="0" w:color="000000"/>
              <w:right w:val="single" w:sz="4" w:space="0" w:color="000000"/>
            </w:tcBorders>
          </w:tcPr>
          <w:p w14:paraId="710983F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7E0224ED"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z w:val="20"/>
                <w:szCs w:val="20"/>
              </w:rPr>
            </w:pPr>
          </w:p>
          <w:p w14:paraId="49209221" w14:textId="334F880B"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0D22CFDD"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0B8CF7CD"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3A0B34E3"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11CD7855" w14:textId="0302F6B8"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-13 (-15,-11)</w:t>
            </w:r>
          </w:p>
          <w:p w14:paraId="0192C772" w14:textId="128E1C10"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-18 (-21,-15)</w:t>
            </w:r>
          </w:p>
        </w:tc>
        <w:tc>
          <w:tcPr>
            <w:tcW w:w="1842" w:type="dxa"/>
            <w:tcBorders>
              <w:top w:val="single" w:sz="4" w:space="0" w:color="000000"/>
              <w:left w:val="single" w:sz="4" w:space="0" w:color="000000"/>
              <w:bottom w:val="single" w:sz="4" w:space="0" w:color="000000"/>
              <w:right w:val="single" w:sz="4" w:space="0" w:color="000000"/>
            </w:tcBorders>
          </w:tcPr>
          <w:p w14:paraId="70D75AB7"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10C01492"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33E1E2B5"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02E541A6" w14:textId="23BF933D"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-27 (-29,-25)</w:t>
            </w:r>
          </w:p>
          <w:p w14:paraId="76FA1084" w14:textId="301431D5"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-23 (-25,-20)</w:t>
            </w:r>
          </w:p>
        </w:tc>
        <w:tc>
          <w:tcPr>
            <w:tcW w:w="1986" w:type="dxa"/>
            <w:tcBorders>
              <w:top w:val="single" w:sz="4" w:space="0" w:color="000000"/>
              <w:left w:val="single" w:sz="4" w:space="0" w:color="000000"/>
              <w:bottom w:val="single" w:sz="4" w:space="0" w:color="000000"/>
              <w:right w:val="single" w:sz="4" w:space="0" w:color="000000"/>
            </w:tcBorders>
          </w:tcPr>
          <w:p w14:paraId="11C87886"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52C46360"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53254AA4"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0DEBD51B" w14:textId="07804CF4"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-14 (-16,-12)***</w:t>
            </w:r>
          </w:p>
          <w:p w14:paraId="72588951" w14:textId="1C5C8B45" w:rsidR="009F61A2" w:rsidRPr="00AB0BB0" w:rsidRDefault="009F61A2" w:rsidP="009F61A2">
            <w:pPr>
              <w:kinsoku w:val="0"/>
              <w:overflowPunct w:val="0"/>
              <w:autoSpaceDE w:val="0"/>
              <w:autoSpaceDN w:val="0"/>
              <w:adjustRightInd w:val="0"/>
              <w:spacing w:after="0" w:line="240" w:lineRule="auto"/>
              <w:ind w:left="142"/>
              <w:rPr>
                <w:rFonts w:ascii="Arial Narrow" w:hAnsi="Arial Narrow" w:cs="Calibri"/>
                <w:sz w:val="20"/>
                <w:szCs w:val="20"/>
              </w:rPr>
            </w:pPr>
            <w:r w:rsidRPr="00AB0BB0">
              <w:rPr>
                <w:rFonts w:ascii="Arial Narrow" w:hAnsi="Arial Narrow" w:cs="Calibri"/>
                <w:sz w:val="20"/>
                <w:szCs w:val="20"/>
              </w:rPr>
              <w:t xml:space="preserve">        -5 (-7,-2)***</w:t>
            </w:r>
          </w:p>
        </w:tc>
      </w:tr>
      <w:tr w:rsidR="009F61A2" w:rsidRPr="00AB0BB0" w14:paraId="19BBD051" w14:textId="77777777" w:rsidTr="00786701">
        <w:trPr>
          <w:trHeight w:val="1124"/>
        </w:trPr>
        <w:tc>
          <w:tcPr>
            <w:tcW w:w="2127" w:type="dxa"/>
            <w:tcBorders>
              <w:top w:val="single" w:sz="4" w:space="0" w:color="000000"/>
              <w:left w:val="single" w:sz="4" w:space="0" w:color="000000"/>
              <w:bottom w:val="single" w:sz="4" w:space="0" w:color="000000"/>
              <w:right w:val="single" w:sz="4" w:space="0" w:color="000000"/>
            </w:tcBorders>
          </w:tcPr>
          <w:p w14:paraId="60239703" w14:textId="68818ED1"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P700 Dobs 2003</w:t>
            </w:r>
            <w:r w:rsidRPr="00AB0BB0">
              <w:rPr>
                <w:rFonts w:ascii="Arial Narrow" w:hAnsi="Arial Narrow" w:cs="Calibri"/>
                <w:spacing w:val="-1"/>
                <w:sz w:val="20"/>
                <w:szCs w:val="20"/>
                <w:vertAlign w:val="superscript"/>
              </w:rPr>
              <w:t xml:space="preserve">1 </w:t>
            </w:r>
          </w:p>
          <w:p w14:paraId="506532CB"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18"/>
                <w:szCs w:val="18"/>
              </w:rPr>
            </w:pPr>
            <w:r w:rsidRPr="00AB0BB0">
              <w:rPr>
                <w:rFonts w:ascii="Arial Narrow" w:hAnsi="Arial Narrow" w:cs="Calibri"/>
                <w:spacing w:val="-1"/>
                <w:sz w:val="20"/>
                <w:szCs w:val="20"/>
                <w:lang w:eastAsia="en-US"/>
              </w:rPr>
              <w:t xml:space="preserve">  </w:t>
            </w:r>
            <w:r w:rsidRPr="00AB0BB0">
              <w:rPr>
                <w:rFonts w:ascii="Arial Narrow" w:hAnsi="Arial Narrow" w:cs="Calibri"/>
                <w:spacing w:val="-1"/>
                <w:sz w:val="18"/>
                <w:szCs w:val="18"/>
              </w:rPr>
              <w:t>SIM 20 (run-in dose)</w:t>
            </w:r>
          </w:p>
          <w:p w14:paraId="555A7461"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    Week  4  SIM 40 mg </w:t>
            </w:r>
          </w:p>
          <w:p w14:paraId="0A2F96E4"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    Week 14 SIM 80 mg </w:t>
            </w:r>
          </w:p>
          <w:p w14:paraId="1FE3E614" w14:textId="77256FB1"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80499C7"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538C24F5"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04FE53A1" w14:textId="4272B7A6"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34</w:t>
            </w:r>
          </w:p>
        </w:tc>
        <w:tc>
          <w:tcPr>
            <w:tcW w:w="851" w:type="dxa"/>
            <w:tcBorders>
              <w:top w:val="single" w:sz="4" w:space="0" w:color="000000"/>
              <w:left w:val="single" w:sz="4" w:space="0" w:color="000000"/>
              <w:bottom w:val="single" w:sz="4" w:space="0" w:color="000000"/>
              <w:right w:val="single" w:sz="4" w:space="0" w:color="000000"/>
            </w:tcBorders>
          </w:tcPr>
          <w:p w14:paraId="79BD4505" w14:textId="77777777" w:rsidR="009F61A2" w:rsidRPr="00AB0BB0" w:rsidRDefault="009F61A2" w:rsidP="009F61A2">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600BF9EE" w14:textId="77777777" w:rsidR="009F61A2" w:rsidRPr="00AB0BB0" w:rsidRDefault="009F61A2" w:rsidP="009F61A2">
            <w:pPr>
              <w:kinsoku w:val="0"/>
              <w:overflowPunct w:val="0"/>
              <w:autoSpaceDE w:val="0"/>
              <w:autoSpaceDN w:val="0"/>
              <w:adjustRightInd w:val="0"/>
              <w:spacing w:after="0" w:line="240" w:lineRule="auto"/>
              <w:ind w:right="338"/>
              <w:jc w:val="center"/>
              <w:rPr>
                <w:rFonts w:ascii="Arial Narrow" w:hAnsi="Arial Narrow" w:cs="Calibri"/>
                <w:sz w:val="20"/>
                <w:szCs w:val="20"/>
              </w:rPr>
            </w:pPr>
          </w:p>
          <w:p w14:paraId="2BDAEA1B" w14:textId="0C8F2DB5" w:rsidR="009F61A2" w:rsidRPr="00AB0BB0" w:rsidRDefault="009F61A2" w:rsidP="009F61A2">
            <w:pPr>
              <w:kinsoku w:val="0"/>
              <w:overflowPunct w:val="0"/>
              <w:autoSpaceDE w:val="0"/>
              <w:autoSpaceDN w:val="0"/>
              <w:adjustRightInd w:val="0"/>
              <w:spacing w:after="0" w:line="240" w:lineRule="auto"/>
              <w:ind w:right="338"/>
              <w:jc w:val="center"/>
              <w:rPr>
                <w:rFonts w:ascii="Arial Narrow" w:hAnsi="Arial Narrow" w:cs="Calibri"/>
                <w:sz w:val="20"/>
                <w:szCs w:val="20"/>
              </w:rPr>
            </w:pPr>
            <w:r w:rsidRPr="00AB0BB0">
              <w:rPr>
                <w:rFonts w:ascii="Arial Narrow" w:hAnsi="Arial Narrow" w:cs="Calibri"/>
                <w:sz w:val="20"/>
                <w:szCs w:val="20"/>
              </w:rPr>
              <w:t xml:space="preserve">   4.32</w:t>
            </w:r>
          </w:p>
        </w:tc>
        <w:tc>
          <w:tcPr>
            <w:tcW w:w="850" w:type="dxa"/>
            <w:tcBorders>
              <w:top w:val="single" w:sz="4" w:space="0" w:color="000000"/>
              <w:left w:val="single" w:sz="4" w:space="0" w:color="000000"/>
              <w:bottom w:val="single" w:sz="4" w:space="0" w:color="000000"/>
              <w:right w:val="single" w:sz="4" w:space="0" w:color="000000"/>
            </w:tcBorders>
          </w:tcPr>
          <w:p w14:paraId="46F2F4BC"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71A3AA6F"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0853E481" w14:textId="2ECE51DF"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3C27A111" w14:textId="77777777" w:rsidR="009F61A2" w:rsidRPr="00AB0BB0" w:rsidRDefault="009F61A2" w:rsidP="009F61A2">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lang w:val="nl-NL"/>
              </w:rPr>
            </w:pPr>
          </w:p>
          <w:p w14:paraId="575AE6D6"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p>
          <w:p w14:paraId="55567B87"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AB0BB0">
              <w:rPr>
                <w:rFonts w:ascii="Arial Narrow" w:hAnsi="Arial Narrow" w:cs="Calibri"/>
                <w:spacing w:val="-1"/>
                <w:sz w:val="20"/>
                <w:szCs w:val="20"/>
                <w:lang w:val="nl-NL"/>
              </w:rPr>
              <w:t xml:space="preserve">      Week 4    EZ + SIM 20</w:t>
            </w:r>
          </w:p>
          <w:p w14:paraId="71CDD770"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AB0BB0">
              <w:rPr>
                <w:rFonts w:ascii="Arial Narrow" w:hAnsi="Arial Narrow" w:cs="Calibri"/>
                <w:spacing w:val="-1"/>
                <w:sz w:val="20"/>
                <w:szCs w:val="20"/>
                <w:lang w:val="nl-NL"/>
              </w:rPr>
              <w:t xml:space="preserve">      Week 14  EZ + SIM 20</w:t>
            </w:r>
          </w:p>
          <w:p w14:paraId="1571E269" w14:textId="77777777" w:rsidR="009F61A2" w:rsidRPr="00AB0BB0" w:rsidRDefault="009F61A2" w:rsidP="009F61A2">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lang w:val="nl-NL"/>
              </w:rPr>
            </w:pPr>
          </w:p>
        </w:tc>
        <w:tc>
          <w:tcPr>
            <w:tcW w:w="992" w:type="dxa"/>
            <w:tcBorders>
              <w:top w:val="single" w:sz="4" w:space="0" w:color="000000"/>
              <w:left w:val="single" w:sz="4" w:space="0" w:color="000000"/>
              <w:bottom w:val="single" w:sz="4" w:space="0" w:color="000000"/>
              <w:right w:val="single" w:sz="4" w:space="0" w:color="000000"/>
            </w:tcBorders>
          </w:tcPr>
          <w:p w14:paraId="00CEC506"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lang w:val="nl-NL"/>
              </w:rPr>
            </w:pPr>
          </w:p>
          <w:p w14:paraId="176928DC"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lang w:val="nl-NL"/>
              </w:rPr>
            </w:pPr>
          </w:p>
          <w:p w14:paraId="4D079CCD" w14:textId="385143CF"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66</w:t>
            </w:r>
          </w:p>
        </w:tc>
        <w:tc>
          <w:tcPr>
            <w:tcW w:w="851" w:type="dxa"/>
            <w:tcBorders>
              <w:top w:val="single" w:sz="4" w:space="0" w:color="000000"/>
              <w:left w:val="single" w:sz="4" w:space="0" w:color="000000"/>
              <w:bottom w:val="single" w:sz="4" w:space="0" w:color="000000"/>
              <w:right w:val="single" w:sz="4" w:space="0" w:color="000000"/>
            </w:tcBorders>
          </w:tcPr>
          <w:p w14:paraId="20A330E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2F980834"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38174954" w14:textId="767F7726"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4.42</w:t>
            </w:r>
          </w:p>
        </w:tc>
        <w:tc>
          <w:tcPr>
            <w:tcW w:w="850" w:type="dxa"/>
            <w:tcBorders>
              <w:top w:val="single" w:sz="4" w:space="0" w:color="000000"/>
              <w:left w:val="single" w:sz="4" w:space="0" w:color="000000"/>
              <w:bottom w:val="single" w:sz="4" w:space="0" w:color="000000"/>
              <w:right w:val="single" w:sz="4" w:space="0" w:color="000000"/>
            </w:tcBorders>
          </w:tcPr>
          <w:p w14:paraId="130AD8DB"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z w:val="20"/>
                <w:szCs w:val="20"/>
              </w:rPr>
            </w:pPr>
          </w:p>
          <w:p w14:paraId="222DFA57"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z w:val="20"/>
                <w:szCs w:val="20"/>
              </w:rPr>
            </w:pPr>
          </w:p>
          <w:p w14:paraId="7064E1B9" w14:textId="58E99899"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148FF9E1"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7271ED79"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17B038C4"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-10.73 (2.43)</w:t>
            </w:r>
          </w:p>
          <w:p w14:paraId="6934579D" w14:textId="5E7E69C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-13.78 (2.54)</w:t>
            </w:r>
          </w:p>
        </w:tc>
        <w:tc>
          <w:tcPr>
            <w:tcW w:w="1842" w:type="dxa"/>
            <w:tcBorders>
              <w:top w:val="single" w:sz="4" w:space="0" w:color="000000"/>
              <w:left w:val="single" w:sz="4" w:space="0" w:color="000000"/>
              <w:bottom w:val="single" w:sz="4" w:space="0" w:color="000000"/>
              <w:right w:val="single" w:sz="4" w:space="0" w:color="000000"/>
            </w:tcBorders>
          </w:tcPr>
          <w:p w14:paraId="32ACE870"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2E5DCECE"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5FD37E90"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-24.71 (2.16)</w:t>
            </w:r>
          </w:p>
          <w:p w14:paraId="4FAB5053"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-21.47 (2.19)</w:t>
            </w:r>
          </w:p>
          <w:p w14:paraId="181200F9"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p>
        </w:tc>
        <w:tc>
          <w:tcPr>
            <w:tcW w:w="1986" w:type="dxa"/>
            <w:tcBorders>
              <w:top w:val="single" w:sz="4" w:space="0" w:color="000000"/>
              <w:left w:val="single" w:sz="4" w:space="0" w:color="000000"/>
              <w:bottom w:val="single" w:sz="4" w:space="0" w:color="000000"/>
              <w:right w:val="single" w:sz="4" w:space="0" w:color="000000"/>
            </w:tcBorders>
          </w:tcPr>
          <w:p w14:paraId="7A355D36"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6C45D162"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4D7E84AD" w14:textId="66E0BA66"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-13.98 (NR)</w:t>
            </w:r>
            <w:r w:rsidRPr="00AB0BB0">
              <w:rPr>
                <w:rFonts w:ascii="Arial Narrow" w:hAnsi="Arial Narrow" w:cs="Calibri"/>
                <w:spacing w:val="-1"/>
                <w:sz w:val="20"/>
                <w:szCs w:val="20"/>
              </w:rPr>
              <w:t>**</w:t>
            </w:r>
          </w:p>
          <w:p w14:paraId="09B4C63B" w14:textId="565BC42E"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-7.69 (NR)</w:t>
            </w:r>
            <w:r w:rsidRPr="00AB0BB0">
              <w:rPr>
                <w:rFonts w:ascii="Times New Roman" w:hAnsi="Times New Roman" w:cs="Times New Roman"/>
                <w:sz w:val="20"/>
                <w:szCs w:val="20"/>
                <w:vertAlign w:val="superscript"/>
              </w:rPr>
              <w:t>ǂ</w:t>
            </w:r>
          </w:p>
          <w:p w14:paraId="05BC0942"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tc>
      </w:tr>
      <w:tr w:rsidR="009F61A2" w:rsidRPr="00AB0BB0" w14:paraId="3B5281B2" w14:textId="77777777" w:rsidTr="00F51165">
        <w:trPr>
          <w:trHeight w:val="715"/>
        </w:trPr>
        <w:tc>
          <w:tcPr>
            <w:tcW w:w="2127" w:type="dxa"/>
            <w:vMerge w:val="restart"/>
            <w:tcBorders>
              <w:top w:val="single" w:sz="4" w:space="0" w:color="000000"/>
              <w:left w:val="single" w:sz="4" w:space="0" w:color="000000"/>
              <w:bottom w:val="nil"/>
              <w:right w:val="single" w:sz="4" w:space="0" w:color="000000"/>
            </w:tcBorders>
          </w:tcPr>
          <w:p w14:paraId="423223A4"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vertAlign w:val="superscript"/>
              </w:rPr>
            </w:pPr>
            <w:r w:rsidRPr="00AB0BB0">
              <w:rPr>
                <w:rFonts w:ascii="Arial Narrow" w:hAnsi="Arial Narrow" w:cs="Calibri"/>
                <w:spacing w:val="-1"/>
                <w:sz w:val="20"/>
                <w:szCs w:val="20"/>
              </w:rPr>
              <w:t>McCormack 2010</w:t>
            </w:r>
            <w:r w:rsidRPr="00AB0BB0">
              <w:rPr>
                <w:rFonts w:ascii="Arial Narrow" w:hAnsi="Arial Narrow" w:cs="Calibri"/>
                <w:spacing w:val="-1"/>
                <w:sz w:val="20"/>
                <w:szCs w:val="20"/>
                <w:vertAlign w:val="superscript"/>
              </w:rPr>
              <w:t>2</w:t>
            </w:r>
          </w:p>
          <w:p w14:paraId="63AE3B6A"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16"/>
                <w:szCs w:val="20"/>
              </w:rPr>
            </w:pPr>
            <w:r w:rsidRPr="00AB0BB0">
              <w:rPr>
                <w:rFonts w:ascii="Arial Narrow" w:hAnsi="Arial Narrow" w:cs="Calibri"/>
                <w:spacing w:val="-1"/>
                <w:sz w:val="16"/>
                <w:szCs w:val="20"/>
              </w:rPr>
              <w:t>SIM 40 (run in)</w:t>
            </w:r>
          </w:p>
          <w:p w14:paraId="0B9FE134"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16"/>
                <w:szCs w:val="20"/>
              </w:rPr>
            </w:pPr>
          </w:p>
          <w:p w14:paraId="43DA1253"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ATOR 40</w:t>
            </w:r>
          </w:p>
          <w:p w14:paraId="7F319313" w14:textId="1FFDDDA9"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ROSU 5/10</w:t>
            </w:r>
            <w:r w:rsidRPr="00AB0BB0">
              <w:rPr>
                <w:rFonts w:ascii="Arial Narrow" w:hAnsi="Arial Narrow" w:cs="Calibri"/>
                <w:spacing w:val="-1"/>
                <w:sz w:val="20"/>
                <w:szCs w:val="20"/>
                <w:vertAlign w:val="superscript"/>
              </w:rPr>
              <w:t>##</w:t>
            </w:r>
          </w:p>
        </w:tc>
        <w:tc>
          <w:tcPr>
            <w:tcW w:w="992" w:type="dxa"/>
            <w:tcBorders>
              <w:top w:val="single" w:sz="4" w:space="0" w:color="000000"/>
              <w:left w:val="single" w:sz="4" w:space="0" w:color="000000"/>
              <w:right w:val="single" w:sz="4" w:space="0" w:color="000000"/>
            </w:tcBorders>
            <w:vAlign w:val="center"/>
          </w:tcPr>
          <w:p w14:paraId="2BE4486C" w14:textId="0C2D399A"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259</w:t>
            </w:r>
          </w:p>
        </w:tc>
        <w:tc>
          <w:tcPr>
            <w:tcW w:w="851" w:type="dxa"/>
            <w:tcBorders>
              <w:top w:val="single" w:sz="4" w:space="0" w:color="000000"/>
              <w:left w:val="single" w:sz="4" w:space="0" w:color="000000"/>
              <w:right w:val="single" w:sz="4" w:space="0" w:color="000000"/>
            </w:tcBorders>
            <w:vAlign w:val="center"/>
          </w:tcPr>
          <w:p w14:paraId="6FBB2F46" w14:textId="12319D92"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2.6</w:t>
            </w:r>
          </w:p>
        </w:tc>
        <w:tc>
          <w:tcPr>
            <w:tcW w:w="850" w:type="dxa"/>
            <w:tcBorders>
              <w:top w:val="single" w:sz="4" w:space="0" w:color="000000"/>
              <w:left w:val="single" w:sz="4" w:space="0" w:color="000000"/>
              <w:right w:val="single" w:sz="4" w:space="0" w:color="000000"/>
            </w:tcBorders>
            <w:vAlign w:val="center"/>
          </w:tcPr>
          <w:p w14:paraId="7B117AAD" w14:textId="440822B0"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tc>
        <w:tc>
          <w:tcPr>
            <w:tcW w:w="2268" w:type="dxa"/>
            <w:vMerge w:val="restart"/>
            <w:tcBorders>
              <w:top w:val="single" w:sz="4" w:space="0" w:color="000000"/>
              <w:left w:val="single" w:sz="4" w:space="0" w:color="000000"/>
              <w:bottom w:val="nil"/>
              <w:right w:val="single" w:sz="4" w:space="0" w:color="000000"/>
            </w:tcBorders>
            <w:vAlign w:val="center"/>
          </w:tcPr>
          <w:p w14:paraId="689C2E90" w14:textId="7C7DC0D7" w:rsidR="009F61A2" w:rsidRPr="00AB0BB0" w:rsidRDefault="009F61A2" w:rsidP="009F61A2">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r w:rsidRPr="00AB0BB0">
              <w:rPr>
                <w:rFonts w:ascii="Arial Narrow" w:hAnsi="Arial Narrow" w:cs="Calibri"/>
                <w:spacing w:val="-1"/>
                <w:sz w:val="20"/>
                <w:szCs w:val="20"/>
              </w:rPr>
              <w:t>EZ+SIM 40</w:t>
            </w:r>
          </w:p>
        </w:tc>
        <w:tc>
          <w:tcPr>
            <w:tcW w:w="992" w:type="dxa"/>
            <w:vMerge w:val="restart"/>
            <w:tcBorders>
              <w:top w:val="single" w:sz="4" w:space="0" w:color="000000"/>
              <w:left w:val="single" w:sz="4" w:space="0" w:color="000000"/>
              <w:bottom w:val="nil"/>
              <w:right w:val="single" w:sz="4" w:space="0" w:color="000000"/>
            </w:tcBorders>
            <w:vAlign w:val="center"/>
          </w:tcPr>
          <w:p w14:paraId="4AB343EC" w14:textId="78FCC754"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pacing w:val="-1"/>
                <w:sz w:val="20"/>
                <w:szCs w:val="20"/>
              </w:rPr>
              <w:t>255</w:t>
            </w:r>
          </w:p>
        </w:tc>
        <w:tc>
          <w:tcPr>
            <w:tcW w:w="851" w:type="dxa"/>
            <w:vMerge w:val="restart"/>
            <w:tcBorders>
              <w:top w:val="single" w:sz="4" w:space="0" w:color="000000"/>
              <w:left w:val="single" w:sz="4" w:space="0" w:color="000000"/>
              <w:bottom w:val="nil"/>
              <w:right w:val="single" w:sz="4" w:space="0" w:color="000000"/>
            </w:tcBorders>
            <w:vAlign w:val="center"/>
          </w:tcPr>
          <w:p w14:paraId="5A418701" w14:textId="5BE014E1"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2.6</w:t>
            </w:r>
          </w:p>
        </w:tc>
        <w:tc>
          <w:tcPr>
            <w:tcW w:w="850" w:type="dxa"/>
            <w:vMerge w:val="restart"/>
            <w:tcBorders>
              <w:top w:val="single" w:sz="4" w:space="0" w:color="000000"/>
              <w:left w:val="single" w:sz="4" w:space="0" w:color="000000"/>
              <w:bottom w:val="nil"/>
              <w:right w:val="single" w:sz="4" w:space="0" w:color="000000"/>
            </w:tcBorders>
            <w:vAlign w:val="center"/>
          </w:tcPr>
          <w:p w14:paraId="1EE51C23" w14:textId="5FCE96A2"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tc>
        <w:tc>
          <w:tcPr>
            <w:tcW w:w="1842" w:type="dxa"/>
            <w:tcBorders>
              <w:top w:val="single" w:sz="4" w:space="0" w:color="000000"/>
              <w:left w:val="single" w:sz="4" w:space="0" w:color="000000"/>
              <w:right w:val="single" w:sz="4" w:space="0" w:color="000000"/>
            </w:tcBorders>
            <w:vAlign w:val="center"/>
          </w:tcPr>
          <w:p w14:paraId="56753E55" w14:textId="65BE516A"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AB0BB0">
              <w:rPr>
                <w:rFonts w:ascii="Arial Narrow" w:hAnsi="Arial Narrow" w:cs="Calibri"/>
                <w:spacing w:val="-1"/>
                <w:sz w:val="20"/>
                <w:szCs w:val="20"/>
              </w:rPr>
              <w:t>-11.1 (-14.0, -8.2)</w:t>
            </w:r>
          </w:p>
        </w:tc>
        <w:tc>
          <w:tcPr>
            <w:tcW w:w="1842" w:type="dxa"/>
            <w:vMerge w:val="restart"/>
            <w:tcBorders>
              <w:top w:val="single" w:sz="4" w:space="0" w:color="000000"/>
              <w:left w:val="single" w:sz="4" w:space="0" w:color="000000"/>
              <w:bottom w:val="nil"/>
              <w:right w:val="single" w:sz="4" w:space="0" w:color="000000"/>
            </w:tcBorders>
            <w:vAlign w:val="center"/>
          </w:tcPr>
          <w:p w14:paraId="6AE537FD" w14:textId="41D7855D"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r w:rsidRPr="00AB0BB0">
              <w:rPr>
                <w:rFonts w:ascii="Arial Narrow" w:hAnsi="Arial Narrow" w:cs="Calibri"/>
                <w:spacing w:val="-1"/>
                <w:sz w:val="20"/>
                <w:szCs w:val="20"/>
              </w:rPr>
              <w:t>-26.2 (-29.1, -23.2)</w:t>
            </w:r>
          </w:p>
        </w:tc>
        <w:tc>
          <w:tcPr>
            <w:tcW w:w="1986" w:type="dxa"/>
            <w:tcBorders>
              <w:top w:val="single" w:sz="4" w:space="0" w:color="000000"/>
              <w:left w:val="single" w:sz="4" w:space="0" w:color="000000"/>
              <w:right w:val="single" w:sz="4" w:space="0" w:color="000000"/>
            </w:tcBorders>
            <w:vAlign w:val="center"/>
          </w:tcPr>
          <w:p w14:paraId="76A1E170" w14:textId="6B62ECCE"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NR</w:t>
            </w:r>
          </w:p>
        </w:tc>
      </w:tr>
      <w:tr w:rsidR="009F61A2" w:rsidRPr="00AB0BB0" w14:paraId="4C694135" w14:textId="77777777" w:rsidTr="00F51165">
        <w:trPr>
          <w:trHeight w:hRule="exact" w:val="860"/>
        </w:trPr>
        <w:tc>
          <w:tcPr>
            <w:tcW w:w="2127" w:type="dxa"/>
            <w:vMerge/>
            <w:tcBorders>
              <w:left w:val="single" w:sz="4" w:space="0" w:color="000000"/>
              <w:bottom w:val="single" w:sz="4" w:space="0" w:color="000000"/>
              <w:right w:val="single" w:sz="4" w:space="0" w:color="000000"/>
            </w:tcBorders>
          </w:tcPr>
          <w:p w14:paraId="1BB35C38" w14:textId="34E36C90"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left w:val="single" w:sz="4" w:space="0" w:color="000000"/>
              <w:bottom w:val="single" w:sz="4" w:space="0" w:color="000000"/>
              <w:right w:val="single" w:sz="4" w:space="0" w:color="000000"/>
            </w:tcBorders>
            <w:vAlign w:val="center"/>
          </w:tcPr>
          <w:p w14:paraId="4AE586BE" w14:textId="5FF76299"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262</w:t>
            </w:r>
          </w:p>
        </w:tc>
        <w:tc>
          <w:tcPr>
            <w:tcW w:w="851" w:type="dxa"/>
            <w:tcBorders>
              <w:left w:val="single" w:sz="4" w:space="0" w:color="000000"/>
              <w:bottom w:val="single" w:sz="4" w:space="0" w:color="000000"/>
              <w:right w:val="single" w:sz="4" w:space="0" w:color="000000"/>
            </w:tcBorders>
            <w:vAlign w:val="center"/>
          </w:tcPr>
          <w:p w14:paraId="626EFBEA" w14:textId="3BAC9A74"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2.5</w:t>
            </w:r>
          </w:p>
        </w:tc>
        <w:tc>
          <w:tcPr>
            <w:tcW w:w="850" w:type="dxa"/>
            <w:tcBorders>
              <w:left w:val="single" w:sz="4" w:space="0" w:color="000000"/>
              <w:bottom w:val="single" w:sz="4" w:space="0" w:color="000000"/>
              <w:right w:val="single" w:sz="4" w:space="0" w:color="000000"/>
            </w:tcBorders>
            <w:vAlign w:val="center"/>
          </w:tcPr>
          <w:p w14:paraId="56C3387E" w14:textId="67AE231D"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tc>
        <w:tc>
          <w:tcPr>
            <w:tcW w:w="2268" w:type="dxa"/>
            <w:vMerge/>
            <w:tcBorders>
              <w:left w:val="single" w:sz="4" w:space="0" w:color="000000"/>
              <w:bottom w:val="single" w:sz="4" w:space="0" w:color="000000"/>
              <w:right w:val="single" w:sz="4" w:space="0" w:color="000000"/>
            </w:tcBorders>
            <w:vAlign w:val="center"/>
          </w:tcPr>
          <w:p w14:paraId="1A5B169D" w14:textId="77777777" w:rsidR="009F61A2" w:rsidRPr="00AB0BB0" w:rsidRDefault="009F61A2" w:rsidP="009F61A2">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p>
        </w:tc>
        <w:tc>
          <w:tcPr>
            <w:tcW w:w="992" w:type="dxa"/>
            <w:vMerge/>
            <w:tcBorders>
              <w:left w:val="single" w:sz="4" w:space="0" w:color="000000"/>
              <w:bottom w:val="single" w:sz="4" w:space="0" w:color="000000"/>
              <w:right w:val="single" w:sz="4" w:space="0" w:color="000000"/>
            </w:tcBorders>
            <w:vAlign w:val="center"/>
          </w:tcPr>
          <w:p w14:paraId="337F3A89"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p>
        </w:tc>
        <w:tc>
          <w:tcPr>
            <w:tcW w:w="851" w:type="dxa"/>
            <w:vMerge/>
            <w:tcBorders>
              <w:left w:val="single" w:sz="4" w:space="0" w:color="000000"/>
              <w:bottom w:val="single" w:sz="4" w:space="0" w:color="000000"/>
              <w:right w:val="single" w:sz="4" w:space="0" w:color="000000"/>
            </w:tcBorders>
            <w:vAlign w:val="center"/>
          </w:tcPr>
          <w:p w14:paraId="32F567C5" w14:textId="77777777"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p>
        </w:tc>
        <w:tc>
          <w:tcPr>
            <w:tcW w:w="850" w:type="dxa"/>
            <w:vMerge/>
            <w:tcBorders>
              <w:left w:val="single" w:sz="4" w:space="0" w:color="000000"/>
              <w:bottom w:val="single" w:sz="4" w:space="0" w:color="000000"/>
              <w:right w:val="single" w:sz="4" w:space="0" w:color="000000"/>
            </w:tcBorders>
            <w:vAlign w:val="center"/>
          </w:tcPr>
          <w:p w14:paraId="0B9ACDC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tc>
        <w:tc>
          <w:tcPr>
            <w:tcW w:w="1842" w:type="dxa"/>
            <w:tcBorders>
              <w:left w:val="single" w:sz="4" w:space="0" w:color="000000"/>
              <w:bottom w:val="single" w:sz="4" w:space="0" w:color="000000"/>
              <w:right w:val="single" w:sz="4" w:space="0" w:color="000000"/>
            </w:tcBorders>
            <w:vAlign w:val="center"/>
          </w:tcPr>
          <w:p w14:paraId="4CD523A2" w14:textId="14EBFBCE"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AB0BB0">
              <w:rPr>
                <w:rFonts w:ascii="Arial Narrow" w:hAnsi="Arial Narrow" w:cs="Calibri"/>
                <w:spacing w:val="-1"/>
                <w:sz w:val="20"/>
                <w:szCs w:val="20"/>
              </w:rPr>
              <w:t>-3.0 (-5.9, -0.1)</w:t>
            </w:r>
          </w:p>
        </w:tc>
        <w:tc>
          <w:tcPr>
            <w:tcW w:w="1842" w:type="dxa"/>
            <w:vMerge/>
            <w:tcBorders>
              <w:left w:val="single" w:sz="4" w:space="0" w:color="000000"/>
              <w:bottom w:val="single" w:sz="4" w:space="0" w:color="000000"/>
              <w:right w:val="single" w:sz="4" w:space="0" w:color="000000"/>
            </w:tcBorders>
            <w:vAlign w:val="center"/>
          </w:tcPr>
          <w:p w14:paraId="27C4DD9D"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p>
        </w:tc>
        <w:tc>
          <w:tcPr>
            <w:tcW w:w="1986" w:type="dxa"/>
            <w:tcBorders>
              <w:left w:val="single" w:sz="4" w:space="0" w:color="000000"/>
              <w:bottom w:val="single" w:sz="4" w:space="0" w:color="000000"/>
              <w:right w:val="single" w:sz="4" w:space="0" w:color="000000"/>
            </w:tcBorders>
            <w:vAlign w:val="center"/>
          </w:tcPr>
          <w:p w14:paraId="467688C1" w14:textId="361247EE"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NR</w:t>
            </w:r>
          </w:p>
        </w:tc>
      </w:tr>
      <w:tr w:rsidR="009F61A2" w:rsidRPr="00AB0BB0" w14:paraId="408AB21E" w14:textId="77777777" w:rsidTr="00BA5653">
        <w:trPr>
          <w:trHeight w:hRule="exact" w:val="1844"/>
        </w:trPr>
        <w:tc>
          <w:tcPr>
            <w:tcW w:w="2127" w:type="dxa"/>
            <w:tcBorders>
              <w:top w:val="single" w:sz="4" w:space="0" w:color="000000"/>
              <w:left w:val="single" w:sz="4" w:space="0" w:color="000000"/>
              <w:bottom w:val="single" w:sz="4" w:space="0" w:color="000000"/>
              <w:right w:val="single" w:sz="4" w:space="0" w:color="000000"/>
            </w:tcBorders>
          </w:tcPr>
          <w:p w14:paraId="6C70672D"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P051 Ballantyne 2005</w:t>
            </w:r>
            <w:r w:rsidRPr="00AB0BB0">
              <w:rPr>
                <w:rFonts w:ascii="Arial Narrow" w:hAnsi="Arial Narrow" w:cs="Calibri"/>
                <w:spacing w:val="-1"/>
                <w:sz w:val="20"/>
                <w:szCs w:val="20"/>
                <w:vertAlign w:val="superscript"/>
              </w:rPr>
              <w:t>1</w:t>
            </w:r>
          </w:p>
          <w:p w14:paraId="7CECCC1C"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79EE1089"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ATOR 10 mg</w:t>
            </w:r>
          </w:p>
          <w:p w14:paraId="3CFD6143"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ATOR 20 mg</w:t>
            </w:r>
          </w:p>
          <w:p w14:paraId="5F892D2A"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ATOR 40 mg</w:t>
            </w:r>
          </w:p>
          <w:p w14:paraId="3D3BFE59" w14:textId="1A686963"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ATOR 80 mg</w:t>
            </w:r>
          </w:p>
        </w:tc>
        <w:tc>
          <w:tcPr>
            <w:tcW w:w="992" w:type="dxa"/>
            <w:tcBorders>
              <w:top w:val="single" w:sz="4" w:space="0" w:color="000000"/>
              <w:left w:val="single" w:sz="4" w:space="0" w:color="000000"/>
              <w:bottom w:val="single" w:sz="4" w:space="0" w:color="000000"/>
              <w:right w:val="single" w:sz="4" w:space="0" w:color="000000"/>
            </w:tcBorders>
          </w:tcPr>
          <w:p w14:paraId="7CE8824A" w14:textId="329FAF44"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927</w:t>
            </w:r>
          </w:p>
          <w:p w14:paraId="7EDB459E"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3D0ABE9A"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235</w:t>
            </w:r>
          </w:p>
          <w:p w14:paraId="603EEBB1"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230</w:t>
            </w:r>
          </w:p>
          <w:p w14:paraId="68E4C5A8"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232</w:t>
            </w:r>
          </w:p>
          <w:p w14:paraId="419976FF" w14:textId="2B7FAE80"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230</w:t>
            </w:r>
          </w:p>
        </w:tc>
        <w:tc>
          <w:tcPr>
            <w:tcW w:w="851" w:type="dxa"/>
            <w:tcBorders>
              <w:top w:val="single" w:sz="4" w:space="0" w:color="000000"/>
              <w:left w:val="single" w:sz="4" w:space="0" w:color="000000"/>
              <w:bottom w:val="single" w:sz="4" w:space="0" w:color="000000"/>
              <w:right w:val="single" w:sz="4" w:space="0" w:color="000000"/>
            </w:tcBorders>
          </w:tcPr>
          <w:p w14:paraId="63250830" w14:textId="77777777" w:rsidR="009F61A2" w:rsidRPr="00AB0BB0" w:rsidRDefault="009F61A2" w:rsidP="009F61A2">
            <w:pPr>
              <w:kinsoku w:val="0"/>
              <w:overflowPunct w:val="0"/>
              <w:autoSpaceDE w:val="0"/>
              <w:autoSpaceDN w:val="0"/>
              <w:adjustRightInd w:val="0"/>
              <w:spacing w:after="0" w:line="240" w:lineRule="auto"/>
              <w:ind w:right="224"/>
              <w:rPr>
                <w:rFonts w:ascii="Arial Narrow" w:hAnsi="Arial Narrow" w:cs="Calibri"/>
                <w:spacing w:val="-1"/>
                <w:sz w:val="20"/>
                <w:szCs w:val="20"/>
              </w:rPr>
            </w:pPr>
          </w:p>
          <w:p w14:paraId="1EB81658" w14:textId="77777777" w:rsidR="009F61A2" w:rsidRPr="00AB0BB0" w:rsidRDefault="009F61A2" w:rsidP="009F61A2">
            <w:pPr>
              <w:kinsoku w:val="0"/>
              <w:overflowPunct w:val="0"/>
              <w:autoSpaceDE w:val="0"/>
              <w:autoSpaceDN w:val="0"/>
              <w:adjustRightInd w:val="0"/>
              <w:spacing w:after="0" w:line="240" w:lineRule="auto"/>
              <w:ind w:left="222" w:right="224"/>
              <w:rPr>
                <w:rFonts w:ascii="Arial Narrow" w:hAnsi="Arial Narrow" w:cs="Calibri"/>
                <w:spacing w:val="-1"/>
                <w:sz w:val="20"/>
                <w:szCs w:val="20"/>
              </w:rPr>
            </w:pPr>
          </w:p>
          <w:p w14:paraId="173DFFF1"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4.53</w:t>
            </w:r>
          </w:p>
          <w:p w14:paraId="40908F73"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4.61</w:t>
            </w:r>
          </w:p>
          <w:p w14:paraId="04DC12E3"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4.65</w:t>
            </w:r>
          </w:p>
          <w:p w14:paraId="3776E63C" w14:textId="09CD355B" w:rsidR="009F61A2" w:rsidRPr="00AB0BB0" w:rsidRDefault="009F61A2" w:rsidP="009F61A2">
            <w:pPr>
              <w:kinsoku w:val="0"/>
              <w:overflowPunct w:val="0"/>
              <w:autoSpaceDE w:val="0"/>
              <w:autoSpaceDN w:val="0"/>
              <w:adjustRightInd w:val="0"/>
              <w:spacing w:after="0" w:line="218" w:lineRule="exact"/>
              <w:ind w:left="222" w:right="224"/>
              <w:jc w:val="center"/>
              <w:rPr>
                <w:rFonts w:ascii="Arial Narrow" w:hAnsi="Arial Narrow" w:cs="Calibri"/>
                <w:spacing w:val="-1"/>
                <w:sz w:val="20"/>
                <w:szCs w:val="20"/>
              </w:rPr>
            </w:pPr>
            <w:r w:rsidRPr="00AB0BB0">
              <w:rPr>
                <w:rFonts w:ascii="Arial Narrow" w:hAnsi="Arial Narrow" w:cs="Calibri"/>
                <w:spacing w:val="-1"/>
                <w:sz w:val="20"/>
                <w:szCs w:val="20"/>
              </w:rPr>
              <w:t>4.72</w:t>
            </w:r>
          </w:p>
        </w:tc>
        <w:tc>
          <w:tcPr>
            <w:tcW w:w="850" w:type="dxa"/>
            <w:tcBorders>
              <w:top w:val="single" w:sz="4" w:space="0" w:color="000000"/>
              <w:left w:val="single" w:sz="4" w:space="0" w:color="000000"/>
              <w:bottom w:val="single" w:sz="4" w:space="0" w:color="000000"/>
              <w:right w:val="single" w:sz="4" w:space="0" w:color="000000"/>
            </w:tcBorders>
          </w:tcPr>
          <w:p w14:paraId="5E422B3E"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p>
          <w:p w14:paraId="2B81C576"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p>
          <w:p w14:paraId="2C8114D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6F092ED4"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4E567A1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676B5E37" w14:textId="6696C6F4"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4015D0E2"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p>
          <w:p w14:paraId="1FFB3C41"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p>
          <w:p w14:paraId="04434E67"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10</w:t>
            </w:r>
          </w:p>
          <w:p w14:paraId="25236F28"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20</w:t>
            </w:r>
          </w:p>
          <w:p w14:paraId="5B6C0BAD"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40</w:t>
            </w:r>
          </w:p>
          <w:p w14:paraId="5B08C3E3"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80</w:t>
            </w:r>
          </w:p>
          <w:p w14:paraId="1D0A5CB1" w14:textId="77777777" w:rsidR="009F61A2" w:rsidRPr="00AB0BB0" w:rsidRDefault="009F61A2" w:rsidP="009F61A2">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A4FC5B6"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923</w:t>
            </w:r>
          </w:p>
          <w:p w14:paraId="68F63266"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47F85D14"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230</w:t>
            </w:r>
          </w:p>
          <w:p w14:paraId="1E17A2EE"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233</w:t>
            </w:r>
          </w:p>
          <w:p w14:paraId="0BD25610"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236</w:t>
            </w:r>
          </w:p>
          <w:p w14:paraId="1F3C4FDF"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224</w:t>
            </w:r>
          </w:p>
          <w:p w14:paraId="3192BDAE" w14:textId="77777777" w:rsidR="009F61A2" w:rsidRPr="00AB0BB0" w:rsidRDefault="009F61A2" w:rsidP="009F61A2">
            <w:pPr>
              <w:kinsoku w:val="0"/>
              <w:overflowPunct w:val="0"/>
              <w:autoSpaceDE w:val="0"/>
              <w:autoSpaceDN w:val="0"/>
              <w:adjustRightInd w:val="0"/>
              <w:spacing w:after="0" w:line="240" w:lineRule="auto"/>
              <w:ind w:right="256"/>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67D0F05B" w14:textId="77777777" w:rsidR="009F61A2" w:rsidRPr="00AB0BB0" w:rsidRDefault="009F61A2" w:rsidP="009F61A2">
            <w:pPr>
              <w:kinsoku w:val="0"/>
              <w:overflowPunct w:val="0"/>
              <w:autoSpaceDE w:val="0"/>
              <w:autoSpaceDN w:val="0"/>
              <w:adjustRightInd w:val="0"/>
              <w:spacing w:after="0" w:line="240" w:lineRule="auto"/>
              <w:ind w:right="224"/>
              <w:jc w:val="center"/>
              <w:rPr>
                <w:rFonts w:ascii="Arial Narrow" w:hAnsi="Arial Narrow" w:cs="Calibri"/>
                <w:spacing w:val="-1"/>
                <w:sz w:val="20"/>
                <w:szCs w:val="20"/>
              </w:rPr>
            </w:pPr>
          </w:p>
          <w:p w14:paraId="55C30E95"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p>
          <w:p w14:paraId="37133CC7"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4.57</w:t>
            </w:r>
          </w:p>
          <w:p w14:paraId="780F5F2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4.62</w:t>
            </w:r>
          </w:p>
          <w:p w14:paraId="00C34D1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4.60</w:t>
            </w:r>
          </w:p>
          <w:p w14:paraId="65838BB5" w14:textId="51C022FB"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4.60</w:t>
            </w:r>
          </w:p>
        </w:tc>
        <w:tc>
          <w:tcPr>
            <w:tcW w:w="850" w:type="dxa"/>
            <w:tcBorders>
              <w:top w:val="single" w:sz="4" w:space="0" w:color="000000"/>
              <w:left w:val="single" w:sz="4" w:space="0" w:color="000000"/>
              <w:bottom w:val="single" w:sz="4" w:space="0" w:color="000000"/>
              <w:right w:val="single" w:sz="4" w:space="0" w:color="000000"/>
            </w:tcBorders>
          </w:tcPr>
          <w:p w14:paraId="0102390E"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p>
          <w:p w14:paraId="4D5390D9"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9E8A89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0D990419"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423EF8F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0293943F" w14:textId="04E2EDD0"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2CB98646"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p>
          <w:p w14:paraId="64610737"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p>
          <w:p w14:paraId="795EB65F"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-36.1 (0.9)</w:t>
            </w:r>
          </w:p>
          <w:p w14:paraId="41876235"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-43.7 (1.0)</w:t>
            </w:r>
          </w:p>
          <w:p w14:paraId="01CF634C"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-48.3 (0.9)</w:t>
            </w:r>
          </w:p>
          <w:p w14:paraId="72AAE12B" w14:textId="0C211E7F"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z w:val="20"/>
                <w:szCs w:val="20"/>
              </w:rPr>
            </w:pPr>
            <w:r w:rsidRPr="00AB0BB0">
              <w:rPr>
                <w:rFonts w:ascii="Arial Narrow" w:hAnsi="Arial Narrow" w:cs="Calibri"/>
                <w:spacing w:val="-1"/>
                <w:sz w:val="20"/>
                <w:szCs w:val="20"/>
              </w:rPr>
              <w:t>-52.9 (1.0)</w:t>
            </w:r>
          </w:p>
        </w:tc>
        <w:tc>
          <w:tcPr>
            <w:tcW w:w="1842" w:type="dxa"/>
            <w:tcBorders>
              <w:top w:val="single" w:sz="4" w:space="0" w:color="000000"/>
              <w:left w:val="single" w:sz="4" w:space="0" w:color="000000"/>
              <w:bottom w:val="single" w:sz="4" w:space="0" w:color="000000"/>
              <w:right w:val="single" w:sz="4" w:space="0" w:color="000000"/>
            </w:tcBorders>
          </w:tcPr>
          <w:p w14:paraId="5FB06AC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DFDE197"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5FC40A49"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AB0BB0">
              <w:rPr>
                <w:rFonts w:ascii="Arial Narrow" w:hAnsi="Arial Narrow" w:cs="Calibri"/>
                <w:spacing w:val="-1"/>
                <w:sz w:val="20"/>
                <w:szCs w:val="20"/>
              </w:rPr>
              <w:t>-47.1 (1.0)</w:t>
            </w:r>
          </w:p>
          <w:p w14:paraId="7ECB87B4"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AB0BB0">
              <w:rPr>
                <w:rFonts w:ascii="Arial Narrow" w:hAnsi="Arial Narrow" w:cs="Calibri"/>
                <w:spacing w:val="-1"/>
                <w:sz w:val="20"/>
                <w:szCs w:val="20"/>
              </w:rPr>
              <w:t>-50.6 (0.9)</w:t>
            </w:r>
          </w:p>
          <w:p w14:paraId="612207E3"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AB0BB0">
              <w:rPr>
                <w:rFonts w:ascii="Arial Narrow" w:hAnsi="Arial Narrow" w:cs="Calibri"/>
                <w:spacing w:val="-1"/>
                <w:sz w:val="20"/>
                <w:szCs w:val="20"/>
              </w:rPr>
              <w:t>-57.4 (0.9)</w:t>
            </w:r>
          </w:p>
          <w:p w14:paraId="208D15E0" w14:textId="71958746"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pacing w:val="-1"/>
                <w:sz w:val="20"/>
                <w:szCs w:val="20"/>
              </w:rPr>
              <w:t>-58.6 (1.0)</w:t>
            </w:r>
          </w:p>
        </w:tc>
        <w:tc>
          <w:tcPr>
            <w:tcW w:w="1986" w:type="dxa"/>
            <w:tcBorders>
              <w:top w:val="single" w:sz="4" w:space="0" w:color="000000"/>
              <w:left w:val="single" w:sz="4" w:space="0" w:color="000000"/>
              <w:bottom w:val="single" w:sz="4" w:space="0" w:color="000000"/>
              <w:right w:val="single" w:sz="4" w:space="0" w:color="000000"/>
            </w:tcBorders>
          </w:tcPr>
          <w:p w14:paraId="62EA4AF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514B00C2" w14:textId="77777777" w:rsidR="009F61A2" w:rsidRPr="00AB0BB0" w:rsidRDefault="009F61A2" w:rsidP="009F61A2">
            <w:pPr>
              <w:kinsoku w:val="0"/>
              <w:overflowPunct w:val="0"/>
              <w:autoSpaceDE w:val="0"/>
              <w:autoSpaceDN w:val="0"/>
              <w:adjustRightInd w:val="0"/>
              <w:spacing w:after="0" w:line="240" w:lineRule="auto"/>
              <w:ind w:left="118"/>
              <w:jc w:val="center"/>
              <w:rPr>
                <w:rFonts w:ascii="Arial Narrow" w:hAnsi="Arial Narrow" w:cs="Calibri"/>
                <w:spacing w:val="-1"/>
                <w:sz w:val="20"/>
                <w:szCs w:val="20"/>
              </w:rPr>
            </w:pPr>
          </w:p>
          <w:p w14:paraId="4568E533" w14:textId="5FEDB144" w:rsidR="009F61A2" w:rsidRPr="00AB0BB0" w:rsidRDefault="009F61A2" w:rsidP="009F61A2">
            <w:pPr>
              <w:kinsoku w:val="0"/>
              <w:overflowPunct w:val="0"/>
              <w:autoSpaceDE w:val="0"/>
              <w:autoSpaceDN w:val="0"/>
              <w:adjustRightInd w:val="0"/>
              <w:spacing w:after="0" w:line="240" w:lineRule="auto"/>
              <w:ind w:left="118"/>
              <w:jc w:val="center"/>
              <w:rPr>
                <w:rFonts w:ascii="Arial Narrow" w:hAnsi="Arial Narrow" w:cs="Calibri"/>
                <w:spacing w:val="-1"/>
                <w:sz w:val="20"/>
                <w:szCs w:val="20"/>
              </w:rPr>
            </w:pPr>
            <w:r w:rsidRPr="00AB0BB0">
              <w:rPr>
                <w:rFonts w:ascii="Arial Narrow" w:hAnsi="Arial Narrow" w:cs="Calibri"/>
                <w:spacing w:val="-1"/>
                <w:sz w:val="20"/>
                <w:szCs w:val="20"/>
              </w:rPr>
              <w:t>-11.0 (1.3)***</w:t>
            </w:r>
          </w:p>
          <w:p w14:paraId="642D9D62" w14:textId="3CB66315" w:rsidR="009F61A2" w:rsidRPr="00AB0BB0" w:rsidRDefault="009F61A2" w:rsidP="009F61A2">
            <w:pPr>
              <w:kinsoku w:val="0"/>
              <w:overflowPunct w:val="0"/>
              <w:autoSpaceDE w:val="0"/>
              <w:autoSpaceDN w:val="0"/>
              <w:adjustRightInd w:val="0"/>
              <w:spacing w:after="0" w:line="240" w:lineRule="auto"/>
              <w:ind w:left="118"/>
              <w:jc w:val="center"/>
              <w:rPr>
                <w:rFonts w:ascii="Arial Narrow" w:hAnsi="Arial Narrow" w:cs="Calibri"/>
                <w:spacing w:val="-1"/>
                <w:sz w:val="20"/>
                <w:szCs w:val="20"/>
              </w:rPr>
            </w:pPr>
            <w:r w:rsidRPr="00AB0BB0">
              <w:rPr>
                <w:rFonts w:ascii="Arial Narrow" w:hAnsi="Arial Narrow" w:cs="Calibri"/>
                <w:spacing w:val="-1"/>
                <w:sz w:val="20"/>
                <w:szCs w:val="20"/>
              </w:rPr>
              <w:t>-6.9 (1.3)***</w:t>
            </w:r>
          </w:p>
          <w:p w14:paraId="44FB99DC" w14:textId="3C03ED41" w:rsidR="009F61A2" w:rsidRPr="00AB0BB0" w:rsidRDefault="009F61A2" w:rsidP="009F61A2">
            <w:pPr>
              <w:kinsoku w:val="0"/>
              <w:overflowPunct w:val="0"/>
              <w:autoSpaceDE w:val="0"/>
              <w:autoSpaceDN w:val="0"/>
              <w:adjustRightInd w:val="0"/>
              <w:spacing w:after="0" w:line="240" w:lineRule="auto"/>
              <w:ind w:left="118"/>
              <w:jc w:val="center"/>
              <w:rPr>
                <w:rFonts w:ascii="Arial Narrow" w:hAnsi="Arial Narrow" w:cs="Calibri"/>
                <w:spacing w:val="-1"/>
                <w:sz w:val="20"/>
                <w:szCs w:val="20"/>
              </w:rPr>
            </w:pPr>
            <w:r w:rsidRPr="00AB0BB0">
              <w:rPr>
                <w:rFonts w:ascii="Arial Narrow" w:hAnsi="Arial Narrow" w:cs="Calibri"/>
                <w:spacing w:val="-1"/>
                <w:sz w:val="20"/>
                <w:szCs w:val="20"/>
              </w:rPr>
              <w:t>-9.1 (1.3)***</w:t>
            </w:r>
          </w:p>
          <w:p w14:paraId="5F8D0877" w14:textId="7DB19B2B"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pacing w:val="-1"/>
                <w:sz w:val="20"/>
                <w:szCs w:val="20"/>
              </w:rPr>
              <w:t>-5.7 (1.4)***</w:t>
            </w:r>
          </w:p>
        </w:tc>
      </w:tr>
      <w:tr w:rsidR="009F61A2" w:rsidRPr="00AB0BB0" w14:paraId="3D45D2FC" w14:textId="77777777" w:rsidTr="00BF6556">
        <w:trPr>
          <w:trHeight w:hRule="exact" w:val="1587"/>
        </w:trPr>
        <w:tc>
          <w:tcPr>
            <w:tcW w:w="2127" w:type="dxa"/>
            <w:tcBorders>
              <w:top w:val="single" w:sz="4" w:space="0" w:color="000000"/>
              <w:left w:val="single" w:sz="4" w:space="0" w:color="000000"/>
              <w:bottom w:val="single" w:sz="4" w:space="0" w:color="000000"/>
              <w:right w:val="single" w:sz="4" w:space="0" w:color="000000"/>
            </w:tcBorders>
          </w:tcPr>
          <w:p w14:paraId="5701E7C5"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P077Goldberg 2006</w:t>
            </w:r>
            <w:r w:rsidRPr="00AB0BB0">
              <w:rPr>
                <w:rFonts w:ascii="Arial Narrow" w:hAnsi="Arial Narrow" w:cs="Calibri"/>
                <w:spacing w:val="-1"/>
                <w:sz w:val="20"/>
                <w:szCs w:val="20"/>
                <w:vertAlign w:val="superscript"/>
              </w:rPr>
              <w:t>1</w:t>
            </w:r>
            <w:r w:rsidRPr="00AB0BB0">
              <w:rPr>
                <w:rFonts w:ascii="Arial Narrow" w:hAnsi="Arial Narrow" w:cs="Calibri"/>
                <w:spacing w:val="-1"/>
                <w:sz w:val="20"/>
                <w:szCs w:val="20"/>
              </w:rPr>
              <w:t xml:space="preserve">   </w:t>
            </w:r>
          </w:p>
          <w:p w14:paraId="7F2563E1" w14:textId="530AC9D4"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VYTAL </w:t>
            </w:r>
          </w:p>
          <w:p w14:paraId="5875B47C"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3699DBBA"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ATOR 10 mg </w:t>
            </w:r>
          </w:p>
          <w:p w14:paraId="478F50E0"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ATOR 20 mg </w:t>
            </w:r>
          </w:p>
          <w:p w14:paraId="601E8733"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ATOR 40 mg </w:t>
            </w:r>
          </w:p>
          <w:p w14:paraId="4DA131B6"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E35A9F7"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3BC61490"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390FBC1E"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2BB0A2A4"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237</w:t>
            </w:r>
          </w:p>
          <w:p w14:paraId="325C3BF4"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240</w:t>
            </w:r>
          </w:p>
          <w:p w14:paraId="3BFCE7DD" w14:textId="506FE75F"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241</w:t>
            </w:r>
          </w:p>
        </w:tc>
        <w:tc>
          <w:tcPr>
            <w:tcW w:w="851" w:type="dxa"/>
            <w:tcBorders>
              <w:top w:val="single" w:sz="4" w:space="0" w:color="000000"/>
              <w:left w:val="single" w:sz="4" w:space="0" w:color="000000"/>
              <w:bottom w:val="single" w:sz="4" w:space="0" w:color="000000"/>
              <w:right w:val="single" w:sz="4" w:space="0" w:color="000000"/>
            </w:tcBorders>
          </w:tcPr>
          <w:p w14:paraId="78C2559C" w14:textId="77777777" w:rsidR="009F61A2" w:rsidRPr="00AB0BB0" w:rsidRDefault="009F61A2" w:rsidP="009F61A2">
            <w:pPr>
              <w:kinsoku w:val="0"/>
              <w:overflowPunct w:val="0"/>
              <w:autoSpaceDE w:val="0"/>
              <w:autoSpaceDN w:val="0"/>
              <w:adjustRightInd w:val="0"/>
              <w:spacing w:after="0" w:line="240" w:lineRule="auto"/>
              <w:ind w:left="129"/>
              <w:jc w:val="center"/>
              <w:rPr>
                <w:rFonts w:ascii="Arial Narrow" w:hAnsi="Arial Narrow" w:cs="Calibri"/>
                <w:sz w:val="20"/>
                <w:szCs w:val="20"/>
              </w:rPr>
            </w:pPr>
          </w:p>
          <w:p w14:paraId="525B49AA" w14:textId="77777777" w:rsidR="009F61A2" w:rsidRPr="00AB0BB0" w:rsidRDefault="009F61A2" w:rsidP="009F61A2">
            <w:pPr>
              <w:kinsoku w:val="0"/>
              <w:overflowPunct w:val="0"/>
              <w:autoSpaceDE w:val="0"/>
              <w:autoSpaceDN w:val="0"/>
              <w:adjustRightInd w:val="0"/>
              <w:spacing w:after="0" w:line="240" w:lineRule="auto"/>
              <w:ind w:left="129"/>
              <w:jc w:val="center"/>
              <w:rPr>
                <w:rFonts w:ascii="Arial Narrow" w:hAnsi="Arial Narrow" w:cs="Calibri"/>
                <w:sz w:val="20"/>
                <w:szCs w:val="20"/>
              </w:rPr>
            </w:pPr>
          </w:p>
          <w:p w14:paraId="1325F2AD" w14:textId="77777777" w:rsidR="009F61A2" w:rsidRPr="00AB0BB0" w:rsidRDefault="009F61A2" w:rsidP="009F61A2">
            <w:pPr>
              <w:kinsoku w:val="0"/>
              <w:overflowPunct w:val="0"/>
              <w:autoSpaceDE w:val="0"/>
              <w:autoSpaceDN w:val="0"/>
              <w:adjustRightInd w:val="0"/>
              <w:spacing w:after="0" w:line="240" w:lineRule="auto"/>
              <w:ind w:left="129"/>
              <w:jc w:val="center"/>
              <w:rPr>
                <w:rFonts w:ascii="Arial Narrow" w:hAnsi="Arial Narrow" w:cs="Calibri"/>
                <w:sz w:val="20"/>
                <w:szCs w:val="20"/>
              </w:rPr>
            </w:pPr>
          </w:p>
          <w:p w14:paraId="31DB8A40" w14:textId="77777777" w:rsidR="009F61A2" w:rsidRPr="00AB0BB0" w:rsidRDefault="009F61A2" w:rsidP="009F61A2">
            <w:pPr>
              <w:kinsoku w:val="0"/>
              <w:overflowPunct w:val="0"/>
              <w:autoSpaceDE w:val="0"/>
              <w:autoSpaceDN w:val="0"/>
              <w:adjustRightInd w:val="0"/>
              <w:spacing w:after="0" w:line="240" w:lineRule="auto"/>
              <w:ind w:left="129"/>
              <w:jc w:val="center"/>
              <w:rPr>
                <w:rFonts w:ascii="Arial Narrow" w:hAnsi="Arial Narrow" w:cs="Calibri"/>
                <w:sz w:val="20"/>
                <w:szCs w:val="20"/>
              </w:rPr>
            </w:pPr>
            <w:r w:rsidRPr="00AB0BB0">
              <w:rPr>
                <w:rFonts w:ascii="Arial Narrow" w:hAnsi="Arial Narrow" w:cs="Calibri"/>
                <w:sz w:val="20"/>
                <w:szCs w:val="20"/>
              </w:rPr>
              <w:t>3.75</w:t>
            </w:r>
          </w:p>
          <w:p w14:paraId="4E5383F4" w14:textId="77777777" w:rsidR="009F61A2" w:rsidRPr="00AB0BB0" w:rsidRDefault="009F61A2" w:rsidP="009F61A2">
            <w:pPr>
              <w:kinsoku w:val="0"/>
              <w:overflowPunct w:val="0"/>
              <w:autoSpaceDE w:val="0"/>
              <w:autoSpaceDN w:val="0"/>
              <w:adjustRightInd w:val="0"/>
              <w:spacing w:after="0" w:line="240" w:lineRule="auto"/>
              <w:ind w:left="129"/>
              <w:jc w:val="center"/>
              <w:rPr>
                <w:rFonts w:ascii="Arial Narrow" w:hAnsi="Arial Narrow" w:cs="Calibri"/>
                <w:sz w:val="20"/>
                <w:szCs w:val="20"/>
              </w:rPr>
            </w:pPr>
            <w:r w:rsidRPr="00AB0BB0">
              <w:rPr>
                <w:rFonts w:ascii="Arial Narrow" w:hAnsi="Arial Narrow" w:cs="Calibri"/>
                <w:sz w:val="20"/>
                <w:szCs w:val="20"/>
              </w:rPr>
              <w:t>3.79</w:t>
            </w:r>
          </w:p>
          <w:p w14:paraId="7057CD78" w14:textId="18602293"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z w:val="20"/>
                <w:szCs w:val="20"/>
              </w:rPr>
              <w:t xml:space="preserve">   3.77</w:t>
            </w:r>
          </w:p>
        </w:tc>
        <w:tc>
          <w:tcPr>
            <w:tcW w:w="850" w:type="dxa"/>
            <w:tcBorders>
              <w:top w:val="single" w:sz="4" w:space="0" w:color="000000"/>
              <w:left w:val="single" w:sz="4" w:space="0" w:color="000000"/>
              <w:bottom w:val="single" w:sz="4" w:space="0" w:color="000000"/>
              <w:right w:val="single" w:sz="4" w:space="0" w:color="000000"/>
            </w:tcBorders>
          </w:tcPr>
          <w:p w14:paraId="36A47705"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5E76CA2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0E3694D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089F034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574D8472"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737259AB" w14:textId="53DEF875"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17F1BC33"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FCD9DA3"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E253706"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p>
          <w:p w14:paraId="74BCE5F3"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10</w:t>
            </w:r>
          </w:p>
          <w:p w14:paraId="0DCE9663"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20</w:t>
            </w:r>
          </w:p>
          <w:p w14:paraId="496C1839"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40</w:t>
            </w:r>
          </w:p>
          <w:p w14:paraId="52EA2EC1"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4E6F6AD" w14:textId="77777777" w:rsidR="009F61A2" w:rsidRPr="00AB0BB0" w:rsidRDefault="009F61A2" w:rsidP="009F61A2">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D10791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C02D639"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3E14B9C"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51E5FBC" w14:textId="711F2F4B" w:rsidR="009F61A2" w:rsidRPr="00AB0BB0" w:rsidRDefault="009F61A2" w:rsidP="009F61A2">
            <w:pPr>
              <w:kinsoku w:val="0"/>
              <w:overflowPunct w:val="0"/>
              <w:autoSpaceDE w:val="0"/>
              <w:autoSpaceDN w:val="0"/>
              <w:adjustRightInd w:val="0"/>
              <w:spacing w:after="0" w:line="240" w:lineRule="auto"/>
              <w:ind w:left="227"/>
              <w:rPr>
                <w:rFonts w:ascii="Arial Narrow" w:hAnsi="Arial Narrow" w:cs="Calibri"/>
                <w:spacing w:val="-1"/>
                <w:sz w:val="20"/>
                <w:szCs w:val="20"/>
              </w:rPr>
            </w:pPr>
            <w:r w:rsidRPr="00AB0BB0">
              <w:rPr>
                <w:rFonts w:ascii="Arial Narrow" w:hAnsi="Arial Narrow" w:cs="Calibri"/>
                <w:spacing w:val="-1"/>
                <w:sz w:val="20"/>
                <w:szCs w:val="20"/>
              </w:rPr>
              <w:t xml:space="preserve">   247</w:t>
            </w:r>
          </w:p>
          <w:p w14:paraId="394B94C0" w14:textId="7F2AB89C"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2B920093" w14:textId="04C90093"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pacing w:val="-1"/>
                <w:sz w:val="20"/>
                <w:szCs w:val="20"/>
              </w:rPr>
              <w:t>247</w:t>
            </w:r>
          </w:p>
        </w:tc>
        <w:tc>
          <w:tcPr>
            <w:tcW w:w="851" w:type="dxa"/>
            <w:tcBorders>
              <w:top w:val="single" w:sz="4" w:space="0" w:color="000000"/>
              <w:left w:val="single" w:sz="4" w:space="0" w:color="000000"/>
              <w:bottom w:val="single" w:sz="4" w:space="0" w:color="000000"/>
              <w:right w:val="single" w:sz="4" w:space="0" w:color="000000"/>
            </w:tcBorders>
          </w:tcPr>
          <w:p w14:paraId="5B212D68"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22D7D0B7"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4C6EBF77"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4FB420E8" w14:textId="77EA4327" w:rsidR="009F61A2" w:rsidRPr="00AB0BB0" w:rsidRDefault="009F61A2" w:rsidP="009F61A2">
            <w:pPr>
              <w:kinsoku w:val="0"/>
              <w:overflowPunct w:val="0"/>
              <w:autoSpaceDE w:val="0"/>
              <w:autoSpaceDN w:val="0"/>
              <w:adjustRightInd w:val="0"/>
              <w:spacing w:after="0" w:line="240" w:lineRule="auto"/>
              <w:ind w:left="129"/>
              <w:rPr>
                <w:rFonts w:ascii="Arial Narrow" w:hAnsi="Arial Narrow" w:cs="Calibri"/>
                <w:sz w:val="20"/>
                <w:szCs w:val="20"/>
              </w:rPr>
            </w:pPr>
            <w:r w:rsidRPr="00AB0BB0">
              <w:rPr>
                <w:rFonts w:ascii="Arial Narrow" w:hAnsi="Arial Narrow" w:cs="Calibri"/>
                <w:sz w:val="20"/>
                <w:szCs w:val="20"/>
              </w:rPr>
              <w:t xml:space="preserve">    3.75</w:t>
            </w:r>
          </w:p>
          <w:p w14:paraId="4C5F349B" w14:textId="2CB35C5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1B2CC3F2" w14:textId="7B71ED5B"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z w:val="20"/>
                <w:szCs w:val="20"/>
              </w:rPr>
              <w:t xml:space="preserve">  3.72</w:t>
            </w:r>
          </w:p>
        </w:tc>
        <w:tc>
          <w:tcPr>
            <w:tcW w:w="850" w:type="dxa"/>
            <w:tcBorders>
              <w:top w:val="single" w:sz="4" w:space="0" w:color="000000"/>
              <w:left w:val="single" w:sz="4" w:space="0" w:color="000000"/>
              <w:bottom w:val="single" w:sz="4" w:space="0" w:color="000000"/>
              <w:right w:val="single" w:sz="4" w:space="0" w:color="000000"/>
            </w:tcBorders>
          </w:tcPr>
          <w:p w14:paraId="5CABAE19"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4142E09B"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3DAF66E3"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5037DF32"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0A7A5A2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1F65EBC4" w14:textId="12E26876"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58E6BC74"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26D8837C"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B39019D"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34FFCE82"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-38.3 (-40.1,-36.5)</w:t>
            </w:r>
          </w:p>
          <w:p w14:paraId="54A22F5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-44.6 (-46.4,-42.8)</w:t>
            </w:r>
          </w:p>
          <w:p w14:paraId="2412714E" w14:textId="6CFED579"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z w:val="20"/>
                <w:szCs w:val="20"/>
              </w:rPr>
            </w:pPr>
            <w:r w:rsidRPr="00AB0BB0">
              <w:rPr>
                <w:rFonts w:ascii="Arial Narrow" w:hAnsi="Arial Narrow" w:cs="Calibri"/>
                <w:sz w:val="20"/>
                <w:szCs w:val="20"/>
              </w:rPr>
              <w:t>-50.9 (-52.7,-49.1)</w:t>
            </w:r>
          </w:p>
        </w:tc>
        <w:tc>
          <w:tcPr>
            <w:tcW w:w="1842" w:type="dxa"/>
            <w:tcBorders>
              <w:top w:val="single" w:sz="4" w:space="0" w:color="000000"/>
              <w:left w:val="single" w:sz="4" w:space="0" w:color="000000"/>
              <w:bottom w:val="single" w:sz="4" w:space="0" w:color="000000"/>
              <w:right w:val="single" w:sz="4" w:space="0" w:color="000000"/>
            </w:tcBorders>
          </w:tcPr>
          <w:p w14:paraId="07507DFE"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z w:val="20"/>
                <w:szCs w:val="20"/>
              </w:rPr>
            </w:pPr>
          </w:p>
          <w:p w14:paraId="35FE36A4"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z w:val="20"/>
                <w:szCs w:val="20"/>
              </w:rPr>
            </w:pPr>
          </w:p>
          <w:p w14:paraId="74830259"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z w:val="20"/>
                <w:szCs w:val="20"/>
              </w:rPr>
            </w:pPr>
          </w:p>
          <w:p w14:paraId="60FE0931"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z w:val="20"/>
                <w:szCs w:val="20"/>
              </w:rPr>
            </w:pPr>
            <w:r w:rsidRPr="00AB0BB0">
              <w:rPr>
                <w:rFonts w:ascii="Arial Narrow" w:hAnsi="Arial Narrow" w:cs="Calibri"/>
                <w:sz w:val="20"/>
                <w:szCs w:val="20"/>
              </w:rPr>
              <w:t>-53.6 (-55.4,-51.8)</w:t>
            </w:r>
          </w:p>
          <w:p w14:paraId="0CB37632" w14:textId="5B890C28"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NR</w:t>
            </w:r>
          </w:p>
          <w:p w14:paraId="72919287" w14:textId="5BCA0406"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z w:val="20"/>
                <w:szCs w:val="20"/>
              </w:rPr>
            </w:pPr>
            <w:r w:rsidRPr="00AB0BB0">
              <w:rPr>
                <w:rFonts w:ascii="Arial Narrow" w:hAnsi="Arial Narrow" w:cs="Calibri"/>
                <w:sz w:val="20"/>
                <w:szCs w:val="20"/>
              </w:rPr>
              <w:t>-57.6 (-59.4,-55.8)</w:t>
            </w:r>
          </w:p>
        </w:tc>
        <w:tc>
          <w:tcPr>
            <w:tcW w:w="1986" w:type="dxa"/>
            <w:tcBorders>
              <w:top w:val="single" w:sz="4" w:space="0" w:color="000000"/>
              <w:left w:val="single" w:sz="4" w:space="0" w:color="000000"/>
              <w:bottom w:val="single" w:sz="4" w:space="0" w:color="000000"/>
              <w:right w:val="single" w:sz="4" w:space="0" w:color="000000"/>
            </w:tcBorders>
          </w:tcPr>
          <w:p w14:paraId="70094C4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FC0CB97"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24F1A87"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FB96922" w14:textId="05E61126" w:rsidR="009F61A2" w:rsidRPr="00AB0BB0" w:rsidRDefault="009F61A2" w:rsidP="009F61A2">
            <w:pPr>
              <w:kinsoku w:val="0"/>
              <w:overflowPunct w:val="0"/>
              <w:autoSpaceDE w:val="0"/>
              <w:autoSpaceDN w:val="0"/>
              <w:adjustRightInd w:val="0"/>
              <w:spacing w:after="0" w:line="240" w:lineRule="auto"/>
              <w:ind w:left="142"/>
              <w:rPr>
                <w:rFonts w:ascii="Arial Narrow" w:hAnsi="Arial Narrow" w:cs="Calibri"/>
                <w:spacing w:val="-1"/>
                <w:sz w:val="20"/>
                <w:szCs w:val="20"/>
              </w:rPr>
            </w:pPr>
            <w:r w:rsidRPr="00AB0BB0">
              <w:rPr>
                <w:rFonts w:ascii="Arial Narrow" w:hAnsi="Arial Narrow" w:cs="Calibri"/>
                <w:spacing w:val="-1"/>
                <w:sz w:val="20"/>
                <w:szCs w:val="20"/>
              </w:rPr>
              <w:t>-15.3 (-17.7;-12.8)***</w:t>
            </w:r>
          </w:p>
          <w:p w14:paraId="0703311F" w14:textId="358FB843" w:rsidR="009F61A2" w:rsidRPr="00AB0BB0" w:rsidRDefault="009F61A2" w:rsidP="009F61A2">
            <w:pPr>
              <w:kinsoku w:val="0"/>
              <w:overflowPunct w:val="0"/>
              <w:autoSpaceDE w:val="0"/>
              <w:autoSpaceDN w:val="0"/>
              <w:adjustRightInd w:val="0"/>
              <w:spacing w:after="0" w:line="240" w:lineRule="auto"/>
              <w:ind w:left="142"/>
              <w:rPr>
                <w:rFonts w:ascii="Arial Narrow" w:hAnsi="Arial Narrow" w:cs="Calibri"/>
                <w:spacing w:val="-1"/>
                <w:sz w:val="20"/>
                <w:szCs w:val="20"/>
              </w:rPr>
            </w:pPr>
            <w:r w:rsidRPr="00AB0BB0">
              <w:rPr>
                <w:rFonts w:ascii="Arial Narrow" w:hAnsi="Arial Narrow" w:cs="Calibri"/>
                <w:spacing w:val="-1"/>
                <w:sz w:val="20"/>
                <w:szCs w:val="20"/>
              </w:rPr>
              <w:t>-9.0   (-11.5;-6.5)***</w:t>
            </w:r>
          </w:p>
          <w:p w14:paraId="55AF3309" w14:textId="659CABFE" w:rsidR="009F61A2" w:rsidRPr="00AB0BB0" w:rsidRDefault="009F61A2" w:rsidP="009F61A2">
            <w:pPr>
              <w:kinsoku w:val="0"/>
              <w:overflowPunct w:val="0"/>
              <w:autoSpaceDE w:val="0"/>
              <w:autoSpaceDN w:val="0"/>
              <w:adjustRightInd w:val="0"/>
              <w:spacing w:after="0" w:line="240" w:lineRule="auto"/>
              <w:ind w:left="142"/>
              <w:rPr>
                <w:rFonts w:ascii="Arial Narrow" w:hAnsi="Arial Narrow" w:cs="Calibri"/>
                <w:sz w:val="20"/>
                <w:szCs w:val="20"/>
              </w:rPr>
            </w:pPr>
            <w:r w:rsidRPr="00AB0BB0">
              <w:rPr>
                <w:rFonts w:ascii="Arial Narrow" w:hAnsi="Arial Narrow" w:cs="Calibri"/>
                <w:spacing w:val="-1"/>
                <w:sz w:val="20"/>
                <w:szCs w:val="20"/>
              </w:rPr>
              <w:t>-6.6    (-9.1;-4.2)***</w:t>
            </w:r>
          </w:p>
        </w:tc>
      </w:tr>
      <w:tr w:rsidR="009F61A2" w:rsidRPr="00AB0BB0" w14:paraId="79B29623" w14:textId="77777777" w:rsidTr="00AD696F">
        <w:trPr>
          <w:trHeight w:hRule="exact" w:val="1265"/>
        </w:trPr>
        <w:tc>
          <w:tcPr>
            <w:tcW w:w="2127" w:type="dxa"/>
            <w:tcBorders>
              <w:top w:val="single" w:sz="4" w:space="0" w:color="000000"/>
              <w:left w:val="single" w:sz="4" w:space="0" w:color="000000"/>
              <w:bottom w:val="single" w:sz="4" w:space="0" w:color="000000"/>
              <w:right w:val="single" w:sz="4" w:space="0" w:color="000000"/>
            </w:tcBorders>
          </w:tcPr>
          <w:p w14:paraId="72892A07"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Constance 2007</w:t>
            </w:r>
            <w:r w:rsidRPr="00AB0BB0">
              <w:rPr>
                <w:rFonts w:ascii="Arial Narrow" w:hAnsi="Arial Narrow" w:cs="Calibri"/>
                <w:spacing w:val="-1"/>
                <w:sz w:val="20"/>
                <w:szCs w:val="20"/>
                <w:vertAlign w:val="superscript"/>
              </w:rPr>
              <w:t>2</w:t>
            </w:r>
            <w:r w:rsidRPr="00AB0BB0">
              <w:rPr>
                <w:rFonts w:ascii="Arial Narrow" w:hAnsi="Arial Narrow" w:cs="Calibri"/>
                <w:spacing w:val="-1"/>
                <w:sz w:val="20"/>
                <w:szCs w:val="20"/>
              </w:rPr>
              <w:t xml:space="preserve"> </w:t>
            </w:r>
          </w:p>
          <w:p w14:paraId="6DF410BA" w14:textId="4732A5E2"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16"/>
                <w:szCs w:val="16"/>
              </w:rPr>
            </w:pPr>
            <w:r w:rsidRPr="00AB0BB0">
              <w:rPr>
                <w:rFonts w:ascii="Arial Narrow" w:hAnsi="Arial Narrow" w:cs="Calibri"/>
                <w:spacing w:val="-1"/>
                <w:sz w:val="16"/>
                <w:szCs w:val="16"/>
              </w:rPr>
              <w:t>ATOR 10 (run in)</w:t>
            </w:r>
          </w:p>
          <w:p w14:paraId="092230C8" w14:textId="369C69BE" w:rsidR="009F61A2" w:rsidRPr="00AB0BB0" w:rsidRDefault="009F61A2" w:rsidP="009F61A2">
            <w:pPr>
              <w:kinsoku w:val="0"/>
              <w:overflowPunct w:val="0"/>
              <w:autoSpaceDE w:val="0"/>
              <w:autoSpaceDN w:val="0"/>
              <w:adjustRightInd w:val="0"/>
              <w:spacing w:before="80" w:after="0" w:line="240" w:lineRule="auto"/>
              <w:rPr>
                <w:rFonts w:ascii="Arial Narrow" w:hAnsi="Arial Narrow" w:cs="Calibri"/>
                <w:spacing w:val="-1"/>
                <w:sz w:val="20"/>
                <w:szCs w:val="20"/>
              </w:rPr>
            </w:pPr>
            <w:r w:rsidRPr="00AB0BB0">
              <w:rPr>
                <w:rFonts w:ascii="Arial Narrow" w:hAnsi="Arial Narrow" w:cs="Calibri"/>
                <w:spacing w:val="-1"/>
                <w:sz w:val="20"/>
                <w:szCs w:val="20"/>
              </w:rPr>
              <w:t xml:space="preserve">  ATOR 20</w:t>
            </w:r>
          </w:p>
          <w:p w14:paraId="1DE16E33"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70085EF" w14:textId="77777777" w:rsidR="009F61A2" w:rsidRPr="00AB0BB0" w:rsidRDefault="009F61A2" w:rsidP="009F61A2">
            <w:pPr>
              <w:kinsoku w:val="0"/>
              <w:overflowPunct w:val="0"/>
              <w:autoSpaceDE w:val="0"/>
              <w:autoSpaceDN w:val="0"/>
              <w:adjustRightInd w:val="0"/>
              <w:spacing w:after="0" w:line="240" w:lineRule="auto"/>
              <w:ind w:right="224"/>
              <w:jc w:val="center"/>
              <w:rPr>
                <w:rFonts w:ascii="Arial Narrow" w:hAnsi="Arial Narrow" w:cs="Calibri"/>
                <w:spacing w:val="-1"/>
                <w:sz w:val="20"/>
                <w:szCs w:val="20"/>
              </w:rPr>
            </w:pPr>
          </w:p>
          <w:p w14:paraId="3A1EDD18"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219</w:t>
            </w:r>
          </w:p>
          <w:p w14:paraId="6C4D5EC9"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D14AF32" w14:textId="77777777"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2D91E3F6" w14:textId="77777777"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2.43</w:t>
            </w:r>
          </w:p>
          <w:p w14:paraId="6F3A3110" w14:textId="77777777" w:rsidR="009F61A2" w:rsidRPr="00AB0BB0" w:rsidRDefault="009F61A2" w:rsidP="009F61A2">
            <w:pPr>
              <w:kinsoku w:val="0"/>
              <w:overflowPunct w:val="0"/>
              <w:autoSpaceDE w:val="0"/>
              <w:autoSpaceDN w:val="0"/>
              <w:adjustRightInd w:val="0"/>
              <w:spacing w:after="0" w:line="240" w:lineRule="auto"/>
              <w:ind w:left="1"/>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0E32331"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34C9EBF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p w14:paraId="26793052"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416D278F" w14:textId="77777777" w:rsidR="009F61A2" w:rsidRPr="00AB0BB0" w:rsidRDefault="009F61A2" w:rsidP="009F61A2">
            <w:pPr>
              <w:kinsoku w:val="0"/>
              <w:overflowPunct w:val="0"/>
              <w:autoSpaceDE w:val="0"/>
              <w:autoSpaceDN w:val="0"/>
              <w:adjustRightInd w:val="0"/>
              <w:spacing w:after="0" w:line="240" w:lineRule="auto"/>
              <w:ind w:right="142"/>
              <w:rPr>
                <w:rFonts w:ascii="Arial Narrow" w:hAnsi="Arial Narrow" w:cs="Calibri"/>
                <w:spacing w:val="-1"/>
                <w:sz w:val="20"/>
                <w:szCs w:val="20"/>
              </w:rPr>
            </w:pPr>
          </w:p>
          <w:p w14:paraId="6532AB4E" w14:textId="77777777" w:rsidR="009F61A2" w:rsidRPr="00AB0BB0" w:rsidRDefault="009F61A2" w:rsidP="009F61A2">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p>
          <w:p w14:paraId="13937CD5" w14:textId="77777777" w:rsidR="009F61A2" w:rsidRPr="00AB0BB0" w:rsidRDefault="009F61A2" w:rsidP="009F61A2">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r w:rsidRPr="00AB0BB0">
              <w:rPr>
                <w:rFonts w:ascii="Arial Narrow" w:hAnsi="Arial Narrow" w:cs="Calibri"/>
                <w:spacing w:val="-1"/>
                <w:sz w:val="20"/>
                <w:szCs w:val="20"/>
              </w:rPr>
              <w:t>EZ + SIM 20</w:t>
            </w:r>
          </w:p>
          <w:p w14:paraId="123F76DC" w14:textId="1C28AFBA"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EZ + SIM 40</w:t>
            </w:r>
          </w:p>
        </w:tc>
        <w:tc>
          <w:tcPr>
            <w:tcW w:w="992" w:type="dxa"/>
            <w:tcBorders>
              <w:top w:val="single" w:sz="4" w:space="0" w:color="000000"/>
              <w:left w:val="single" w:sz="4" w:space="0" w:color="000000"/>
              <w:bottom w:val="single" w:sz="4" w:space="0" w:color="000000"/>
              <w:right w:val="single" w:sz="4" w:space="0" w:color="000000"/>
            </w:tcBorders>
          </w:tcPr>
          <w:p w14:paraId="5FEA3CD3" w14:textId="77777777" w:rsidR="009F61A2" w:rsidRPr="00AB0BB0" w:rsidRDefault="009F61A2" w:rsidP="009F61A2">
            <w:pPr>
              <w:kinsoku w:val="0"/>
              <w:overflowPunct w:val="0"/>
              <w:autoSpaceDE w:val="0"/>
              <w:autoSpaceDN w:val="0"/>
              <w:adjustRightInd w:val="0"/>
              <w:spacing w:after="0" w:line="240" w:lineRule="auto"/>
              <w:ind w:right="155"/>
              <w:rPr>
                <w:rFonts w:ascii="Arial Narrow" w:hAnsi="Arial Narrow" w:cs="Calibri"/>
                <w:spacing w:val="-1"/>
                <w:sz w:val="20"/>
                <w:szCs w:val="20"/>
              </w:rPr>
            </w:pPr>
          </w:p>
          <w:p w14:paraId="63E2AE0B" w14:textId="77777777"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p w14:paraId="382C44B8" w14:textId="77777777"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220</w:t>
            </w:r>
          </w:p>
          <w:p w14:paraId="27BF8AD3" w14:textId="1555070F"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222</w:t>
            </w:r>
          </w:p>
        </w:tc>
        <w:tc>
          <w:tcPr>
            <w:tcW w:w="851" w:type="dxa"/>
            <w:tcBorders>
              <w:top w:val="single" w:sz="4" w:space="0" w:color="000000"/>
              <w:left w:val="single" w:sz="4" w:space="0" w:color="000000"/>
              <w:bottom w:val="single" w:sz="4" w:space="0" w:color="000000"/>
              <w:right w:val="single" w:sz="4" w:space="0" w:color="000000"/>
            </w:tcBorders>
          </w:tcPr>
          <w:p w14:paraId="79FC9779"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A3BCC9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A4BF2A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2.34</w:t>
            </w:r>
          </w:p>
          <w:p w14:paraId="7A3D7D44" w14:textId="7EA971BE" w:rsidR="009F61A2" w:rsidRPr="00AB0BB0" w:rsidRDefault="009F61A2" w:rsidP="009F61A2">
            <w:pPr>
              <w:kinsoku w:val="0"/>
              <w:overflowPunct w:val="0"/>
              <w:autoSpaceDE w:val="0"/>
              <w:autoSpaceDN w:val="0"/>
              <w:adjustRightInd w:val="0"/>
              <w:spacing w:after="0" w:line="240" w:lineRule="auto"/>
              <w:ind w:left="1"/>
              <w:jc w:val="center"/>
              <w:rPr>
                <w:rFonts w:ascii="Arial Narrow" w:hAnsi="Arial Narrow" w:cs="Calibri"/>
                <w:spacing w:val="-1"/>
                <w:sz w:val="20"/>
                <w:szCs w:val="20"/>
              </w:rPr>
            </w:pPr>
            <w:r w:rsidRPr="00AB0BB0">
              <w:rPr>
                <w:rFonts w:ascii="Arial Narrow" w:hAnsi="Arial Narrow" w:cs="Calibri"/>
                <w:spacing w:val="-1"/>
                <w:sz w:val="20"/>
                <w:szCs w:val="20"/>
              </w:rPr>
              <w:t>2.48</w:t>
            </w:r>
          </w:p>
        </w:tc>
        <w:tc>
          <w:tcPr>
            <w:tcW w:w="850" w:type="dxa"/>
            <w:tcBorders>
              <w:top w:val="single" w:sz="4" w:space="0" w:color="000000"/>
              <w:left w:val="single" w:sz="4" w:space="0" w:color="000000"/>
              <w:bottom w:val="single" w:sz="4" w:space="0" w:color="000000"/>
              <w:right w:val="single" w:sz="4" w:space="0" w:color="000000"/>
            </w:tcBorders>
          </w:tcPr>
          <w:p w14:paraId="457D8E3E"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z w:val="20"/>
                <w:szCs w:val="20"/>
              </w:rPr>
            </w:pPr>
          </w:p>
          <w:p w14:paraId="33257D1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7CC6C30D"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p w14:paraId="7035C474"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p w14:paraId="23FB97E2" w14:textId="77777777" w:rsidR="009F61A2" w:rsidRPr="00AB0BB0" w:rsidRDefault="009F61A2" w:rsidP="009F61A2">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59BE845C"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7CE89EC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-8.49 (26.83)</w:t>
            </w:r>
          </w:p>
          <w:p w14:paraId="05FE8E73"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031F2A15"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403D0EA9" w14:textId="77777777" w:rsidR="009F61A2" w:rsidRPr="00AB0BB0" w:rsidRDefault="009F61A2" w:rsidP="009F61A2">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r w:rsidRPr="00AB0BB0">
              <w:rPr>
                <w:rFonts w:ascii="Arial Narrow" w:hAnsi="Arial Narrow" w:cs="Calibri"/>
                <w:spacing w:val="-1"/>
                <w:sz w:val="20"/>
                <w:szCs w:val="20"/>
              </w:rPr>
              <w:t xml:space="preserve">  </w:t>
            </w:r>
          </w:p>
          <w:p w14:paraId="5D9E24B2" w14:textId="0168366D" w:rsidR="009F61A2" w:rsidRPr="00AB0BB0" w:rsidRDefault="009F61A2" w:rsidP="009F61A2">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r w:rsidRPr="00AB0BB0">
              <w:rPr>
                <w:rFonts w:ascii="Arial Narrow" w:hAnsi="Arial Narrow" w:cs="Calibri"/>
                <w:spacing w:val="-1"/>
                <w:sz w:val="20"/>
                <w:szCs w:val="20"/>
              </w:rPr>
              <w:t>-26.15 (26.89)</w:t>
            </w:r>
          </w:p>
          <w:p w14:paraId="11AB80FC" w14:textId="7349B6BB"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z w:val="20"/>
                <w:szCs w:val="20"/>
              </w:rPr>
            </w:pPr>
            <w:r w:rsidRPr="00AB0BB0">
              <w:rPr>
                <w:rFonts w:ascii="Arial Narrow" w:hAnsi="Arial Narrow" w:cs="Calibri"/>
                <w:spacing w:val="-1"/>
                <w:sz w:val="20"/>
                <w:szCs w:val="20"/>
              </w:rPr>
              <w:t xml:space="preserve">     -30.13 (26.99)</w:t>
            </w:r>
          </w:p>
        </w:tc>
        <w:tc>
          <w:tcPr>
            <w:tcW w:w="1986" w:type="dxa"/>
            <w:tcBorders>
              <w:top w:val="single" w:sz="4" w:space="0" w:color="000000"/>
              <w:left w:val="single" w:sz="4" w:space="0" w:color="000000"/>
              <w:bottom w:val="single" w:sz="4" w:space="0" w:color="000000"/>
              <w:right w:val="single" w:sz="4" w:space="0" w:color="000000"/>
            </w:tcBorders>
            <w:vAlign w:val="center"/>
          </w:tcPr>
          <w:p w14:paraId="7454CD14"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744C6D60"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NR</w:t>
            </w:r>
          </w:p>
          <w:p w14:paraId="7B8007A7"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tc>
      </w:tr>
      <w:tr w:rsidR="009F61A2" w:rsidRPr="00AB0BB0" w14:paraId="50DC1112" w14:textId="77777777" w:rsidTr="00AA0622">
        <w:trPr>
          <w:trHeight w:hRule="exact" w:val="860"/>
        </w:trPr>
        <w:tc>
          <w:tcPr>
            <w:tcW w:w="2127" w:type="dxa"/>
            <w:tcBorders>
              <w:top w:val="single" w:sz="4" w:space="0" w:color="000000"/>
              <w:left w:val="single" w:sz="4" w:space="0" w:color="000000"/>
              <w:bottom w:val="single" w:sz="4" w:space="0" w:color="000000"/>
              <w:right w:val="single" w:sz="4" w:space="0" w:color="000000"/>
            </w:tcBorders>
          </w:tcPr>
          <w:p w14:paraId="652715A8" w14:textId="2776AED7" w:rsidR="009F61A2"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Pr>
                <w:rFonts w:ascii="Arial Narrow" w:hAnsi="Arial Narrow" w:cs="Calibri"/>
                <w:spacing w:val="-1"/>
                <w:sz w:val="20"/>
                <w:szCs w:val="20"/>
              </w:rPr>
              <w:t>Farnier 2009</w:t>
            </w:r>
          </w:p>
          <w:p w14:paraId="3268FCC7" w14:textId="00B627E0" w:rsidR="009F61A2" w:rsidRPr="00A362C7"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Pr>
                <w:rFonts w:ascii="Arial Narrow" w:hAnsi="Arial Narrow" w:cs="Calibri"/>
                <w:spacing w:val="-1"/>
                <w:sz w:val="20"/>
                <w:szCs w:val="20"/>
              </w:rPr>
              <w:t>ROSU 10 mg</w:t>
            </w:r>
          </w:p>
        </w:tc>
        <w:tc>
          <w:tcPr>
            <w:tcW w:w="992" w:type="dxa"/>
            <w:tcBorders>
              <w:top w:val="single" w:sz="4" w:space="0" w:color="000000"/>
              <w:left w:val="single" w:sz="4" w:space="0" w:color="000000"/>
              <w:bottom w:val="single" w:sz="4" w:space="0" w:color="000000"/>
              <w:right w:val="single" w:sz="4" w:space="0" w:color="000000"/>
            </w:tcBorders>
            <w:vAlign w:val="center"/>
          </w:tcPr>
          <w:p w14:paraId="018D99D3" w14:textId="1618E987" w:rsidR="009F61A2" w:rsidRPr="00AB0BB0" w:rsidRDefault="009F61A2" w:rsidP="009F61A2">
            <w:pPr>
              <w:tabs>
                <w:tab w:val="left" w:pos="709"/>
              </w:tabs>
              <w:kinsoku w:val="0"/>
              <w:overflowPunct w:val="0"/>
              <w:autoSpaceDE w:val="0"/>
              <w:autoSpaceDN w:val="0"/>
              <w:adjustRightInd w:val="0"/>
              <w:spacing w:after="0" w:line="240" w:lineRule="auto"/>
              <w:ind w:right="224"/>
              <w:jc w:val="center"/>
              <w:rPr>
                <w:rFonts w:ascii="Arial Narrow" w:hAnsi="Arial Narrow" w:cs="Calibri"/>
                <w:spacing w:val="-1"/>
                <w:sz w:val="20"/>
                <w:szCs w:val="20"/>
              </w:rPr>
            </w:pPr>
            <w:r>
              <w:rPr>
                <w:rFonts w:ascii="Arial Narrow" w:hAnsi="Arial Narrow" w:cs="Calibri"/>
                <w:spacing w:val="-1"/>
                <w:sz w:val="20"/>
                <w:szCs w:val="20"/>
              </w:rPr>
              <w:t>292</w:t>
            </w:r>
          </w:p>
        </w:tc>
        <w:tc>
          <w:tcPr>
            <w:tcW w:w="851" w:type="dxa"/>
            <w:tcBorders>
              <w:top w:val="single" w:sz="4" w:space="0" w:color="000000"/>
              <w:left w:val="single" w:sz="4" w:space="0" w:color="000000"/>
              <w:bottom w:val="single" w:sz="4" w:space="0" w:color="000000"/>
              <w:right w:val="single" w:sz="4" w:space="0" w:color="000000"/>
            </w:tcBorders>
            <w:vAlign w:val="center"/>
          </w:tcPr>
          <w:p w14:paraId="3052EDA6" w14:textId="512D0E2B"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Pr>
                <w:rFonts w:ascii="Arial Narrow" w:hAnsi="Arial Narrow" w:cs="Calibri"/>
                <w:spacing w:val="-1"/>
                <w:sz w:val="20"/>
                <w:szCs w:val="20"/>
              </w:rPr>
              <w:t>3.24</w:t>
            </w:r>
          </w:p>
        </w:tc>
        <w:tc>
          <w:tcPr>
            <w:tcW w:w="850" w:type="dxa"/>
            <w:tcBorders>
              <w:top w:val="single" w:sz="4" w:space="0" w:color="000000"/>
              <w:left w:val="single" w:sz="4" w:space="0" w:color="000000"/>
              <w:bottom w:val="single" w:sz="4" w:space="0" w:color="000000"/>
              <w:right w:val="single" w:sz="4" w:space="0" w:color="000000"/>
            </w:tcBorders>
            <w:vAlign w:val="center"/>
          </w:tcPr>
          <w:p w14:paraId="7873C368" w14:textId="40B39522"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0C1C6AC7" w14:textId="62B35D8E" w:rsidR="009F61A2" w:rsidRPr="00AB0BB0" w:rsidRDefault="009F61A2" w:rsidP="009F61A2">
            <w:pPr>
              <w:kinsoku w:val="0"/>
              <w:overflowPunct w:val="0"/>
              <w:autoSpaceDE w:val="0"/>
              <w:autoSpaceDN w:val="0"/>
              <w:adjustRightInd w:val="0"/>
              <w:spacing w:after="0" w:line="240" w:lineRule="auto"/>
              <w:ind w:right="142"/>
              <w:jc w:val="center"/>
              <w:rPr>
                <w:rFonts w:ascii="Arial Narrow" w:hAnsi="Arial Narrow" w:cs="Calibri"/>
                <w:spacing w:val="-1"/>
                <w:sz w:val="20"/>
                <w:szCs w:val="20"/>
              </w:rPr>
            </w:pPr>
            <w:r>
              <w:rPr>
                <w:rFonts w:ascii="Arial Narrow" w:hAnsi="Arial Narrow" w:cs="Calibri"/>
                <w:spacing w:val="-1"/>
                <w:sz w:val="20"/>
                <w:szCs w:val="20"/>
              </w:rPr>
              <w:t>EZ+SIM 20</w:t>
            </w:r>
          </w:p>
        </w:tc>
        <w:tc>
          <w:tcPr>
            <w:tcW w:w="992" w:type="dxa"/>
            <w:tcBorders>
              <w:top w:val="single" w:sz="4" w:space="0" w:color="000000"/>
              <w:left w:val="single" w:sz="4" w:space="0" w:color="000000"/>
              <w:bottom w:val="single" w:sz="4" w:space="0" w:color="000000"/>
              <w:right w:val="single" w:sz="4" w:space="0" w:color="000000"/>
            </w:tcBorders>
            <w:vAlign w:val="center"/>
          </w:tcPr>
          <w:p w14:paraId="39390512" w14:textId="54C3AAD2" w:rsidR="009F61A2" w:rsidRPr="00AB0BB0" w:rsidRDefault="009F61A2" w:rsidP="009F61A2">
            <w:pPr>
              <w:kinsoku w:val="0"/>
              <w:overflowPunct w:val="0"/>
              <w:autoSpaceDE w:val="0"/>
              <w:autoSpaceDN w:val="0"/>
              <w:adjustRightInd w:val="0"/>
              <w:spacing w:after="0" w:line="240" w:lineRule="auto"/>
              <w:ind w:right="155"/>
              <w:jc w:val="center"/>
              <w:rPr>
                <w:rFonts w:ascii="Arial Narrow" w:hAnsi="Arial Narrow" w:cs="Calibri"/>
                <w:spacing w:val="-1"/>
                <w:sz w:val="20"/>
                <w:szCs w:val="20"/>
              </w:rPr>
            </w:pPr>
            <w:r>
              <w:rPr>
                <w:rFonts w:ascii="Arial Narrow" w:hAnsi="Arial Narrow" w:cs="Calibri"/>
                <w:spacing w:val="-1"/>
                <w:sz w:val="20"/>
                <w:szCs w:val="20"/>
              </w:rPr>
              <w:t>301</w:t>
            </w:r>
          </w:p>
        </w:tc>
        <w:tc>
          <w:tcPr>
            <w:tcW w:w="851" w:type="dxa"/>
            <w:tcBorders>
              <w:top w:val="single" w:sz="4" w:space="0" w:color="000000"/>
              <w:left w:val="single" w:sz="4" w:space="0" w:color="000000"/>
              <w:bottom w:val="single" w:sz="4" w:space="0" w:color="000000"/>
              <w:right w:val="single" w:sz="4" w:space="0" w:color="000000"/>
            </w:tcBorders>
            <w:vAlign w:val="center"/>
          </w:tcPr>
          <w:p w14:paraId="5B8466E5" w14:textId="48856655"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Pr>
                <w:rFonts w:ascii="Arial Narrow" w:hAnsi="Arial Narrow" w:cs="Calibri"/>
                <w:spacing w:val="-1"/>
                <w:sz w:val="20"/>
                <w:szCs w:val="20"/>
              </w:rPr>
              <w:t>3.21</w:t>
            </w:r>
          </w:p>
        </w:tc>
        <w:tc>
          <w:tcPr>
            <w:tcW w:w="850" w:type="dxa"/>
            <w:tcBorders>
              <w:top w:val="single" w:sz="4" w:space="0" w:color="000000"/>
              <w:left w:val="single" w:sz="4" w:space="0" w:color="000000"/>
              <w:bottom w:val="single" w:sz="4" w:space="0" w:color="000000"/>
              <w:right w:val="single" w:sz="4" w:space="0" w:color="000000"/>
            </w:tcBorders>
            <w:vAlign w:val="center"/>
          </w:tcPr>
          <w:p w14:paraId="016C337D" w14:textId="446D136A"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vAlign w:val="center"/>
          </w:tcPr>
          <w:p w14:paraId="2F000326" w14:textId="6812354B"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Pr>
                <w:rFonts w:ascii="Arial Narrow" w:hAnsi="Arial Narrow" w:cs="Calibri"/>
                <w:sz w:val="20"/>
                <w:szCs w:val="20"/>
              </w:rPr>
              <w:t>-16.9 (23.07)</w:t>
            </w:r>
          </w:p>
        </w:tc>
        <w:tc>
          <w:tcPr>
            <w:tcW w:w="1842" w:type="dxa"/>
            <w:tcBorders>
              <w:top w:val="single" w:sz="4" w:space="0" w:color="000000"/>
              <w:left w:val="single" w:sz="4" w:space="0" w:color="000000"/>
              <w:bottom w:val="single" w:sz="4" w:space="0" w:color="000000"/>
              <w:right w:val="single" w:sz="4" w:space="0" w:color="000000"/>
            </w:tcBorders>
            <w:vAlign w:val="center"/>
          </w:tcPr>
          <w:p w14:paraId="2E85A040" w14:textId="1D937443"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Pr>
                <w:rFonts w:ascii="Arial Narrow" w:hAnsi="Arial Narrow" w:cs="Calibri"/>
                <w:sz w:val="20"/>
                <w:szCs w:val="20"/>
              </w:rPr>
              <w:t>-27.7(23.42)</w:t>
            </w:r>
          </w:p>
        </w:tc>
        <w:tc>
          <w:tcPr>
            <w:tcW w:w="1986" w:type="dxa"/>
            <w:tcBorders>
              <w:top w:val="single" w:sz="4" w:space="0" w:color="000000"/>
              <w:left w:val="single" w:sz="4" w:space="0" w:color="000000"/>
              <w:bottom w:val="single" w:sz="4" w:space="0" w:color="000000"/>
              <w:right w:val="single" w:sz="4" w:space="0" w:color="000000"/>
            </w:tcBorders>
            <w:vAlign w:val="center"/>
          </w:tcPr>
          <w:p w14:paraId="57617541" w14:textId="354B7AE2"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Pr>
                <w:rFonts w:ascii="Arial Narrow" w:hAnsi="Arial Narrow" w:cs="Calibri"/>
                <w:sz w:val="20"/>
                <w:szCs w:val="20"/>
              </w:rPr>
              <w:t>-10.7(-14.1, -7.3)***</w:t>
            </w:r>
          </w:p>
        </w:tc>
      </w:tr>
      <w:tr w:rsidR="009F61A2" w:rsidRPr="00AB0BB0" w14:paraId="1EC03A5F" w14:textId="77777777" w:rsidTr="004B471D">
        <w:trPr>
          <w:trHeight w:hRule="exact" w:val="454"/>
        </w:trPr>
        <w:tc>
          <w:tcPr>
            <w:tcW w:w="15451" w:type="dxa"/>
            <w:gridSpan w:val="11"/>
            <w:tcBorders>
              <w:top w:val="single" w:sz="4" w:space="0" w:color="000000"/>
              <w:left w:val="single" w:sz="4" w:space="0" w:color="000000"/>
              <w:bottom w:val="single" w:sz="4" w:space="0" w:color="000000"/>
              <w:right w:val="single" w:sz="4" w:space="0" w:color="000000"/>
            </w:tcBorders>
            <w:vAlign w:val="center"/>
          </w:tcPr>
          <w:p w14:paraId="2BCA3D30" w14:textId="08A37FCE" w:rsidR="009F61A2" w:rsidRPr="00AB0BB0" w:rsidRDefault="009F61A2" w:rsidP="009F61A2">
            <w:pPr>
              <w:kinsoku w:val="0"/>
              <w:overflowPunct w:val="0"/>
              <w:autoSpaceDE w:val="0"/>
              <w:autoSpaceDN w:val="0"/>
              <w:adjustRightInd w:val="0"/>
              <w:spacing w:before="120" w:after="0" w:line="240" w:lineRule="auto"/>
              <w:ind w:right="448"/>
              <w:jc w:val="center"/>
              <w:rPr>
                <w:rFonts w:ascii="Arial Narrow" w:hAnsi="Arial Narrow"/>
                <w:b/>
                <w:sz w:val="20"/>
                <w:szCs w:val="20"/>
              </w:rPr>
            </w:pPr>
            <w:r w:rsidRPr="00AB0BB0">
              <w:rPr>
                <w:rFonts w:ascii="Arial Narrow" w:hAnsi="Arial Narrow"/>
                <w:b/>
                <w:sz w:val="20"/>
                <w:szCs w:val="20"/>
              </w:rPr>
              <w:t>Fixed dose statin +ezetimibe vs matching fixed dose of statin</w:t>
            </w:r>
          </w:p>
          <w:p w14:paraId="089A33C1" w14:textId="77777777" w:rsidR="009F61A2" w:rsidRPr="00AB0BB0" w:rsidRDefault="009F61A2" w:rsidP="009F61A2">
            <w:pPr>
              <w:kinsoku w:val="0"/>
              <w:overflowPunct w:val="0"/>
              <w:autoSpaceDE w:val="0"/>
              <w:autoSpaceDN w:val="0"/>
              <w:adjustRightInd w:val="0"/>
              <w:spacing w:after="0" w:line="240" w:lineRule="auto"/>
              <w:ind w:left="450" w:right="450"/>
              <w:jc w:val="center"/>
              <w:rPr>
                <w:rFonts w:ascii="Arial Narrow" w:hAnsi="Arial Narrow" w:cs="Calibri"/>
                <w:sz w:val="20"/>
                <w:szCs w:val="20"/>
              </w:rPr>
            </w:pPr>
          </w:p>
        </w:tc>
      </w:tr>
      <w:tr w:rsidR="009F61A2" w:rsidRPr="00AB0BB0" w14:paraId="00F70BB5" w14:textId="77777777" w:rsidTr="00C67A09">
        <w:trPr>
          <w:trHeight w:hRule="exact" w:val="339"/>
        </w:trPr>
        <w:tc>
          <w:tcPr>
            <w:tcW w:w="15451" w:type="dxa"/>
            <w:gridSpan w:val="11"/>
            <w:tcBorders>
              <w:top w:val="single" w:sz="4" w:space="0" w:color="000000"/>
              <w:left w:val="single" w:sz="4" w:space="0" w:color="000000"/>
              <w:bottom w:val="single" w:sz="4" w:space="0" w:color="000000"/>
              <w:right w:val="single" w:sz="4" w:space="0" w:color="000000"/>
            </w:tcBorders>
          </w:tcPr>
          <w:p w14:paraId="20DE0874" w14:textId="03742BF9" w:rsidR="009F61A2" w:rsidRPr="00AB0BB0" w:rsidRDefault="009F61A2" w:rsidP="009F61A2">
            <w:pPr>
              <w:kinsoku w:val="0"/>
              <w:overflowPunct w:val="0"/>
              <w:autoSpaceDE w:val="0"/>
              <w:autoSpaceDN w:val="0"/>
              <w:adjustRightInd w:val="0"/>
              <w:spacing w:after="0" w:line="278" w:lineRule="auto"/>
              <w:ind w:left="1"/>
              <w:jc w:val="center"/>
              <w:rPr>
                <w:rFonts w:ascii="Arial Narrow" w:hAnsi="Arial Narrow" w:cs="Calibri"/>
                <w:sz w:val="20"/>
                <w:szCs w:val="20"/>
              </w:rPr>
            </w:pPr>
            <w:r w:rsidRPr="00AB0BB0">
              <w:rPr>
                <w:rFonts w:ascii="Arial Narrow" w:hAnsi="Arial Narrow" w:cs="Calibri"/>
                <w:i/>
                <w:sz w:val="20"/>
                <w:szCs w:val="20"/>
              </w:rPr>
              <w:t>Primary prevention population</w:t>
            </w:r>
          </w:p>
        </w:tc>
      </w:tr>
      <w:tr w:rsidR="009F61A2" w:rsidRPr="00AB0BB0" w14:paraId="31148400" w14:textId="77777777" w:rsidTr="00C67A09">
        <w:trPr>
          <w:trHeight w:hRule="exact" w:val="1726"/>
        </w:trPr>
        <w:tc>
          <w:tcPr>
            <w:tcW w:w="2127" w:type="dxa"/>
            <w:tcBorders>
              <w:top w:val="single" w:sz="4" w:space="0" w:color="000000"/>
              <w:left w:val="single" w:sz="4" w:space="0" w:color="000000"/>
              <w:bottom w:val="single" w:sz="4" w:space="0" w:color="000000"/>
              <w:right w:val="single" w:sz="4" w:space="0" w:color="000000"/>
            </w:tcBorders>
          </w:tcPr>
          <w:p w14:paraId="7C90928C"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P692 Ballantyne 2003</w:t>
            </w:r>
            <w:r w:rsidRPr="00AB0BB0">
              <w:rPr>
                <w:rFonts w:ascii="Arial Narrow" w:hAnsi="Arial Narrow" w:cs="Calibri"/>
                <w:spacing w:val="-1"/>
                <w:sz w:val="20"/>
                <w:szCs w:val="20"/>
                <w:vertAlign w:val="superscript"/>
              </w:rPr>
              <w:t>1</w:t>
            </w:r>
          </w:p>
          <w:p w14:paraId="69F379F9"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761629AA"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ATOR 10 </w:t>
            </w:r>
          </w:p>
          <w:p w14:paraId="4B49524C"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ATOR 20 </w:t>
            </w:r>
          </w:p>
          <w:p w14:paraId="56E70B0B"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ATOR 40 </w:t>
            </w:r>
          </w:p>
          <w:p w14:paraId="789F923D"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ATOR 80 </w:t>
            </w:r>
          </w:p>
          <w:p w14:paraId="1CBA27EC" w14:textId="4273A7A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C9A42A8"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248</w:t>
            </w:r>
          </w:p>
          <w:p w14:paraId="34FBEA2B"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p>
          <w:p w14:paraId="3F5343DF"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60</w:t>
            </w:r>
          </w:p>
          <w:p w14:paraId="785F8A17"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60</w:t>
            </w:r>
          </w:p>
          <w:p w14:paraId="04418A85"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66</w:t>
            </w:r>
          </w:p>
          <w:p w14:paraId="616BD506" w14:textId="57E1489D"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62</w:t>
            </w:r>
          </w:p>
        </w:tc>
        <w:tc>
          <w:tcPr>
            <w:tcW w:w="851" w:type="dxa"/>
            <w:tcBorders>
              <w:top w:val="single" w:sz="4" w:space="0" w:color="000000"/>
              <w:left w:val="single" w:sz="4" w:space="0" w:color="000000"/>
              <w:bottom w:val="single" w:sz="4" w:space="0" w:color="000000"/>
              <w:right w:val="single" w:sz="4" w:space="0" w:color="000000"/>
            </w:tcBorders>
          </w:tcPr>
          <w:p w14:paraId="00D836AD"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01B6491E"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491FB534"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AB0BB0">
              <w:rPr>
                <w:rFonts w:ascii="Arial Narrow" w:hAnsi="Arial Narrow" w:cs="Calibri"/>
                <w:spacing w:val="-1"/>
                <w:sz w:val="20"/>
                <w:szCs w:val="20"/>
              </w:rPr>
              <w:t>4.75</w:t>
            </w:r>
          </w:p>
          <w:p w14:paraId="60775ECB"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AB0BB0">
              <w:rPr>
                <w:rFonts w:ascii="Arial Narrow" w:hAnsi="Arial Narrow" w:cs="Calibri"/>
                <w:spacing w:val="-1"/>
                <w:sz w:val="20"/>
                <w:szCs w:val="20"/>
              </w:rPr>
              <w:t>4.52</w:t>
            </w:r>
          </w:p>
          <w:p w14:paraId="5E7C8D9A"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AB0BB0">
              <w:rPr>
                <w:rFonts w:ascii="Arial Narrow" w:hAnsi="Arial Narrow" w:cs="Calibri"/>
                <w:spacing w:val="-1"/>
                <w:sz w:val="20"/>
                <w:szCs w:val="20"/>
              </w:rPr>
              <w:t>4.64</w:t>
            </w:r>
          </w:p>
          <w:p w14:paraId="6B513073" w14:textId="3C08D14D"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z w:val="20"/>
                <w:szCs w:val="20"/>
              </w:rPr>
            </w:pPr>
            <w:r w:rsidRPr="00AB0BB0">
              <w:rPr>
                <w:rFonts w:ascii="Arial Narrow" w:hAnsi="Arial Narrow" w:cs="Calibri"/>
                <w:spacing w:val="-1"/>
                <w:sz w:val="20"/>
                <w:szCs w:val="20"/>
              </w:rPr>
              <w:t xml:space="preserve"> 4.71</w:t>
            </w:r>
          </w:p>
        </w:tc>
        <w:tc>
          <w:tcPr>
            <w:tcW w:w="850" w:type="dxa"/>
            <w:tcBorders>
              <w:top w:val="single" w:sz="4" w:space="0" w:color="000000"/>
              <w:left w:val="single" w:sz="4" w:space="0" w:color="000000"/>
              <w:bottom w:val="single" w:sz="4" w:space="0" w:color="000000"/>
              <w:right w:val="single" w:sz="4" w:space="0" w:color="000000"/>
            </w:tcBorders>
          </w:tcPr>
          <w:p w14:paraId="24BC8E03"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0A0C1A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2324F8D"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3.06</w:t>
            </w:r>
          </w:p>
          <w:p w14:paraId="3F22C87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2.72</w:t>
            </w:r>
          </w:p>
          <w:p w14:paraId="34703FF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2.65</w:t>
            </w:r>
          </w:p>
          <w:p w14:paraId="5152A0F3"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2.29</w:t>
            </w:r>
          </w:p>
        </w:tc>
        <w:tc>
          <w:tcPr>
            <w:tcW w:w="2268" w:type="dxa"/>
            <w:tcBorders>
              <w:top w:val="single" w:sz="4" w:space="0" w:color="000000"/>
              <w:left w:val="single" w:sz="4" w:space="0" w:color="000000"/>
              <w:bottom w:val="single" w:sz="4" w:space="0" w:color="000000"/>
              <w:right w:val="single" w:sz="4" w:space="0" w:color="000000"/>
            </w:tcBorders>
          </w:tcPr>
          <w:p w14:paraId="69F56949" w14:textId="77777777" w:rsidR="009F61A2" w:rsidRPr="00AB0BB0" w:rsidRDefault="009F61A2" w:rsidP="009F61A2">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06D4FBA7" w14:textId="77777777" w:rsidR="009F61A2" w:rsidRPr="00AB0BB0" w:rsidRDefault="009F61A2" w:rsidP="009F61A2">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33C6D8E3"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 ATOR 10</w:t>
            </w:r>
          </w:p>
          <w:p w14:paraId="6E7B3E2D"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 ATOR 20</w:t>
            </w:r>
          </w:p>
          <w:p w14:paraId="090D29A8"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 ATOR 40</w:t>
            </w:r>
          </w:p>
          <w:p w14:paraId="5903B552" w14:textId="77777777"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 ATOR 80</w:t>
            </w:r>
          </w:p>
          <w:p w14:paraId="7E4FF9D4" w14:textId="77777777" w:rsidR="009F61A2" w:rsidRPr="00AB0BB0" w:rsidRDefault="009F61A2" w:rsidP="009F61A2">
            <w:pPr>
              <w:kinsoku w:val="0"/>
              <w:overflowPunct w:val="0"/>
              <w:autoSpaceDE w:val="0"/>
              <w:autoSpaceDN w:val="0"/>
              <w:adjustRightInd w:val="0"/>
              <w:spacing w:after="0" w:line="240" w:lineRule="auto"/>
              <w:ind w:right="1"/>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D30418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255</w:t>
            </w:r>
          </w:p>
          <w:p w14:paraId="1F4FFB6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5A6D03F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65</w:t>
            </w:r>
          </w:p>
          <w:p w14:paraId="233F3C75"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62</w:t>
            </w:r>
          </w:p>
          <w:p w14:paraId="4BFF20C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65</w:t>
            </w:r>
          </w:p>
          <w:p w14:paraId="15996F0D"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pacing w:val="-1"/>
                <w:sz w:val="20"/>
                <w:szCs w:val="20"/>
              </w:rPr>
              <w:t>63</w:t>
            </w:r>
          </w:p>
        </w:tc>
        <w:tc>
          <w:tcPr>
            <w:tcW w:w="851" w:type="dxa"/>
            <w:tcBorders>
              <w:top w:val="single" w:sz="4" w:space="0" w:color="000000"/>
              <w:left w:val="single" w:sz="4" w:space="0" w:color="000000"/>
              <w:bottom w:val="single" w:sz="4" w:space="0" w:color="000000"/>
              <w:right w:val="single" w:sz="4" w:space="0" w:color="000000"/>
            </w:tcBorders>
          </w:tcPr>
          <w:p w14:paraId="3A4609C2"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BF12E9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5E9646C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4.52</w:t>
            </w:r>
          </w:p>
          <w:p w14:paraId="46252E6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4.72</w:t>
            </w:r>
          </w:p>
          <w:p w14:paraId="1B7232E3"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4.69</w:t>
            </w:r>
          </w:p>
          <w:p w14:paraId="0716DF8C" w14:textId="76876CD4"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4.68</w:t>
            </w:r>
          </w:p>
        </w:tc>
        <w:tc>
          <w:tcPr>
            <w:tcW w:w="850" w:type="dxa"/>
            <w:tcBorders>
              <w:top w:val="single" w:sz="4" w:space="0" w:color="000000"/>
              <w:left w:val="single" w:sz="4" w:space="0" w:color="000000"/>
              <w:bottom w:val="single" w:sz="4" w:space="0" w:color="000000"/>
              <w:right w:val="single" w:sz="4" w:space="0" w:color="000000"/>
            </w:tcBorders>
          </w:tcPr>
          <w:p w14:paraId="138AB05D"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A9CA39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63CE6D1"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2.22</w:t>
            </w:r>
          </w:p>
          <w:p w14:paraId="196FCFA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2.17</w:t>
            </w:r>
          </w:p>
          <w:p w14:paraId="717DC02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2.13</w:t>
            </w:r>
          </w:p>
          <w:p w14:paraId="0042C3B7"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1.88</w:t>
            </w:r>
          </w:p>
        </w:tc>
        <w:tc>
          <w:tcPr>
            <w:tcW w:w="1842" w:type="dxa"/>
            <w:tcBorders>
              <w:top w:val="single" w:sz="4" w:space="0" w:color="000000"/>
              <w:left w:val="single" w:sz="4" w:space="0" w:color="000000"/>
              <w:bottom w:val="single" w:sz="4" w:space="0" w:color="000000"/>
              <w:right w:val="single" w:sz="4" w:space="0" w:color="000000"/>
            </w:tcBorders>
          </w:tcPr>
          <w:p w14:paraId="1C5AE1AE"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65908B67"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7540E9AC" w14:textId="4EB325F5"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 xml:space="preserve">-35.45 (1.94) </w:t>
            </w:r>
          </w:p>
          <w:p w14:paraId="565163F8"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-39.77 (1.92)</w:t>
            </w:r>
          </w:p>
          <w:p w14:paraId="0B74FDEF"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-43.05 (1.86)</w:t>
            </w:r>
          </w:p>
          <w:p w14:paraId="223E6F53"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z w:val="20"/>
                <w:szCs w:val="20"/>
              </w:rPr>
            </w:pPr>
            <w:r w:rsidRPr="00AB0BB0">
              <w:rPr>
                <w:rFonts w:ascii="Arial Narrow" w:hAnsi="Arial Narrow" w:cs="Calibri"/>
                <w:spacing w:val="-1"/>
                <w:sz w:val="20"/>
                <w:szCs w:val="20"/>
              </w:rPr>
              <w:t>-51.35 (1.89)</w:t>
            </w:r>
          </w:p>
        </w:tc>
        <w:tc>
          <w:tcPr>
            <w:tcW w:w="1842" w:type="dxa"/>
            <w:tcBorders>
              <w:top w:val="single" w:sz="4" w:space="0" w:color="000000"/>
              <w:left w:val="single" w:sz="4" w:space="0" w:color="000000"/>
              <w:bottom w:val="single" w:sz="4" w:space="0" w:color="000000"/>
              <w:right w:val="single" w:sz="4" w:space="0" w:color="000000"/>
            </w:tcBorders>
          </w:tcPr>
          <w:p w14:paraId="50419127"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p>
          <w:p w14:paraId="7E6A6260"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p>
          <w:p w14:paraId="524CFB94" w14:textId="49C407FD"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r w:rsidRPr="00AB0BB0">
              <w:rPr>
                <w:rFonts w:ascii="Arial Narrow" w:hAnsi="Arial Narrow" w:cs="Calibri"/>
                <w:spacing w:val="-1"/>
                <w:sz w:val="20"/>
                <w:szCs w:val="20"/>
              </w:rPr>
              <w:t xml:space="preserve">-50.37 (1.85) </w:t>
            </w:r>
          </w:p>
          <w:p w14:paraId="6E5C3C99"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r w:rsidRPr="00AB0BB0">
              <w:rPr>
                <w:rFonts w:ascii="Arial Narrow" w:hAnsi="Arial Narrow" w:cs="Calibri"/>
                <w:spacing w:val="-1"/>
                <w:sz w:val="20"/>
                <w:szCs w:val="20"/>
              </w:rPr>
              <w:t>-53.70 (1.89)</w:t>
            </w:r>
          </w:p>
          <w:p w14:paraId="638D9FA2"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r w:rsidRPr="00AB0BB0">
              <w:rPr>
                <w:rFonts w:ascii="Arial Narrow" w:hAnsi="Arial Narrow" w:cs="Calibri"/>
                <w:spacing w:val="-1"/>
                <w:sz w:val="20"/>
                <w:szCs w:val="20"/>
              </w:rPr>
              <w:t>-54.33 (1.88)</w:t>
            </w:r>
          </w:p>
          <w:p w14:paraId="4B31F2FA"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z w:val="20"/>
                <w:szCs w:val="20"/>
              </w:rPr>
            </w:pPr>
            <w:r w:rsidRPr="00AB0BB0">
              <w:rPr>
                <w:rFonts w:ascii="Arial Narrow" w:hAnsi="Arial Narrow" w:cs="Calibri"/>
                <w:spacing w:val="-1"/>
                <w:sz w:val="20"/>
                <w:szCs w:val="20"/>
              </w:rPr>
              <w:t>-59.70 (1.89)</w:t>
            </w:r>
          </w:p>
        </w:tc>
        <w:tc>
          <w:tcPr>
            <w:tcW w:w="1986" w:type="dxa"/>
            <w:tcBorders>
              <w:top w:val="single" w:sz="4" w:space="0" w:color="000000"/>
              <w:left w:val="single" w:sz="4" w:space="0" w:color="000000"/>
              <w:bottom w:val="single" w:sz="4" w:space="0" w:color="000000"/>
              <w:right w:val="single" w:sz="4" w:space="0" w:color="000000"/>
            </w:tcBorders>
          </w:tcPr>
          <w:p w14:paraId="56433497"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6B45618A"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5FBBDF6B" w14:textId="6F6A8125"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-14.92 (-20.18, -9.66)**</w:t>
            </w:r>
          </w:p>
          <w:p w14:paraId="4577087A" w14:textId="63E96CEA"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-13.93  (-19.23, -8.63)**</w:t>
            </w:r>
          </w:p>
          <w:p w14:paraId="028D0CC9" w14:textId="0D042C3F"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-11.28 (-16.47, -6.09)**</w:t>
            </w:r>
          </w:p>
          <w:p w14:paraId="78303409" w14:textId="74221B31"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-8.34 (-13.0, -3.09)**</w:t>
            </w:r>
          </w:p>
          <w:p w14:paraId="6C49463D" w14:textId="77777777" w:rsidR="009F61A2" w:rsidRPr="00AB0BB0" w:rsidRDefault="009F61A2" w:rsidP="009F61A2">
            <w:pPr>
              <w:widowControl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 xml:space="preserve"> </w:t>
            </w:r>
          </w:p>
          <w:p w14:paraId="52188493" w14:textId="77777777" w:rsidR="009F61A2" w:rsidRPr="00AB0BB0" w:rsidRDefault="009F61A2" w:rsidP="009F61A2">
            <w:pPr>
              <w:widowControl w:val="0"/>
              <w:spacing w:after="0" w:line="240" w:lineRule="auto"/>
              <w:ind w:left="222"/>
              <w:rPr>
                <w:rFonts w:ascii="Arial Narrow" w:hAnsi="Arial Narrow" w:cs="Calibri"/>
                <w:spacing w:val="-1"/>
                <w:sz w:val="20"/>
                <w:szCs w:val="20"/>
              </w:rPr>
            </w:pPr>
          </w:p>
          <w:p w14:paraId="11A2E355"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30F7E4E2"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tc>
      </w:tr>
      <w:tr w:rsidR="009F61A2" w:rsidRPr="00AB0BB0" w14:paraId="594BC929" w14:textId="77777777" w:rsidTr="00C67A09">
        <w:trPr>
          <w:trHeight w:hRule="exact" w:val="1712"/>
        </w:trPr>
        <w:tc>
          <w:tcPr>
            <w:tcW w:w="2127" w:type="dxa"/>
            <w:tcBorders>
              <w:top w:val="single" w:sz="4" w:space="0" w:color="000000"/>
              <w:left w:val="single" w:sz="4" w:space="0" w:color="000000"/>
              <w:bottom w:val="single" w:sz="4" w:space="0" w:color="000000"/>
              <w:right w:val="single" w:sz="4" w:space="0" w:color="000000"/>
            </w:tcBorders>
          </w:tcPr>
          <w:p w14:paraId="7B18BBEE"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P038 Bays 2004</w:t>
            </w:r>
            <w:r w:rsidRPr="00AB0BB0">
              <w:rPr>
                <w:rFonts w:ascii="Arial Narrow" w:hAnsi="Arial Narrow" w:cs="Calibri"/>
                <w:spacing w:val="-1"/>
                <w:sz w:val="20"/>
                <w:szCs w:val="20"/>
                <w:vertAlign w:val="superscript"/>
              </w:rPr>
              <w:t>1</w:t>
            </w:r>
          </w:p>
          <w:p w14:paraId="0D836517"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1EF209E4"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SIM 10  </w:t>
            </w:r>
          </w:p>
          <w:p w14:paraId="46723849"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SIM 20  </w:t>
            </w:r>
          </w:p>
          <w:p w14:paraId="26E614CC"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SIM 40  </w:t>
            </w:r>
          </w:p>
          <w:p w14:paraId="63B8AC80"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SIM 80  </w:t>
            </w:r>
          </w:p>
          <w:p w14:paraId="3EBE94E6" w14:textId="024AE016"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06312B3"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612^</w:t>
            </w:r>
          </w:p>
          <w:p w14:paraId="63D11A04"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p>
          <w:p w14:paraId="67E0061C"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155</w:t>
            </w:r>
          </w:p>
          <w:p w14:paraId="18574747"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147</w:t>
            </w:r>
          </w:p>
          <w:p w14:paraId="67561FDE"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154</w:t>
            </w:r>
          </w:p>
          <w:p w14:paraId="6E1186E0" w14:textId="7A3AF270"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156</w:t>
            </w:r>
          </w:p>
        </w:tc>
        <w:tc>
          <w:tcPr>
            <w:tcW w:w="851" w:type="dxa"/>
            <w:tcBorders>
              <w:top w:val="single" w:sz="4" w:space="0" w:color="000000"/>
              <w:left w:val="single" w:sz="4" w:space="0" w:color="000000"/>
              <w:bottom w:val="single" w:sz="4" w:space="0" w:color="000000"/>
              <w:right w:val="single" w:sz="4" w:space="0" w:color="000000"/>
            </w:tcBorders>
          </w:tcPr>
          <w:p w14:paraId="3170298D"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36F6C889"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34780018"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AB0BB0">
              <w:rPr>
                <w:rFonts w:ascii="Arial Narrow" w:hAnsi="Arial Narrow" w:cs="Calibri"/>
                <w:spacing w:val="-1"/>
                <w:sz w:val="20"/>
                <w:szCs w:val="20"/>
              </w:rPr>
              <w:t>4.60</w:t>
            </w:r>
          </w:p>
          <w:p w14:paraId="7AA867C4"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AB0BB0">
              <w:rPr>
                <w:rFonts w:ascii="Arial Narrow" w:hAnsi="Arial Narrow" w:cs="Calibri"/>
                <w:spacing w:val="-1"/>
                <w:sz w:val="20"/>
                <w:szCs w:val="20"/>
              </w:rPr>
              <w:t>4.60</w:t>
            </w:r>
          </w:p>
          <w:p w14:paraId="29A1BC3F"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AB0BB0">
              <w:rPr>
                <w:rFonts w:ascii="Arial Narrow" w:hAnsi="Arial Narrow" w:cs="Calibri"/>
                <w:spacing w:val="-1"/>
                <w:sz w:val="20"/>
                <w:szCs w:val="20"/>
              </w:rPr>
              <w:t>4.50</w:t>
            </w:r>
          </w:p>
          <w:p w14:paraId="3CBF820C" w14:textId="2DC02F6B"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z w:val="20"/>
                <w:szCs w:val="20"/>
              </w:rPr>
            </w:pPr>
            <w:r w:rsidRPr="00AB0BB0">
              <w:rPr>
                <w:rFonts w:ascii="Arial Narrow" w:hAnsi="Arial Narrow" w:cs="Calibri"/>
                <w:spacing w:val="-1"/>
                <w:sz w:val="20"/>
                <w:szCs w:val="20"/>
              </w:rPr>
              <w:t xml:space="preserve"> 4.60</w:t>
            </w:r>
          </w:p>
        </w:tc>
        <w:tc>
          <w:tcPr>
            <w:tcW w:w="850" w:type="dxa"/>
            <w:tcBorders>
              <w:top w:val="single" w:sz="4" w:space="0" w:color="000000"/>
              <w:left w:val="single" w:sz="4" w:space="0" w:color="000000"/>
              <w:bottom w:val="single" w:sz="4" w:space="0" w:color="000000"/>
              <w:right w:val="single" w:sz="4" w:space="0" w:color="000000"/>
            </w:tcBorders>
          </w:tcPr>
          <w:p w14:paraId="19ECD2F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D650D17"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8B4054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3.1</w:t>
            </w:r>
          </w:p>
          <w:p w14:paraId="4D3B00B5"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3.0</w:t>
            </w:r>
          </w:p>
          <w:p w14:paraId="6B96F505"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2.7</w:t>
            </w:r>
          </w:p>
          <w:p w14:paraId="1942B5C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2.4</w:t>
            </w:r>
          </w:p>
        </w:tc>
        <w:tc>
          <w:tcPr>
            <w:tcW w:w="2268" w:type="dxa"/>
            <w:tcBorders>
              <w:top w:val="single" w:sz="4" w:space="0" w:color="000000"/>
              <w:left w:val="single" w:sz="4" w:space="0" w:color="000000"/>
              <w:bottom w:val="single" w:sz="4" w:space="0" w:color="000000"/>
              <w:right w:val="single" w:sz="4" w:space="0" w:color="000000"/>
            </w:tcBorders>
          </w:tcPr>
          <w:p w14:paraId="2F4481F7" w14:textId="77777777" w:rsidR="009F61A2" w:rsidRPr="00AB0BB0" w:rsidRDefault="009F61A2" w:rsidP="009F61A2">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723A9F11" w14:textId="77777777" w:rsidR="009F61A2" w:rsidRPr="00AB0BB0" w:rsidRDefault="009F61A2" w:rsidP="009F61A2">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4DF5542C" w14:textId="78AB8C18"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10</w:t>
            </w:r>
          </w:p>
          <w:p w14:paraId="57AB05B5" w14:textId="682A657C"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20</w:t>
            </w:r>
          </w:p>
          <w:p w14:paraId="5706D5E8" w14:textId="3D842E1F"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40</w:t>
            </w:r>
          </w:p>
          <w:p w14:paraId="3C49075D" w14:textId="12EA4091"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80</w:t>
            </w:r>
          </w:p>
        </w:tc>
        <w:tc>
          <w:tcPr>
            <w:tcW w:w="992" w:type="dxa"/>
            <w:tcBorders>
              <w:top w:val="single" w:sz="4" w:space="0" w:color="000000"/>
              <w:left w:val="single" w:sz="4" w:space="0" w:color="000000"/>
              <w:bottom w:val="single" w:sz="4" w:space="0" w:color="000000"/>
              <w:right w:val="single" w:sz="4" w:space="0" w:color="000000"/>
            </w:tcBorders>
          </w:tcPr>
          <w:p w14:paraId="58AC4BB5"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604^</w:t>
            </w:r>
          </w:p>
          <w:p w14:paraId="64E13F2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041E583"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151</w:t>
            </w:r>
          </w:p>
          <w:p w14:paraId="6B0E9A9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153</w:t>
            </w:r>
          </w:p>
          <w:p w14:paraId="2A4DA86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146</w:t>
            </w:r>
          </w:p>
          <w:p w14:paraId="0042B344"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154</w:t>
            </w:r>
          </w:p>
        </w:tc>
        <w:tc>
          <w:tcPr>
            <w:tcW w:w="851" w:type="dxa"/>
            <w:tcBorders>
              <w:top w:val="single" w:sz="4" w:space="0" w:color="000000"/>
              <w:left w:val="single" w:sz="4" w:space="0" w:color="000000"/>
              <w:bottom w:val="single" w:sz="4" w:space="0" w:color="000000"/>
              <w:right w:val="single" w:sz="4" w:space="0" w:color="000000"/>
            </w:tcBorders>
          </w:tcPr>
          <w:p w14:paraId="19E3F97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59E71CA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244397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4.60</w:t>
            </w:r>
          </w:p>
          <w:p w14:paraId="5E5DC972"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4.50</w:t>
            </w:r>
          </w:p>
          <w:p w14:paraId="4F06093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4.50</w:t>
            </w:r>
          </w:p>
          <w:p w14:paraId="359D0F13" w14:textId="5102536E"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 xml:space="preserve"> 4.60</w:t>
            </w:r>
          </w:p>
        </w:tc>
        <w:tc>
          <w:tcPr>
            <w:tcW w:w="850" w:type="dxa"/>
            <w:tcBorders>
              <w:top w:val="single" w:sz="4" w:space="0" w:color="000000"/>
              <w:left w:val="single" w:sz="4" w:space="0" w:color="000000"/>
              <w:bottom w:val="single" w:sz="4" w:space="0" w:color="000000"/>
              <w:right w:val="single" w:sz="4" w:space="0" w:color="000000"/>
            </w:tcBorders>
          </w:tcPr>
          <w:p w14:paraId="6558224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12881A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A026E1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2.5</w:t>
            </w:r>
          </w:p>
          <w:p w14:paraId="1A45FEFD"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2.2</w:t>
            </w:r>
          </w:p>
          <w:p w14:paraId="0A53E959"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2.0</w:t>
            </w:r>
          </w:p>
          <w:p w14:paraId="502BA45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1.8</w:t>
            </w:r>
          </w:p>
        </w:tc>
        <w:tc>
          <w:tcPr>
            <w:tcW w:w="1842" w:type="dxa"/>
            <w:tcBorders>
              <w:top w:val="single" w:sz="4" w:space="0" w:color="000000"/>
              <w:left w:val="single" w:sz="4" w:space="0" w:color="000000"/>
              <w:bottom w:val="single" w:sz="4" w:space="0" w:color="000000"/>
              <w:right w:val="single" w:sz="4" w:space="0" w:color="000000"/>
            </w:tcBorders>
          </w:tcPr>
          <w:p w14:paraId="354D0EEA"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6841ECB0"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4422194B"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-32.7(-35.0, -30.4)</w:t>
            </w:r>
          </w:p>
          <w:p w14:paraId="6B3127A9"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-34.2(-36.6, -31.9)</w:t>
            </w:r>
          </w:p>
          <w:p w14:paraId="57CB814B"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-40.6(-42.9, -38.3)</w:t>
            </w:r>
          </w:p>
          <w:p w14:paraId="352C00AD"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z w:val="20"/>
                <w:szCs w:val="20"/>
              </w:rPr>
            </w:pPr>
            <w:r w:rsidRPr="00AB0BB0">
              <w:rPr>
                <w:rFonts w:ascii="Arial Narrow" w:hAnsi="Arial Narrow" w:cs="Calibri"/>
                <w:spacing w:val="-1"/>
                <w:sz w:val="20"/>
                <w:szCs w:val="20"/>
              </w:rPr>
              <w:t>-48.5(-50.8, -46.2)</w:t>
            </w:r>
          </w:p>
        </w:tc>
        <w:tc>
          <w:tcPr>
            <w:tcW w:w="1842" w:type="dxa"/>
            <w:tcBorders>
              <w:top w:val="single" w:sz="4" w:space="0" w:color="000000"/>
              <w:left w:val="single" w:sz="4" w:space="0" w:color="000000"/>
              <w:bottom w:val="single" w:sz="4" w:space="0" w:color="000000"/>
              <w:right w:val="single" w:sz="4" w:space="0" w:color="000000"/>
            </w:tcBorders>
          </w:tcPr>
          <w:p w14:paraId="7422ABEF"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p>
          <w:p w14:paraId="712AEDC7"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p>
          <w:p w14:paraId="16F0D22C"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r w:rsidRPr="00AB0BB0">
              <w:rPr>
                <w:rFonts w:ascii="Arial Narrow" w:hAnsi="Arial Narrow" w:cs="Calibri"/>
                <w:spacing w:val="-1"/>
                <w:sz w:val="20"/>
                <w:szCs w:val="20"/>
              </w:rPr>
              <w:t>-44.8(-47.1, -42.4)</w:t>
            </w:r>
          </w:p>
          <w:p w14:paraId="2FBBA499"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r w:rsidRPr="00AB0BB0">
              <w:rPr>
                <w:rFonts w:ascii="Arial Narrow" w:hAnsi="Arial Narrow" w:cs="Calibri"/>
                <w:spacing w:val="-1"/>
                <w:sz w:val="20"/>
                <w:szCs w:val="20"/>
              </w:rPr>
              <w:t>-51.9(-54.2, -49.6)</w:t>
            </w:r>
          </w:p>
          <w:p w14:paraId="4CA6476A"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pacing w:val="-1"/>
                <w:sz w:val="20"/>
                <w:szCs w:val="20"/>
              </w:rPr>
            </w:pPr>
            <w:r w:rsidRPr="00AB0BB0">
              <w:rPr>
                <w:rFonts w:ascii="Arial Narrow" w:hAnsi="Arial Narrow" w:cs="Calibri"/>
                <w:spacing w:val="-1"/>
                <w:sz w:val="20"/>
                <w:szCs w:val="20"/>
              </w:rPr>
              <w:t>-55.2(-57.6, -52.9)</w:t>
            </w:r>
          </w:p>
          <w:p w14:paraId="220E9270" w14:textId="77777777" w:rsidR="009F61A2" w:rsidRPr="00AB0BB0" w:rsidRDefault="009F61A2" w:rsidP="009F61A2">
            <w:pPr>
              <w:kinsoku w:val="0"/>
              <w:overflowPunct w:val="0"/>
              <w:autoSpaceDE w:val="0"/>
              <w:autoSpaceDN w:val="0"/>
              <w:adjustRightInd w:val="0"/>
              <w:spacing w:after="0" w:line="240" w:lineRule="auto"/>
              <w:ind w:left="191"/>
              <w:rPr>
                <w:rFonts w:ascii="Arial Narrow" w:hAnsi="Arial Narrow" w:cs="Calibri"/>
                <w:sz w:val="20"/>
                <w:szCs w:val="20"/>
              </w:rPr>
            </w:pPr>
            <w:r w:rsidRPr="00AB0BB0">
              <w:rPr>
                <w:rFonts w:ascii="Arial Narrow" w:hAnsi="Arial Narrow" w:cs="Calibri"/>
                <w:spacing w:val="-1"/>
                <w:sz w:val="20"/>
                <w:szCs w:val="20"/>
              </w:rPr>
              <w:t>-60.2(-62.5, -57.9)</w:t>
            </w:r>
          </w:p>
        </w:tc>
        <w:tc>
          <w:tcPr>
            <w:tcW w:w="1986" w:type="dxa"/>
            <w:tcBorders>
              <w:top w:val="single" w:sz="4" w:space="0" w:color="000000"/>
              <w:left w:val="single" w:sz="4" w:space="0" w:color="000000"/>
              <w:bottom w:val="single" w:sz="4" w:space="0" w:color="000000"/>
              <w:right w:val="single" w:sz="4" w:space="0" w:color="000000"/>
            </w:tcBorders>
          </w:tcPr>
          <w:p w14:paraId="24149FDE"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4645BE92"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7CACC658" w14:textId="3CBC1100"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 xml:space="preserve">  -12.1(-15.3, -8.8)***</w:t>
            </w:r>
          </w:p>
          <w:p w14:paraId="0B421FF9" w14:textId="15E50305"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 xml:space="preserve">  -17.7(-21.0, -14.4)***</w:t>
            </w:r>
          </w:p>
          <w:p w14:paraId="02D14CA2" w14:textId="0DB19E60"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 xml:space="preserve">  -14.7(-18.0, -11.4)***</w:t>
            </w:r>
          </w:p>
          <w:p w14:paraId="327586AB" w14:textId="72158E42"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AB0BB0">
              <w:rPr>
                <w:rFonts w:ascii="Arial Narrow" w:hAnsi="Arial Narrow" w:cs="Calibri"/>
                <w:spacing w:val="-1"/>
                <w:sz w:val="20"/>
                <w:szCs w:val="20"/>
              </w:rPr>
              <w:t xml:space="preserve">  -11.7(-14.9, -8.5)***</w:t>
            </w:r>
          </w:p>
          <w:p w14:paraId="61BC2138"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09533CAF" w14:textId="77777777" w:rsidR="009F61A2" w:rsidRPr="00AB0BB0" w:rsidRDefault="009F61A2" w:rsidP="009F61A2">
            <w:pPr>
              <w:kinsoku w:val="0"/>
              <w:overflowPunct w:val="0"/>
              <w:autoSpaceDE w:val="0"/>
              <w:autoSpaceDN w:val="0"/>
              <w:adjustRightInd w:val="0"/>
              <w:spacing w:after="0" w:line="240" w:lineRule="auto"/>
              <w:ind w:left="222"/>
              <w:rPr>
                <w:rFonts w:ascii="Arial Narrow" w:hAnsi="Arial Narrow" w:cs="Calibri"/>
                <w:spacing w:val="-1"/>
                <w:sz w:val="20"/>
                <w:szCs w:val="20"/>
              </w:rPr>
            </w:pPr>
          </w:p>
        </w:tc>
      </w:tr>
      <w:tr w:rsidR="009F61A2" w:rsidRPr="00AB0BB0" w14:paraId="1476D38D" w14:textId="77777777" w:rsidTr="00C67A09">
        <w:trPr>
          <w:trHeight w:hRule="exact" w:val="1694"/>
        </w:trPr>
        <w:tc>
          <w:tcPr>
            <w:tcW w:w="2127" w:type="dxa"/>
            <w:tcBorders>
              <w:top w:val="single" w:sz="4" w:space="0" w:color="000000"/>
              <w:left w:val="single" w:sz="4" w:space="0" w:color="000000"/>
              <w:bottom w:val="single" w:sz="4" w:space="0" w:color="000000"/>
              <w:right w:val="single" w:sz="4" w:space="0" w:color="000000"/>
            </w:tcBorders>
          </w:tcPr>
          <w:p w14:paraId="4B70FD97" w14:textId="209BE5DD"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P068 Davidson 2002</w:t>
            </w:r>
            <w:r w:rsidRPr="00AB0BB0">
              <w:rPr>
                <w:rFonts w:ascii="Arial Narrow" w:hAnsi="Arial Narrow" w:cs="Calibri"/>
                <w:spacing w:val="-1"/>
                <w:sz w:val="20"/>
                <w:szCs w:val="20"/>
                <w:vertAlign w:val="superscript"/>
              </w:rPr>
              <w:t>1</w:t>
            </w:r>
          </w:p>
          <w:p w14:paraId="3662AB1A"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24085C73"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SIM 10 </w:t>
            </w:r>
          </w:p>
          <w:p w14:paraId="6FCF7DA4"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SIM 20  </w:t>
            </w:r>
          </w:p>
          <w:p w14:paraId="061402EE"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SIM 40  </w:t>
            </w:r>
          </w:p>
          <w:p w14:paraId="48C10BCC"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SIM 80  </w:t>
            </w:r>
          </w:p>
          <w:p w14:paraId="479D8606"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12B7272"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263</w:t>
            </w:r>
          </w:p>
          <w:p w14:paraId="7AD21FDB"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p>
          <w:p w14:paraId="6A1D0759"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70</w:t>
            </w:r>
          </w:p>
          <w:p w14:paraId="76AFD132"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61</w:t>
            </w:r>
          </w:p>
          <w:p w14:paraId="51F972A2"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65</w:t>
            </w:r>
          </w:p>
          <w:p w14:paraId="69AF9A46" w14:textId="4DFCE71C"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67</w:t>
            </w:r>
          </w:p>
        </w:tc>
        <w:tc>
          <w:tcPr>
            <w:tcW w:w="851" w:type="dxa"/>
            <w:tcBorders>
              <w:top w:val="single" w:sz="4" w:space="0" w:color="000000"/>
              <w:left w:val="single" w:sz="4" w:space="0" w:color="000000"/>
              <w:bottom w:val="single" w:sz="4" w:space="0" w:color="000000"/>
              <w:right w:val="single" w:sz="4" w:space="0" w:color="000000"/>
            </w:tcBorders>
          </w:tcPr>
          <w:p w14:paraId="10BE5F13"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7252281A"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54D9633B"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AB0BB0">
              <w:rPr>
                <w:rFonts w:ascii="Arial Narrow" w:hAnsi="Arial Narrow" w:cs="Calibri"/>
                <w:spacing w:val="-1"/>
                <w:sz w:val="20"/>
                <w:szCs w:val="20"/>
              </w:rPr>
              <w:t>4.54</w:t>
            </w:r>
          </w:p>
          <w:p w14:paraId="32C0BCF4"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AB0BB0">
              <w:rPr>
                <w:rFonts w:ascii="Arial Narrow" w:hAnsi="Arial Narrow" w:cs="Calibri"/>
                <w:spacing w:val="-1"/>
                <w:sz w:val="20"/>
                <w:szCs w:val="20"/>
              </w:rPr>
              <w:t>4.70</w:t>
            </w:r>
          </w:p>
          <w:p w14:paraId="271DB369"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AB0BB0">
              <w:rPr>
                <w:rFonts w:ascii="Arial Narrow" w:hAnsi="Arial Narrow" w:cs="Calibri"/>
                <w:spacing w:val="-1"/>
                <w:sz w:val="20"/>
                <w:szCs w:val="20"/>
              </w:rPr>
              <w:t>4.57</w:t>
            </w:r>
          </w:p>
          <w:p w14:paraId="397883A9" w14:textId="77777777" w:rsidR="009F61A2" w:rsidRPr="00AB0BB0" w:rsidRDefault="009F61A2" w:rsidP="009F61A2">
            <w:pPr>
              <w:kinsoku w:val="0"/>
              <w:overflowPunct w:val="0"/>
              <w:autoSpaceDE w:val="0"/>
              <w:autoSpaceDN w:val="0"/>
              <w:adjustRightInd w:val="0"/>
              <w:spacing w:after="0" w:line="240" w:lineRule="auto"/>
              <w:ind w:left="1" w:hanging="1"/>
              <w:jc w:val="center"/>
              <w:rPr>
                <w:rFonts w:ascii="Arial Narrow" w:hAnsi="Arial Narrow" w:cs="Calibri"/>
                <w:sz w:val="20"/>
                <w:szCs w:val="20"/>
              </w:rPr>
            </w:pPr>
            <w:r w:rsidRPr="00AB0BB0">
              <w:rPr>
                <w:rFonts w:ascii="Arial Narrow" w:hAnsi="Arial Narrow" w:cs="Calibri"/>
                <w:spacing w:val="-1"/>
                <w:sz w:val="20"/>
                <w:szCs w:val="20"/>
              </w:rPr>
              <w:t>4.67</w:t>
            </w:r>
          </w:p>
        </w:tc>
        <w:tc>
          <w:tcPr>
            <w:tcW w:w="850" w:type="dxa"/>
            <w:tcBorders>
              <w:top w:val="single" w:sz="4" w:space="0" w:color="000000"/>
              <w:left w:val="single" w:sz="4" w:space="0" w:color="000000"/>
              <w:bottom w:val="single" w:sz="4" w:space="0" w:color="000000"/>
              <w:right w:val="single" w:sz="4" w:space="0" w:color="000000"/>
            </w:tcBorders>
          </w:tcPr>
          <w:p w14:paraId="5F5FACE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47A0BB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91F47F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3.29</w:t>
            </w:r>
          </w:p>
          <w:p w14:paraId="101981DD"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2.97</w:t>
            </w:r>
          </w:p>
          <w:p w14:paraId="3D97C3A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2.89</w:t>
            </w:r>
          </w:p>
          <w:p w14:paraId="023A3C6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2.61</w:t>
            </w:r>
          </w:p>
        </w:tc>
        <w:tc>
          <w:tcPr>
            <w:tcW w:w="2268" w:type="dxa"/>
            <w:tcBorders>
              <w:top w:val="single" w:sz="4" w:space="0" w:color="000000"/>
              <w:left w:val="single" w:sz="4" w:space="0" w:color="000000"/>
              <w:bottom w:val="single" w:sz="4" w:space="0" w:color="000000"/>
              <w:right w:val="single" w:sz="4" w:space="0" w:color="000000"/>
            </w:tcBorders>
          </w:tcPr>
          <w:p w14:paraId="0F2D227A" w14:textId="77777777" w:rsidR="009F61A2" w:rsidRPr="00AB0BB0" w:rsidRDefault="009F61A2" w:rsidP="009F61A2">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519065FB" w14:textId="77777777" w:rsidR="009F61A2" w:rsidRPr="00AB0BB0" w:rsidRDefault="009F61A2" w:rsidP="009F61A2">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2BA53FDA" w14:textId="3FBBC455"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10</w:t>
            </w:r>
          </w:p>
          <w:p w14:paraId="7D8F56B9" w14:textId="2167B990"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20</w:t>
            </w:r>
          </w:p>
          <w:p w14:paraId="7EFEF0D0" w14:textId="23468422"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40</w:t>
            </w:r>
          </w:p>
          <w:p w14:paraId="15695446" w14:textId="6347D661"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80</w:t>
            </w:r>
          </w:p>
        </w:tc>
        <w:tc>
          <w:tcPr>
            <w:tcW w:w="992" w:type="dxa"/>
            <w:tcBorders>
              <w:top w:val="single" w:sz="4" w:space="0" w:color="000000"/>
              <w:left w:val="single" w:sz="4" w:space="0" w:color="000000"/>
              <w:bottom w:val="single" w:sz="4" w:space="0" w:color="000000"/>
              <w:right w:val="single" w:sz="4" w:space="0" w:color="000000"/>
            </w:tcBorders>
          </w:tcPr>
          <w:p w14:paraId="04D2CCE3"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274</w:t>
            </w:r>
          </w:p>
          <w:p w14:paraId="260AD092"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7F03C0C"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67</w:t>
            </w:r>
          </w:p>
          <w:p w14:paraId="263C4505"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69</w:t>
            </w:r>
          </w:p>
          <w:p w14:paraId="71308E2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73</w:t>
            </w:r>
          </w:p>
          <w:p w14:paraId="6ECB71D8" w14:textId="3C9B2A29"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65</w:t>
            </w:r>
          </w:p>
        </w:tc>
        <w:tc>
          <w:tcPr>
            <w:tcW w:w="851" w:type="dxa"/>
            <w:tcBorders>
              <w:top w:val="single" w:sz="4" w:space="0" w:color="000000"/>
              <w:left w:val="single" w:sz="4" w:space="0" w:color="000000"/>
              <w:bottom w:val="single" w:sz="4" w:space="0" w:color="000000"/>
              <w:right w:val="single" w:sz="4" w:space="0" w:color="000000"/>
            </w:tcBorders>
          </w:tcPr>
          <w:p w14:paraId="0DDB647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4AA83A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C893D4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4.53</w:t>
            </w:r>
          </w:p>
          <w:p w14:paraId="08010C63"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4.60</w:t>
            </w:r>
          </w:p>
          <w:p w14:paraId="2B44F6E7"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4.50</w:t>
            </w:r>
          </w:p>
          <w:p w14:paraId="0FC0B398" w14:textId="1BB370D9"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 xml:space="preserve"> 4.61</w:t>
            </w:r>
          </w:p>
        </w:tc>
        <w:tc>
          <w:tcPr>
            <w:tcW w:w="850" w:type="dxa"/>
            <w:tcBorders>
              <w:top w:val="single" w:sz="4" w:space="0" w:color="000000"/>
              <w:left w:val="single" w:sz="4" w:space="0" w:color="000000"/>
              <w:bottom w:val="single" w:sz="4" w:space="0" w:color="000000"/>
              <w:right w:val="single" w:sz="4" w:space="0" w:color="000000"/>
            </w:tcBorders>
          </w:tcPr>
          <w:p w14:paraId="6EB6801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A5DFE0D"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2E81C01"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2.51</w:t>
            </w:r>
          </w:p>
          <w:p w14:paraId="0D871FB1"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2.54</w:t>
            </w:r>
          </w:p>
          <w:p w14:paraId="13D78E2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2.09</w:t>
            </w:r>
          </w:p>
          <w:p w14:paraId="4F7591F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1.97</w:t>
            </w:r>
          </w:p>
        </w:tc>
        <w:tc>
          <w:tcPr>
            <w:tcW w:w="1842" w:type="dxa"/>
            <w:tcBorders>
              <w:top w:val="single" w:sz="4" w:space="0" w:color="000000"/>
              <w:left w:val="single" w:sz="4" w:space="0" w:color="000000"/>
              <w:bottom w:val="single" w:sz="4" w:space="0" w:color="000000"/>
              <w:right w:val="single" w:sz="4" w:space="0" w:color="000000"/>
            </w:tcBorders>
          </w:tcPr>
          <w:p w14:paraId="6C6D66C0"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3C0BD287"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2C986BC5" w14:textId="27AD4588"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AB0BB0">
              <w:rPr>
                <w:rFonts w:ascii="Arial Narrow" w:hAnsi="Arial Narrow" w:cs="Calibri"/>
                <w:spacing w:val="-1"/>
                <w:sz w:val="20"/>
                <w:szCs w:val="20"/>
              </w:rPr>
              <w:t>-27.42(1.72)</w:t>
            </w:r>
          </w:p>
          <w:p w14:paraId="6E6B3F87"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AB0BB0">
              <w:rPr>
                <w:rFonts w:ascii="Arial Narrow" w:hAnsi="Arial Narrow" w:cs="Calibri"/>
                <w:spacing w:val="-1"/>
                <w:sz w:val="20"/>
                <w:szCs w:val="20"/>
              </w:rPr>
              <w:t>-36.30(1.84)</w:t>
            </w:r>
          </w:p>
          <w:p w14:paraId="23710B84"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AB0BB0">
              <w:rPr>
                <w:rFonts w:ascii="Arial Narrow" w:hAnsi="Arial Narrow" w:cs="Calibri"/>
                <w:spacing w:val="-1"/>
                <w:sz w:val="20"/>
                <w:szCs w:val="20"/>
              </w:rPr>
              <w:t>-36.32(1.79)</w:t>
            </w:r>
          </w:p>
          <w:p w14:paraId="42D388F7"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pacing w:val="-1"/>
                <w:sz w:val="20"/>
                <w:szCs w:val="20"/>
              </w:rPr>
              <w:t>-44.25 (1.77)</w:t>
            </w:r>
          </w:p>
        </w:tc>
        <w:tc>
          <w:tcPr>
            <w:tcW w:w="1842" w:type="dxa"/>
            <w:tcBorders>
              <w:top w:val="single" w:sz="4" w:space="0" w:color="000000"/>
              <w:left w:val="single" w:sz="4" w:space="0" w:color="000000"/>
              <w:bottom w:val="single" w:sz="4" w:space="0" w:color="000000"/>
              <w:right w:val="single" w:sz="4" w:space="0" w:color="000000"/>
            </w:tcBorders>
          </w:tcPr>
          <w:p w14:paraId="483A468B"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7EB12207"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6C735715" w14:textId="3D5135B1"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AB0BB0">
              <w:rPr>
                <w:rFonts w:ascii="Arial Narrow" w:hAnsi="Arial Narrow" w:cs="Calibri"/>
                <w:spacing w:val="-1"/>
                <w:sz w:val="20"/>
                <w:szCs w:val="20"/>
              </w:rPr>
              <w:t>-44.44(1.75)</w:t>
            </w:r>
          </w:p>
          <w:p w14:paraId="1FE0BA3D"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AB0BB0">
              <w:rPr>
                <w:rFonts w:ascii="Arial Narrow" w:hAnsi="Arial Narrow" w:cs="Calibri"/>
                <w:spacing w:val="-1"/>
                <w:sz w:val="20"/>
                <w:szCs w:val="20"/>
              </w:rPr>
              <w:t>-44.78(1.74)</w:t>
            </w:r>
          </w:p>
          <w:p w14:paraId="0B558883"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AB0BB0">
              <w:rPr>
                <w:rFonts w:ascii="Arial Narrow" w:hAnsi="Arial Narrow" w:cs="Calibri"/>
                <w:spacing w:val="-1"/>
                <w:sz w:val="20"/>
                <w:szCs w:val="20"/>
              </w:rPr>
              <w:t>-53.48(1.69)</w:t>
            </w:r>
          </w:p>
          <w:p w14:paraId="6B62AE9A"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pacing w:val="-1"/>
                <w:sz w:val="20"/>
                <w:szCs w:val="20"/>
              </w:rPr>
              <w:t>-56.81(1.84)</w:t>
            </w:r>
          </w:p>
        </w:tc>
        <w:tc>
          <w:tcPr>
            <w:tcW w:w="1986" w:type="dxa"/>
            <w:tcBorders>
              <w:top w:val="single" w:sz="4" w:space="0" w:color="000000"/>
              <w:left w:val="single" w:sz="4" w:space="0" w:color="000000"/>
              <w:bottom w:val="single" w:sz="4" w:space="0" w:color="000000"/>
              <w:right w:val="single" w:sz="4" w:space="0" w:color="000000"/>
            </w:tcBorders>
          </w:tcPr>
          <w:p w14:paraId="43D13FCF"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p>
          <w:p w14:paraId="4D89B76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74D9DAB" w14:textId="152B9D74"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-17.01 (-21.83, -12.2)**</w:t>
            </w:r>
          </w:p>
          <w:p w14:paraId="37A68C41" w14:textId="454422D0"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-8.49  (-13.46, -3.52)**</w:t>
            </w:r>
          </w:p>
          <w:p w14:paraId="0B5F5902" w14:textId="7AC94F22"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-17.16 (-22.01,-12.30)**</w:t>
            </w:r>
          </w:p>
          <w:p w14:paraId="63E64876" w14:textId="103466CF"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-12.55 (-17.56, -7.55)**</w:t>
            </w:r>
          </w:p>
        </w:tc>
      </w:tr>
      <w:tr w:rsidR="009F61A2" w:rsidRPr="00AB0BB0" w14:paraId="17462B0A" w14:textId="77777777" w:rsidTr="0033365D">
        <w:trPr>
          <w:trHeight w:hRule="exact" w:val="1561"/>
        </w:trPr>
        <w:tc>
          <w:tcPr>
            <w:tcW w:w="2127" w:type="dxa"/>
            <w:tcBorders>
              <w:top w:val="single" w:sz="4" w:space="0" w:color="000000"/>
              <w:left w:val="single" w:sz="4" w:space="0" w:color="000000"/>
              <w:bottom w:val="single" w:sz="4" w:space="0" w:color="000000"/>
              <w:right w:val="single" w:sz="4" w:space="0" w:color="000000"/>
            </w:tcBorders>
          </w:tcPr>
          <w:p w14:paraId="2D9E854A" w14:textId="17CE0191"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P005 Goldberg 2004</w:t>
            </w:r>
            <w:r w:rsidRPr="00AB0BB0">
              <w:rPr>
                <w:rFonts w:ascii="Arial Narrow" w:hAnsi="Arial Narrow" w:cs="Calibri"/>
                <w:spacing w:val="-1"/>
                <w:sz w:val="20"/>
                <w:szCs w:val="20"/>
                <w:vertAlign w:val="superscript"/>
              </w:rPr>
              <w:t>1</w:t>
            </w:r>
          </w:p>
          <w:p w14:paraId="356C4325" w14:textId="5C89AB16"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1558C56D"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SIM 10</w:t>
            </w:r>
          </w:p>
          <w:p w14:paraId="099A980E"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SIM 20 </w:t>
            </w:r>
          </w:p>
          <w:p w14:paraId="0AC80012"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 xml:space="preserve">SIM 40 </w:t>
            </w:r>
          </w:p>
          <w:p w14:paraId="0C730640" w14:textId="50789379" w:rsidR="009F61A2" w:rsidRPr="00AB0BB0" w:rsidRDefault="0033365D" w:rsidP="0033365D">
            <w:pPr>
              <w:kinsoku w:val="0"/>
              <w:overflowPunct w:val="0"/>
              <w:autoSpaceDE w:val="0"/>
              <w:autoSpaceDN w:val="0"/>
              <w:adjustRightInd w:val="0"/>
              <w:spacing w:after="0" w:line="240" w:lineRule="auto"/>
              <w:ind w:left="102"/>
              <w:rPr>
                <w:rFonts w:ascii="Arial Narrow" w:hAnsi="Arial Narrow" w:cs="Calibri"/>
                <w:spacing w:val="-1"/>
                <w:sz w:val="20"/>
                <w:szCs w:val="20"/>
              </w:rPr>
            </w:pPr>
            <w:r>
              <w:rPr>
                <w:rFonts w:ascii="Arial Narrow" w:hAnsi="Arial Narrow" w:cs="Calibri"/>
                <w:spacing w:val="-1"/>
                <w:sz w:val="20"/>
                <w:szCs w:val="20"/>
              </w:rPr>
              <w:t xml:space="preserve">SIM 80 </w:t>
            </w:r>
          </w:p>
        </w:tc>
        <w:tc>
          <w:tcPr>
            <w:tcW w:w="992" w:type="dxa"/>
            <w:tcBorders>
              <w:top w:val="single" w:sz="4" w:space="0" w:color="000000"/>
              <w:left w:val="single" w:sz="4" w:space="0" w:color="000000"/>
              <w:bottom w:val="single" w:sz="4" w:space="0" w:color="000000"/>
              <w:right w:val="single" w:sz="4" w:space="0" w:color="000000"/>
            </w:tcBorders>
          </w:tcPr>
          <w:p w14:paraId="33C37E1F"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349^</w:t>
            </w:r>
          </w:p>
          <w:p w14:paraId="6DCA3FEE"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p>
          <w:p w14:paraId="0303710B"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81</w:t>
            </w:r>
          </w:p>
          <w:p w14:paraId="361475E8"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90</w:t>
            </w:r>
          </w:p>
          <w:p w14:paraId="49FC26FD" w14:textId="77777777"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91</w:t>
            </w:r>
          </w:p>
          <w:p w14:paraId="6970A35B" w14:textId="2297B3C9" w:rsidR="009F61A2" w:rsidRPr="00AB0BB0" w:rsidRDefault="009F61A2" w:rsidP="009F61A2">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AB0BB0">
              <w:rPr>
                <w:rFonts w:ascii="Arial Narrow" w:hAnsi="Arial Narrow" w:cs="Calibri"/>
                <w:spacing w:val="-1"/>
                <w:sz w:val="20"/>
                <w:szCs w:val="20"/>
              </w:rPr>
              <w:t>87</w:t>
            </w:r>
          </w:p>
        </w:tc>
        <w:tc>
          <w:tcPr>
            <w:tcW w:w="851" w:type="dxa"/>
            <w:tcBorders>
              <w:top w:val="single" w:sz="4" w:space="0" w:color="000000"/>
              <w:left w:val="single" w:sz="4" w:space="0" w:color="000000"/>
              <w:bottom w:val="single" w:sz="4" w:space="0" w:color="000000"/>
              <w:right w:val="single" w:sz="4" w:space="0" w:color="000000"/>
            </w:tcBorders>
          </w:tcPr>
          <w:p w14:paraId="2137C60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3B4F0ED"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F8BB3F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4.50</w:t>
            </w:r>
          </w:p>
          <w:p w14:paraId="2D85403D"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4.50</w:t>
            </w:r>
          </w:p>
          <w:p w14:paraId="6BFE2EB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4.50</w:t>
            </w:r>
          </w:p>
          <w:p w14:paraId="1152F20F" w14:textId="28754848"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4.50</w:t>
            </w:r>
          </w:p>
        </w:tc>
        <w:tc>
          <w:tcPr>
            <w:tcW w:w="850" w:type="dxa"/>
            <w:tcBorders>
              <w:top w:val="single" w:sz="4" w:space="0" w:color="000000"/>
              <w:left w:val="single" w:sz="4" w:space="0" w:color="000000"/>
              <w:bottom w:val="single" w:sz="4" w:space="0" w:color="000000"/>
              <w:right w:val="single" w:sz="4" w:space="0" w:color="000000"/>
            </w:tcBorders>
          </w:tcPr>
          <w:p w14:paraId="361CD954"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BCA47F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A382134"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3.10</w:t>
            </w:r>
          </w:p>
          <w:p w14:paraId="065EAA8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2.90</w:t>
            </w:r>
          </w:p>
          <w:p w14:paraId="78BFA579"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2.70</w:t>
            </w:r>
          </w:p>
          <w:p w14:paraId="6B3BFCE7"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2.40</w:t>
            </w:r>
          </w:p>
        </w:tc>
        <w:tc>
          <w:tcPr>
            <w:tcW w:w="2268" w:type="dxa"/>
            <w:tcBorders>
              <w:top w:val="single" w:sz="4" w:space="0" w:color="000000"/>
              <w:left w:val="single" w:sz="4" w:space="0" w:color="000000"/>
              <w:bottom w:val="single" w:sz="4" w:space="0" w:color="000000"/>
              <w:right w:val="single" w:sz="4" w:space="0" w:color="000000"/>
            </w:tcBorders>
          </w:tcPr>
          <w:p w14:paraId="7762241F" w14:textId="77777777" w:rsidR="009F61A2" w:rsidRPr="00AB0BB0" w:rsidRDefault="009F61A2" w:rsidP="009F61A2">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0B10C35C" w14:textId="77777777" w:rsidR="009F61A2" w:rsidRPr="00AB0BB0" w:rsidRDefault="009F61A2" w:rsidP="009F61A2">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1D234AE9" w14:textId="30D8DEE4"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10</w:t>
            </w:r>
          </w:p>
          <w:p w14:paraId="6DFD7FBE" w14:textId="0AEBA580"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20</w:t>
            </w:r>
          </w:p>
          <w:p w14:paraId="311A9795" w14:textId="0D38DCB8"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40</w:t>
            </w:r>
          </w:p>
          <w:p w14:paraId="6435F6D5" w14:textId="597841AE" w:rsidR="009F61A2" w:rsidRPr="00AB0BB0" w:rsidRDefault="009F61A2" w:rsidP="009F61A2">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AB0BB0">
              <w:rPr>
                <w:rFonts w:ascii="Arial Narrow" w:hAnsi="Arial Narrow" w:cs="Calibri"/>
                <w:spacing w:val="-1"/>
                <w:sz w:val="20"/>
                <w:szCs w:val="20"/>
              </w:rPr>
              <w:t>EZ +SIM 80</w:t>
            </w:r>
          </w:p>
        </w:tc>
        <w:tc>
          <w:tcPr>
            <w:tcW w:w="992" w:type="dxa"/>
            <w:tcBorders>
              <w:top w:val="single" w:sz="4" w:space="0" w:color="000000"/>
              <w:left w:val="single" w:sz="4" w:space="0" w:color="000000"/>
              <w:bottom w:val="single" w:sz="4" w:space="0" w:color="000000"/>
              <w:right w:val="single" w:sz="4" w:space="0" w:color="000000"/>
            </w:tcBorders>
          </w:tcPr>
          <w:p w14:paraId="054B4311"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353^</w:t>
            </w:r>
          </w:p>
          <w:p w14:paraId="3358960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881575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87</w:t>
            </w:r>
          </w:p>
          <w:p w14:paraId="4501D1D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86</w:t>
            </w:r>
          </w:p>
          <w:p w14:paraId="71DD233D"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89</w:t>
            </w:r>
          </w:p>
          <w:p w14:paraId="4B9DC316" w14:textId="757C8AF2"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 xml:space="preserve"> 91</w:t>
            </w:r>
          </w:p>
        </w:tc>
        <w:tc>
          <w:tcPr>
            <w:tcW w:w="851" w:type="dxa"/>
            <w:tcBorders>
              <w:top w:val="single" w:sz="4" w:space="0" w:color="000000"/>
              <w:left w:val="single" w:sz="4" w:space="0" w:color="000000"/>
              <w:bottom w:val="single" w:sz="4" w:space="0" w:color="000000"/>
              <w:right w:val="single" w:sz="4" w:space="0" w:color="000000"/>
            </w:tcBorders>
          </w:tcPr>
          <w:p w14:paraId="7E51FA6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A014D31"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EFB14C4"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4.50</w:t>
            </w:r>
          </w:p>
          <w:p w14:paraId="51584D03"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4.60</w:t>
            </w:r>
          </w:p>
          <w:p w14:paraId="438F5391"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4.40</w:t>
            </w:r>
          </w:p>
          <w:p w14:paraId="6C85B598" w14:textId="5EC747D0"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 xml:space="preserve"> 4.50</w:t>
            </w:r>
          </w:p>
        </w:tc>
        <w:tc>
          <w:tcPr>
            <w:tcW w:w="850" w:type="dxa"/>
            <w:tcBorders>
              <w:top w:val="single" w:sz="4" w:space="0" w:color="000000"/>
              <w:left w:val="single" w:sz="4" w:space="0" w:color="000000"/>
              <w:bottom w:val="single" w:sz="4" w:space="0" w:color="000000"/>
              <w:right w:val="single" w:sz="4" w:space="0" w:color="000000"/>
            </w:tcBorders>
          </w:tcPr>
          <w:p w14:paraId="609472D7"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A068E3A"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88B250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2.40</w:t>
            </w:r>
          </w:p>
          <w:p w14:paraId="7D187533"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2.30</w:t>
            </w:r>
          </w:p>
          <w:p w14:paraId="2E5528C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2.00</w:t>
            </w:r>
          </w:p>
          <w:p w14:paraId="140B234E"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pacing w:val="-1"/>
                <w:sz w:val="20"/>
                <w:szCs w:val="20"/>
              </w:rPr>
              <w:t>1.70</w:t>
            </w:r>
          </w:p>
        </w:tc>
        <w:tc>
          <w:tcPr>
            <w:tcW w:w="1842" w:type="dxa"/>
            <w:tcBorders>
              <w:top w:val="single" w:sz="4" w:space="0" w:color="000000"/>
              <w:left w:val="single" w:sz="4" w:space="0" w:color="000000"/>
              <w:bottom w:val="single" w:sz="4" w:space="0" w:color="000000"/>
              <w:right w:val="single" w:sz="4" w:space="0" w:color="000000"/>
            </w:tcBorders>
          </w:tcPr>
          <w:p w14:paraId="0A563138"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27AAE891"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62A8D77E"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AB0BB0">
              <w:rPr>
                <w:rFonts w:ascii="Arial Narrow" w:hAnsi="Arial Narrow" w:cs="Calibri"/>
                <w:spacing w:val="-1"/>
                <w:sz w:val="20"/>
                <w:szCs w:val="20"/>
              </w:rPr>
              <w:t>-31.3 (-34.5, -28.1)</w:t>
            </w:r>
          </w:p>
          <w:p w14:paraId="025FEE4B"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AB0BB0">
              <w:rPr>
                <w:rFonts w:ascii="Arial Narrow" w:hAnsi="Arial Narrow" w:cs="Calibri"/>
                <w:spacing w:val="-1"/>
                <w:sz w:val="20"/>
                <w:szCs w:val="20"/>
              </w:rPr>
              <w:t>-34.9 (-34.5, -28.1)</w:t>
            </w:r>
          </w:p>
          <w:p w14:paraId="35456DD7"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AB0BB0">
              <w:rPr>
                <w:rFonts w:ascii="Arial Narrow" w:hAnsi="Arial Narrow" w:cs="Calibri"/>
                <w:spacing w:val="-1"/>
                <w:sz w:val="20"/>
                <w:szCs w:val="20"/>
              </w:rPr>
              <w:t>-41.5 (-44.5, -38.6)</w:t>
            </w:r>
          </w:p>
          <w:p w14:paraId="4393AC98" w14:textId="45EB64D8"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pacing w:val="-1"/>
                <w:sz w:val="20"/>
                <w:szCs w:val="20"/>
              </w:rPr>
              <w:t>-45.6 (-48.6, -42.5)</w:t>
            </w:r>
          </w:p>
        </w:tc>
        <w:tc>
          <w:tcPr>
            <w:tcW w:w="1842" w:type="dxa"/>
            <w:tcBorders>
              <w:top w:val="single" w:sz="4" w:space="0" w:color="000000"/>
              <w:left w:val="single" w:sz="4" w:space="0" w:color="000000"/>
              <w:bottom w:val="single" w:sz="4" w:space="0" w:color="000000"/>
              <w:right w:val="single" w:sz="4" w:space="0" w:color="000000"/>
            </w:tcBorders>
          </w:tcPr>
          <w:p w14:paraId="13512BB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C0800C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A128339"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AB0BB0">
              <w:rPr>
                <w:rFonts w:ascii="Arial Narrow" w:hAnsi="Arial Narrow" w:cs="Calibri"/>
                <w:spacing w:val="-1"/>
                <w:sz w:val="20"/>
                <w:szCs w:val="20"/>
              </w:rPr>
              <w:t>-46.2(-49.2, -43.2)</w:t>
            </w:r>
          </w:p>
          <w:p w14:paraId="4340ECA3"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AB0BB0">
              <w:rPr>
                <w:rFonts w:ascii="Arial Narrow" w:hAnsi="Arial Narrow" w:cs="Calibri"/>
                <w:spacing w:val="-1"/>
                <w:sz w:val="20"/>
                <w:szCs w:val="20"/>
              </w:rPr>
              <w:t>-50.5(-53.6, -47.5)</w:t>
            </w:r>
          </w:p>
          <w:p w14:paraId="2CC2F545"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AB0BB0">
              <w:rPr>
                <w:rFonts w:ascii="Arial Narrow" w:hAnsi="Arial Narrow" w:cs="Calibri"/>
                <w:spacing w:val="-1"/>
                <w:sz w:val="20"/>
                <w:szCs w:val="20"/>
              </w:rPr>
              <w:t>-54.9(-57.9, -52.0)</w:t>
            </w:r>
          </w:p>
          <w:p w14:paraId="4E48198E"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pacing w:val="-1"/>
                <w:sz w:val="20"/>
                <w:szCs w:val="20"/>
              </w:rPr>
              <w:t>-60.8(-63.7, -57.8)</w:t>
            </w:r>
          </w:p>
        </w:tc>
        <w:tc>
          <w:tcPr>
            <w:tcW w:w="1986" w:type="dxa"/>
            <w:tcBorders>
              <w:top w:val="single" w:sz="4" w:space="0" w:color="000000"/>
              <w:left w:val="single" w:sz="4" w:space="0" w:color="000000"/>
              <w:bottom w:val="single" w:sz="4" w:space="0" w:color="000000"/>
              <w:right w:val="single" w:sz="4" w:space="0" w:color="000000"/>
            </w:tcBorders>
          </w:tcPr>
          <w:p w14:paraId="3F092CFC"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p>
          <w:p w14:paraId="5E0F9590"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p>
          <w:p w14:paraId="16E9A33C" w14:textId="1FD458CA"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AB0BB0">
              <w:rPr>
                <w:rFonts w:ascii="Arial Narrow" w:hAnsi="Arial Narrow" w:cs="Calibri"/>
                <w:spacing w:val="-1"/>
                <w:sz w:val="20"/>
                <w:szCs w:val="20"/>
              </w:rPr>
              <w:t>-14.9 (-19.3, -10.5)***</w:t>
            </w:r>
          </w:p>
          <w:p w14:paraId="1C27FA2F" w14:textId="488BFD00"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AB0BB0">
              <w:rPr>
                <w:rFonts w:ascii="Arial Narrow" w:hAnsi="Arial Narrow" w:cs="Calibri"/>
                <w:spacing w:val="-1"/>
                <w:sz w:val="20"/>
                <w:szCs w:val="20"/>
              </w:rPr>
              <w:t>-15.6 (-19.9, -11.3)***</w:t>
            </w:r>
          </w:p>
          <w:p w14:paraId="44B59831" w14:textId="3D75D559"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AB0BB0">
              <w:rPr>
                <w:rFonts w:ascii="Arial Narrow" w:hAnsi="Arial Narrow" w:cs="Calibri"/>
                <w:spacing w:val="-1"/>
                <w:sz w:val="20"/>
                <w:szCs w:val="20"/>
              </w:rPr>
              <w:t>-13.4 (-17.6, -9.2)***</w:t>
            </w:r>
          </w:p>
          <w:p w14:paraId="5E5C556D" w14:textId="3CBE621F" w:rsidR="009F61A2" w:rsidRPr="0033365D" w:rsidRDefault="0033365D" w:rsidP="0033365D">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Pr>
                <w:rFonts w:ascii="Arial Narrow" w:hAnsi="Arial Narrow" w:cs="Calibri"/>
                <w:spacing w:val="-1"/>
                <w:sz w:val="20"/>
                <w:szCs w:val="20"/>
              </w:rPr>
              <w:t>-15.2(-19.4, -11.0)***</w:t>
            </w:r>
          </w:p>
        </w:tc>
      </w:tr>
      <w:tr w:rsidR="009F61A2" w:rsidRPr="00AB0BB0" w14:paraId="3738DB2E" w14:textId="77777777" w:rsidTr="0089713D">
        <w:trPr>
          <w:trHeight w:hRule="exact" w:val="564"/>
        </w:trPr>
        <w:tc>
          <w:tcPr>
            <w:tcW w:w="2127" w:type="dxa"/>
            <w:tcBorders>
              <w:top w:val="single" w:sz="4" w:space="0" w:color="000000"/>
              <w:left w:val="single" w:sz="4" w:space="0" w:color="000000"/>
              <w:bottom w:val="single" w:sz="4" w:space="0" w:color="000000"/>
              <w:right w:val="single" w:sz="4" w:space="0" w:color="000000"/>
            </w:tcBorders>
          </w:tcPr>
          <w:p w14:paraId="4C00DFDB"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z w:val="20"/>
                <w:szCs w:val="20"/>
              </w:rPr>
            </w:pPr>
            <w:r w:rsidRPr="00AB0BB0">
              <w:rPr>
                <w:rFonts w:ascii="Arial Narrow" w:hAnsi="Arial Narrow" w:cs="Calibri"/>
                <w:spacing w:val="-1"/>
                <w:sz w:val="20"/>
                <w:szCs w:val="20"/>
              </w:rPr>
              <w:t>Kastelein 2008</w:t>
            </w:r>
            <w:r w:rsidRPr="00AB0BB0">
              <w:rPr>
                <w:rFonts w:ascii="Arial Narrow" w:hAnsi="Arial Narrow" w:cs="Calibri"/>
                <w:spacing w:val="-1"/>
                <w:sz w:val="20"/>
                <w:szCs w:val="20"/>
                <w:vertAlign w:val="superscript"/>
              </w:rPr>
              <w:t>1</w:t>
            </w:r>
          </w:p>
          <w:p w14:paraId="79EDDC72" w14:textId="5898BD75"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z w:val="20"/>
                <w:szCs w:val="20"/>
              </w:rPr>
              <w:t>SIM 80</w:t>
            </w:r>
          </w:p>
        </w:tc>
        <w:tc>
          <w:tcPr>
            <w:tcW w:w="992" w:type="dxa"/>
            <w:tcBorders>
              <w:top w:val="single" w:sz="4" w:space="0" w:color="000000"/>
              <w:left w:val="single" w:sz="4" w:space="0" w:color="000000"/>
              <w:bottom w:val="single" w:sz="4" w:space="0" w:color="000000"/>
              <w:right w:val="single" w:sz="4" w:space="0" w:color="000000"/>
            </w:tcBorders>
          </w:tcPr>
          <w:p w14:paraId="79C69807"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352EFBFF" w14:textId="76A916BB"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z w:val="20"/>
                <w:szCs w:val="20"/>
              </w:rPr>
              <w:t>363</w:t>
            </w:r>
          </w:p>
        </w:tc>
        <w:tc>
          <w:tcPr>
            <w:tcW w:w="851" w:type="dxa"/>
            <w:tcBorders>
              <w:top w:val="single" w:sz="4" w:space="0" w:color="000000"/>
              <w:left w:val="single" w:sz="4" w:space="0" w:color="000000"/>
              <w:bottom w:val="single" w:sz="4" w:space="0" w:color="000000"/>
              <w:right w:val="single" w:sz="4" w:space="0" w:color="000000"/>
            </w:tcBorders>
          </w:tcPr>
          <w:p w14:paraId="52C32AAB" w14:textId="77777777"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p>
          <w:p w14:paraId="668645C5" w14:textId="4FD9ECFC"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r w:rsidRPr="00AB0BB0">
              <w:rPr>
                <w:rFonts w:ascii="Arial Narrow" w:hAnsi="Arial Narrow" w:cs="Calibri"/>
                <w:sz w:val="20"/>
                <w:szCs w:val="20"/>
              </w:rPr>
              <w:t>8.22</w:t>
            </w:r>
          </w:p>
        </w:tc>
        <w:tc>
          <w:tcPr>
            <w:tcW w:w="850" w:type="dxa"/>
            <w:tcBorders>
              <w:top w:val="single" w:sz="4" w:space="0" w:color="000000"/>
              <w:left w:val="single" w:sz="4" w:space="0" w:color="000000"/>
              <w:bottom w:val="single" w:sz="4" w:space="0" w:color="000000"/>
              <w:right w:val="single" w:sz="4" w:space="0" w:color="000000"/>
            </w:tcBorders>
          </w:tcPr>
          <w:p w14:paraId="2448D224"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482F7221" w14:textId="76654C7F"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4.98</w:t>
            </w:r>
          </w:p>
        </w:tc>
        <w:tc>
          <w:tcPr>
            <w:tcW w:w="2268" w:type="dxa"/>
            <w:tcBorders>
              <w:top w:val="single" w:sz="4" w:space="0" w:color="000000"/>
              <w:left w:val="single" w:sz="4" w:space="0" w:color="000000"/>
              <w:bottom w:val="single" w:sz="4" w:space="0" w:color="000000"/>
              <w:right w:val="single" w:sz="4" w:space="0" w:color="000000"/>
            </w:tcBorders>
          </w:tcPr>
          <w:p w14:paraId="18B277C3"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5F3A347A" w14:textId="273492E2"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z w:val="20"/>
                <w:szCs w:val="20"/>
              </w:rPr>
              <w:t>EZ+SIM 80</w:t>
            </w:r>
          </w:p>
        </w:tc>
        <w:tc>
          <w:tcPr>
            <w:tcW w:w="992" w:type="dxa"/>
            <w:tcBorders>
              <w:top w:val="single" w:sz="4" w:space="0" w:color="000000"/>
              <w:left w:val="single" w:sz="4" w:space="0" w:color="000000"/>
              <w:bottom w:val="single" w:sz="4" w:space="0" w:color="000000"/>
              <w:right w:val="single" w:sz="4" w:space="0" w:color="000000"/>
            </w:tcBorders>
          </w:tcPr>
          <w:p w14:paraId="4E7170FD"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56FC1A04" w14:textId="26F3AD90"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z w:val="20"/>
                <w:szCs w:val="20"/>
              </w:rPr>
              <w:t>357</w:t>
            </w:r>
          </w:p>
        </w:tc>
        <w:tc>
          <w:tcPr>
            <w:tcW w:w="851" w:type="dxa"/>
            <w:tcBorders>
              <w:top w:val="single" w:sz="4" w:space="0" w:color="000000"/>
              <w:left w:val="single" w:sz="4" w:space="0" w:color="000000"/>
              <w:bottom w:val="single" w:sz="4" w:space="0" w:color="000000"/>
              <w:right w:val="single" w:sz="4" w:space="0" w:color="000000"/>
            </w:tcBorders>
          </w:tcPr>
          <w:p w14:paraId="5D729897" w14:textId="77777777"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p>
          <w:p w14:paraId="207EE24C" w14:textId="6D562F66"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r w:rsidRPr="00AB0BB0">
              <w:rPr>
                <w:rFonts w:ascii="Arial Narrow" w:hAnsi="Arial Narrow" w:cs="Calibri"/>
                <w:sz w:val="20"/>
                <w:szCs w:val="20"/>
              </w:rPr>
              <w:t>8.25</w:t>
            </w:r>
          </w:p>
        </w:tc>
        <w:tc>
          <w:tcPr>
            <w:tcW w:w="850" w:type="dxa"/>
            <w:tcBorders>
              <w:top w:val="single" w:sz="4" w:space="0" w:color="000000"/>
              <w:left w:val="single" w:sz="4" w:space="0" w:color="000000"/>
              <w:bottom w:val="single" w:sz="4" w:space="0" w:color="000000"/>
              <w:right w:val="single" w:sz="4" w:space="0" w:color="000000"/>
            </w:tcBorders>
          </w:tcPr>
          <w:p w14:paraId="7F9D7908"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3EBC4517" w14:textId="1E653DD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3.65</w:t>
            </w:r>
          </w:p>
        </w:tc>
        <w:tc>
          <w:tcPr>
            <w:tcW w:w="1842" w:type="dxa"/>
            <w:tcBorders>
              <w:top w:val="single" w:sz="4" w:space="0" w:color="000000"/>
              <w:left w:val="single" w:sz="4" w:space="0" w:color="000000"/>
              <w:bottom w:val="single" w:sz="4" w:space="0" w:color="000000"/>
              <w:right w:val="single" w:sz="4" w:space="0" w:color="000000"/>
            </w:tcBorders>
          </w:tcPr>
          <w:p w14:paraId="57391321"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57B36822" w14:textId="2D02163B"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pacing w:val="-1"/>
                <w:sz w:val="20"/>
                <w:szCs w:val="20"/>
              </w:rPr>
              <w:t>-39.1(0.9)</w:t>
            </w:r>
          </w:p>
        </w:tc>
        <w:tc>
          <w:tcPr>
            <w:tcW w:w="1842" w:type="dxa"/>
            <w:tcBorders>
              <w:top w:val="single" w:sz="4" w:space="0" w:color="000000"/>
              <w:left w:val="single" w:sz="4" w:space="0" w:color="000000"/>
              <w:bottom w:val="single" w:sz="4" w:space="0" w:color="000000"/>
              <w:right w:val="single" w:sz="4" w:space="0" w:color="000000"/>
            </w:tcBorders>
          </w:tcPr>
          <w:p w14:paraId="439FB021"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18AEC5F5" w14:textId="441BA6F5"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pacing w:val="-1"/>
                <w:sz w:val="20"/>
                <w:szCs w:val="20"/>
              </w:rPr>
              <w:t>-55.6(0.9)</w:t>
            </w:r>
          </w:p>
        </w:tc>
        <w:tc>
          <w:tcPr>
            <w:tcW w:w="1986" w:type="dxa"/>
            <w:tcBorders>
              <w:top w:val="single" w:sz="4" w:space="0" w:color="000000"/>
              <w:left w:val="single" w:sz="4" w:space="0" w:color="000000"/>
              <w:bottom w:val="single" w:sz="4" w:space="0" w:color="000000"/>
              <w:right w:val="single" w:sz="4" w:space="0" w:color="000000"/>
            </w:tcBorders>
          </w:tcPr>
          <w:p w14:paraId="6034C557"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03ED072C" w14:textId="73E0D074"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NR</w:t>
            </w:r>
          </w:p>
        </w:tc>
      </w:tr>
      <w:tr w:rsidR="009F61A2" w:rsidRPr="00AB0BB0" w14:paraId="61966FD7" w14:textId="77777777" w:rsidTr="0089713D">
        <w:trPr>
          <w:trHeight w:hRule="exact" w:val="580"/>
        </w:trPr>
        <w:tc>
          <w:tcPr>
            <w:tcW w:w="2127" w:type="dxa"/>
            <w:tcBorders>
              <w:top w:val="single" w:sz="4" w:space="0" w:color="000000"/>
              <w:left w:val="single" w:sz="4" w:space="0" w:color="000000"/>
              <w:bottom w:val="single" w:sz="4" w:space="0" w:color="000000"/>
              <w:right w:val="single" w:sz="4" w:space="0" w:color="000000"/>
            </w:tcBorders>
          </w:tcPr>
          <w:p w14:paraId="12A9EEF9"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z w:val="20"/>
                <w:szCs w:val="20"/>
              </w:rPr>
            </w:pPr>
            <w:r w:rsidRPr="00AB0BB0">
              <w:rPr>
                <w:rFonts w:ascii="Arial Narrow" w:hAnsi="Arial Narrow" w:cs="Calibri"/>
                <w:spacing w:val="-1"/>
                <w:sz w:val="20"/>
                <w:szCs w:val="20"/>
              </w:rPr>
              <w:t>Chirinos 2010</w:t>
            </w:r>
            <w:r w:rsidRPr="00AB0BB0">
              <w:rPr>
                <w:rFonts w:ascii="Arial Narrow" w:hAnsi="Arial Narrow" w:cs="Calibri"/>
                <w:spacing w:val="-1"/>
                <w:sz w:val="20"/>
                <w:szCs w:val="20"/>
                <w:vertAlign w:val="superscript"/>
              </w:rPr>
              <w:t>1</w:t>
            </w:r>
            <w:r w:rsidRPr="00AB0BB0">
              <w:rPr>
                <w:rFonts w:ascii="Arial Narrow" w:hAnsi="Arial Narrow" w:cs="Calibri"/>
                <w:sz w:val="20"/>
                <w:szCs w:val="20"/>
              </w:rPr>
              <w:t xml:space="preserve"> </w:t>
            </w:r>
          </w:p>
          <w:p w14:paraId="367C9DB1" w14:textId="1C41919D"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z w:val="20"/>
                <w:szCs w:val="20"/>
              </w:rPr>
              <w:t>SIM 20</w:t>
            </w:r>
          </w:p>
        </w:tc>
        <w:tc>
          <w:tcPr>
            <w:tcW w:w="992" w:type="dxa"/>
            <w:tcBorders>
              <w:top w:val="single" w:sz="4" w:space="0" w:color="000000"/>
              <w:left w:val="single" w:sz="4" w:space="0" w:color="000000"/>
              <w:bottom w:val="single" w:sz="4" w:space="0" w:color="000000"/>
              <w:right w:val="single" w:sz="4" w:space="0" w:color="000000"/>
            </w:tcBorders>
          </w:tcPr>
          <w:p w14:paraId="11A92EA9"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65BA56DB" w14:textId="1A7BEEA2"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z w:val="20"/>
                <w:szCs w:val="20"/>
              </w:rPr>
              <w:t>30</w:t>
            </w:r>
          </w:p>
        </w:tc>
        <w:tc>
          <w:tcPr>
            <w:tcW w:w="851" w:type="dxa"/>
            <w:tcBorders>
              <w:top w:val="single" w:sz="4" w:space="0" w:color="000000"/>
              <w:left w:val="single" w:sz="4" w:space="0" w:color="000000"/>
              <w:bottom w:val="single" w:sz="4" w:space="0" w:color="000000"/>
              <w:right w:val="single" w:sz="4" w:space="0" w:color="000000"/>
            </w:tcBorders>
          </w:tcPr>
          <w:p w14:paraId="226FD36D" w14:textId="77777777"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p>
          <w:p w14:paraId="38A2FB4E" w14:textId="1F7E71FA"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r w:rsidRPr="00AB0BB0">
              <w:rPr>
                <w:rFonts w:ascii="Arial Narrow" w:hAnsi="Arial Narrow" w:cs="Calibri"/>
                <w:sz w:val="20"/>
                <w:szCs w:val="20"/>
              </w:rPr>
              <w:t>3.83</w:t>
            </w:r>
          </w:p>
        </w:tc>
        <w:tc>
          <w:tcPr>
            <w:tcW w:w="850" w:type="dxa"/>
            <w:tcBorders>
              <w:top w:val="single" w:sz="4" w:space="0" w:color="000000"/>
              <w:left w:val="single" w:sz="4" w:space="0" w:color="000000"/>
              <w:bottom w:val="single" w:sz="4" w:space="0" w:color="000000"/>
              <w:right w:val="single" w:sz="4" w:space="0" w:color="000000"/>
            </w:tcBorders>
          </w:tcPr>
          <w:p w14:paraId="370EC1C2"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5F8FC0D1" w14:textId="50E7555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4C2BFC0E"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28E4F7D4" w14:textId="55C1DC6C"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z w:val="20"/>
                <w:szCs w:val="20"/>
              </w:rPr>
              <w:t xml:space="preserve">EZ+SIM 20 </w:t>
            </w:r>
          </w:p>
        </w:tc>
        <w:tc>
          <w:tcPr>
            <w:tcW w:w="992" w:type="dxa"/>
            <w:tcBorders>
              <w:top w:val="single" w:sz="4" w:space="0" w:color="000000"/>
              <w:left w:val="single" w:sz="4" w:space="0" w:color="000000"/>
              <w:bottom w:val="single" w:sz="4" w:space="0" w:color="000000"/>
              <w:right w:val="single" w:sz="4" w:space="0" w:color="000000"/>
            </w:tcBorders>
          </w:tcPr>
          <w:p w14:paraId="710873D2"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73045B0D" w14:textId="0931F1B5"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z w:val="20"/>
                <w:szCs w:val="20"/>
              </w:rPr>
              <w:t>28</w:t>
            </w:r>
          </w:p>
        </w:tc>
        <w:tc>
          <w:tcPr>
            <w:tcW w:w="851" w:type="dxa"/>
            <w:tcBorders>
              <w:top w:val="single" w:sz="4" w:space="0" w:color="000000"/>
              <w:left w:val="single" w:sz="4" w:space="0" w:color="000000"/>
              <w:bottom w:val="single" w:sz="4" w:space="0" w:color="000000"/>
              <w:right w:val="single" w:sz="4" w:space="0" w:color="000000"/>
            </w:tcBorders>
          </w:tcPr>
          <w:p w14:paraId="6C503E4A" w14:textId="77777777"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p>
          <w:p w14:paraId="0925F62A" w14:textId="5C125164"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r w:rsidRPr="00AB0BB0">
              <w:rPr>
                <w:rFonts w:ascii="Arial Narrow" w:hAnsi="Arial Narrow" w:cs="Calibri"/>
                <w:sz w:val="20"/>
                <w:szCs w:val="20"/>
              </w:rPr>
              <w:t>3.83</w:t>
            </w:r>
          </w:p>
        </w:tc>
        <w:tc>
          <w:tcPr>
            <w:tcW w:w="850" w:type="dxa"/>
            <w:tcBorders>
              <w:top w:val="single" w:sz="4" w:space="0" w:color="000000"/>
              <w:left w:val="single" w:sz="4" w:space="0" w:color="000000"/>
              <w:bottom w:val="single" w:sz="4" w:space="0" w:color="000000"/>
              <w:right w:val="single" w:sz="4" w:space="0" w:color="000000"/>
            </w:tcBorders>
          </w:tcPr>
          <w:p w14:paraId="614774DB"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1061673A" w14:textId="45C962B6"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31709E1D"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03C1D7DE" w14:textId="59DCC3D8"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pacing w:val="-1"/>
                <w:sz w:val="20"/>
                <w:szCs w:val="20"/>
              </w:rPr>
              <w:t>-20.9(-27.4, -14.5)</w:t>
            </w:r>
          </w:p>
        </w:tc>
        <w:tc>
          <w:tcPr>
            <w:tcW w:w="1842" w:type="dxa"/>
            <w:tcBorders>
              <w:top w:val="single" w:sz="4" w:space="0" w:color="000000"/>
              <w:left w:val="single" w:sz="4" w:space="0" w:color="000000"/>
              <w:bottom w:val="single" w:sz="4" w:space="0" w:color="000000"/>
              <w:right w:val="single" w:sz="4" w:space="0" w:color="000000"/>
            </w:tcBorders>
          </w:tcPr>
          <w:p w14:paraId="59AB0BAC"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3E83112D" w14:textId="05522C9C"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pacing w:val="-1"/>
                <w:sz w:val="20"/>
                <w:szCs w:val="20"/>
              </w:rPr>
              <w:t>-37.4(-45.6,-29.3)</w:t>
            </w:r>
          </w:p>
        </w:tc>
        <w:tc>
          <w:tcPr>
            <w:tcW w:w="1986" w:type="dxa"/>
            <w:tcBorders>
              <w:top w:val="single" w:sz="4" w:space="0" w:color="000000"/>
              <w:left w:val="single" w:sz="4" w:space="0" w:color="000000"/>
              <w:bottom w:val="single" w:sz="4" w:space="0" w:color="000000"/>
              <w:right w:val="single" w:sz="4" w:space="0" w:color="000000"/>
            </w:tcBorders>
          </w:tcPr>
          <w:p w14:paraId="7378D831"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4536C7A9" w14:textId="3C8608CE"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NR</w:t>
            </w:r>
          </w:p>
        </w:tc>
      </w:tr>
      <w:tr w:rsidR="009F61A2" w:rsidRPr="00AB0BB0" w14:paraId="434B0D16" w14:textId="77777777" w:rsidTr="0089713D">
        <w:trPr>
          <w:trHeight w:hRule="exact" w:val="573"/>
        </w:trPr>
        <w:tc>
          <w:tcPr>
            <w:tcW w:w="2127" w:type="dxa"/>
            <w:tcBorders>
              <w:top w:val="single" w:sz="4" w:space="0" w:color="000000"/>
              <w:left w:val="single" w:sz="4" w:space="0" w:color="000000"/>
              <w:bottom w:val="single" w:sz="4" w:space="0" w:color="000000"/>
              <w:right w:val="single" w:sz="4" w:space="0" w:color="000000"/>
            </w:tcBorders>
          </w:tcPr>
          <w:p w14:paraId="530CA5D5"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z w:val="20"/>
                <w:szCs w:val="20"/>
              </w:rPr>
            </w:pPr>
            <w:r w:rsidRPr="00AB0BB0">
              <w:rPr>
                <w:rFonts w:ascii="Arial Narrow" w:hAnsi="Arial Narrow" w:cs="Calibri"/>
                <w:spacing w:val="-1"/>
                <w:sz w:val="20"/>
                <w:szCs w:val="20"/>
              </w:rPr>
              <w:t>Shankar 2007</w:t>
            </w:r>
            <w:r w:rsidRPr="00AB0BB0">
              <w:rPr>
                <w:rFonts w:ascii="Arial Narrow" w:hAnsi="Arial Narrow" w:cs="Calibri"/>
                <w:spacing w:val="-1"/>
                <w:sz w:val="20"/>
                <w:szCs w:val="20"/>
                <w:vertAlign w:val="superscript"/>
              </w:rPr>
              <w:t>1</w:t>
            </w:r>
            <w:r w:rsidRPr="00AB0BB0">
              <w:rPr>
                <w:rFonts w:ascii="Arial Narrow" w:hAnsi="Arial Narrow" w:cs="Calibri"/>
                <w:sz w:val="20"/>
                <w:szCs w:val="20"/>
              </w:rPr>
              <w:t xml:space="preserve"> </w:t>
            </w:r>
          </w:p>
          <w:p w14:paraId="462FAA62" w14:textId="2742C9B3"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z w:val="20"/>
                <w:szCs w:val="20"/>
              </w:rPr>
              <w:t>SIM 10</w:t>
            </w:r>
          </w:p>
        </w:tc>
        <w:tc>
          <w:tcPr>
            <w:tcW w:w="992" w:type="dxa"/>
            <w:tcBorders>
              <w:top w:val="single" w:sz="4" w:space="0" w:color="000000"/>
              <w:left w:val="single" w:sz="4" w:space="0" w:color="000000"/>
              <w:bottom w:val="single" w:sz="4" w:space="0" w:color="000000"/>
              <w:right w:val="single" w:sz="4" w:space="0" w:color="000000"/>
            </w:tcBorders>
          </w:tcPr>
          <w:p w14:paraId="6AC02EF7"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2DA8467F" w14:textId="4840B264"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z w:val="20"/>
                <w:szCs w:val="20"/>
              </w:rPr>
              <w:t>116</w:t>
            </w:r>
          </w:p>
        </w:tc>
        <w:tc>
          <w:tcPr>
            <w:tcW w:w="851" w:type="dxa"/>
            <w:tcBorders>
              <w:top w:val="single" w:sz="4" w:space="0" w:color="000000"/>
              <w:left w:val="single" w:sz="4" w:space="0" w:color="000000"/>
              <w:bottom w:val="single" w:sz="4" w:space="0" w:color="000000"/>
              <w:right w:val="single" w:sz="4" w:space="0" w:color="000000"/>
            </w:tcBorders>
          </w:tcPr>
          <w:p w14:paraId="69D6ABC5" w14:textId="77777777"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p>
          <w:p w14:paraId="2BA54842" w14:textId="75088269"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r w:rsidRPr="00AB0BB0">
              <w:rPr>
                <w:rFonts w:ascii="Arial Narrow" w:hAnsi="Arial Narrow" w:cs="Calibri"/>
                <w:sz w:val="20"/>
                <w:szCs w:val="20"/>
              </w:rPr>
              <w:t>3.25</w:t>
            </w:r>
          </w:p>
        </w:tc>
        <w:tc>
          <w:tcPr>
            <w:tcW w:w="850" w:type="dxa"/>
            <w:tcBorders>
              <w:top w:val="single" w:sz="4" w:space="0" w:color="000000"/>
              <w:left w:val="single" w:sz="4" w:space="0" w:color="000000"/>
              <w:bottom w:val="single" w:sz="4" w:space="0" w:color="000000"/>
              <w:right w:val="single" w:sz="4" w:space="0" w:color="000000"/>
            </w:tcBorders>
          </w:tcPr>
          <w:p w14:paraId="6B888FF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7ED1E8CF" w14:textId="627FFF69"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2.40</w:t>
            </w:r>
          </w:p>
        </w:tc>
        <w:tc>
          <w:tcPr>
            <w:tcW w:w="2268" w:type="dxa"/>
            <w:tcBorders>
              <w:top w:val="single" w:sz="4" w:space="0" w:color="000000"/>
              <w:left w:val="single" w:sz="4" w:space="0" w:color="000000"/>
              <w:bottom w:val="single" w:sz="4" w:space="0" w:color="000000"/>
              <w:right w:val="single" w:sz="4" w:space="0" w:color="000000"/>
            </w:tcBorders>
          </w:tcPr>
          <w:p w14:paraId="7106CF30"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55DD4F6C" w14:textId="6376565B"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z w:val="20"/>
                <w:szCs w:val="20"/>
              </w:rPr>
              <w:t>EZ+SIM 10</w:t>
            </w:r>
          </w:p>
        </w:tc>
        <w:tc>
          <w:tcPr>
            <w:tcW w:w="992" w:type="dxa"/>
            <w:tcBorders>
              <w:top w:val="single" w:sz="4" w:space="0" w:color="000000"/>
              <w:left w:val="single" w:sz="4" w:space="0" w:color="000000"/>
              <w:bottom w:val="single" w:sz="4" w:space="0" w:color="000000"/>
              <w:right w:val="single" w:sz="4" w:space="0" w:color="000000"/>
            </w:tcBorders>
          </w:tcPr>
          <w:p w14:paraId="25A715D2"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263CD6C0" w14:textId="4DDBBA86"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z w:val="20"/>
                <w:szCs w:val="20"/>
              </w:rPr>
              <w:t>114</w:t>
            </w:r>
          </w:p>
        </w:tc>
        <w:tc>
          <w:tcPr>
            <w:tcW w:w="851" w:type="dxa"/>
            <w:tcBorders>
              <w:top w:val="single" w:sz="4" w:space="0" w:color="000000"/>
              <w:left w:val="single" w:sz="4" w:space="0" w:color="000000"/>
              <w:bottom w:val="single" w:sz="4" w:space="0" w:color="000000"/>
              <w:right w:val="single" w:sz="4" w:space="0" w:color="000000"/>
            </w:tcBorders>
          </w:tcPr>
          <w:p w14:paraId="15FCED49" w14:textId="77777777"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p>
          <w:p w14:paraId="0707488A" w14:textId="018F7BE1"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z w:val="20"/>
                <w:szCs w:val="20"/>
              </w:rPr>
            </w:pPr>
            <w:r w:rsidRPr="00AB0BB0">
              <w:rPr>
                <w:rFonts w:ascii="Arial Narrow" w:hAnsi="Arial Narrow" w:cs="Calibri"/>
                <w:sz w:val="20"/>
                <w:szCs w:val="20"/>
              </w:rPr>
              <w:t>3.37</w:t>
            </w:r>
          </w:p>
        </w:tc>
        <w:tc>
          <w:tcPr>
            <w:tcW w:w="850" w:type="dxa"/>
            <w:tcBorders>
              <w:top w:val="single" w:sz="4" w:space="0" w:color="000000"/>
              <w:left w:val="single" w:sz="4" w:space="0" w:color="000000"/>
              <w:bottom w:val="single" w:sz="4" w:space="0" w:color="000000"/>
              <w:right w:val="single" w:sz="4" w:space="0" w:color="000000"/>
            </w:tcBorders>
          </w:tcPr>
          <w:p w14:paraId="2327D4C0"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p>
          <w:p w14:paraId="3D767FDE" w14:textId="78900801"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2.24</w:t>
            </w:r>
          </w:p>
        </w:tc>
        <w:tc>
          <w:tcPr>
            <w:tcW w:w="1842" w:type="dxa"/>
            <w:tcBorders>
              <w:top w:val="single" w:sz="4" w:space="0" w:color="000000"/>
              <w:left w:val="single" w:sz="4" w:space="0" w:color="000000"/>
              <w:bottom w:val="single" w:sz="4" w:space="0" w:color="000000"/>
              <w:right w:val="single" w:sz="4" w:space="0" w:color="000000"/>
            </w:tcBorders>
          </w:tcPr>
          <w:p w14:paraId="52351673"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06144829" w14:textId="48900114"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pacing w:val="-1"/>
                <w:sz w:val="20"/>
                <w:szCs w:val="20"/>
              </w:rPr>
              <w:t>-26.3(19.9)</w:t>
            </w:r>
          </w:p>
        </w:tc>
        <w:tc>
          <w:tcPr>
            <w:tcW w:w="1842" w:type="dxa"/>
            <w:tcBorders>
              <w:top w:val="single" w:sz="4" w:space="0" w:color="000000"/>
              <w:left w:val="single" w:sz="4" w:space="0" w:color="000000"/>
              <w:bottom w:val="single" w:sz="4" w:space="0" w:color="000000"/>
              <w:right w:val="single" w:sz="4" w:space="0" w:color="000000"/>
            </w:tcBorders>
          </w:tcPr>
          <w:p w14:paraId="1A5CC185"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5320FE92" w14:textId="5786453D"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pacing w:val="-1"/>
                <w:sz w:val="20"/>
                <w:szCs w:val="20"/>
              </w:rPr>
              <w:t>-33.7(44.8)</w:t>
            </w:r>
          </w:p>
        </w:tc>
        <w:tc>
          <w:tcPr>
            <w:tcW w:w="1986" w:type="dxa"/>
            <w:tcBorders>
              <w:top w:val="single" w:sz="4" w:space="0" w:color="000000"/>
              <w:left w:val="single" w:sz="4" w:space="0" w:color="000000"/>
              <w:bottom w:val="single" w:sz="4" w:space="0" w:color="000000"/>
              <w:right w:val="single" w:sz="4" w:space="0" w:color="000000"/>
            </w:tcBorders>
          </w:tcPr>
          <w:p w14:paraId="7C317244"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33D3114A" w14:textId="551B215B"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NR</w:t>
            </w:r>
          </w:p>
        </w:tc>
      </w:tr>
      <w:tr w:rsidR="009F61A2" w:rsidRPr="00AB0BB0" w14:paraId="6D7BDA4E" w14:textId="77777777" w:rsidTr="00374241">
        <w:trPr>
          <w:trHeight w:hRule="exact" w:val="279"/>
        </w:trPr>
        <w:tc>
          <w:tcPr>
            <w:tcW w:w="15451" w:type="dxa"/>
            <w:gridSpan w:val="11"/>
            <w:tcBorders>
              <w:top w:val="single" w:sz="4" w:space="0" w:color="000000"/>
              <w:left w:val="single" w:sz="4" w:space="0" w:color="000000"/>
              <w:bottom w:val="single" w:sz="4" w:space="0" w:color="000000"/>
              <w:right w:val="single" w:sz="4" w:space="0" w:color="000000"/>
            </w:tcBorders>
            <w:vAlign w:val="center"/>
          </w:tcPr>
          <w:p w14:paraId="6F0D54D1" w14:textId="06AAC841"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Pr>
                <w:rFonts w:ascii="Arial Narrow" w:hAnsi="Arial Narrow" w:cs="Calibri"/>
                <w:i/>
                <w:sz w:val="20"/>
                <w:szCs w:val="20"/>
              </w:rPr>
              <w:t>Mixed</w:t>
            </w:r>
            <w:r w:rsidRPr="00AB0BB0">
              <w:rPr>
                <w:rFonts w:ascii="Arial Narrow" w:hAnsi="Arial Narrow" w:cs="Calibri"/>
                <w:i/>
                <w:sz w:val="20"/>
                <w:szCs w:val="20"/>
              </w:rPr>
              <w:t xml:space="preserve"> prevention population</w:t>
            </w:r>
          </w:p>
        </w:tc>
      </w:tr>
      <w:tr w:rsidR="009F61A2" w:rsidRPr="00C679AF" w14:paraId="73CA09A3" w14:textId="77777777" w:rsidTr="00374241">
        <w:trPr>
          <w:trHeight w:hRule="exact" w:val="991"/>
        </w:trPr>
        <w:tc>
          <w:tcPr>
            <w:tcW w:w="2127" w:type="dxa"/>
            <w:tcBorders>
              <w:top w:val="single" w:sz="4" w:space="0" w:color="000000"/>
              <w:left w:val="single" w:sz="4" w:space="0" w:color="000000"/>
              <w:bottom w:val="single" w:sz="4" w:space="0" w:color="000000"/>
              <w:right w:val="single" w:sz="4" w:space="0" w:color="000000"/>
            </w:tcBorders>
          </w:tcPr>
          <w:p w14:paraId="3D652EDE" w14:textId="77777777"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P023 Feldman 2004</w:t>
            </w:r>
            <w:r w:rsidRPr="00AB0BB0">
              <w:rPr>
                <w:rFonts w:ascii="Arial Narrow" w:hAnsi="Arial Narrow" w:cs="Calibri"/>
                <w:spacing w:val="-1"/>
                <w:sz w:val="20"/>
                <w:szCs w:val="20"/>
                <w:vertAlign w:val="superscript"/>
              </w:rPr>
              <w:t>1</w:t>
            </w:r>
          </w:p>
          <w:p w14:paraId="6DC3DA7B" w14:textId="2D529169"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SIM 20</w:t>
            </w:r>
            <w:r w:rsidR="004D0277" w:rsidRPr="004D0277">
              <w:rPr>
                <w:rFonts w:ascii="Calibri" w:hAnsi="Calibri" w:cs="Calibri"/>
                <w:spacing w:val="-1"/>
                <w:sz w:val="20"/>
                <w:szCs w:val="20"/>
                <w:vertAlign w:val="superscript"/>
              </w:rPr>
              <w:t>ǁ</w:t>
            </w:r>
          </w:p>
          <w:p w14:paraId="2E225F88" w14:textId="512FF5EC" w:rsidR="009F61A2" w:rsidRPr="00AB0BB0" w:rsidRDefault="009F61A2" w:rsidP="009F61A2">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CA3350C" w14:textId="77777777"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77B7BDCB" w14:textId="1C3701BA" w:rsidR="009F61A2" w:rsidRPr="00AB0BB0" w:rsidRDefault="009F61A2" w:rsidP="009F61A2">
            <w:pPr>
              <w:kinsoku w:val="0"/>
              <w:overflowPunct w:val="0"/>
              <w:autoSpaceDE w:val="0"/>
              <w:autoSpaceDN w:val="0"/>
              <w:adjustRightInd w:val="0"/>
              <w:spacing w:after="0" w:line="240" w:lineRule="auto"/>
              <w:ind w:left="222" w:right="224"/>
              <w:jc w:val="center"/>
              <w:rPr>
                <w:rFonts w:ascii="Arial Narrow" w:hAnsi="Arial Narrow" w:cs="Calibri"/>
                <w:sz w:val="20"/>
                <w:szCs w:val="20"/>
              </w:rPr>
            </w:pPr>
            <w:r w:rsidRPr="00AB0BB0">
              <w:rPr>
                <w:rFonts w:ascii="Arial Narrow" w:hAnsi="Arial Narrow" w:cs="Calibri"/>
                <w:sz w:val="20"/>
                <w:szCs w:val="20"/>
              </w:rPr>
              <w:t>246</w:t>
            </w:r>
          </w:p>
        </w:tc>
        <w:tc>
          <w:tcPr>
            <w:tcW w:w="851" w:type="dxa"/>
            <w:tcBorders>
              <w:top w:val="single" w:sz="4" w:space="0" w:color="000000"/>
              <w:left w:val="single" w:sz="4" w:space="0" w:color="000000"/>
              <w:bottom w:val="single" w:sz="4" w:space="0" w:color="000000"/>
              <w:right w:val="single" w:sz="4" w:space="0" w:color="000000"/>
            </w:tcBorders>
          </w:tcPr>
          <w:p w14:paraId="38B5E944" w14:textId="77777777" w:rsidR="009F61A2" w:rsidRPr="00AB0BB0" w:rsidRDefault="009F61A2" w:rsidP="009F61A2">
            <w:pPr>
              <w:kinsoku w:val="0"/>
              <w:overflowPunct w:val="0"/>
              <w:autoSpaceDE w:val="0"/>
              <w:autoSpaceDN w:val="0"/>
              <w:adjustRightInd w:val="0"/>
              <w:spacing w:after="0" w:line="240" w:lineRule="auto"/>
              <w:ind w:left="338" w:right="338"/>
              <w:rPr>
                <w:rFonts w:ascii="Arial Narrow" w:hAnsi="Arial Narrow" w:cs="Calibri"/>
                <w:sz w:val="20"/>
                <w:szCs w:val="20"/>
              </w:rPr>
            </w:pPr>
          </w:p>
          <w:p w14:paraId="5EF90955" w14:textId="35C2B52A" w:rsidR="009F61A2" w:rsidRPr="00AB0BB0" w:rsidRDefault="009F61A2" w:rsidP="009F61A2">
            <w:pPr>
              <w:kinsoku w:val="0"/>
              <w:overflowPunct w:val="0"/>
              <w:autoSpaceDE w:val="0"/>
              <w:autoSpaceDN w:val="0"/>
              <w:adjustRightInd w:val="0"/>
              <w:spacing w:after="0" w:line="218" w:lineRule="exact"/>
              <w:ind w:left="338" w:right="130"/>
              <w:rPr>
                <w:rFonts w:ascii="Arial Narrow" w:hAnsi="Arial Narrow" w:cs="Calibri"/>
                <w:sz w:val="20"/>
                <w:szCs w:val="20"/>
              </w:rPr>
            </w:pPr>
            <w:r w:rsidRPr="00AB0BB0">
              <w:rPr>
                <w:rFonts w:ascii="Arial Narrow" w:hAnsi="Arial Narrow" w:cs="Calibri"/>
                <w:sz w:val="20"/>
                <w:szCs w:val="20"/>
              </w:rPr>
              <w:t>4.5</w:t>
            </w:r>
          </w:p>
        </w:tc>
        <w:tc>
          <w:tcPr>
            <w:tcW w:w="850" w:type="dxa"/>
            <w:tcBorders>
              <w:top w:val="single" w:sz="4" w:space="0" w:color="000000"/>
              <w:left w:val="single" w:sz="4" w:space="0" w:color="000000"/>
              <w:bottom w:val="single" w:sz="4" w:space="0" w:color="000000"/>
              <w:right w:val="single" w:sz="4" w:space="0" w:color="000000"/>
            </w:tcBorders>
          </w:tcPr>
          <w:p w14:paraId="0F2109CC" w14:textId="77777777" w:rsidR="009F61A2" w:rsidRPr="00AB0BB0" w:rsidRDefault="009F61A2" w:rsidP="009F61A2">
            <w:pPr>
              <w:kinsoku w:val="0"/>
              <w:overflowPunct w:val="0"/>
              <w:autoSpaceDE w:val="0"/>
              <w:autoSpaceDN w:val="0"/>
              <w:adjustRightInd w:val="0"/>
              <w:spacing w:after="0" w:line="240" w:lineRule="auto"/>
              <w:ind w:right="338"/>
              <w:rPr>
                <w:rFonts w:ascii="Arial Narrow" w:hAnsi="Arial Narrow" w:cs="Calibri"/>
                <w:sz w:val="20"/>
                <w:szCs w:val="20"/>
              </w:rPr>
            </w:pPr>
          </w:p>
          <w:p w14:paraId="12E7F3FF" w14:textId="018193E1"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65E06517"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C930522" w14:textId="54AED7F3"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EZ +SIM 10</w:t>
            </w:r>
          </w:p>
          <w:p w14:paraId="5F38EB20" w14:textId="529F5AD8"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EZ +SIM 20</w:t>
            </w:r>
          </w:p>
          <w:p w14:paraId="25A11B8B" w14:textId="466CFAF1"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EZ +SIM 40</w:t>
            </w:r>
          </w:p>
          <w:p w14:paraId="6788499D" w14:textId="77777777"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60D4FA2" w14:textId="77777777" w:rsidR="009F61A2" w:rsidRPr="00AB0BB0" w:rsidRDefault="009F61A2" w:rsidP="009F61A2">
            <w:pPr>
              <w:kinsoku w:val="0"/>
              <w:overflowPunct w:val="0"/>
              <w:autoSpaceDE w:val="0"/>
              <w:autoSpaceDN w:val="0"/>
              <w:adjustRightInd w:val="0"/>
              <w:spacing w:after="0" w:line="240" w:lineRule="auto"/>
              <w:ind w:right="155"/>
              <w:rPr>
                <w:rFonts w:ascii="Arial Narrow" w:hAnsi="Arial Narrow" w:cs="Calibri"/>
                <w:spacing w:val="-1"/>
                <w:sz w:val="20"/>
                <w:szCs w:val="20"/>
              </w:rPr>
            </w:pPr>
          </w:p>
          <w:p w14:paraId="17B4C861" w14:textId="77777777"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242</w:t>
            </w:r>
          </w:p>
          <w:p w14:paraId="0D77F281" w14:textId="77777777" w:rsidR="009F61A2" w:rsidRPr="00AB0BB0" w:rsidRDefault="009F61A2" w:rsidP="009F61A2">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AB0BB0">
              <w:rPr>
                <w:rFonts w:ascii="Arial Narrow" w:hAnsi="Arial Narrow" w:cs="Calibri"/>
                <w:spacing w:val="-1"/>
                <w:sz w:val="20"/>
                <w:szCs w:val="20"/>
              </w:rPr>
              <w:t>108</w:t>
            </w:r>
          </w:p>
          <w:p w14:paraId="727CECEA" w14:textId="4D9EFA5B" w:rsidR="009F61A2" w:rsidRPr="00AB0BB0" w:rsidRDefault="009F61A2" w:rsidP="009F61A2">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AB0BB0">
              <w:rPr>
                <w:rFonts w:ascii="Arial Narrow" w:hAnsi="Arial Narrow" w:cs="Calibri"/>
                <w:spacing w:val="-1"/>
                <w:sz w:val="20"/>
                <w:szCs w:val="20"/>
              </w:rPr>
              <w:t>96</w:t>
            </w:r>
          </w:p>
        </w:tc>
        <w:tc>
          <w:tcPr>
            <w:tcW w:w="851" w:type="dxa"/>
            <w:tcBorders>
              <w:top w:val="single" w:sz="4" w:space="0" w:color="000000"/>
              <w:left w:val="single" w:sz="4" w:space="0" w:color="000000"/>
              <w:bottom w:val="single" w:sz="4" w:space="0" w:color="000000"/>
              <w:right w:val="single" w:sz="4" w:space="0" w:color="000000"/>
            </w:tcBorders>
          </w:tcPr>
          <w:p w14:paraId="39E2507C"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A3674FF"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4.3</w:t>
            </w:r>
          </w:p>
          <w:p w14:paraId="56332D35"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AB0BB0">
              <w:rPr>
                <w:rFonts w:ascii="Arial Narrow" w:hAnsi="Arial Narrow" w:cs="Calibri"/>
                <w:spacing w:val="-1"/>
                <w:sz w:val="20"/>
                <w:szCs w:val="20"/>
              </w:rPr>
              <w:t>4.3</w:t>
            </w:r>
          </w:p>
          <w:p w14:paraId="3D99C7E4" w14:textId="045A2A8A" w:rsidR="009F61A2" w:rsidRPr="00AB0BB0" w:rsidRDefault="009F61A2" w:rsidP="009F61A2">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AB0BB0">
              <w:rPr>
                <w:rFonts w:ascii="Arial Narrow" w:hAnsi="Arial Narrow" w:cs="Calibri"/>
                <w:spacing w:val="-1"/>
                <w:sz w:val="20"/>
                <w:szCs w:val="20"/>
              </w:rPr>
              <w:t>4.4</w:t>
            </w:r>
          </w:p>
        </w:tc>
        <w:tc>
          <w:tcPr>
            <w:tcW w:w="850" w:type="dxa"/>
            <w:tcBorders>
              <w:top w:val="single" w:sz="4" w:space="0" w:color="000000"/>
              <w:left w:val="single" w:sz="4" w:space="0" w:color="000000"/>
              <w:bottom w:val="single" w:sz="4" w:space="0" w:color="000000"/>
              <w:right w:val="single" w:sz="4" w:space="0" w:color="000000"/>
            </w:tcBorders>
          </w:tcPr>
          <w:p w14:paraId="3ED02E51"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z w:val="20"/>
                <w:szCs w:val="20"/>
              </w:rPr>
            </w:pPr>
          </w:p>
          <w:p w14:paraId="538DA182"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p w14:paraId="7B79C806" w14:textId="77777777"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p w14:paraId="4F964B78" w14:textId="09FB792E" w:rsidR="009F61A2" w:rsidRPr="00AB0BB0" w:rsidRDefault="009F61A2" w:rsidP="009F61A2">
            <w:pPr>
              <w:kinsoku w:val="0"/>
              <w:overflowPunct w:val="0"/>
              <w:autoSpaceDE w:val="0"/>
              <w:autoSpaceDN w:val="0"/>
              <w:adjustRightInd w:val="0"/>
              <w:spacing w:after="0" w:line="240" w:lineRule="auto"/>
              <w:jc w:val="center"/>
              <w:rPr>
                <w:rFonts w:ascii="Arial Narrow" w:hAnsi="Arial Narrow" w:cs="Calibri"/>
                <w:sz w:val="20"/>
                <w:szCs w:val="20"/>
              </w:rPr>
            </w:pPr>
            <w:r w:rsidRPr="00AB0BB0">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21BCA2C3"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z w:val="20"/>
                <w:szCs w:val="20"/>
              </w:rPr>
            </w:pPr>
          </w:p>
          <w:p w14:paraId="5CBCEA21" w14:textId="7777777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3DA2C09" w14:textId="566EE547" w:rsidR="009F61A2" w:rsidRPr="00AB0BB0" w:rsidRDefault="009F61A2" w:rsidP="009F61A2">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AB0BB0">
              <w:rPr>
                <w:rFonts w:ascii="Arial Narrow" w:hAnsi="Arial Narrow" w:cs="Calibri"/>
                <w:sz w:val="20"/>
                <w:szCs w:val="20"/>
              </w:rPr>
              <w:t>-38 (0.8)</w:t>
            </w:r>
          </w:p>
        </w:tc>
        <w:tc>
          <w:tcPr>
            <w:tcW w:w="1842" w:type="dxa"/>
            <w:tcBorders>
              <w:top w:val="single" w:sz="4" w:space="0" w:color="000000"/>
              <w:left w:val="single" w:sz="4" w:space="0" w:color="000000"/>
              <w:bottom w:val="single" w:sz="4" w:space="0" w:color="000000"/>
              <w:right w:val="single" w:sz="4" w:space="0" w:color="000000"/>
            </w:tcBorders>
          </w:tcPr>
          <w:p w14:paraId="0A0D241C"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z w:val="20"/>
                <w:szCs w:val="20"/>
              </w:rPr>
            </w:pPr>
          </w:p>
          <w:p w14:paraId="352EF05C"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-47 (0.8)</w:t>
            </w:r>
          </w:p>
          <w:p w14:paraId="64C7B703" w14:textId="77777777"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-53 (1.2)</w:t>
            </w:r>
          </w:p>
          <w:p w14:paraId="73D82F41" w14:textId="37FA3162" w:rsidR="009F61A2" w:rsidRPr="00AB0BB0" w:rsidRDefault="009F61A2" w:rsidP="009F61A2">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AB0BB0">
              <w:rPr>
                <w:rFonts w:ascii="Arial Narrow" w:hAnsi="Arial Narrow" w:cs="Calibri"/>
                <w:sz w:val="20"/>
                <w:szCs w:val="20"/>
              </w:rPr>
              <w:t>-59 (1.3)</w:t>
            </w:r>
          </w:p>
        </w:tc>
        <w:tc>
          <w:tcPr>
            <w:tcW w:w="1986" w:type="dxa"/>
            <w:tcBorders>
              <w:top w:val="single" w:sz="4" w:space="0" w:color="000000"/>
              <w:left w:val="single" w:sz="4" w:space="0" w:color="000000"/>
              <w:bottom w:val="single" w:sz="4" w:space="0" w:color="000000"/>
              <w:right w:val="single" w:sz="4" w:space="0" w:color="000000"/>
            </w:tcBorders>
          </w:tcPr>
          <w:p w14:paraId="53F79777" w14:textId="77777777" w:rsidR="009F61A2" w:rsidRPr="00AB0BB0" w:rsidRDefault="009F61A2" w:rsidP="009F61A2">
            <w:pPr>
              <w:kinsoku w:val="0"/>
              <w:overflowPunct w:val="0"/>
              <w:autoSpaceDE w:val="0"/>
              <w:autoSpaceDN w:val="0"/>
              <w:adjustRightInd w:val="0"/>
              <w:spacing w:after="0" w:line="240" w:lineRule="auto"/>
              <w:rPr>
                <w:rFonts w:ascii="Arial Narrow" w:hAnsi="Arial Narrow" w:cs="Calibri"/>
                <w:sz w:val="20"/>
                <w:szCs w:val="20"/>
              </w:rPr>
            </w:pPr>
          </w:p>
          <w:p w14:paraId="5C7A9349" w14:textId="77777777"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NR</w:t>
            </w:r>
          </w:p>
          <w:p w14:paraId="6571364D" w14:textId="50A2A848" w:rsidR="009F61A2" w:rsidRPr="00AB0BB0"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-14.8(-17.6,-12.0)***</w:t>
            </w:r>
          </w:p>
          <w:p w14:paraId="4799D696" w14:textId="433D1F8F" w:rsidR="009F61A2" w:rsidRPr="00C679AF" w:rsidRDefault="009F61A2" w:rsidP="009F61A2">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AB0BB0">
              <w:rPr>
                <w:rFonts w:ascii="Arial Narrow" w:hAnsi="Arial Narrow" w:cs="Calibri"/>
                <w:sz w:val="20"/>
                <w:szCs w:val="20"/>
              </w:rPr>
              <w:t>NR</w:t>
            </w:r>
          </w:p>
        </w:tc>
      </w:tr>
    </w:tbl>
    <w:p w14:paraId="37D9A222" w14:textId="6EC71EF1" w:rsidR="00D7754C" w:rsidRPr="0033365D" w:rsidRDefault="00474F78" w:rsidP="0033365D">
      <w:pPr>
        <w:spacing w:after="0" w:line="240" w:lineRule="auto"/>
        <w:ind w:left="-425"/>
        <w:rPr>
          <w:rFonts w:ascii="Arial Narrow" w:hAnsi="Arial Narrow" w:cs="Calibri"/>
          <w:iCs/>
          <w:spacing w:val="-1"/>
          <w:sz w:val="16"/>
          <w:szCs w:val="16"/>
        </w:rPr>
      </w:pPr>
      <w:r w:rsidRPr="00F51165">
        <w:rPr>
          <w:rFonts w:ascii="Arial Narrow" w:hAnsi="Arial Narrow"/>
          <w:sz w:val="16"/>
          <w:szCs w:val="16"/>
          <w:lang w:eastAsia="en-AU"/>
        </w:rPr>
        <w:t xml:space="preserve">Superscripts: </w:t>
      </w:r>
      <w:r w:rsidRPr="00F51165">
        <w:rPr>
          <w:rFonts w:ascii="Arial Narrow" w:hAnsi="Arial Narrow" w:cs="Calibri"/>
          <w:spacing w:val="-1"/>
          <w:sz w:val="16"/>
          <w:szCs w:val="16"/>
        </w:rPr>
        <w:t>1 first-line treatment RCT; 2 second-line treatment RCT;</w:t>
      </w:r>
      <w:r w:rsidRPr="00F51165">
        <w:rPr>
          <w:rFonts w:ascii="Arial Narrow" w:hAnsi="Arial Narrow" w:hint="eastAsia"/>
          <w:sz w:val="16"/>
          <w:szCs w:val="16"/>
          <w:lang w:eastAsia="en-AU"/>
        </w:rPr>
        <w:t xml:space="preserve"> </w:t>
      </w:r>
      <w:r w:rsidR="00C02FC1" w:rsidRPr="00F51165">
        <w:rPr>
          <w:rFonts w:ascii="Arial Narrow" w:hAnsi="Arial Narrow" w:hint="eastAsia"/>
          <w:sz w:val="16"/>
          <w:szCs w:val="16"/>
          <w:lang w:eastAsia="en-AU"/>
        </w:rPr>
        <w:t>#Data pooled for common doses of ezetimibe simvastatin at weeks 18 and 24</w:t>
      </w:r>
      <w:r w:rsidR="009735D2" w:rsidRPr="00F51165">
        <w:rPr>
          <w:rFonts w:ascii="Arial Narrow" w:hAnsi="Arial Narrow"/>
          <w:sz w:val="16"/>
          <w:szCs w:val="16"/>
          <w:lang w:eastAsia="en-AU"/>
        </w:rPr>
        <w:t>;</w:t>
      </w:r>
      <w:r w:rsidR="00252F00" w:rsidRPr="00F51165">
        <w:rPr>
          <w:rFonts w:ascii="Arial Narrow" w:hAnsi="Arial Narrow"/>
          <w:sz w:val="16"/>
          <w:szCs w:val="16"/>
          <w:lang w:eastAsia="en-AU"/>
        </w:rPr>
        <w:t xml:space="preserve"> </w:t>
      </w:r>
      <w:r w:rsidR="00F51165" w:rsidRPr="00F51165">
        <w:rPr>
          <w:rFonts w:ascii="Arial Narrow" w:hAnsi="Arial Narrow" w:hint="eastAsia"/>
          <w:sz w:val="16"/>
          <w:szCs w:val="16"/>
          <w:lang w:eastAsia="en-AU"/>
        </w:rPr>
        <w:t>#</w:t>
      </w:r>
      <w:r w:rsidR="00F51165">
        <w:rPr>
          <w:rFonts w:ascii="Arial Narrow" w:hAnsi="Arial Narrow"/>
          <w:sz w:val="16"/>
          <w:szCs w:val="16"/>
          <w:lang w:eastAsia="en-AU"/>
        </w:rPr>
        <w:t>#</w:t>
      </w:r>
      <w:r w:rsidR="00F51165" w:rsidRPr="00F51165">
        <w:rPr>
          <w:rFonts w:ascii="Arial Narrow" w:hAnsi="Arial Narrow" w:hint="eastAsia"/>
          <w:sz w:val="16"/>
          <w:szCs w:val="16"/>
          <w:lang w:eastAsia="en-AU"/>
        </w:rPr>
        <w:t xml:space="preserve">Data pooled </w:t>
      </w:r>
      <w:r w:rsidR="00F51165">
        <w:rPr>
          <w:rFonts w:ascii="Arial Narrow" w:hAnsi="Arial Narrow"/>
          <w:sz w:val="16"/>
          <w:szCs w:val="16"/>
          <w:lang w:eastAsia="en-AU"/>
        </w:rPr>
        <w:t>across the rosuvastatin</w:t>
      </w:r>
      <w:r w:rsidR="00F51165" w:rsidRPr="00F51165">
        <w:rPr>
          <w:rFonts w:ascii="Arial Narrow" w:hAnsi="Arial Narrow" w:hint="eastAsia"/>
          <w:sz w:val="16"/>
          <w:szCs w:val="16"/>
          <w:lang w:eastAsia="en-AU"/>
        </w:rPr>
        <w:t xml:space="preserve"> doses</w:t>
      </w:r>
      <w:r w:rsidR="00F51165" w:rsidRPr="00F51165">
        <w:rPr>
          <w:rFonts w:ascii="Arial Narrow" w:hAnsi="Arial Narrow"/>
          <w:sz w:val="16"/>
          <w:szCs w:val="16"/>
          <w:lang w:eastAsia="en-AU"/>
        </w:rPr>
        <w:t xml:space="preserve"> </w:t>
      </w:r>
      <w:r w:rsidR="00252F00" w:rsidRPr="00F51165">
        <w:rPr>
          <w:rFonts w:ascii="Arial Narrow" w:hAnsi="Arial Narrow"/>
          <w:sz w:val="16"/>
          <w:szCs w:val="16"/>
          <w:lang w:eastAsia="en-AU"/>
        </w:rPr>
        <w:t xml:space="preserve">^ </w:t>
      </w:r>
      <w:r w:rsidR="009735D2" w:rsidRPr="00F51165">
        <w:rPr>
          <w:rFonts w:ascii="Arial Narrow" w:hAnsi="Arial Narrow"/>
          <w:sz w:val="16"/>
          <w:szCs w:val="16"/>
          <w:lang w:eastAsia="en-AU"/>
        </w:rPr>
        <w:t xml:space="preserve">number of </w:t>
      </w:r>
      <w:r w:rsidR="00252F00" w:rsidRPr="00F51165">
        <w:rPr>
          <w:rFonts w:ascii="Arial Narrow" w:hAnsi="Arial Narrow"/>
          <w:sz w:val="16"/>
          <w:szCs w:val="16"/>
          <w:lang w:eastAsia="en-AU"/>
        </w:rPr>
        <w:t>randomised</w:t>
      </w:r>
      <w:r w:rsidR="009735D2" w:rsidRPr="00F51165">
        <w:rPr>
          <w:rFonts w:ascii="Arial Narrow" w:hAnsi="Arial Narrow"/>
          <w:sz w:val="16"/>
          <w:szCs w:val="16"/>
          <w:lang w:eastAsia="en-AU"/>
        </w:rPr>
        <w:t xml:space="preserve"> </w:t>
      </w:r>
      <w:r w:rsidR="00252F00" w:rsidRPr="00F51165">
        <w:rPr>
          <w:rFonts w:ascii="Arial Narrow" w:hAnsi="Arial Narrow"/>
          <w:sz w:val="16"/>
          <w:szCs w:val="16"/>
          <w:lang w:eastAsia="en-AU"/>
        </w:rPr>
        <w:t xml:space="preserve">patients </w:t>
      </w:r>
      <w:r w:rsidR="00C02FC1" w:rsidRPr="00F51165">
        <w:rPr>
          <w:rFonts w:ascii="Arial Narrow" w:hAnsi="Arial Narrow"/>
          <w:sz w:val="16"/>
          <w:szCs w:val="16"/>
          <w:lang w:eastAsia="en-AU"/>
        </w:rPr>
        <w:t xml:space="preserve">≠ </w:t>
      </w:r>
      <w:r w:rsidR="009735D2" w:rsidRPr="00F51165">
        <w:rPr>
          <w:rFonts w:ascii="Arial Narrow" w:hAnsi="Arial Narrow"/>
          <w:sz w:val="16"/>
          <w:szCs w:val="16"/>
          <w:lang w:eastAsia="en-AU"/>
        </w:rPr>
        <w:t xml:space="preserve">the number </w:t>
      </w:r>
      <w:r w:rsidR="00252F00" w:rsidRPr="00F51165">
        <w:rPr>
          <w:rFonts w:ascii="Arial Narrow" w:hAnsi="Arial Narrow"/>
          <w:sz w:val="16"/>
          <w:szCs w:val="16"/>
          <w:lang w:eastAsia="en-AU"/>
        </w:rPr>
        <w:t>included in the analysis (</w:t>
      </w:r>
      <w:r w:rsidR="00C02FC1" w:rsidRPr="00F51165">
        <w:rPr>
          <w:rFonts w:ascii="Arial Narrow" w:hAnsi="Arial Narrow"/>
          <w:sz w:val="16"/>
          <w:szCs w:val="16"/>
          <w:lang w:eastAsia="en-AU"/>
        </w:rPr>
        <w:t xml:space="preserve">e.g. </w:t>
      </w:r>
      <w:r w:rsidR="00252F00" w:rsidRPr="00F51165">
        <w:rPr>
          <w:rFonts w:ascii="Arial Narrow" w:hAnsi="Arial Narrow"/>
          <w:sz w:val="16"/>
          <w:szCs w:val="16"/>
          <w:lang w:eastAsia="en-AU"/>
        </w:rPr>
        <w:t>modified ITT</w:t>
      </w:r>
      <w:r w:rsidR="00252F00" w:rsidRPr="00F51165">
        <w:rPr>
          <w:rFonts w:ascii="Arial Narrow" w:hAnsi="Arial Narrow" w:cs="Calibri"/>
          <w:spacing w:val="-1"/>
          <w:sz w:val="16"/>
          <w:szCs w:val="16"/>
        </w:rPr>
        <w:t xml:space="preserve"> population</w:t>
      </w:r>
      <w:r w:rsidR="00252F00" w:rsidRPr="00F51165">
        <w:rPr>
          <w:rFonts w:ascii="Arial Narrow" w:hAnsi="Arial Narrow"/>
          <w:sz w:val="16"/>
          <w:szCs w:val="16"/>
          <w:lang w:eastAsia="en-AU"/>
        </w:rPr>
        <w:t>)</w:t>
      </w:r>
      <w:r w:rsidR="0082410B" w:rsidRPr="00F51165">
        <w:rPr>
          <w:rFonts w:ascii="Arial Narrow" w:hAnsi="Arial Narrow"/>
          <w:sz w:val="16"/>
          <w:szCs w:val="16"/>
          <w:lang w:eastAsia="en-AU"/>
        </w:rPr>
        <w:t>;</w:t>
      </w:r>
      <w:r w:rsidR="009A5323" w:rsidRPr="00F51165">
        <w:rPr>
          <w:rFonts w:ascii="Arial Narrow" w:hAnsi="Arial Narrow"/>
          <w:sz w:val="16"/>
          <w:szCs w:val="16"/>
          <w:lang w:eastAsia="en-AU"/>
        </w:rPr>
        <w:t xml:space="preserve"> </w:t>
      </w:r>
      <w:r w:rsidR="005234EB" w:rsidRPr="005234EB">
        <w:rPr>
          <w:rFonts w:ascii="Arial Narrow" w:hAnsi="Arial Narrow"/>
          <w:sz w:val="16"/>
          <w:szCs w:val="16"/>
          <w:vertAlign w:val="superscript"/>
          <w:lang w:eastAsia="en-AU"/>
        </w:rPr>
        <w:t>$</w:t>
      </w:r>
      <w:r w:rsidR="005234EB">
        <w:rPr>
          <w:rFonts w:ascii="Arial Narrow" w:hAnsi="Arial Narrow"/>
          <w:sz w:val="16"/>
          <w:szCs w:val="16"/>
          <w:lang w:eastAsia="en-AU"/>
        </w:rPr>
        <w:t xml:space="preserve">Least Squares Estimate </w:t>
      </w:r>
      <w:r w:rsidR="005234EB" w:rsidRPr="005234EB">
        <w:rPr>
          <w:rFonts w:ascii="Arial Narrow" w:hAnsi="Arial Narrow"/>
          <w:sz w:val="16"/>
          <w:szCs w:val="16"/>
          <w:lang w:eastAsia="en-AU"/>
        </w:rPr>
        <w:t>Difference in M</w:t>
      </w:r>
      <w:r w:rsidR="005234EB">
        <w:rPr>
          <w:rFonts w:ascii="Arial Narrow" w:hAnsi="Arial Narrow"/>
          <w:sz w:val="16"/>
          <w:szCs w:val="16"/>
          <w:lang w:eastAsia="en-AU"/>
        </w:rPr>
        <w:t xml:space="preserve">eans </w:t>
      </w:r>
      <w:r w:rsidR="005234EB" w:rsidRPr="005234EB">
        <w:rPr>
          <w:rFonts w:ascii="Arial Narrow" w:hAnsi="Arial Narrow"/>
          <w:sz w:val="16"/>
          <w:szCs w:val="16"/>
          <w:lang w:eastAsia="en-AU"/>
        </w:rPr>
        <w:t>at 1 year</w:t>
      </w:r>
      <w:r w:rsidR="005234EB">
        <w:rPr>
          <w:rFonts w:ascii="Arial Narrow" w:hAnsi="Arial Narrow"/>
          <w:sz w:val="16"/>
          <w:szCs w:val="16"/>
          <w:lang w:eastAsia="en-AU"/>
        </w:rPr>
        <w:t xml:space="preserve"> (mg/dL</w:t>
      </w:r>
      <w:r w:rsidR="005234EB" w:rsidRPr="004D0277">
        <w:rPr>
          <w:rFonts w:ascii="Arial Narrow" w:hAnsi="Arial Narrow"/>
          <w:sz w:val="16"/>
          <w:szCs w:val="16"/>
          <w:lang w:eastAsia="en-AU"/>
        </w:rPr>
        <w:t>)</w:t>
      </w:r>
      <w:r w:rsidR="004D0277" w:rsidRPr="004D0277">
        <w:rPr>
          <w:rFonts w:ascii="Arial Narrow" w:hAnsi="Arial Narrow"/>
          <w:sz w:val="16"/>
          <w:szCs w:val="16"/>
          <w:lang w:eastAsia="en-AU"/>
        </w:rPr>
        <w:t xml:space="preserve">; </w:t>
      </w:r>
      <w:r w:rsidR="004D0277" w:rsidRPr="004D0277">
        <w:rPr>
          <w:rFonts w:ascii="Calibri" w:hAnsi="Calibri" w:cs="Calibri"/>
          <w:spacing w:val="-1"/>
          <w:sz w:val="16"/>
          <w:szCs w:val="16"/>
          <w:vertAlign w:val="superscript"/>
        </w:rPr>
        <w:t>ǁ</w:t>
      </w:r>
      <w:r w:rsidR="004D0277" w:rsidRPr="004D0277">
        <w:t xml:space="preserve"> </w:t>
      </w:r>
      <w:r w:rsidR="004D0277" w:rsidRPr="004D0277">
        <w:rPr>
          <w:rFonts w:ascii="Arial Narrow" w:hAnsi="Arial Narrow" w:cs="Calibri"/>
          <w:iCs/>
          <w:spacing w:val="-1"/>
          <w:sz w:val="16"/>
          <w:szCs w:val="16"/>
        </w:rPr>
        <w:t>The comparison between EZ+SIM 10 and SIM 20 was used in the meta-analysis of maintaining a dose of both statin and ezetimibe in the intervention arm versus up-titrating statin dose or using a more potent statin in the comparator arm</w:t>
      </w:r>
      <w:r w:rsidR="004D0277">
        <w:rPr>
          <w:rFonts w:ascii="Arial Narrow" w:hAnsi="Arial Narrow" w:cs="Calibri"/>
          <w:iCs/>
          <w:spacing w:val="-1"/>
          <w:sz w:val="16"/>
          <w:szCs w:val="16"/>
        </w:rPr>
        <w:t>.</w:t>
      </w:r>
    </w:p>
    <w:p w14:paraId="56949F1D" w14:textId="04A3A17A" w:rsidR="00CC46F3" w:rsidRDefault="00474F78" w:rsidP="0033365D">
      <w:pPr>
        <w:spacing w:after="0" w:line="240" w:lineRule="auto"/>
        <w:ind w:left="-426"/>
        <w:sectPr w:rsidR="00CC46F3" w:rsidSect="00C02FC1">
          <w:endnotePr>
            <w:numFmt w:val="decimal"/>
          </w:endnotePr>
          <w:pgSz w:w="16838" w:h="11906" w:orient="landscape"/>
          <w:pgMar w:top="1440" w:right="962" w:bottom="1134" w:left="1440" w:header="709" w:footer="709" w:gutter="0"/>
          <w:cols w:space="708"/>
          <w:docGrid w:linePitch="360"/>
        </w:sectPr>
      </w:pPr>
      <w:r w:rsidRPr="00F51165">
        <w:rPr>
          <w:rFonts w:ascii="Arial Narrow" w:hAnsi="Arial Narrow" w:cs="Calibri"/>
          <w:spacing w:val="-1"/>
          <w:sz w:val="16"/>
          <w:szCs w:val="16"/>
        </w:rPr>
        <w:t xml:space="preserve">* statistically significant p≤0.05; **statistically significant p≤0.01; *** statistically significant p≤0.001; </w:t>
      </w:r>
      <w:r w:rsidR="00C03FA1" w:rsidRPr="00F51165">
        <w:rPr>
          <w:rFonts w:ascii="Times New Roman" w:hAnsi="Times New Roman" w:cs="Times New Roman"/>
          <w:sz w:val="20"/>
          <w:szCs w:val="20"/>
          <w:vertAlign w:val="superscript"/>
        </w:rPr>
        <w:t>ǂ</w:t>
      </w:r>
      <w:r w:rsidR="00C03FA1" w:rsidRPr="00F51165">
        <w:rPr>
          <w:rFonts w:ascii="Arial Narrow" w:hAnsi="Arial Narrow"/>
          <w:sz w:val="16"/>
          <w:szCs w:val="16"/>
          <w:lang w:eastAsia="en-AU"/>
        </w:rPr>
        <w:t>p-value not reported;</w:t>
      </w:r>
    </w:p>
    <w:p w14:paraId="6F8F4710" w14:textId="0B854980" w:rsidR="00E17E97" w:rsidRDefault="00E17E97" w:rsidP="00D80325">
      <w:pPr>
        <w:pStyle w:val="Heading2"/>
        <w:spacing w:before="0" w:line="240" w:lineRule="auto"/>
      </w:pPr>
      <w:bookmarkStart w:id="65" w:name="_Toc467857762"/>
      <w:r>
        <w:t>2.5.2. Mean</w:t>
      </w:r>
      <w:r w:rsidRPr="00EE6756">
        <w:t xml:space="preserve"> per</w:t>
      </w:r>
      <w:r>
        <w:t xml:space="preserve"> </w:t>
      </w:r>
      <w:r w:rsidRPr="00EE6756">
        <w:t>cent</w:t>
      </w:r>
      <w:r>
        <w:t xml:space="preserve"> change</w:t>
      </w:r>
      <w:r w:rsidRPr="00EE6756">
        <w:t xml:space="preserve"> </w:t>
      </w:r>
      <w:r>
        <w:t>in HDL-C</w:t>
      </w:r>
      <w:r w:rsidRPr="00EE6756">
        <w:t xml:space="preserve"> </w:t>
      </w:r>
      <w:r>
        <w:t>in RCTs of ezetimibe in combination with statin</w:t>
      </w:r>
      <w:bookmarkEnd w:id="65"/>
    </w:p>
    <w:p w14:paraId="42B214C2" w14:textId="77777777" w:rsidR="00E17E97" w:rsidRDefault="00E17E97" w:rsidP="00D80325">
      <w:pPr>
        <w:spacing w:after="0" w:line="240" w:lineRule="auto"/>
      </w:pPr>
    </w:p>
    <w:p w14:paraId="503B4D35" w14:textId="77777777" w:rsidR="005234EB" w:rsidRDefault="005234EB" w:rsidP="00D80325">
      <w:pPr>
        <w:spacing w:after="0" w:line="240" w:lineRule="auto"/>
        <w:rPr>
          <w:b/>
          <w:color w:val="FF0000"/>
        </w:rPr>
      </w:pPr>
    </w:p>
    <w:p w14:paraId="082AF290" w14:textId="36811E93" w:rsidR="00C679AF" w:rsidRPr="0059691A" w:rsidRDefault="00C679AF" w:rsidP="00C679AF">
      <w:pPr>
        <w:spacing w:after="0"/>
        <w:jc w:val="both"/>
      </w:pPr>
      <w:r w:rsidRPr="0059691A">
        <w:t>Table 2.5.2.1 sho</w:t>
      </w:r>
      <w:r w:rsidR="000F4935" w:rsidRPr="0059691A">
        <w:t xml:space="preserve">ws the percentage </w:t>
      </w:r>
      <w:r w:rsidR="00F72DCD">
        <w:t>change</w:t>
      </w:r>
      <w:r w:rsidR="000F4935" w:rsidRPr="0059691A">
        <w:t xml:space="preserve"> in HDL-C</w:t>
      </w:r>
      <w:r w:rsidRPr="0059691A">
        <w:t xml:space="preserve"> level from the baseline for ezetimibe combination therapy.  </w:t>
      </w:r>
      <w:r w:rsidR="0059691A">
        <w:t>As in the presentation of LDL-C results, t</w:t>
      </w:r>
      <w:r w:rsidRPr="0059691A">
        <w:t xml:space="preserve">he studies were grouped </w:t>
      </w:r>
      <w:r w:rsidR="0059691A">
        <w:t>by</w:t>
      </w:r>
      <w:r w:rsidRPr="0059691A">
        <w:t xml:space="preserve"> the a) study design; b) type of the population: whether primary or secondary; </w:t>
      </w:r>
      <w:r w:rsidR="0059691A">
        <w:t>and by</w:t>
      </w:r>
      <w:r w:rsidRPr="0059691A">
        <w:t xml:space="preserve"> the type of the intervention: whether first- </w:t>
      </w:r>
      <w:r w:rsidR="0059691A">
        <w:t>or the second-line treatment (</w:t>
      </w:r>
      <w:r w:rsidRPr="0059691A">
        <w:t>shown in the super</w:t>
      </w:r>
      <w:r w:rsidR="0059691A">
        <w:t>script at the name of the trial).</w:t>
      </w:r>
    </w:p>
    <w:p w14:paraId="72A82A25" w14:textId="77777777" w:rsidR="00C679AF" w:rsidRPr="00996085" w:rsidRDefault="00C679AF" w:rsidP="00C679AF">
      <w:pPr>
        <w:spacing w:after="0"/>
        <w:jc w:val="both"/>
        <w:rPr>
          <w:highlight w:val="yellow"/>
        </w:rPr>
      </w:pPr>
    </w:p>
    <w:p w14:paraId="30CA16E2" w14:textId="7D65E83D" w:rsidR="00F72DCD" w:rsidRDefault="00C679AF" w:rsidP="00C679AF">
      <w:pPr>
        <w:spacing w:after="0"/>
        <w:jc w:val="both"/>
      </w:pPr>
      <w:r w:rsidRPr="001D21B7">
        <w:t xml:space="preserve">Mean per cent </w:t>
      </w:r>
      <w:r w:rsidR="00F72DCD">
        <w:t>change</w:t>
      </w:r>
      <w:r w:rsidR="001D21B7">
        <w:t xml:space="preserve"> in H</w:t>
      </w:r>
      <w:r w:rsidRPr="001D21B7">
        <w:t xml:space="preserve">DL-C from the baseline was </w:t>
      </w:r>
      <w:r w:rsidR="001D21B7">
        <w:t xml:space="preserve">reported in 25 RCTs. Authors of IMPROVE-IT trial reported the </w:t>
      </w:r>
      <w:r w:rsidR="00F72DCD">
        <w:t xml:space="preserve">HDL-C </w:t>
      </w:r>
      <w:r w:rsidR="001D21B7">
        <w:t xml:space="preserve">results in the </w:t>
      </w:r>
      <w:r w:rsidR="001D21B7" w:rsidRPr="001D21B7">
        <w:t>estimate</w:t>
      </w:r>
      <w:r w:rsidR="001D21B7">
        <w:t>d</w:t>
      </w:r>
      <w:r w:rsidR="001D21B7" w:rsidRPr="001D21B7">
        <w:t xml:space="preserve"> least squares difference in means at 1 year (mg/dL)</w:t>
      </w:r>
      <w:r w:rsidR="00F72DCD">
        <w:t xml:space="preserve"> and found HDL cholesterol statistically significantly higher in ezetimibe+statin arm. %HDL-C change in</w:t>
      </w:r>
      <w:r w:rsidR="00A76012">
        <w:t xml:space="preserve"> patients receiving</w:t>
      </w:r>
      <w:r w:rsidR="00F72DCD">
        <w:t xml:space="preserve"> ezetimibe+statin was higher in</w:t>
      </w:r>
      <w:r w:rsidR="00A76012">
        <w:t xml:space="preserve"> 50 arms of</w:t>
      </w:r>
      <w:r w:rsidR="00F72DCD">
        <w:t xml:space="preserve"> 18 trials, but the difference reached the level of statistical significance only in </w:t>
      </w:r>
      <w:r w:rsidR="00A76012">
        <w:t>eight</w:t>
      </w:r>
      <w:r w:rsidR="00F72DCD">
        <w:t xml:space="preserve"> a</w:t>
      </w:r>
      <w:r w:rsidR="00A76012">
        <w:t>rms of four up-titration trials (</w:t>
      </w:r>
      <w:r w:rsidR="00F72DCD">
        <w:t>Barrios 2005, Zieve 2010,</w:t>
      </w:r>
      <w:r w:rsidR="00A76012">
        <w:t xml:space="preserve"> Ballantyne 2005, Goldberg 2006)</w:t>
      </w:r>
      <w:r w:rsidR="00F72DCD">
        <w:t xml:space="preserve"> </w:t>
      </w:r>
      <w:r w:rsidR="00A76012">
        <w:t>and in three out of 21 arms in “add-on” trials where ezetimibe+statin was compared with the matching dose of statin</w:t>
      </w:r>
      <w:r w:rsidR="00CF0D9F">
        <w:t xml:space="preserve">. </w:t>
      </w:r>
      <w:r w:rsidR="00E90BF1">
        <w:t xml:space="preserve">Eight </w:t>
      </w:r>
      <w:r w:rsidR="00CF0D9F">
        <w:t>RCTs (Lee 2013, Gaudiani 2005, Cho 2011, Ostad 2009, Leiter 2008,</w:t>
      </w:r>
      <w:r w:rsidR="00D42C43">
        <w:t xml:space="preserve"> </w:t>
      </w:r>
      <w:r w:rsidR="00CF0D9F">
        <w:t>McCormac 2010 (in EZ+SIM 40  vs ATOR 40) and Catapano 2006 (in EZ+SIM80 vs ROSUV 40)</w:t>
      </w:r>
      <w:r w:rsidR="00E90BF1">
        <w:t>, Farnier 2009 (in EZ+SIM vs ROSU 10</w:t>
      </w:r>
      <w:r w:rsidR="00160B63">
        <w:t>)</w:t>
      </w:r>
      <w:r w:rsidR="00CF0D9F">
        <w:t xml:space="preserve">  reported HDL-C </w:t>
      </w:r>
      <w:r w:rsidR="00D42C43">
        <w:t>achieving a</w:t>
      </w:r>
      <w:r w:rsidR="00CF0D9F">
        <w:t xml:space="preserve"> higher level in patients in the comparator arm</w:t>
      </w:r>
      <w:r w:rsidR="00D42C43">
        <w:t>s</w:t>
      </w:r>
      <w:r w:rsidR="00CF0D9F">
        <w:t>, although the difference was not statistically significant (</w:t>
      </w:r>
      <w:r w:rsidR="00CF0D9F" w:rsidRPr="0059691A">
        <w:t>Table 2.5.2.1</w:t>
      </w:r>
      <w:r w:rsidR="00CF0D9F">
        <w:t>)</w:t>
      </w:r>
      <w:r w:rsidR="00A76012">
        <w:t>.</w:t>
      </w:r>
      <w:r w:rsidR="00CF0D9F">
        <w:t xml:space="preserve"> </w:t>
      </w:r>
    </w:p>
    <w:p w14:paraId="77795979" w14:textId="77777777" w:rsidR="00CF0D9F" w:rsidRDefault="00CF0D9F" w:rsidP="00C679AF">
      <w:pPr>
        <w:spacing w:after="0"/>
        <w:jc w:val="both"/>
      </w:pPr>
    </w:p>
    <w:p w14:paraId="056A76DD" w14:textId="52CD23E7" w:rsidR="00CF0D9F" w:rsidRDefault="00D42C43" w:rsidP="00C679AF">
      <w:pPr>
        <w:spacing w:after="0"/>
        <w:jc w:val="both"/>
      </w:pPr>
      <w:r w:rsidRPr="00D42C43">
        <w:rPr>
          <w:b/>
        </w:rPr>
        <w:t>There is insufficient</w:t>
      </w:r>
      <w:r w:rsidR="00CF0D9F" w:rsidRPr="00D42C43">
        <w:rPr>
          <w:b/>
        </w:rPr>
        <w:t xml:space="preserve"> evidence </w:t>
      </w:r>
      <w:r w:rsidRPr="00D42C43">
        <w:rPr>
          <w:b/>
        </w:rPr>
        <w:t xml:space="preserve">to confirm the conclusion of the authors of the AHQR 2014 report </w:t>
      </w:r>
      <w:r w:rsidR="00A775EE">
        <w:rPr>
          <w:b/>
        </w:rPr>
        <w:t xml:space="preserve">that low- and mid- </w:t>
      </w:r>
      <w:r w:rsidRPr="00D42C43">
        <w:rPr>
          <w:b/>
        </w:rPr>
        <w:t xml:space="preserve">potency statins </w:t>
      </w:r>
      <w:r w:rsidRPr="00D42C43">
        <w:rPr>
          <w:rFonts w:eastAsiaTheme="minorHAnsi"/>
          <w:b/>
          <w:lang w:eastAsia="en-US"/>
        </w:rPr>
        <w:t>raises HDL-C as compared to mid- and high potency statin monotherapy</w:t>
      </w:r>
      <w:r>
        <w:rPr>
          <w:rFonts w:eastAsiaTheme="minorHAnsi"/>
          <w:lang w:eastAsia="en-US"/>
        </w:rPr>
        <w:t>.</w:t>
      </w:r>
    </w:p>
    <w:p w14:paraId="1CB89E67" w14:textId="77777777" w:rsidR="00996085" w:rsidRDefault="00996085" w:rsidP="00C679AF">
      <w:pPr>
        <w:spacing w:after="0"/>
        <w:jc w:val="both"/>
      </w:pPr>
    </w:p>
    <w:p w14:paraId="71A1946E" w14:textId="22E739A0" w:rsidR="00996085" w:rsidRDefault="00996085" w:rsidP="00C679AF">
      <w:pPr>
        <w:spacing w:after="0"/>
        <w:jc w:val="both"/>
      </w:pPr>
      <w:r>
        <w:t xml:space="preserve">Results of comparisons of mean per cent reduction in TC from the baseline in ezetimibe+statin and the comparator </w:t>
      </w:r>
      <w:r w:rsidR="00A775EE">
        <w:t xml:space="preserve">arms </w:t>
      </w:r>
      <w:r>
        <w:t xml:space="preserve">are generally consistent with the results in mean per cent reduction in LDL-C. These are presented in </w:t>
      </w:r>
      <w:r w:rsidRPr="00996085">
        <w:t>Appendix 5</w:t>
      </w:r>
      <w:r>
        <w:t>.</w:t>
      </w:r>
    </w:p>
    <w:p w14:paraId="5EC836F2" w14:textId="77777777" w:rsidR="00996085" w:rsidRDefault="00996085" w:rsidP="00C679AF">
      <w:pPr>
        <w:spacing w:after="0"/>
        <w:jc w:val="both"/>
      </w:pPr>
    </w:p>
    <w:p w14:paraId="41F0CCD6" w14:textId="77777777" w:rsidR="00996085" w:rsidRDefault="00996085" w:rsidP="00C679AF">
      <w:pPr>
        <w:spacing w:after="0"/>
        <w:jc w:val="both"/>
      </w:pPr>
    </w:p>
    <w:p w14:paraId="2510A485" w14:textId="77777777" w:rsidR="00F7742C" w:rsidRDefault="00F7742C" w:rsidP="00D80325">
      <w:pPr>
        <w:spacing w:after="0" w:line="240" w:lineRule="auto"/>
        <w:rPr>
          <w:b/>
          <w:color w:val="FF0000"/>
        </w:rPr>
        <w:sectPr w:rsidR="00F7742C" w:rsidSect="00CC46F3">
          <w:endnotePr>
            <w:numFmt w:val="decimal"/>
          </w:endnotePr>
          <w:pgSz w:w="11906" w:h="16838"/>
          <w:pgMar w:top="964" w:right="1134" w:bottom="1440" w:left="1440" w:header="709" w:footer="709" w:gutter="0"/>
          <w:cols w:space="708"/>
          <w:docGrid w:linePitch="360"/>
        </w:sectPr>
      </w:pPr>
    </w:p>
    <w:p w14:paraId="06A32346" w14:textId="625FDDEE" w:rsidR="00EA7C91" w:rsidRPr="0083333B" w:rsidRDefault="00EA7C91" w:rsidP="00EA7C91">
      <w:pPr>
        <w:pStyle w:val="Caption"/>
        <w:ind w:hanging="720"/>
        <w:rPr>
          <w:sz w:val="22"/>
          <w:szCs w:val="22"/>
        </w:rPr>
      </w:pPr>
      <w:r w:rsidRPr="0083333B">
        <w:rPr>
          <w:sz w:val="22"/>
          <w:szCs w:val="22"/>
        </w:rPr>
        <w:t>Table 2.5.</w:t>
      </w:r>
      <w:r w:rsidR="00C679AF">
        <w:rPr>
          <w:sz w:val="22"/>
          <w:szCs w:val="22"/>
        </w:rPr>
        <w:t>2</w:t>
      </w:r>
      <w:r>
        <w:rPr>
          <w:sz w:val="22"/>
          <w:szCs w:val="22"/>
        </w:rPr>
        <w:t>.</w:t>
      </w:r>
      <w:r w:rsidR="00C679AF">
        <w:rPr>
          <w:sz w:val="22"/>
          <w:szCs w:val="22"/>
        </w:rPr>
        <w:t>1</w:t>
      </w:r>
      <w:r w:rsidRPr="0083333B">
        <w:rPr>
          <w:sz w:val="22"/>
          <w:szCs w:val="22"/>
        </w:rPr>
        <w:t>: M</w:t>
      </w:r>
      <w:r>
        <w:rPr>
          <w:sz w:val="22"/>
          <w:szCs w:val="22"/>
        </w:rPr>
        <w:t>ean %H</w:t>
      </w:r>
      <w:r w:rsidRPr="0083333B">
        <w:rPr>
          <w:sz w:val="22"/>
          <w:szCs w:val="22"/>
        </w:rPr>
        <w:t>DL-C reduction from the baseline</w:t>
      </w:r>
    </w:p>
    <w:tbl>
      <w:tblPr>
        <w:tblW w:w="15451" w:type="dxa"/>
        <w:tblInd w:w="-431" w:type="dxa"/>
        <w:tblLayout w:type="fixed"/>
        <w:tblCellMar>
          <w:left w:w="0" w:type="dxa"/>
          <w:right w:w="0" w:type="dxa"/>
        </w:tblCellMar>
        <w:tblLook w:val="0000" w:firstRow="0" w:lastRow="0" w:firstColumn="0" w:lastColumn="0" w:noHBand="0" w:noVBand="0"/>
      </w:tblPr>
      <w:tblGrid>
        <w:gridCol w:w="2127"/>
        <w:gridCol w:w="992"/>
        <w:gridCol w:w="851"/>
        <w:gridCol w:w="850"/>
        <w:gridCol w:w="2268"/>
        <w:gridCol w:w="992"/>
        <w:gridCol w:w="851"/>
        <w:gridCol w:w="850"/>
        <w:gridCol w:w="1842"/>
        <w:gridCol w:w="1842"/>
        <w:gridCol w:w="1986"/>
      </w:tblGrid>
      <w:tr w:rsidR="00F7742C" w:rsidRPr="006467DC" w14:paraId="0194DF46" w14:textId="77777777" w:rsidTr="00F7742C">
        <w:trPr>
          <w:trHeight w:hRule="exact" w:val="262"/>
        </w:trPr>
        <w:tc>
          <w:tcPr>
            <w:tcW w:w="2127" w:type="dxa"/>
            <w:tcBorders>
              <w:top w:val="single" w:sz="4" w:space="0" w:color="000000"/>
              <w:left w:val="single" w:sz="4" w:space="0" w:color="000000"/>
              <w:right w:val="single" w:sz="4" w:space="0" w:color="000000"/>
            </w:tcBorders>
          </w:tcPr>
          <w:p w14:paraId="4D31FC17" w14:textId="77777777" w:rsidR="00F7742C" w:rsidRPr="006467DC" w:rsidRDefault="00F7742C" w:rsidP="00F7742C">
            <w:pPr>
              <w:kinsoku w:val="0"/>
              <w:overflowPunct w:val="0"/>
              <w:autoSpaceDE w:val="0"/>
              <w:autoSpaceDN w:val="0"/>
              <w:adjustRightInd w:val="0"/>
              <w:spacing w:after="0" w:line="218" w:lineRule="exact"/>
              <w:ind w:left="102"/>
              <w:rPr>
                <w:rFonts w:ascii="Arial Narrow" w:hAnsi="Arial Narrow" w:cs="Times New Roman"/>
                <w:b/>
                <w:sz w:val="20"/>
                <w:szCs w:val="20"/>
              </w:rPr>
            </w:pPr>
            <w:r w:rsidRPr="006467DC">
              <w:rPr>
                <w:rFonts w:ascii="Arial Narrow" w:hAnsi="Arial Narrow" w:cs="Calibri"/>
                <w:b/>
                <w:spacing w:val="-1"/>
                <w:sz w:val="20"/>
                <w:szCs w:val="20"/>
              </w:rPr>
              <w:t>Study</w:t>
            </w:r>
          </w:p>
        </w:tc>
        <w:tc>
          <w:tcPr>
            <w:tcW w:w="2693" w:type="dxa"/>
            <w:gridSpan w:val="3"/>
            <w:tcBorders>
              <w:top w:val="single" w:sz="4" w:space="0" w:color="000000"/>
              <w:left w:val="single" w:sz="4" w:space="0" w:color="000000"/>
              <w:bottom w:val="single" w:sz="4" w:space="0" w:color="000000"/>
              <w:right w:val="single" w:sz="4" w:space="0" w:color="000000"/>
            </w:tcBorders>
          </w:tcPr>
          <w:p w14:paraId="11A0CA69" w14:textId="77777777" w:rsidR="00F7742C" w:rsidRPr="006467DC" w:rsidRDefault="00F7742C" w:rsidP="00F7742C">
            <w:pPr>
              <w:kinsoku w:val="0"/>
              <w:overflowPunct w:val="0"/>
              <w:autoSpaceDE w:val="0"/>
              <w:autoSpaceDN w:val="0"/>
              <w:adjustRightInd w:val="0"/>
              <w:spacing w:after="0" w:line="218" w:lineRule="exact"/>
              <w:ind w:left="783"/>
              <w:rPr>
                <w:rFonts w:ascii="Arial Narrow" w:hAnsi="Arial Narrow" w:cs="Calibri"/>
                <w:b/>
                <w:spacing w:val="-1"/>
                <w:sz w:val="20"/>
                <w:szCs w:val="20"/>
              </w:rPr>
            </w:pPr>
            <w:r w:rsidRPr="006467DC">
              <w:rPr>
                <w:rFonts w:ascii="Arial Narrow" w:hAnsi="Arial Narrow" w:cs="Calibri"/>
                <w:b/>
                <w:spacing w:val="-1"/>
                <w:sz w:val="20"/>
                <w:szCs w:val="20"/>
              </w:rPr>
              <w:t>Statin arm</w:t>
            </w:r>
          </w:p>
        </w:tc>
        <w:tc>
          <w:tcPr>
            <w:tcW w:w="4961" w:type="dxa"/>
            <w:gridSpan w:val="4"/>
            <w:tcBorders>
              <w:top w:val="single" w:sz="4" w:space="0" w:color="000000"/>
              <w:left w:val="single" w:sz="4" w:space="0" w:color="000000"/>
              <w:bottom w:val="single" w:sz="4" w:space="0" w:color="000000"/>
              <w:right w:val="single" w:sz="4" w:space="0" w:color="000000"/>
            </w:tcBorders>
          </w:tcPr>
          <w:p w14:paraId="6081DFA1" w14:textId="77777777" w:rsidR="00F7742C" w:rsidRPr="006467DC" w:rsidRDefault="00F7742C" w:rsidP="00F7742C">
            <w:pPr>
              <w:kinsoku w:val="0"/>
              <w:overflowPunct w:val="0"/>
              <w:autoSpaceDE w:val="0"/>
              <w:autoSpaceDN w:val="0"/>
              <w:adjustRightInd w:val="0"/>
              <w:spacing w:after="0" w:line="218" w:lineRule="exact"/>
              <w:ind w:left="783"/>
              <w:jc w:val="center"/>
              <w:rPr>
                <w:rFonts w:ascii="Arial Narrow" w:hAnsi="Arial Narrow" w:cs="Times New Roman"/>
                <w:b/>
                <w:sz w:val="20"/>
                <w:szCs w:val="20"/>
              </w:rPr>
            </w:pPr>
            <w:r w:rsidRPr="006467DC">
              <w:rPr>
                <w:rFonts w:ascii="Arial Narrow" w:hAnsi="Arial Narrow" w:cs="Calibri"/>
                <w:b/>
                <w:spacing w:val="-1"/>
                <w:sz w:val="20"/>
                <w:szCs w:val="20"/>
              </w:rPr>
              <w:t xml:space="preserve">Statin </w:t>
            </w:r>
            <w:r w:rsidRPr="006467DC">
              <w:rPr>
                <w:rFonts w:ascii="Arial Narrow" w:hAnsi="Arial Narrow" w:cs="Calibri"/>
                <w:b/>
                <w:sz w:val="20"/>
                <w:szCs w:val="20"/>
              </w:rPr>
              <w:t>+</w:t>
            </w:r>
            <w:r w:rsidRPr="006467DC">
              <w:rPr>
                <w:rFonts w:ascii="Arial Narrow" w:hAnsi="Arial Narrow" w:cs="Calibri"/>
                <w:b/>
                <w:spacing w:val="-3"/>
                <w:sz w:val="20"/>
                <w:szCs w:val="20"/>
              </w:rPr>
              <w:t xml:space="preserve"> </w:t>
            </w:r>
            <w:r w:rsidRPr="006467DC">
              <w:rPr>
                <w:rFonts w:ascii="Arial Narrow" w:hAnsi="Arial Narrow" w:cs="Calibri"/>
                <w:b/>
                <w:spacing w:val="-1"/>
                <w:sz w:val="20"/>
                <w:szCs w:val="20"/>
              </w:rPr>
              <w:t>ezetimibe</w:t>
            </w:r>
            <w:r w:rsidRPr="006467DC">
              <w:rPr>
                <w:rFonts w:ascii="Arial Narrow" w:hAnsi="Arial Narrow" w:cs="Calibri"/>
                <w:b/>
                <w:spacing w:val="-3"/>
                <w:sz w:val="20"/>
                <w:szCs w:val="20"/>
              </w:rPr>
              <w:t xml:space="preserve"> </w:t>
            </w:r>
            <w:r w:rsidRPr="006467DC">
              <w:rPr>
                <w:rFonts w:ascii="Arial Narrow" w:hAnsi="Arial Narrow" w:cs="Calibri"/>
                <w:b/>
                <w:sz w:val="20"/>
                <w:szCs w:val="20"/>
              </w:rPr>
              <w:t>arm</w:t>
            </w:r>
          </w:p>
        </w:tc>
        <w:tc>
          <w:tcPr>
            <w:tcW w:w="5670" w:type="dxa"/>
            <w:gridSpan w:val="3"/>
            <w:tcBorders>
              <w:top w:val="single" w:sz="4" w:space="0" w:color="000000"/>
              <w:left w:val="single" w:sz="4" w:space="0" w:color="000000"/>
              <w:bottom w:val="single" w:sz="4" w:space="0" w:color="000000"/>
              <w:right w:val="single" w:sz="4" w:space="0" w:color="auto"/>
            </w:tcBorders>
          </w:tcPr>
          <w:p w14:paraId="716D1A3F" w14:textId="77777777" w:rsidR="00F7742C" w:rsidRPr="006467DC" w:rsidRDefault="00F7742C" w:rsidP="00F7742C">
            <w:pPr>
              <w:kinsoku w:val="0"/>
              <w:overflowPunct w:val="0"/>
              <w:autoSpaceDE w:val="0"/>
              <w:autoSpaceDN w:val="0"/>
              <w:adjustRightInd w:val="0"/>
              <w:spacing w:after="0" w:line="218" w:lineRule="exact"/>
              <w:ind w:left="781"/>
              <w:jc w:val="center"/>
              <w:rPr>
                <w:rFonts w:ascii="Arial Narrow" w:hAnsi="Arial Narrow" w:cs="Times New Roman"/>
                <w:b/>
                <w:sz w:val="20"/>
                <w:szCs w:val="20"/>
              </w:rPr>
            </w:pPr>
            <w:r w:rsidRPr="006467DC">
              <w:rPr>
                <w:rFonts w:ascii="Arial Narrow" w:hAnsi="Arial Narrow" w:cs="Calibri"/>
                <w:b/>
                <w:spacing w:val="-1"/>
                <w:sz w:val="20"/>
                <w:szCs w:val="20"/>
              </w:rPr>
              <w:t>Percentage</w:t>
            </w:r>
            <w:r w:rsidRPr="006467DC">
              <w:rPr>
                <w:rFonts w:ascii="Arial Narrow" w:hAnsi="Arial Narrow" w:cs="Calibri"/>
                <w:b/>
                <w:spacing w:val="-11"/>
                <w:sz w:val="20"/>
                <w:szCs w:val="20"/>
              </w:rPr>
              <w:t xml:space="preserve"> </w:t>
            </w:r>
            <w:r w:rsidRPr="006467DC">
              <w:rPr>
                <w:rFonts w:ascii="Arial Narrow" w:hAnsi="Arial Narrow" w:cs="Calibri"/>
                <w:b/>
                <w:sz w:val="20"/>
                <w:szCs w:val="20"/>
              </w:rPr>
              <w:t>reduction</w:t>
            </w:r>
          </w:p>
        </w:tc>
      </w:tr>
      <w:tr w:rsidR="00F7742C" w:rsidRPr="006467DC" w14:paraId="04376E5D" w14:textId="77777777" w:rsidTr="00F7742C">
        <w:tc>
          <w:tcPr>
            <w:tcW w:w="2127" w:type="dxa"/>
            <w:tcBorders>
              <w:left w:val="single" w:sz="4" w:space="0" w:color="000000"/>
              <w:bottom w:val="single" w:sz="4" w:space="0" w:color="000000"/>
              <w:right w:val="single" w:sz="4" w:space="0" w:color="000000"/>
            </w:tcBorders>
          </w:tcPr>
          <w:p w14:paraId="4746219F"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Drug dose (mg) </w:t>
            </w:r>
          </w:p>
        </w:tc>
        <w:tc>
          <w:tcPr>
            <w:tcW w:w="992" w:type="dxa"/>
            <w:tcBorders>
              <w:top w:val="single" w:sz="4" w:space="0" w:color="000000"/>
              <w:left w:val="single" w:sz="4" w:space="0" w:color="000000"/>
              <w:bottom w:val="single" w:sz="4" w:space="0" w:color="000000"/>
              <w:right w:val="single" w:sz="4" w:space="0" w:color="000000"/>
            </w:tcBorders>
          </w:tcPr>
          <w:p w14:paraId="6884BC82"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16"/>
                <w:szCs w:val="16"/>
              </w:rPr>
            </w:pPr>
            <w:r w:rsidRPr="006467DC">
              <w:rPr>
                <w:rFonts w:ascii="Arial Narrow" w:hAnsi="Arial Narrow" w:cs="Calibri"/>
                <w:spacing w:val="-1"/>
                <w:sz w:val="20"/>
                <w:szCs w:val="20"/>
              </w:rPr>
              <w:t xml:space="preserve">N </w:t>
            </w:r>
            <w:r w:rsidRPr="006467DC">
              <w:rPr>
                <w:rFonts w:ascii="Arial Narrow" w:hAnsi="Arial Narrow" w:cs="Calibri"/>
                <w:spacing w:val="-1"/>
                <w:sz w:val="16"/>
                <w:szCs w:val="16"/>
              </w:rPr>
              <w:t>(total randomised)</w:t>
            </w:r>
          </w:p>
          <w:p w14:paraId="4740B42C"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Times New Roman"/>
                <w:sz w:val="20"/>
                <w:szCs w:val="20"/>
              </w:rPr>
            </w:pPr>
            <w:r w:rsidRPr="006467DC">
              <w:rPr>
                <w:rFonts w:ascii="Arial Narrow" w:hAnsi="Arial Narrow" w:cs="Calibri"/>
                <w:spacing w:val="-1"/>
                <w:sz w:val="20"/>
                <w:szCs w:val="20"/>
              </w:rPr>
              <w:t xml:space="preserve">n </w:t>
            </w:r>
            <w:r w:rsidRPr="006467DC">
              <w:rPr>
                <w:rFonts w:ascii="Arial Narrow" w:hAnsi="Arial Narrow" w:cs="Calibri"/>
                <w:spacing w:val="-1"/>
                <w:sz w:val="16"/>
                <w:szCs w:val="16"/>
              </w:rPr>
              <w:t>(arms)</w:t>
            </w:r>
          </w:p>
        </w:tc>
        <w:tc>
          <w:tcPr>
            <w:tcW w:w="851" w:type="dxa"/>
            <w:tcBorders>
              <w:top w:val="single" w:sz="4" w:space="0" w:color="000000"/>
              <w:left w:val="single" w:sz="4" w:space="0" w:color="000000"/>
              <w:bottom w:val="single" w:sz="4" w:space="0" w:color="000000"/>
              <w:right w:val="single" w:sz="4" w:space="0" w:color="000000"/>
            </w:tcBorders>
          </w:tcPr>
          <w:p w14:paraId="184CD9DF" w14:textId="77777777" w:rsidR="00F7742C" w:rsidRPr="006467DC" w:rsidRDefault="00F7742C" w:rsidP="00F7742C">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6467DC">
              <w:rPr>
                <w:rFonts w:ascii="Arial Narrow" w:hAnsi="Arial Narrow" w:cs="Calibri"/>
                <w:spacing w:val="-1"/>
                <w:sz w:val="20"/>
                <w:szCs w:val="20"/>
              </w:rPr>
              <w:t xml:space="preserve">HDL-c </w:t>
            </w:r>
          </w:p>
          <w:p w14:paraId="574F0A57" w14:textId="77777777" w:rsidR="00F7742C" w:rsidRPr="006467DC" w:rsidRDefault="00F7742C" w:rsidP="00F7742C">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6467DC">
              <w:rPr>
                <w:rFonts w:ascii="Arial Narrow" w:hAnsi="Arial Narrow" w:cs="Calibri"/>
                <w:spacing w:val="-1"/>
                <w:sz w:val="20"/>
                <w:szCs w:val="20"/>
              </w:rPr>
              <w:t xml:space="preserve">baseline </w:t>
            </w:r>
          </w:p>
          <w:p w14:paraId="0E4C8CA4" w14:textId="77777777" w:rsidR="00F7742C" w:rsidRPr="006467DC" w:rsidRDefault="00F7742C" w:rsidP="00F7742C">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6467DC">
              <w:rPr>
                <w:rFonts w:ascii="Arial Narrow" w:hAnsi="Arial Narrow" w:cs="Calibri"/>
                <w:spacing w:val="-1"/>
                <w:sz w:val="20"/>
                <w:szCs w:val="20"/>
              </w:rPr>
              <w:t>(mmol/L)</w:t>
            </w:r>
          </w:p>
        </w:tc>
        <w:tc>
          <w:tcPr>
            <w:tcW w:w="850" w:type="dxa"/>
            <w:tcBorders>
              <w:top w:val="single" w:sz="4" w:space="0" w:color="000000"/>
              <w:left w:val="single" w:sz="4" w:space="0" w:color="000000"/>
              <w:bottom w:val="single" w:sz="4" w:space="0" w:color="000000"/>
              <w:right w:val="single" w:sz="4" w:space="0" w:color="000000"/>
            </w:tcBorders>
          </w:tcPr>
          <w:p w14:paraId="29BC2BAC"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HDL-c</w:t>
            </w:r>
          </w:p>
          <w:p w14:paraId="32E432E3" w14:textId="77777777" w:rsidR="00F7742C" w:rsidRPr="006467DC" w:rsidRDefault="00F7742C" w:rsidP="00F7742C">
            <w:pPr>
              <w:kinsoku w:val="0"/>
              <w:overflowPunct w:val="0"/>
              <w:autoSpaceDE w:val="0"/>
              <w:autoSpaceDN w:val="0"/>
              <w:adjustRightInd w:val="0"/>
              <w:spacing w:before="35" w:after="0" w:line="275" w:lineRule="auto"/>
              <w:ind w:hanging="1"/>
              <w:jc w:val="center"/>
              <w:rPr>
                <w:rFonts w:ascii="Arial Narrow" w:hAnsi="Arial Narrow" w:cs="Calibri"/>
                <w:spacing w:val="-1"/>
                <w:sz w:val="20"/>
                <w:szCs w:val="20"/>
              </w:rPr>
            </w:pPr>
            <w:r w:rsidRPr="006467DC">
              <w:rPr>
                <w:rFonts w:ascii="Arial Narrow" w:hAnsi="Arial Narrow" w:cs="Calibri"/>
                <w:spacing w:val="-1"/>
                <w:sz w:val="20"/>
                <w:szCs w:val="20"/>
              </w:rPr>
              <w:t>endpoint (mmol/L)</w:t>
            </w:r>
          </w:p>
        </w:tc>
        <w:tc>
          <w:tcPr>
            <w:tcW w:w="2268" w:type="dxa"/>
            <w:tcBorders>
              <w:top w:val="single" w:sz="4" w:space="0" w:color="000000"/>
              <w:left w:val="single" w:sz="4" w:space="0" w:color="000000"/>
              <w:bottom w:val="single" w:sz="4" w:space="0" w:color="000000"/>
              <w:right w:val="single" w:sz="4" w:space="0" w:color="000000"/>
            </w:tcBorders>
          </w:tcPr>
          <w:p w14:paraId="7780FA4A"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 xml:space="preserve">Drug dose </w:t>
            </w:r>
          </w:p>
          <w:p w14:paraId="2A0EE232"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z w:val="20"/>
                <w:szCs w:val="20"/>
              </w:rPr>
            </w:pPr>
            <w:r w:rsidRPr="006467DC">
              <w:rPr>
                <w:rFonts w:ascii="Arial Narrow" w:hAnsi="Arial Narrow" w:cs="Calibri"/>
                <w:spacing w:val="-1"/>
                <w:sz w:val="20"/>
                <w:szCs w:val="20"/>
              </w:rPr>
              <w:t>(mg)</w:t>
            </w:r>
          </w:p>
        </w:tc>
        <w:tc>
          <w:tcPr>
            <w:tcW w:w="992" w:type="dxa"/>
            <w:tcBorders>
              <w:top w:val="single" w:sz="4" w:space="0" w:color="000000"/>
              <w:left w:val="single" w:sz="4" w:space="0" w:color="000000"/>
              <w:bottom w:val="single" w:sz="4" w:space="0" w:color="000000"/>
              <w:right w:val="single" w:sz="4" w:space="0" w:color="000000"/>
            </w:tcBorders>
          </w:tcPr>
          <w:p w14:paraId="18084EA4"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16"/>
                <w:szCs w:val="16"/>
              </w:rPr>
            </w:pPr>
            <w:r w:rsidRPr="006467DC">
              <w:rPr>
                <w:rFonts w:ascii="Arial Narrow" w:hAnsi="Arial Narrow" w:cs="Calibri"/>
                <w:spacing w:val="-1"/>
                <w:sz w:val="20"/>
                <w:szCs w:val="20"/>
              </w:rPr>
              <w:t xml:space="preserve">N </w:t>
            </w:r>
            <w:r w:rsidRPr="006467DC">
              <w:rPr>
                <w:rFonts w:ascii="Arial Narrow" w:hAnsi="Arial Narrow" w:cs="Calibri"/>
                <w:spacing w:val="-1"/>
                <w:sz w:val="16"/>
                <w:szCs w:val="16"/>
              </w:rPr>
              <w:t>(total randomised)</w:t>
            </w:r>
          </w:p>
          <w:p w14:paraId="11BD9F15"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Times New Roman"/>
                <w:sz w:val="20"/>
                <w:szCs w:val="20"/>
              </w:rPr>
            </w:pPr>
            <w:r w:rsidRPr="006467DC">
              <w:rPr>
                <w:rFonts w:ascii="Arial Narrow" w:hAnsi="Arial Narrow" w:cs="Calibri"/>
                <w:spacing w:val="-1"/>
                <w:sz w:val="20"/>
                <w:szCs w:val="20"/>
              </w:rPr>
              <w:t xml:space="preserve">n </w:t>
            </w:r>
            <w:r w:rsidRPr="006467DC">
              <w:rPr>
                <w:rFonts w:ascii="Arial Narrow" w:hAnsi="Arial Narrow" w:cs="Calibri"/>
                <w:spacing w:val="-1"/>
                <w:sz w:val="16"/>
                <w:szCs w:val="16"/>
              </w:rPr>
              <w:t>(arms)</w:t>
            </w:r>
          </w:p>
        </w:tc>
        <w:tc>
          <w:tcPr>
            <w:tcW w:w="851" w:type="dxa"/>
            <w:tcBorders>
              <w:top w:val="single" w:sz="4" w:space="0" w:color="000000"/>
              <w:left w:val="single" w:sz="4" w:space="0" w:color="000000"/>
              <w:bottom w:val="single" w:sz="4" w:space="0" w:color="000000"/>
              <w:right w:val="single" w:sz="4" w:space="0" w:color="000000"/>
            </w:tcBorders>
          </w:tcPr>
          <w:p w14:paraId="328C9044" w14:textId="77777777" w:rsidR="00F7742C" w:rsidRPr="006467DC" w:rsidRDefault="00F7742C" w:rsidP="00F7742C">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6467DC">
              <w:rPr>
                <w:rFonts w:ascii="Arial Narrow" w:hAnsi="Arial Narrow" w:cs="Calibri"/>
                <w:spacing w:val="-1"/>
                <w:sz w:val="20"/>
                <w:szCs w:val="20"/>
              </w:rPr>
              <w:t>HDL-c baseline (mmol/L)</w:t>
            </w:r>
          </w:p>
        </w:tc>
        <w:tc>
          <w:tcPr>
            <w:tcW w:w="850" w:type="dxa"/>
            <w:tcBorders>
              <w:top w:val="single" w:sz="4" w:space="0" w:color="000000"/>
              <w:left w:val="single" w:sz="4" w:space="0" w:color="000000"/>
              <w:bottom w:val="single" w:sz="4" w:space="0" w:color="000000"/>
              <w:right w:val="single" w:sz="4" w:space="0" w:color="000000"/>
            </w:tcBorders>
          </w:tcPr>
          <w:p w14:paraId="55875DEA" w14:textId="77777777" w:rsidR="00F7742C" w:rsidRPr="006467DC" w:rsidRDefault="00F7742C" w:rsidP="00F7742C">
            <w:pPr>
              <w:kinsoku w:val="0"/>
              <w:overflowPunct w:val="0"/>
              <w:autoSpaceDE w:val="0"/>
              <w:autoSpaceDN w:val="0"/>
              <w:adjustRightInd w:val="0"/>
              <w:spacing w:after="0" w:line="278" w:lineRule="auto"/>
              <w:ind w:left="1"/>
              <w:jc w:val="center"/>
              <w:rPr>
                <w:rFonts w:ascii="Arial Narrow" w:hAnsi="Arial Narrow" w:cs="Calibri"/>
                <w:spacing w:val="-1"/>
                <w:sz w:val="20"/>
                <w:szCs w:val="20"/>
              </w:rPr>
            </w:pPr>
            <w:r w:rsidRPr="006467DC">
              <w:rPr>
                <w:rFonts w:ascii="Arial Narrow" w:hAnsi="Arial Narrow" w:cs="Calibri"/>
                <w:spacing w:val="-1"/>
                <w:sz w:val="20"/>
                <w:szCs w:val="20"/>
              </w:rPr>
              <w:t xml:space="preserve">HDL-c </w:t>
            </w:r>
          </w:p>
          <w:p w14:paraId="452AB259" w14:textId="77777777" w:rsidR="00F7742C" w:rsidRPr="006467DC" w:rsidRDefault="00F7742C" w:rsidP="00F7742C">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6467DC">
              <w:rPr>
                <w:rFonts w:ascii="Arial Narrow" w:hAnsi="Arial Narrow" w:cs="Calibri"/>
                <w:spacing w:val="-1"/>
                <w:sz w:val="20"/>
                <w:szCs w:val="20"/>
              </w:rPr>
              <w:t>endpoint (mmol/L)</w:t>
            </w:r>
          </w:p>
        </w:tc>
        <w:tc>
          <w:tcPr>
            <w:tcW w:w="1842" w:type="dxa"/>
            <w:tcBorders>
              <w:top w:val="single" w:sz="4" w:space="0" w:color="000000"/>
              <w:left w:val="single" w:sz="4" w:space="0" w:color="000000"/>
              <w:bottom w:val="single" w:sz="4" w:space="0" w:color="000000"/>
              <w:right w:val="single" w:sz="4" w:space="0" w:color="000000"/>
            </w:tcBorders>
          </w:tcPr>
          <w:p w14:paraId="1208E018"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 xml:space="preserve">Mean %S </w:t>
            </w:r>
          </w:p>
          <w:p w14:paraId="7989B170"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(SD; SE or 95% CI)</w:t>
            </w:r>
          </w:p>
        </w:tc>
        <w:tc>
          <w:tcPr>
            <w:tcW w:w="1842" w:type="dxa"/>
            <w:tcBorders>
              <w:top w:val="single" w:sz="4" w:space="0" w:color="000000"/>
              <w:left w:val="single" w:sz="4" w:space="0" w:color="000000"/>
              <w:bottom w:val="single" w:sz="4" w:space="0" w:color="000000"/>
              <w:right w:val="single" w:sz="4" w:space="0" w:color="000000"/>
            </w:tcBorders>
          </w:tcPr>
          <w:p w14:paraId="326902C9"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 xml:space="preserve">Mean %E+S </w:t>
            </w:r>
          </w:p>
          <w:p w14:paraId="019C9E7B"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(SD; SE or 95% CI)</w:t>
            </w:r>
          </w:p>
        </w:tc>
        <w:tc>
          <w:tcPr>
            <w:tcW w:w="1986" w:type="dxa"/>
            <w:tcBorders>
              <w:top w:val="single" w:sz="4" w:space="0" w:color="000000"/>
              <w:left w:val="single" w:sz="4" w:space="0" w:color="000000"/>
              <w:bottom w:val="single" w:sz="4" w:space="0" w:color="000000"/>
              <w:right w:val="single" w:sz="4" w:space="0" w:color="000000"/>
            </w:tcBorders>
          </w:tcPr>
          <w:p w14:paraId="707896C5" w14:textId="77777777" w:rsidR="00F7742C" w:rsidRPr="006467DC" w:rsidRDefault="00F7742C" w:rsidP="00F7742C">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6467DC">
              <w:rPr>
                <w:rFonts w:ascii="Arial Narrow" w:hAnsi="Arial Narrow" w:cs="Calibri"/>
                <w:spacing w:val="-1"/>
                <w:sz w:val="20"/>
                <w:szCs w:val="20"/>
              </w:rPr>
              <w:t xml:space="preserve">Mean % further reduction (%E+S - %S) </w:t>
            </w:r>
          </w:p>
          <w:p w14:paraId="5D3CE559" w14:textId="77777777" w:rsidR="00F7742C" w:rsidRPr="006467DC" w:rsidRDefault="00F7742C" w:rsidP="00F7742C">
            <w:pPr>
              <w:kinsoku w:val="0"/>
              <w:overflowPunct w:val="0"/>
              <w:autoSpaceDE w:val="0"/>
              <w:autoSpaceDN w:val="0"/>
              <w:adjustRightInd w:val="0"/>
              <w:spacing w:after="0" w:line="278" w:lineRule="auto"/>
              <w:jc w:val="center"/>
              <w:rPr>
                <w:rFonts w:ascii="Arial Narrow" w:hAnsi="Arial Narrow" w:cs="Calibri"/>
                <w:spacing w:val="-1"/>
                <w:sz w:val="20"/>
                <w:szCs w:val="20"/>
              </w:rPr>
            </w:pPr>
            <w:r w:rsidRPr="006467DC">
              <w:rPr>
                <w:rFonts w:ascii="Arial Narrow" w:hAnsi="Arial Narrow" w:cs="Calibri"/>
                <w:spacing w:val="-1"/>
                <w:sz w:val="20"/>
                <w:szCs w:val="20"/>
              </w:rPr>
              <w:t>(SD; SE or 95% CI)</w:t>
            </w:r>
          </w:p>
        </w:tc>
      </w:tr>
      <w:tr w:rsidR="00F7742C" w:rsidRPr="006467DC" w14:paraId="344A212E" w14:textId="77777777" w:rsidTr="00F7742C">
        <w:trPr>
          <w:trHeight w:hRule="exact" w:val="339"/>
        </w:trPr>
        <w:tc>
          <w:tcPr>
            <w:tcW w:w="15451" w:type="dxa"/>
            <w:gridSpan w:val="11"/>
            <w:tcBorders>
              <w:top w:val="single" w:sz="4" w:space="0" w:color="000000"/>
              <w:left w:val="single" w:sz="4" w:space="0" w:color="000000"/>
              <w:bottom w:val="single" w:sz="4" w:space="0" w:color="000000"/>
              <w:right w:val="single" w:sz="4" w:space="0" w:color="000000"/>
            </w:tcBorders>
          </w:tcPr>
          <w:p w14:paraId="5D918FE5" w14:textId="77777777" w:rsidR="00F7742C" w:rsidRPr="006467DC" w:rsidRDefault="00F7742C" w:rsidP="00F7742C">
            <w:pPr>
              <w:kinsoku w:val="0"/>
              <w:overflowPunct w:val="0"/>
              <w:autoSpaceDE w:val="0"/>
              <w:autoSpaceDN w:val="0"/>
              <w:adjustRightInd w:val="0"/>
              <w:spacing w:after="0" w:line="240" w:lineRule="auto"/>
              <w:ind w:left="450" w:right="450"/>
              <w:jc w:val="center"/>
              <w:rPr>
                <w:rFonts w:ascii="Arial Narrow" w:hAnsi="Arial Narrow" w:cs="Calibri"/>
                <w:sz w:val="20"/>
                <w:szCs w:val="20"/>
              </w:rPr>
            </w:pPr>
            <w:r w:rsidRPr="006467DC">
              <w:rPr>
                <w:rFonts w:ascii="Arial Narrow" w:hAnsi="Arial Narrow"/>
                <w:b/>
                <w:sz w:val="20"/>
                <w:szCs w:val="20"/>
              </w:rPr>
              <w:t>Up-titrating statin dose+ ezetimibe vs up-titrating statin dose</w:t>
            </w:r>
          </w:p>
        </w:tc>
      </w:tr>
      <w:tr w:rsidR="00F7742C" w:rsidRPr="006467DC" w14:paraId="43B76890" w14:textId="77777777" w:rsidTr="00F7742C">
        <w:trPr>
          <w:trHeight w:hRule="exact" w:val="277"/>
        </w:trPr>
        <w:tc>
          <w:tcPr>
            <w:tcW w:w="15451" w:type="dxa"/>
            <w:gridSpan w:val="11"/>
            <w:tcBorders>
              <w:top w:val="single" w:sz="4" w:space="0" w:color="000000"/>
              <w:left w:val="single" w:sz="4" w:space="0" w:color="000000"/>
              <w:bottom w:val="single" w:sz="4" w:space="0" w:color="000000"/>
              <w:right w:val="single" w:sz="4" w:space="0" w:color="000000"/>
            </w:tcBorders>
          </w:tcPr>
          <w:p w14:paraId="1AE7A526"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i/>
                <w:sz w:val="20"/>
                <w:szCs w:val="20"/>
              </w:rPr>
            </w:pPr>
            <w:r w:rsidRPr="006467DC">
              <w:rPr>
                <w:rFonts w:ascii="Arial Narrow" w:hAnsi="Arial Narrow" w:cs="Calibri"/>
                <w:i/>
                <w:sz w:val="20"/>
                <w:szCs w:val="20"/>
              </w:rPr>
              <w:t xml:space="preserve">Secondary prevention population </w:t>
            </w:r>
          </w:p>
        </w:tc>
      </w:tr>
      <w:tr w:rsidR="00F7742C" w:rsidRPr="006467DC" w14:paraId="5615F819" w14:textId="77777777" w:rsidTr="00F7742C">
        <w:trPr>
          <w:trHeight w:hRule="exact" w:val="1415"/>
        </w:trPr>
        <w:tc>
          <w:tcPr>
            <w:tcW w:w="2127" w:type="dxa"/>
            <w:tcBorders>
              <w:top w:val="single" w:sz="4" w:space="0" w:color="000000"/>
              <w:left w:val="single" w:sz="4" w:space="0" w:color="000000"/>
              <w:bottom w:val="single" w:sz="4" w:space="0" w:color="000000"/>
              <w:right w:val="single" w:sz="4" w:space="0" w:color="000000"/>
            </w:tcBorders>
          </w:tcPr>
          <w:p w14:paraId="6E333A45"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IMPROVE-IT</w:t>
            </w:r>
            <w:r w:rsidRPr="006467DC">
              <w:rPr>
                <w:rFonts w:ascii="Arial Narrow" w:hAnsi="Arial Narrow" w:cs="Calibri"/>
                <w:spacing w:val="-7"/>
                <w:sz w:val="20"/>
                <w:szCs w:val="20"/>
              </w:rPr>
              <w:t xml:space="preserve"> </w:t>
            </w:r>
            <w:r w:rsidRPr="006467DC">
              <w:rPr>
                <w:rFonts w:ascii="Arial Narrow" w:hAnsi="Arial Narrow" w:cs="Calibri"/>
                <w:sz w:val="20"/>
                <w:szCs w:val="20"/>
              </w:rPr>
              <w:t>2015</w:t>
            </w:r>
            <w:r w:rsidRPr="006467DC">
              <w:rPr>
                <w:rFonts w:ascii="Arial Narrow" w:hAnsi="Arial Narrow" w:cs="Calibri"/>
                <w:sz w:val="20"/>
                <w:szCs w:val="20"/>
                <w:vertAlign w:val="superscript"/>
              </w:rPr>
              <w:t>2</w:t>
            </w:r>
            <w:r w:rsidRPr="006467DC">
              <w:rPr>
                <w:rFonts w:ascii="Arial Narrow" w:hAnsi="Arial Narrow" w:cs="Calibri"/>
                <w:spacing w:val="-1"/>
                <w:sz w:val="20"/>
                <w:szCs w:val="20"/>
              </w:rPr>
              <w:t xml:space="preserve"> </w:t>
            </w:r>
          </w:p>
          <w:p w14:paraId="3E4F60BA"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SIM 40-80 (all doses)</w:t>
            </w:r>
          </w:p>
          <w:p w14:paraId="063E9C8F"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18"/>
                <w:szCs w:val="18"/>
              </w:rPr>
            </w:pPr>
            <w:r w:rsidRPr="006467DC">
              <w:rPr>
                <w:rFonts w:ascii="Arial Narrow" w:hAnsi="Arial Narrow" w:cs="Calibri"/>
                <w:spacing w:val="-1"/>
                <w:sz w:val="18"/>
                <w:szCs w:val="18"/>
              </w:rPr>
              <w:t xml:space="preserve">Up-titrated to 80 mg if target not met at 2 consecutive visits. </w:t>
            </w:r>
          </w:p>
          <w:p w14:paraId="2B08DD63"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18"/>
                <w:szCs w:val="18"/>
              </w:rPr>
            </w:pPr>
            <w:r w:rsidRPr="006467DC">
              <w:rPr>
                <w:rFonts w:ascii="Arial Narrow" w:hAnsi="Arial Narrow" w:cs="Calibri"/>
                <w:spacing w:val="-1"/>
                <w:sz w:val="18"/>
                <w:szCs w:val="18"/>
              </w:rPr>
              <w:t>For some clients 80 mg reduced back to 40 mg</w:t>
            </w:r>
          </w:p>
          <w:p w14:paraId="0E21E4BA"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45506B2B"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392C21EB"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6897</w:t>
            </w:r>
          </w:p>
        </w:tc>
        <w:tc>
          <w:tcPr>
            <w:tcW w:w="851" w:type="dxa"/>
            <w:tcBorders>
              <w:top w:val="single" w:sz="4" w:space="0" w:color="000000"/>
              <w:left w:val="single" w:sz="4" w:space="0" w:color="000000"/>
              <w:bottom w:val="single" w:sz="4" w:space="0" w:color="000000"/>
              <w:right w:val="single" w:sz="4" w:space="0" w:color="000000"/>
            </w:tcBorders>
          </w:tcPr>
          <w:p w14:paraId="6D1E1148"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3589D9FD" w14:textId="77777777" w:rsidR="00F7742C" w:rsidRPr="006467DC" w:rsidRDefault="00F7742C" w:rsidP="00F7742C">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1.09</w:t>
            </w:r>
          </w:p>
        </w:tc>
        <w:tc>
          <w:tcPr>
            <w:tcW w:w="850" w:type="dxa"/>
            <w:tcBorders>
              <w:top w:val="single" w:sz="4" w:space="0" w:color="000000"/>
              <w:left w:val="single" w:sz="4" w:space="0" w:color="000000"/>
              <w:bottom w:val="single" w:sz="4" w:space="0" w:color="000000"/>
              <w:right w:val="single" w:sz="4" w:space="0" w:color="000000"/>
            </w:tcBorders>
          </w:tcPr>
          <w:p w14:paraId="047C88DE"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389B6AD7"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D5E8ACE" w14:textId="77777777" w:rsidR="00F7742C" w:rsidRPr="006467DC" w:rsidRDefault="00F7742C" w:rsidP="00F7742C">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p w14:paraId="6EFFCC5C" w14:textId="77777777" w:rsidR="00F7742C" w:rsidRPr="006467DC" w:rsidRDefault="00F7742C" w:rsidP="00F7742C">
            <w:pPr>
              <w:kinsoku w:val="0"/>
              <w:overflowPunct w:val="0"/>
              <w:autoSpaceDE w:val="0"/>
              <w:autoSpaceDN w:val="0"/>
              <w:adjustRightInd w:val="0"/>
              <w:spacing w:after="0" w:line="240" w:lineRule="auto"/>
              <w:ind w:left="14" w:right="142"/>
              <w:rPr>
                <w:rFonts w:ascii="Arial Narrow" w:hAnsi="Arial Narrow" w:cs="Calibri"/>
                <w:spacing w:val="-1"/>
                <w:sz w:val="20"/>
                <w:szCs w:val="20"/>
              </w:rPr>
            </w:pPr>
            <w:r w:rsidRPr="006467DC">
              <w:rPr>
                <w:rFonts w:ascii="Arial Narrow" w:hAnsi="Arial Narrow" w:cs="Calibri"/>
                <w:spacing w:val="-1"/>
                <w:sz w:val="20"/>
                <w:szCs w:val="20"/>
              </w:rPr>
              <w:t>EZ+SIM 40-80 (all doses)</w:t>
            </w:r>
          </w:p>
          <w:p w14:paraId="664FE938"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18"/>
                <w:szCs w:val="18"/>
              </w:rPr>
            </w:pPr>
            <w:r w:rsidRPr="006467DC">
              <w:rPr>
                <w:rFonts w:ascii="Arial Narrow" w:hAnsi="Arial Narrow" w:cs="Calibri"/>
                <w:spacing w:val="-1"/>
                <w:sz w:val="18"/>
                <w:szCs w:val="18"/>
              </w:rPr>
              <w:t xml:space="preserve">Up-titrated to 80 mg if target not met at 2 consecutive visits. </w:t>
            </w:r>
          </w:p>
          <w:p w14:paraId="22B2F6AB"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18"/>
                <w:szCs w:val="18"/>
              </w:rPr>
            </w:pPr>
            <w:r w:rsidRPr="006467DC">
              <w:rPr>
                <w:rFonts w:ascii="Arial Narrow" w:hAnsi="Arial Narrow" w:cs="Calibri"/>
                <w:spacing w:val="-1"/>
                <w:sz w:val="18"/>
                <w:szCs w:val="18"/>
              </w:rPr>
              <w:t>For some clients 80 mg reduced back to 40 mg</w:t>
            </w:r>
          </w:p>
          <w:p w14:paraId="46ADB21F" w14:textId="77777777" w:rsidR="00F7742C" w:rsidRPr="006467DC" w:rsidRDefault="00F7742C" w:rsidP="00F7742C">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972B5A" w14:textId="77777777" w:rsidR="00F7742C" w:rsidRPr="006467DC" w:rsidRDefault="00F7742C" w:rsidP="00F7742C">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p w14:paraId="1266D83E"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6809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E826D03"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3C9CBF31"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1.09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45F8FFE"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4123F145" w14:textId="77777777" w:rsidR="00F7742C" w:rsidRPr="006467DC" w:rsidRDefault="00F7742C" w:rsidP="00F7742C">
            <w:pPr>
              <w:kinsoku w:val="0"/>
              <w:overflowPunct w:val="0"/>
              <w:autoSpaceDE w:val="0"/>
              <w:autoSpaceDN w:val="0"/>
              <w:adjustRightInd w:val="0"/>
              <w:spacing w:after="0" w:line="240" w:lineRule="auto"/>
              <w:ind w:right="1"/>
              <w:jc w:val="center"/>
              <w:rPr>
                <w:rFonts w:ascii="Arial Narrow" w:hAnsi="Arial Narrow" w:cs="Calibri"/>
                <w:sz w:val="20"/>
                <w:szCs w:val="20"/>
              </w:rPr>
            </w:pPr>
            <w:r w:rsidRPr="006467DC">
              <w:rPr>
                <w:rFonts w:ascii="Arial Narrow" w:hAnsi="Arial Narrow" w:cs="Calibri"/>
                <w:sz w:val="20"/>
                <w:szCs w:val="20"/>
              </w:rPr>
              <w:t>1.26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EBB06C"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EDBD63B"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2B67BB6"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1DB4CCA3"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z w:val="20"/>
                <w:szCs w:val="20"/>
              </w:rPr>
              <w:t>NR</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C1B42AF" w14:textId="77777777" w:rsidR="00F7742C" w:rsidRPr="006467DC" w:rsidRDefault="00F7742C" w:rsidP="00F7742C">
            <w:pPr>
              <w:kinsoku w:val="0"/>
              <w:overflowPunct w:val="0"/>
              <w:autoSpaceDE w:val="0"/>
              <w:autoSpaceDN w:val="0"/>
              <w:adjustRightInd w:val="0"/>
              <w:spacing w:after="0" w:line="240" w:lineRule="auto"/>
              <w:ind w:left="-2" w:firstLine="2"/>
              <w:jc w:val="center"/>
              <w:rPr>
                <w:rFonts w:ascii="Arial Narrow" w:hAnsi="Arial Narrow" w:cs="Calibri"/>
                <w:sz w:val="20"/>
                <w:szCs w:val="20"/>
              </w:rPr>
            </w:pPr>
          </w:p>
          <w:p w14:paraId="7CDA19A0" w14:textId="08BE84D4"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0.67</w:t>
            </w:r>
            <w:r w:rsidR="00460F8E" w:rsidRPr="006467DC">
              <w:rPr>
                <w:rFonts w:ascii="Arial Narrow" w:hAnsi="Arial Narrow" w:cs="Calibri"/>
                <w:sz w:val="20"/>
                <w:szCs w:val="20"/>
                <w:vertAlign w:val="superscript"/>
              </w:rPr>
              <w:t>$</w:t>
            </w:r>
            <w:r w:rsidRPr="006467DC">
              <w:rPr>
                <w:rFonts w:ascii="Arial Narrow" w:hAnsi="Arial Narrow" w:cs="Calibri"/>
                <w:sz w:val="20"/>
                <w:szCs w:val="20"/>
              </w:rPr>
              <w:t xml:space="preserve"> (0.36, 0.99)***</w:t>
            </w:r>
          </w:p>
        </w:tc>
      </w:tr>
      <w:tr w:rsidR="00F7742C" w:rsidRPr="006467DC" w14:paraId="40E23F98" w14:textId="77777777" w:rsidTr="00F7742C">
        <w:trPr>
          <w:trHeight w:hRule="exact" w:val="287"/>
        </w:trPr>
        <w:tc>
          <w:tcPr>
            <w:tcW w:w="15451" w:type="dxa"/>
            <w:gridSpan w:val="11"/>
            <w:tcBorders>
              <w:top w:val="single" w:sz="4" w:space="0" w:color="000000"/>
              <w:left w:val="single" w:sz="4" w:space="0" w:color="000000"/>
              <w:bottom w:val="single" w:sz="4" w:space="0" w:color="000000"/>
              <w:right w:val="single" w:sz="4" w:space="0" w:color="000000"/>
            </w:tcBorders>
          </w:tcPr>
          <w:p w14:paraId="23DBC35B"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i/>
                <w:sz w:val="20"/>
                <w:szCs w:val="20"/>
              </w:rPr>
              <w:t>Mixed (both primary and secondary) prevention population</w:t>
            </w:r>
          </w:p>
        </w:tc>
      </w:tr>
      <w:tr w:rsidR="00F7742C" w:rsidRPr="008A5E9F" w14:paraId="0954AC91" w14:textId="77777777" w:rsidTr="00F7742C">
        <w:trPr>
          <w:trHeight w:hRule="exact" w:val="2691"/>
        </w:trPr>
        <w:tc>
          <w:tcPr>
            <w:tcW w:w="2127" w:type="dxa"/>
            <w:tcBorders>
              <w:top w:val="single" w:sz="4" w:space="0" w:color="000000"/>
              <w:left w:val="single" w:sz="4" w:space="0" w:color="000000"/>
              <w:bottom w:val="single" w:sz="4" w:space="0" w:color="000000"/>
              <w:right w:val="single" w:sz="4" w:space="0" w:color="000000"/>
            </w:tcBorders>
          </w:tcPr>
          <w:p w14:paraId="42AE7346"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lang w:eastAsia="en-US"/>
              </w:rPr>
              <w:t xml:space="preserve">P025 </w:t>
            </w:r>
            <w:r w:rsidRPr="006467DC">
              <w:rPr>
                <w:rFonts w:ascii="Arial Narrow" w:hAnsi="Arial Narrow" w:cs="Calibri"/>
                <w:spacing w:val="-1"/>
                <w:sz w:val="20"/>
                <w:szCs w:val="20"/>
              </w:rPr>
              <w:t>Ballantyne 2004</w:t>
            </w:r>
            <w:r w:rsidRPr="006467DC">
              <w:rPr>
                <w:rFonts w:ascii="Arial Narrow" w:hAnsi="Arial Narrow" w:cs="Calibri"/>
                <w:spacing w:val="-1"/>
                <w:sz w:val="20"/>
                <w:szCs w:val="20"/>
                <w:vertAlign w:val="superscript"/>
              </w:rPr>
              <w:t>1</w:t>
            </w:r>
          </w:p>
          <w:p w14:paraId="39892217"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p>
          <w:p w14:paraId="5CEDA824"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p>
          <w:p w14:paraId="24585A7A"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ATOR 10 (start dose)</w:t>
            </w:r>
          </w:p>
          <w:p w14:paraId="6C93B549"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Week 7-12    ATOR 20 </w:t>
            </w:r>
          </w:p>
          <w:p w14:paraId="799EAFD8"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Week 13-18  ATOR 40 </w:t>
            </w:r>
          </w:p>
          <w:p w14:paraId="57CCFB43"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Week 19-24  ATOR 80 </w:t>
            </w:r>
          </w:p>
          <w:p w14:paraId="6DD014AD"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2B61ACB"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7F2ED7F3"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431F8F4C"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2CC92091"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3AF318DE"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262</w:t>
            </w:r>
          </w:p>
        </w:tc>
        <w:tc>
          <w:tcPr>
            <w:tcW w:w="851" w:type="dxa"/>
            <w:tcBorders>
              <w:top w:val="single" w:sz="4" w:space="0" w:color="000000"/>
              <w:left w:val="single" w:sz="4" w:space="0" w:color="000000"/>
              <w:bottom w:val="single" w:sz="4" w:space="0" w:color="000000"/>
              <w:right w:val="single" w:sz="4" w:space="0" w:color="000000"/>
            </w:tcBorders>
          </w:tcPr>
          <w:p w14:paraId="1B0DCD59" w14:textId="77777777" w:rsidR="00F7742C" w:rsidRPr="006467DC" w:rsidRDefault="00F7742C" w:rsidP="00F7742C">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7B8B9ADB" w14:textId="77777777" w:rsidR="00F7742C" w:rsidRPr="006467DC" w:rsidRDefault="00F7742C" w:rsidP="00F7742C">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35C0C75C" w14:textId="77777777" w:rsidR="00F7742C" w:rsidRPr="006467DC" w:rsidRDefault="00F7742C" w:rsidP="00F7742C">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3FACDB61" w14:textId="77777777" w:rsidR="00F7742C" w:rsidRPr="006467DC" w:rsidRDefault="00F7742C" w:rsidP="00F7742C">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6568F29A"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1.2</w:t>
            </w:r>
          </w:p>
        </w:tc>
        <w:tc>
          <w:tcPr>
            <w:tcW w:w="850" w:type="dxa"/>
            <w:tcBorders>
              <w:top w:val="single" w:sz="4" w:space="0" w:color="000000"/>
              <w:left w:val="single" w:sz="4" w:space="0" w:color="000000"/>
              <w:bottom w:val="single" w:sz="4" w:space="0" w:color="000000"/>
              <w:right w:val="single" w:sz="4" w:space="0" w:color="000000"/>
            </w:tcBorders>
          </w:tcPr>
          <w:p w14:paraId="062FDA09"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74CC47CF"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5BEBC769"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7F4DE0AE"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69B175BC"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7FE9752" w14:textId="77777777" w:rsidR="00F7742C" w:rsidRPr="006467DC" w:rsidRDefault="00F7742C" w:rsidP="00F7742C">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p w14:paraId="5CFFFF73" w14:textId="77777777" w:rsidR="00F7742C" w:rsidRPr="006467DC" w:rsidRDefault="00F7742C" w:rsidP="00F7742C">
            <w:pPr>
              <w:kinsoku w:val="0"/>
              <w:overflowPunct w:val="0"/>
              <w:autoSpaceDE w:val="0"/>
              <w:autoSpaceDN w:val="0"/>
              <w:adjustRightInd w:val="0"/>
              <w:spacing w:after="0" w:line="240" w:lineRule="auto"/>
              <w:ind w:left="14"/>
              <w:rPr>
                <w:rFonts w:ascii="Arial Narrow" w:hAnsi="Arial Narrow" w:cs="Calibri"/>
                <w:spacing w:val="-1"/>
                <w:sz w:val="20"/>
                <w:szCs w:val="20"/>
              </w:rPr>
            </w:pPr>
            <w:r w:rsidRPr="006467DC">
              <w:rPr>
                <w:rFonts w:ascii="Arial Narrow" w:hAnsi="Arial Narrow" w:cs="Calibri"/>
                <w:spacing w:val="-1"/>
                <w:sz w:val="20"/>
                <w:szCs w:val="20"/>
              </w:rPr>
              <w:t>EZ +SIM 10 (start dose)</w:t>
            </w:r>
          </w:p>
          <w:p w14:paraId="63F7D6BC" w14:textId="77777777" w:rsidR="00F7742C" w:rsidRPr="006467DC" w:rsidRDefault="00F7742C" w:rsidP="00F7742C">
            <w:pPr>
              <w:kinsoku w:val="0"/>
              <w:overflowPunct w:val="0"/>
              <w:autoSpaceDE w:val="0"/>
              <w:autoSpaceDN w:val="0"/>
              <w:adjustRightInd w:val="0"/>
              <w:spacing w:after="0" w:line="240" w:lineRule="auto"/>
              <w:ind w:left="14"/>
              <w:rPr>
                <w:rFonts w:ascii="Arial Narrow" w:hAnsi="Arial Narrow" w:cs="Calibri"/>
                <w:spacing w:val="-1"/>
                <w:sz w:val="20"/>
                <w:szCs w:val="20"/>
              </w:rPr>
            </w:pPr>
            <w:r w:rsidRPr="006467DC">
              <w:rPr>
                <w:rFonts w:ascii="Arial Narrow" w:hAnsi="Arial Narrow" w:cs="Calibri"/>
                <w:spacing w:val="-1"/>
                <w:sz w:val="20"/>
                <w:szCs w:val="20"/>
              </w:rPr>
              <w:t xml:space="preserve">      Week 7-12   EZ +SIM 20 </w:t>
            </w:r>
          </w:p>
          <w:p w14:paraId="35F5E315" w14:textId="77777777" w:rsidR="00F7742C" w:rsidRPr="006467DC" w:rsidRDefault="00F7742C" w:rsidP="00F7742C">
            <w:pPr>
              <w:kinsoku w:val="0"/>
              <w:overflowPunct w:val="0"/>
              <w:autoSpaceDE w:val="0"/>
              <w:autoSpaceDN w:val="0"/>
              <w:adjustRightInd w:val="0"/>
              <w:spacing w:after="0" w:line="240" w:lineRule="auto"/>
              <w:ind w:left="14"/>
              <w:rPr>
                <w:rFonts w:ascii="Arial Narrow" w:hAnsi="Arial Narrow" w:cs="Calibri"/>
                <w:spacing w:val="-1"/>
                <w:sz w:val="20"/>
                <w:szCs w:val="20"/>
              </w:rPr>
            </w:pPr>
            <w:r w:rsidRPr="006467DC">
              <w:rPr>
                <w:rFonts w:ascii="Arial Narrow" w:hAnsi="Arial Narrow" w:cs="Calibri"/>
                <w:spacing w:val="-1"/>
                <w:sz w:val="20"/>
                <w:szCs w:val="20"/>
              </w:rPr>
              <w:t xml:space="preserve">      Week 13-18 EZ +SIM 40 </w:t>
            </w:r>
          </w:p>
          <w:p w14:paraId="35156EFA" w14:textId="77777777" w:rsidR="00F7742C" w:rsidRPr="006467DC" w:rsidRDefault="00F7742C" w:rsidP="00F7742C">
            <w:pPr>
              <w:kinsoku w:val="0"/>
              <w:overflowPunct w:val="0"/>
              <w:autoSpaceDE w:val="0"/>
              <w:autoSpaceDN w:val="0"/>
              <w:adjustRightInd w:val="0"/>
              <w:spacing w:after="0" w:line="240" w:lineRule="auto"/>
              <w:ind w:left="14"/>
              <w:rPr>
                <w:rFonts w:ascii="Arial Narrow" w:hAnsi="Arial Narrow" w:cs="Calibri"/>
                <w:spacing w:val="-1"/>
                <w:sz w:val="20"/>
                <w:szCs w:val="20"/>
              </w:rPr>
            </w:pPr>
            <w:r w:rsidRPr="006467DC">
              <w:rPr>
                <w:rFonts w:ascii="Arial Narrow" w:hAnsi="Arial Narrow" w:cs="Calibri"/>
                <w:spacing w:val="-1"/>
                <w:sz w:val="20"/>
                <w:szCs w:val="20"/>
              </w:rPr>
              <w:t xml:space="preserve">      Week 19-24 EZ +SIM 80 </w:t>
            </w:r>
          </w:p>
          <w:p w14:paraId="124F3834" w14:textId="77777777" w:rsidR="00F7742C" w:rsidRPr="006467DC" w:rsidRDefault="00F7742C" w:rsidP="00F7742C">
            <w:pPr>
              <w:kinsoku w:val="0"/>
              <w:overflowPunct w:val="0"/>
              <w:autoSpaceDE w:val="0"/>
              <w:autoSpaceDN w:val="0"/>
              <w:adjustRightInd w:val="0"/>
              <w:spacing w:after="0" w:line="240" w:lineRule="auto"/>
              <w:ind w:left="14"/>
              <w:rPr>
                <w:rFonts w:ascii="Arial Narrow" w:hAnsi="Arial Narrow" w:cs="Calibri"/>
                <w:spacing w:val="-1"/>
                <w:sz w:val="20"/>
                <w:szCs w:val="20"/>
              </w:rPr>
            </w:pPr>
          </w:p>
          <w:p w14:paraId="042BCC08" w14:textId="77777777" w:rsidR="00F7742C" w:rsidRPr="006467DC" w:rsidRDefault="00F7742C" w:rsidP="00F7742C">
            <w:pPr>
              <w:kinsoku w:val="0"/>
              <w:overflowPunct w:val="0"/>
              <w:autoSpaceDE w:val="0"/>
              <w:autoSpaceDN w:val="0"/>
              <w:adjustRightInd w:val="0"/>
              <w:spacing w:after="0" w:line="240" w:lineRule="auto"/>
              <w:ind w:left="14"/>
              <w:rPr>
                <w:rFonts w:ascii="Arial Narrow" w:hAnsi="Arial Narrow" w:cs="Calibri"/>
                <w:spacing w:val="-1"/>
                <w:sz w:val="20"/>
                <w:szCs w:val="20"/>
              </w:rPr>
            </w:pPr>
          </w:p>
          <w:p w14:paraId="1F3EF7AB" w14:textId="77777777" w:rsidR="00F7742C" w:rsidRPr="006467DC" w:rsidRDefault="00F7742C" w:rsidP="00F7742C">
            <w:pPr>
              <w:kinsoku w:val="0"/>
              <w:overflowPunct w:val="0"/>
              <w:autoSpaceDE w:val="0"/>
              <w:autoSpaceDN w:val="0"/>
              <w:adjustRightInd w:val="0"/>
              <w:spacing w:after="0" w:line="240" w:lineRule="auto"/>
              <w:ind w:left="14"/>
              <w:rPr>
                <w:rFonts w:ascii="Arial Narrow" w:hAnsi="Arial Narrow" w:cs="Calibri"/>
                <w:spacing w:val="-1"/>
                <w:sz w:val="20"/>
                <w:szCs w:val="20"/>
              </w:rPr>
            </w:pPr>
            <w:r w:rsidRPr="006467DC">
              <w:rPr>
                <w:rFonts w:ascii="Arial Narrow" w:hAnsi="Arial Narrow" w:cs="Calibri"/>
                <w:spacing w:val="-1"/>
                <w:sz w:val="20"/>
                <w:szCs w:val="20"/>
              </w:rPr>
              <w:t>EZ +SIM 20 (start dose)</w:t>
            </w:r>
          </w:p>
          <w:p w14:paraId="4DB02DC4" w14:textId="77777777" w:rsidR="00F7742C" w:rsidRPr="006467DC" w:rsidRDefault="00F7742C" w:rsidP="00F7742C">
            <w:pPr>
              <w:kinsoku w:val="0"/>
              <w:overflowPunct w:val="0"/>
              <w:autoSpaceDE w:val="0"/>
              <w:autoSpaceDN w:val="0"/>
              <w:adjustRightInd w:val="0"/>
              <w:spacing w:after="0" w:line="240" w:lineRule="auto"/>
              <w:ind w:left="14"/>
              <w:rPr>
                <w:rFonts w:ascii="Arial Narrow" w:hAnsi="Arial Narrow" w:cs="Calibri"/>
                <w:spacing w:val="-1"/>
                <w:sz w:val="20"/>
                <w:szCs w:val="20"/>
              </w:rPr>
            </w:pPr>
            <w:r w:rsidRPr="006467DC">
              <w:rPr>
                <w:rFonts w:ascii="Arial Narrow" w:hAnsi="Arial Narrow" w:cs="Calibri"/>
                <w:spacing w:val="-1"/>
                <w:sz w:val="20"/>
                <w:szCs w:val="20"/>
              </w:rPr>
              <w:t xml:space="preserve">      Week 7-12    EZ +SIM 40 </w:t>
            </w:r>
          </w:p>
          <w:p w14:paraId="7AD89F73" w14:textId="77777777" w:rsidR="00F7742C" w:rsidRPr="006467DC" w:rsidRDefault="00F7742C" w:rsidP="00F7742C">
            <w:pPr>
              <w:kinsoku w:val="0"/>
              <w:overflowPunct w:val="0"/>
              <w:autoSpaceDE w:val="0"/>
              <w:autoSpaceDN w:val="0"/>
              <w:adjustRightInd w:val="0"/>
              <w:spacing w:after="0" w:line="240" w:lineRule="auto"/>
              <w:ind w:left="14"/>
              <w:rPr>
                <w:rFonts w:ascii="Arial Narrow" w:hAnsi="Arial Narrow" w:cs="Calibri"/>
                <w:spacing w:val="-1"/>
                <w:sz w:val="20"/>
                <w:szCs w:val="20"/>
                <w:lang w:val="nl-NL"/>
              </w:rPr>
            </w:pPr>
            <w:r w:rsidRPr="006467DC">
              <w:rPr>
                <w:rFonts w:ascii="Arial Narrow" w:hAnsi="Arial Narrow" w:cs="Calibri"/>
                <w:spacing w:val="-1"/>
                <w:sz w:val="20"/>
                <w:szCs w:val="20"/>
              </w:rPr>
              <w:t xml:space="preserve">      </w:t>
            </w:r>
            <w:r w:rsidRPr="006467DC">
              <w:rPr>
                <w:rFonts w:ascii="Arial Narrow" w:hAnsi="Arial Narrow" w:cs="Calibri"/>
                <w:spacing w:val="-1"/>
                <w:sz w:val="20"/>
                <w:szCs w:val="20"/>
                <w:lang w:val="nl-NL"/>
              </w:rPr>
              <w:t xml:space="preserve">Week 13-18  EZ +SIM 40 </w:t>
            </w:r>
          </w:p>
          <w:p w14:paraId="636A0A84" w14:textId="77777777" w:rsidR="00F7742C" w:rsidRPr="006467DC" w:rsidRDefault="00F7742C" w:rsidP="00F7742C">
            <w:pPr>
              <w:kinsoku w:val="0"/>
              <w:overflowPunct w:val="0"/>
              <w:autoSpaceDE w:val="0"/>
              <w:autoSpaceDN w:val="0"/>
              <w:adjustRightInd w:val="0"/>
              <w:spacing w:after="0" w:line="240" w:lineRule="auto"/>
              <w:ind w:left="14"/>
              <w:rPr>
                <w:rFonts w:ascii="Arial Narrow" w:hAnsi="Arial Narrow" w:cs="Calibri"/>
                <w:spacing w:val="-1"/>
                <w:sz w:val="20"/>
                <w:szCs w:val="20"/>
                <w:lang w:val="nl-NL"/>
              </w:rPr>
            </w:pPr>
            <w:r w:rsidRPr="006467DC">
              <w:rPr>
                <w:rFonts w:ascii="Arial Narrow" w:hAnsi="Arial Narrow" w:cs="Calibri"/>
                <w:spacing w:val="-1"/>
                <w:sz w:val="20"/>
                <w:szCs w:val="20"/>
                <w:lang w:val="nl-NL"/>
              </w:rPr>
              <w:t xml:space="preserve">      Week 19-24  EZ +SIM 80 </w:t>
            </w:r>
          </w:p>
          <w:p w14:paraId="76226103" w14:textId="77777777" w:rsidR="00F7742C" w:rsidRPr="006467DC" w:rsidRDefault="00F7742C" w:rsidP="00F7742C">
            <w:pPr>
              <w:kinsoku w:val="0"/>
              <w:overflowPunct w:val="0"/>
              <w:autoSpaceDE w:val="0"/>
              <w:autoSpaceDN w:val="0"/>
              <w:adjustRightInd w:val="0"/>
              <w:spacing w:after="0" w:line="240" w:lineRule="auto"/>
              <w:ind w:left="14" w:right="1"/>
              <w:jc w:val="center"/>
              <w:rPr>
                <w:rFonts w:ascii="Arial Narrow" w:hAnsi="Arial Narrow" w:cs="Calibri"/>
                <w:spacing w:val="-1"/>
                <w:sz w:val="20"/>
                <w:szCs w:val="20"/>
                <w:lang w:val="nl-NL"/>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F0A1FC"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lang w:val="nl-NL"/>
              </w:rPr>
            </w:pPr>
          </w:p>
          <w:p w14:paraId="6D82F79E"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lang w:val="nl-NL"/>
              </w:rPr>
              <w:t xml:space="preserve">      </w:t>
            </w:r>
            <w:r w:rsidRPr="006467DC">
              <w:rPr>
                <w:rFonts w:ascii="Arial Narrow" w:hAnsi="Arial Narrow" w:cs="Calibri"/>
                <w:spacing w:val="-1"/>
                <w:sz w:val="20"/>
                <w:szCs w:val="20"/>
              </w:rPr>
              <w:t>263</w:t>
            </w:r>
          </w:p>
          <w:p w14:paraId="546255A5"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p>
          <w:p w14:paraId="5B7C6E7C"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p>
          <w:p w14:paraId="4FA77931"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p>
          <w:p w14:paraId="66E12716"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p>
          <w:p w14:paraId="66A57279"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t>
            </w:r>
          </w:p>
          <w:p w14:paraId="742572FB"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263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BB8FE05"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62F5E2F3"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1.2</w:t>
            </w:r>
          </w:p>
          <w:p w14:paraId="0E107C04"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rPr>
            </w:pPr>
          </w:p>
          <w:p w14:paraId="297262F9"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rPr>
            </w:pPr>
          </w:p>
          <w:p w14:paraId="244BA2CE"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rPr>
            </w:pPr>
          </w:p>
          <w:p w14:paraId="04B18318"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rPr>
            </w:pPr>
          </w:p>
          <w:p w14:paraId="28FEE36C"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rPr>
            </w:pPr>
            <w:r w:rsidRPr="006467DC">
              <w:rPr>
                <w:rFonts w:ascii="Arial Narrow" w:hAnsi="Arial Narrow" w:cs="Calibri"/>
                <w:sz w:val="20"/>
                <w:szCs w:val="20"/>
              </w:rPr>
              <w:t xml:space="preserve">       </w:t>
            </w:r>
          </w:p>
          <w:p w14:paraId="55676672"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D216CD" w14:textId="77777777" w:rsidR="00F7742C" w:rsidRPr="006467DC" w:rsidRDefault="00F7742C" w:rsidP="00F7742C">
            <w:pPr>
              <w:kinsoku w:val="0"/>
              <w:overflowPunct w:val="0"/>
              <w:autoSpaceDE w:val="0"/>
              <w:autoSpaceDN w:val="0"/>
              <w:adjustRightInd w:val="0"/>
              <w:spacing w:after="0" w:line="240" w:lineRule="auto"/>
              <w:ind w:right="1"/>
              <w:jc w:val="center"/>
              <w:rPr>
                <w:rFonts w:ascii="Arial Narrow" w:hAnsi="Arial Narrow" w:cs="Calibri"/>
                <w:sz w:val="20"/>
                <w:szCs w:val="20"/>
              </w:rPr>
            </w:pPr>
          </w:p>
          <w:p w14:paraId="68C1AC2F" w14:textId="77777777" w:rsidR="00F7742C" w:rsidRPr="006467DC" w:rsidRDefault="00F7742C" w:rsidP="00F7742C">
            <w:pPr>
              <w:kinsoku w:val="0"/>
              <w:overflowPunct w:val="0"/>
              <w:autoSpaceDE w:val="0"/>
              <w:autoSpaceDN w:val="0"/>
              <w:adjustRightInd w:val="0"/>
              <w:spacing w:after="0" w:line="240" w:lineRule="auto"/>
              <w:ind w:right="299"/>
              <w:jc w:val="center"/>
              <w:rPr>
                <w:rFonts w:ascii="Arial Narrow" w:hAnsi="Arial Narrow" w:cs="Calibri"/>
                <w:sz w:val="20"/>
                <w:szCs w:val="20"/>
              </w:rPr>
            </w:pPr>
            <w:r w:rsidRPr="006467DC">
              <w:rPr>
                <w:rFonts w:ascii="Arial Narrow" w:hAnsi="Arial Narrow" w:cs="Calibri"/>
                <w:sz w:val="20"/>
                <w:szCs w:val="20"/>
              </w:rPr>
              <w:t xml:space="preserve"> NR</w:t>
            </w:r>
          </w:p>
          <w:p w14:paraId="68F76EB3" w14:textId="77777777" w:rsidR="00F7742C" w:rsidRPr="006467DC" w:rsidRDefault="00F7742C" w:rsidP="00F7742C">
            <w:pPr>
              <w:kinsoku w:val="0"/>
              <w:overflowPunct w:val="0"/>
              <w:autoSpaceDE w:val="0"/>
              <w:autoSpaceDN w:val="0"/>
              <w:adjustRightInd w:val="0"/>
              <w:spacing w:after="0" w:line="240" w:lineRule="auto"/>
              <w:ind w:right="299"/>
              <w:jc w:val="center"/>
              <w:rPr>
                <w:rFonts w:ascii="Arial Narrow" w:hAnsi="Arial Narrow" w:cs="Calibri"/>
                <w:sz w:val="20"/>
                <w:szCs w:val="20"/>
              </w:rPr>
            </w:pPr>
          </w:p>
          <w:p w14:paraId="775EAAE1" w14:textId="77777777" w:rsidR="00F7742C" w:rsidRPr="006467DC" w:rsidRDefault="00F7742C" w:rsidP="00F7742C">
            <w:pPr>
              <w:kinsoku w:val="0"/>
              <w:overflowPunct w:val="0"/>
              <w:autoSpaceDE w:val="0"/>
              <w:autoSpaceDN w:val="0"/>
              <w:adjustRightInd w:val="0"/>
              <w:spacing w:after="0" w:line="240" w:lineRule="auto"/>
              <w:ind w:right="299"/>
              <w:jc w:val="center"/>
              <w:rPr>
                <w:rFonts w:ascii="Arial Narrow" w:hAnsi="Arial Narrow" w:cs="Calibri"/>
                <w:sz w:val="20"/>
                <w:szCs w:val="20"/>
              </w:rPr>
            </w:pPr>
          </w:p>
          <w:p w14:paraId="05CE827C" w14:textId="77777777" w:rsidR="00F7742C" w:rsidRPr="006467DC" w:rsidRDefault="00F7742C" w:rsidP="00F7742C">
            <w:pPr>
              <w:kinsoku w:val="0"/>
              <w:overflowPunct w:val="0"/>
              <w:autoSpaceDE w:val="0"/>
              <w:autoSpaceDN w:val="0"/>
              <w:adjustRightInd w:val="0"/>
              <w:spacing w:after="0" w:line="240" w:lineRule="auto"/>
              <w:ind w:right="299"/>
              <w:jc w:val="center"/>
              <w:rPr>
                <w:rFonts w:ascii="Arial Narrow" w:hAnsi="Arial Narrow" w:cs="Calibri"/>
                <w:sz w:val="20"/>
                <w:szCs w:val="20"/>
              </w:rPr>
            </w:pPr>
          </w:p>
          <w:p w14:paraId="5E70958E" w14:textId="77777777" w:rsidR="00F7742C" w:rsidRPr="006467DC" w:rsidRDefault="00F7742C" w:rsidP="00F7742C">
            <w:pPr>
              <w:kinsoku w:val="0"/>
              <w:overflowPunct w:val="0"/>
              <w:autoSpaceDE w:val="0"/>
              <w:autoSpaceDN w:val="0"/>
              <w:adjustRightInd w:val="0"/>
              <w:spacing w:after="0" w:line="240" w:lineRule="auto"/>
              <w:ind w:right="299"/>
              <w:jc w:val="center"/>
              <w:rPr>
                <w:rFonts w:ascii="Arial Narrow" w:hAnsi="Arial Narrow" w:cs="Calibri"/>
                <w:sz w:val="20"/>
                <w:szCs w:val="20"/>
              </w:rPr>
            </w:pPr>
          </w:p>
          <w:p w14:paraId="20263F81" w14:textId="77777777" w:rsidR="00F7742C" w:rsidRPr="006467DC" w:rsidRDefault="00F7742C" w:rsidP="00F7742C">
            <w:pPr>
              <w:kinsoku w:val="0"/>
              <w:overflowPunct w:val="0"/>
              <w:autoSpaceDE w:val="0"/>
              <w:autoSpaceDN w:val="0"/>
              <w:adjustRightInd w:val="0"/>
              <w:spacing w:after="0" w:line="240" w:lineRule="auto"/>
              <w:ind w:right="299"/>
              <w:jc w:val="center"/>
              <w:rPr>
                <w:rFonts w:ascii="Arial Narrow" w:hAnsi="Arial Narrow" w:cs="Calibri"/>
                <w:sz w:val="20"/>
                <w:szCs w:val="20"/>
              </w:rPr>
            </w:pPr>
          </w:p>
          <w:p w14:paraId="765F064F" w14:textId="77777777" w:rsidR="00F7742C" w:rsidRPr="006467DC" w:rsidRDefault="00F7742C" w:rsidP="00F7742C">
            <w:pPr>
              <w:kinsoku w:val="0"/>
              <w:overflowPunct w:val="0"/>
              <w:autoSpaceDE w:val="0"/>
              <w:autoSpaceDN w:val="0"/>
              <w:adjustRightInd w:val="0"/>
              <w:spacing w:after="0" w:line="240" w:lineRule="auto"/>
              <w:ind w:right="299"/>
              <w:jc w:val="center"/>
              <w:rPr>
                <w:rFonts w:ascii="Arial Narrow" w:hAnsi="Arial Narrow" w:cs="Calibri"/>
                <w:sz w:val="20"/>
                <w:szCs w:val="20"/>
              </w:rPr>
            </w:pPr>
            <w:r w:rsidRPr="006467DC">
              <w:rPr>
                <w:rFonts w:ascii="Arial Narrow" w:hAnsi="Arial Narrow" w:cs="Calibri"/>
                <w:sz w:val="20"/>
                <w:szCs w:val="20"/>
              </w:rPr>
              <w:t xml:space="preserve">  NR</w:t>
            </w:r>
          </w:p>
          <w:p w14:paraId="36820BB9"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60877F9" w14:textId="77777777" w:rsidR="00F7742C" w:rsidRPr="006467DC" w:rsidRDefault="00F7742C" w:rsidP="00F7742C">
            <w:pPr>
              <w:kinsoku w:val="0"/>
              <w:overflowPunct w:val="0"/>
              <w:autoSpaceDE w:val="0"/>
              <w:autoSpaceDN w:val="0"/>
              <w:adjustRightInd w:val="0"/>
              <w:spacing w:after="0" w:line="240" w:lineRule="auto"/>
              <w:ind w:left="222"/>
              <w:rPr>
                <w:rFonts w:ascii="Arial Narrow" w:hAnsi="Arial Narrow" w:cs="Calibri"/>
                <w:sz w:val="20"/>
                <w:szCs w:val="20"/>
                <w:lang w:val="nl-NL"/>
              </w:rPr>
            </w:pPr>
          </w:p>
          <w:p w14:paraId="7DEF5508" w14:textId="77777777" w:rsidR="00F7742C" w:rsidRPr="006467DC" w:rsidRDefault="00F7742C" w:rsidP="00F7742C">
            <w:pPr>
              <w:kinsoku w:val="0"/>
              <w:overflowPunct w:val="0"/>
              <w:autoSpaceDE w:val="0"/>
              <w:autoSpaceDN w:val="0"/>
              <w:adjustRightInd w:val="0"/>
              <w:spacing w:after="0" w:line="240" w:lineRule="auto"/>
              <w:ind w:left="222"/>
              <w:rPr>
                <w:rFonts w:ascii="Arial Narrow" w:hAnsi="Arial Narrow" w:cs="Calibri"/>
                <w:sz w:val="20"/>
                <w:szCs w:val="20"/>
                <w:lang w:val="nl-NL"/>
              </w:rPr>
            </w:pPr>
          </w:p>
          <w:p w14:paraId="619E2258"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lang w:val="nl-NL"/>
              </w:rPr>
            </w:pPr>
          </w:p>
          <w:p w14:paraId="0A986F5A"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lang w:val="nl-NL"/>
              </w:rPr>
            </w:pPr>
          </w:p>
          <w:p w14:paraId="14F479F5"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lang w:val="nl-NL"/>
              </w:rPr>
            </w:pPr>
            <w:r w:rsidRPr="006467DC">
              <w:rPr>
                <w:rFonts w:ascii="Arial Narrow" w:hAnsi="Arial Narrow" w:cs="Calibri"/>
                <w:spacing w:val="-1"/>
                <w:sz w:val="20"/>
                <w:szCs w:val="20"/>
                <w:lang w:val="nl-NL"/>
              </w:rPr>
              <w:t xml:space="preserve">Week 6   </w:t>
            </w:r>
            <w:r w:rsidRPr="006467DC">
              <w:rPr>
                <w:rFonts w:ascii="Arial Narrow" w:hAnsi="Arial Narrow" w:cs="Calibri"/>
                <w:sz w:val="20"/>
                <w:szCs w:val="20"/>
                <w:lang w:val="nl-NL"/>
              </w:rPr>
              <w:t>-5.1 (0.8)</w:t>
            </w:r>
          </w:p>
          <w:p w14:paraId="01F77091" w14:textId="77777777" w:rsidR="00F7742C" w:rsidRPr="006467DC" w:rsidRDefault="00F7742C" w:rsidP="00F7742C">
            <w:pPr>
              <w:kinsoku w:val="0"/>
              <w:overflowPunct w:val="0"/>
              <w:autoSpaceDE w:val="0"/>
              <w:autoSpaceDN w:val="0"/>
              <w:adjustRightInd w:val="0"/>
              <w:spacing w:after="0" w:line="240" w:lineRule="auto"/>
              <w:ind w:left="222"/>
              <w:rPr>
                <w:rFonts w:ascii="Arial Narrow" w:hAnsi="Arial Narrow" w:cs="Calibri"/>
                <w:sz w:val="20"/>
                <w:szCs w:val="20"/>
                <w:lang w:val="nl-NL"/>
              </w:rPr>
            </w:pPr>
            <w:r w:rsidRPr="006467DC">
              <w:rPr>
                <w:rFonts w:ascii="Arial Narrow" w:hAnsi="Arial Narrow" w:cs="Calibri"/>
                <w:spacing w:val="-1"/>
                <w:sz w:val="20"/>
                <w:szCs w:val="20"/>
                <w:lang w:val="nl-NL"/>
              </w:rPr>
              <w:t xml:space="preserve">Week 12 </w:t>
            </w:r>
            <w:r w:rsidRPr="006467DC">
              <w:rPr>
                <w:rFonts w:ascii="Arial Narrow" w:hAnsi="Arial Narrow" w:cs="Calibri"/>
                <w:sz w:val="20"/>
                <w:szCs w:val="20"/>
                <w:lang w:val="nl-NL"/>
              </w:rPr>
              <w:t>6.9 (0.9)</w:t>
            </w:r>
          </w:p>
          <w:p w14:paraId="0CA625DF" w14:textId="77777777" w:rsidR="00F7742C" w:rsidRPr="006467DC" w:rsidRDefault="00F7742C" w:rsidP="00F7742C">
            <w:pPr>
              <w:kinsoku w:val="0"/>
              <w:overflowPunct w:val="0"/>
              <w:autoSpaceDE w:val="0"/>
              <w:autoSpaceDN w:val="0"/>
              <w:adjustRightInd w:val="0"/>
              <w:spacing w:after="0" w:line="240" w:lineRule="auto"/>
              <w:ind w:left="222"/>
              <w:rPr>
                <w:rFonts w:ascii="Arial Narrow" w:hAnsi="Arial Narrow" w:cs="Calibri"/>
                <w:sz w:val="20"/>
                <w:szCs w:val="20"/>
                <w:lang w:val="nl-NL"/>
              </w:rPr>
            </w:pPr>
            <w:r w:rsidRPr="006467DC">
              <w:rPr>
                <w:rFonts w:ascii="Arial Narrow" w:hAnsi="Arial Narrow" w:cs="Calibri"/>
                <w:spacing w:val="-1"/>
                <w:sz w:val="20"/>
                <w:szCs w:val="20"/>
                <w:lang w:val="nl-NL"/>
              </w:rPr>
              <w:t xml:space="preserve">Week 18 </w:t>
            </w:r>
            <w:r w:rsidRPr="006467DC">
              <w:rPr>
                <w:rFonts w:ascii="Arial Narrow" w:hAnsi="Arial Narrow" w:cs="Calibri"/>
                <w:sz w:val="20"/>
                <w:szCs w:val="20"/>
                <w:lang w:val="nl-NL"/>
              </w:rPr>
              <w:t>-7.8 (1.0)</w:t>
            </w:r>
          </w:p>
          <w:p w14:paraId="5D07A285" w14:textId="77777777" w:rsidR="00F7742C" w:rsidRPr="006467DC" w:rsidRDefault="00F7742C" w:rsidP="00F7742C">
            <w:pPr>
              <w:kinsoku w:val="0"/>
              <w:overflowPunct w:val="0"/>
              <w:autoSpaceDE w:val="0"/>
              <w:autoSpaceDN w:val="0"/>
              <w:adjustRightInd w:val="0"/>
              <w:spacing w:after="0" w:line="240" w:lineRule="auto"/>
              <w:ind w:left="222"/>
              <w:rPr>
                <w:rFonts w:ascii="Arial Narrow" w:hAnsi="Arial Narrow" w:cs="Calibri"/>
                <w:sz w:val="20"/>
                <w:szCs w:val="20"/>
                <w:lang w:val="nl-NL"/>
              </w:rPr>
            </w:pPr>
            <w:r w:rsidRPr="006467DC">
              <w:rPr>
                <w:rFonts w:ascii="Arial Narrow" w:hAnsi="Arial Narrow" w:cs="Calibri"/>
                <w:spacing w:val="-1"/>
                <w:sz w:val="20"/>
                <w:szCs w:val="20"/>
                <w:lang w:val="nl-NL"/>
              </w:rPr>
              <w:t xml:space="preserve">Week 24 </w:t>
            </w:r>
            <w:r w:rsidRPr="006467DC">
              <w:rPr>
                <w:rFonts w:ascii="Arial Narrow" w:hAnsi="Arial Narrow" w:cs="Calibri"/>
                <w:sz w:val="20"/>
                <w:szCs w:val="20"/>
                <w:lang w:val="nl-NL"/>
              </w:rPr>
              <w:t>-6.5 (1.0)</w:t>
            </w:r>
          </w:p>
          <w:p w14:paraId="08F2B63B" w14:textId="77777777" w:rsidR="00F7742C" w:rsidRPr="006467DC" w:rsidRDefault="00F7742C" w:rsidP="00F7742C">
            <w:pPr>
              <w:kinsoku w:val="0"/>
              <w:overflowPunct w:val="0"/>
              <w:autoSpaceDE w:val="0"/>
              <w:autoSpaceDN w:val="0"/>
              <w:adjustRightInd w:val="0"/>
              <w:spacing w:after="0" w:line="240" w:lineRule="auto"/>
              <w:ind w:left="222"/>
              <w:rPr>
                <w:rFonts w:ascii="Arial Narrow" w:hAnsi="Arial Narrow" w:cs="Calibri"/>
                <w:sz w:val="20"/>
                <w:szCs w:val="20"/>
                <w:lang w:val="nl-NL"/>
              </w:rPr>
            </w:pPr>
          </w:p>
          <w:p w14:paraId="6245AB88" w14:textId="77777777" w:rsidR="00F7742C" w:rsidRPr="006467DC" w:rsidRDefault="00F7742C" w:rsidP="00F7742C">
            <w:pPr>
              <w:kinsoku w:val="0"/>
              <w:overflowPunct w:val="0"/>
              <w:autoSpaceDE w:val="0"/>
              <w:autoSpaceDN w:val="0"/>
              <w:adjustRightInd w:val="0"/>
              <w:spacing w:after="0" w:line="240" w:lineRule="auto"/>
              <w:ind w:left="222"/>
              <w:rPr>
                <w:rFonts w:ascii="Arial Narrow" w:hAnsi="Arial Narrow" w:cs="Calibri"/>
                <w:sz w:val="20"/>
                <w:szCs w:val="20"/>
                <w:lang w:val="nl-NL"/>
              </w:rPr>
            </w:pPr>
          </w:p>
          <w:p w14:paraId="25D25FCB"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lang w:val="nl-N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2B1AAFE"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lang w:val="nl-NL"/>
              </w:rPr>
            </w:pPr>
          </w:p>
          <w:p w14:paraId="44F9873F"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lang w:val="nl-NL"/>
              </w:rPr>
            </w:pPr>
            <w:r w:rsidRPr="006467DC">
              <w:rPr>
                <w:rFonts w:ascii="Arial Narrow" w:hAnsi="Arial Narrow" w:cs="Calibri"/>
                <w:spacing w:val="-1"/>
                <w:sz w:val="20"/>
                <w:szCs w:val="20"/>
                <w:lang w:val="nl-NL"/>
              </w:rPr>
              <w:t xml:space="preserve">Week 6  </w:t>
            </w:r>
            <w:r w:rsidRPr="006467DC">
              <w:rPr>
                <w:rFonts w:ascii="Arial Narrow" w:hAnsi="Arial Narrow" w:cs="Calibri"/>
                <w:sz w:val="20"/>
                <w:szCs w:val="20"/>
                <w:lang w:val="nl-NL"/>
              </w:rPr>
              <w:t>8.0 (0.8)</w:t>
            </w:r>
          </w:p>
          <w:p w14:paraId="33C665D6" w14:textId="77777777" w:rsidR="00F7742C" w:rsidRPr="006467DC" w:rsidRDefault="00F7742C" w:rsidP="00F7742C">
            <w:pPr>
              <w:kinsoku w:val="0"/>
              <w:overflowPunct w:val="0"/>
              <w:autoSpaceDE w:val="0"/>
              <w:autoSpaceDN w:val="0"/>
              <w:adjustRightInd w:val="0"/>
              <w:spacing w:after="0" w:line="240" w:lineRule="auto"/>
              <w:ind w:left="191"/>
              <w:rPr>
                <w:rFonts w:ascii="Arial Narrow" w:hAnsi="Arial Narrow" w:cs="Calibri"/>
                <w:sz w:val="20"/>
                <w:szCs w:val="20"/>
                <w:lang w:val="nl-NL"/>
              </w:rPr>
            </w:pPr>
            <w:r w:rsidRPr="006467DC">
              <w:rPr>
                <w:rFonts w:ascii="Arial Narrow" w:hAnsi="Arial Narrow" w:cs="Calibri"/>
                <w:spacing w:val="-1"/>
                <w:sz w:val="20"/>
                <w:szCs w:val="20"/>
                <w:lang w:val="nl-NL"/>
              </w:rPr>
              <w:t xml:space="preserve">Week 12  </w:t>
            </w:r>
            <w:r w:rsidRPr="006467DC">
              <w:rPr>
                <w:rFonts w:ascii="Arial Narrow" w:hAnsi="Arial Narrow" w:cs="Calibri"/>
                <w:sz w:val="20"/>
                <w:szCs w:val="20"/>
                <w:lang w:val="nl-NL"/>
              </w:rPr>
              <w:t>9.0(0.9)</w:t>
            </w:r>
          </w:p>
          <w:p w14:paraId="5D3D9670" w14:textId="77777777" w:rsidR="00F7742C" w:rsidRPr="006467DC" w:rsidRDefault="00F7742C" w:rsidP="00F7742C">
            <w:pPr>
              <w:kinsoku w:val="0"/>
              <w:overflowPunct w:val="0"/>
              <w:autoSpaceDE w:val="0"/>
              <w:autoSpaceDN w:val="0"/>
              <w:adjustRightInd w:val="0"/>
              <w:spacing w:after="0" w:line="240" w:lineRule="auto"/>
              <w:ind w:left="191"/>
              <w:rPr>
                <w:rFonts w:ascii="Arial Narrow" w:hAnsi="Arial Narrow" w:cs="Calibri"/>
                <w:sz w:val="20"/>
                <w:szCs w:val="20"/>
                <w:lang w:val="nl-NL"/>
              </w:rPr>
            </w:pPr>
            <w:r w:rsidRPr="006467DC">
              <w:rPr>
                <w:rFonts w:ascii="Arial Narrow" w:hAnsi="Arial Narrow" w:cs="Calibri"/>
                <w:spacing w:val="-1"/>
                <w:sz w:val="20"/>
                <w:szCs w:val="20"/>
                <w:lang w:val="nl-NL"/>
              </w:rPr>
              <w:t xml:space="preserve">Week 18  </w:t>
            </w:r>
            <w:r w:rsidRPr="006467DC">
              <w:rPr>
                <w:rFonts w:ascii="Arial Narrow" w:hAnsi="Arial Narrow" w:cs="Calibri"/>
                <w:sz w:val="20"/>
                <w:szCs w:val="20"/>
                <w:lang w:val="nl-NL"/>
              </w:rPr>
              <w:t>11.4(0.7)</w:t>
            </w:r>
            <w:r w:rsidRPr="006467DC">
              <w:rPr>
                <w:rFonts w:ascii="Arial Narrow" w:hAnsi="Arial Narrow" w:cs="Calibri"/>
                <w:sz w:val="20"/>
                <w:szCs w:val="20"/>
                <w:vertAlign w:val="superscript"/>
                <w:lang w:val="nl-NL"/>
              </w:rPr>
              <w:t>#</w:t>
            </w:r>
          </w:p>
          <w:p w14:paraId="1EC11C68" w14:textId="77777777" w:rsidR="00F7742C" w:rsidRPr="006467DC" w:rsidRDefault="00F7742C" w:rsidP="00F7742C">
            <w:pPr>
              <w:kinsoku w:val="0"/>
              <w:overflowPunct w:val="0"/>
              <w:autoSpaceDE w:val="0"/>
              <w:autoSpaceDN w:val="0"/>
              <w:adjustRightInd w:val="0"/>
              <w:spacing w:after="0" w:line="240" w:lineRule="auto"/>
              <w:ind w:left="191"/>
              <w:rPr>
                <w:rFonts w:ascii="Arial Narrow" w:hAnsi="Arial Narrow" w:cs="Calibri"/>
                <w:sz w:val="20"/>
                <w:szCs w:val="20"/>
                <w:lang w:val="nl-NL"/>
              </w:rPr>
            </w:pPr>
            <w:r w:rsidRPr="006467DC">
              <w:rPr>
                <w:rFonts w:ascii="Arial Narrow" w:hAnsi="Arial Narrow" w:cs="Calibri"/>
                <w:spacing w:val="-1"/>
                <w:sz w:val="20"/>
                <w:szCs w:val="20"/>
                <w:lang w:val="nl-NL"/>
              </w:rPr>
              <w:t xml:space="preserve">Week 24  </w:t>
            </w:r>
            <w:r w:rsidRPr="006467DC">
              <w:rPr>
                <w:rFonts w:ascii="Arial Narrow" w:hAnsi="Arial Narrow" w:cs="Calibri"/>
                <w:sz w:val="20"/>
                <w:szCs w:val="20"/>
                <w:lang w:val="nl-NL"/>
              </w:rPr>
              <w:t>12.3(0.7)</w:t>
            </w:r>
            <w:r w:rsidRPr="006467DC">
              <w:rPr>
                <w:rFonts w:ascii="Arial Narrow" w:hAnsi="Arial Narrow" w:cs="Calibri"/>
                <w:sz w:val="20"/>
                <w:szCs w:val="20"/>
                <w:vertAlign w:val="superscript"/>
                <w:lang w:val="nl-NL"/>
              </w:rPr>
              <w:t>#</w:t>
            </w:r>
          </w:p>
          <w:p w14:paraId="716B93D3" w14:textId="77777777" w:rsidR="00F7742C" w:rsidRPr="006467DC" w:rsidRDefault="00F7742C" w:rsidP="00F7742C">
            <w:pPr>
              <w:kinsoku w:val="0"/>
              <w:overflowPunct w:val="0"/>
              <w:autoSpaceDE w:val="0"/>
              <w:autoSpaceDN w:val="0"/>
              <w:adjustRightInd w:val="0"/>
              <w:spacing w:after="0" w:line="240" w:lineRule="auto"/>
              <w:ind w:left="222"/>
              <w:rPr>
                <w:rFonts w:ascii="Arial Narrow" w:hAnsi="Arial Narrow" w:cs="Calibri"/>
                <w:spacing w:val="-1"/>
                <w:sz w:val="20"/>
                <w:szCs w:val="20"/>
                <w:lang w:val="nl-NL"/>
              </w:rPr>
            </w:pPr>
          </w:p>
          <w:p w14:paraId="471301E2"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lang w:val="nl-NL"/>
              </w:rPr>
            </w:pPr>
          </w:p>
          <w:p w14:paraId="3F3C1B3C"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lang w:val="nl-NL"/>
              </w:rPr>
            </w:pPr>
            <w:r w:rsidRPr="006467DC">
              <w:rPr>
                <w:rFonts w:ascii="Arial Narrow" w:hAnsi="Arial Narrow" w:cs="Calibri"/>
                <w:spacing w:val="-1"/>
                <w:sz w:val="20"/>
                <w:szCs w:val="20"/>
                <w:lang w:val="nl-NL"/>
              </w:rPr>
              <w:t xml:space="preserve">Week 6  </w:t>
            </w:r>
            <w:r w:rsidRPr="006467DC">
              <w:rPr>
                <w:rFonts w:ascii="Arial Narrow" w:hAnsi="Arial Narrow" w:cs="Calibri"/>
                <w:sz w:val="20"/>
                <w:szCs w:val="20"/>
                <w:lang w:val="nl-NL"/>
              </w:rPr>
              <w:t>9.5(0.8)</w:t>
            </w:r>
          </w:p>
          <w:p w14:paraId="7FEDA85B" w14:textId="77777777" w:rsidR="00F7742C" w:rsidRPr="006467DC" w:rsidRDefault="00F7742C" w:rsidP="00F7742C">
            <w:pPr>
              <w:kinsoku w:val="0"/>
              <w:overflowPunct w:val="0"/>
              <w:autoSpaceDE w:val="0"/>
              <w:autoSpaceDN w:val="0"/>
              <w:adjustRightInd w:val="0"/>
              <w:spacing w:after="0" w:line="240" w:lineRule="auto"/>
              <w:ind w:left="191"/>
              <w:rPr>
                <w:rFonts w:ascii="Arial Narrow" w:hAnsi="Arial Narrow" w:cs="Calibri"/>
                <w:sz w:val="20"/>
                <w:szCs w:val="20"/>
                <w:lang w:val="nl-NL"/>
              </w:rPr>
            </w:pPr>
            <w:r w:rsidRPr="006467DC">
              <w:rPr>
                <w:rFonts w:ascii="Arial Narrow" w:hAnsi="Arial Narrow" w:cs="Calibri"/>
                <w:spacing w:val="-1"/>
                <w:sz w:val="20"/>
                <w:szCs w:val="20"/>
                <w:lang w:val="nl-NL"/>
              </w:rPr>
              <w:t xml:space="preserve">Week 12  </w:t>
            </w:r>
            <w:r w:rsidRPr="006467DC">
              <w:rPr>
                <w:rFonts w:ascii="Arial Narrow" w:hAnsi="Arial Narrow" w:cs="Calibri"/>
                <w:sz w:val="20"/>
                <w:szCs w:val="20"/>
                <w:lang w:val="nl-NL"/>
              </w:rPr>
              <w:t>12.4 (0.9)</w:t>
            </w:r>
          </w:p>
          <w:p w14:paraId="5B60A9E9" w14:textId="77777777" w:rsidR="00F7742C" w:rsidRPr="006467DC" w:rsidRDefault="00F7742C" w:rsidP="00F7742C">
            <w:pPr>
              <w:kinsoku w:val="0"/>
              <w:overflowPunct w:val="0"/>
              <w:autoSpaceDE w:val="0"/>
              <w:autoSpaceDN w:val="0"/>
              <w:adjustRightInd w:val="0"/>
              <w:spacing w:after="0" w:line="240" w:lineRule="auto"/>
              <w:ind w:left="191"/>
              <w:rPr>
                <w:rFonts w:ascii="Arial Narrow" w:hAnsi="Arial Narrow" w:cs="Calibri"/>
                <w:sz w:val="20"/>
                <w:szCs w:val="20"/>
                <w:lang w:val="nl-NL"/>
              </w:rPr>
            </w:pPr>
            <w:r w:rsidRPr="006467DC">
              <w:rPr>
                <w:rFonts w:ascii="Arial Narrow" w:hAnsi="Arial Narrow" w:cs="Calibri"/>
                <w:spacing w:val="-1"/>
                <w:sz w:val="20"/>
                <w:szCs w:val="20"/>
                <w:lang w:val="nl-NL"/>
              </w:rPr>
              <w:t xml:space="preserve">Week 18  </w:t>
            </w:r>
            <w:r w:rsidRPr="006467DC">
              <w:rPr>
                <w:rFonts w:ascii="Arial Narrow" w:hAnsi="Arial Narrow" w:cs="Calibri"/>
                <w:sz w:val="20"/>
                <w:szCs w:val="20"/>
                <w:lang w:val="nl-NL"/>
              </w:rPr>
              <w:t>11.4(0.7)</w:t>
            </w:r>
            <w:r w:rsidRPr="006467DC">
              <w:rPr>
                <w:rFonts w:ascii="Arial Narrow" w:hAnsi="Arial Narrow" w:cs="Calibri"/>
                <w:sz w:val="20"/>
                <w:szCs w:val="20"/>
                <w:vertAlign w:val="superscript"/>
                <w:lang w:val="nl-NL"/>
              </w:rPr>
              <w:t>#</w:t>
            </w:r>
          </w:p>
          <w:p w14:paraId="26633D6B" w14:textId="77777777" w:rsidR="00F7742C" w:rsidRPr="006467DC" w:rsidRDefault="00F7742C" w:rsidP="00F7742C">
            <w:pPr>
              <w:kinsoku w:val="0"/>
              <w:overflowPunct w:val="0"/>
              <w:autoSpaceDE w:val="0"/>
              <w:autoSpaceDN w:val="0"/>
              <w:adjustRightInd w:val="0"/>
              <w:spacing w:after="0" w:line="240" w:lineRule="auto"/>
              <w:ind w:left="191"/>
              <w:rPr>
                <w:rFonts w:ascii="Arial Narrow" w:hAnsi="Arial Narrow" w:cs="Calibri"/>
                <w:sz w:val="20"/>
                <w:szCs w:val="20"/>
                <w:lang w:val="nl-NL"/>
              </w:rPr>
            </w:pPr>
            <w:r w:rsidRPr="006467DC">
              <w:rPr>
                <w:rFonts w:ascii="Arial Narrow" w:hAnsi="Arial Narrow" w:cs="Calibri"/>
                <w:spacing w:val="-1"/>
                <w:sz w:val="20"/>
                <w:szCs w:val="20"/>
                <w:lang w:val="nl-NL"/>
              </w:rPr>
              <w:t xml:space="preserve">Week 24  </w:t>
            </w:r>
            <w:r w:rsidRPr="006467DC">
              <w:rPr>
                <w:rFonts w:ascii="Arial Narrow" w:hAnsi="Arial Narrow" w:cs="Calibri"/>
                <w:sz w:val="20"/>
                <w:szCs w:val="20"/>
                <w:lang w:val="nl-NL"/>
              </w:rPr>
              <w:t>12.3(0.7)</w:t>
            </w:r>
            <w:r w:rsidRPr="006467DC">
              <w:rPr>
                <w:rFonts w:ascii="Arial Narrow" w:hAnsi="Arial Narrow" w:cs="Calibri"/>
                <w:sz w:val="20"/>
                <w:szCs w:val="20"/>
                <w:vertAlign w:val="superscript"/>
                <w:lang w:val="nl-NL"/>
              </w:rPr>
              <w:t>#</w:t>
            </w:r>
          </w:p>
          <w:p w14:paraId="4837E951"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lang w:val="nl-NL"/>
              </w:rPr>
            </w:pPr>
          </w:p>
          <w:p w14:paraId="23FEB227"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lang w:val="nl-NL"/>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D0540F4"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lang w:val="nl-NL"/>
              </w:rPr>
            </w:pPr>
          </w:p>
          <w:p w14:paraId="4D99D916"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lang w:val="nl-NL"/>
              </w:rPr>
            </w:pPr>
            <w:r w:rsidRPr="006467DC">
              <w:rPr>
                <w:rFonts w:ascii="Arial Narrow" w:hAnsi="Arial Narrow" w:cs="Calibri"/>
                <w:sz w:val="20"/>
                <w:szCs w:val="20"/>
                <w:lang w:val="nl-NL"/>
              </w:rPr>
              <w:t>NR</w:t>
            </w:r>
          </w:p>
          <w:p w14:paraId="2229F1FE"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lang w:val="nl-NL"/>
              </w:rPr>
            </w:pPr>
            <w:r w:rsidRPr="006467DC">
              <w:rPr>
                <w:rFonts w:ascii="Arial Narrow" w:hAnsi="Arial Narrow" w:cs="Calibri"/>
                <w:sz w:val="20"/>
                <w:szCs w:val="20"/>
                <w:lang w:val="nl-NL"/>
              </w:rPr>
              <w:t>NR</w:t>
            </w:r>
          </w:p>
          <w:p w14:paraId="3E355E50"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lang w:val="nl-NL"/>
              </w:rPr>
            </w:pPr>
            <w:r w:rsidRPr="006467DC">
              <w:rPr>
                <w:rFonts w:ascii="Arial Narrow" w:hAnsi="Arial Narrow" w:cs="Calibri"/>
                <w:sz w:val="20"/>
                <w:szCs w:val="20"/>
                <w:lang w:val="nl-NL"/>
              </w:rPr>
              <w:t>NR</w:t>
            </w:r>
          </w:p>
          <w:p w14:paraId="206FF004"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lang w:val="nl-NL"/>
              </w:rPr>
            </w:pPr>
            <w:r w:rsidRPr="006467DC">
              <w:rPr>
                <w:rFonts w:ascii="Arial Narrow" w:hAnsi="Arial Narrow" w:cs="Calibri"/>
                <w:sz w:val="20"/>
                <w:szCs w:val="20"/>
                <w:lang w:val="nl-NL"/>
              </w:rPr>
              <w:t>NR</w:t>
            </w:r>
          </w:p>
          <w:p w14:paraId="015791D7"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lang w:val="nl-NL"/>
              </w:rPr>
            </w:pPr>
          </w:p>
          <w:p w14:paraId="1782840E"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lang w:val="nl-NL"/>
              </w:rPr>
            </w:pPr>
          </w:p>
          <w:p w14:paraId="0510C13E"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lang w:val="nl-NL"/>
              </w:rPr>
            </w:pPr>
            <w:r w:rsidRPr="006467DC">
              <w:rPr>
                <w:rFonts w:ascii="Arial Narrow" w:hAnsi="Arial Narrow" w:cs="Calibri"/>
                <w:sz w:val="20"/>
                <w:szCs w:val="20"/>
                <w:lang w:val="nl-NL"/>
              </w:rPr>
              <w:t>NR</w:t>
            </w:r>
          </w:p>
          <w:p w14:paraId="6ED21052"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lang w:val="nl-NL"/>
              </w:rPr>
            </w:pPr>
            <w:r w:rsidRPr="006467DC">
              <w:rPr>
                <w:rFonts w:ascii="Arial Narrow" w:hAnsi="Arial Narrow" w:cs="Calibri"/>
                <w:sz w:val="20"/>
                <w:szCs w:val="20"/>
                <w:lang w:val="nl-NL"/>
              </w:rPr>
              <w:t>NR</w:t>
            </w:r>
          </w:p>
          <w:p w14:paraId="0BC9031B"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lang w:val="nl-NL"/>
              </w:rPr>
            </w:pPr>
            <w:r w:rsidRPr="006467DC">
              <w:rPr>
                <w:rFonts w:ascii="Arial Narrow" w:hAnsi="Arial Narrow" w:cs="Calibri"/>
                <w:sz w:val="20"/>
                <w:szCs w:val="20"/>
                <w:lang w:val="nl-NL"/>
              </w:rPr>
              <w:t>NR</w:t>
            </w:r>
          </w:p>
          <w:p w14:paraId="3988CE7E"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lang w:val="nl-NL"/>
              </w:rPr>
            </w:pPr>
            <w:r w:rsidRPr="006467DC">
              <w:rPr>
                <w:rFonts w:ascii="Arial Narrow" w:hAnsi="Arial Narrow" w:cs="Calibri"/>
                <w:sz w:val="20"/>
                <w:szCs w:val="20"/>
                <w:lang w:val="nl-NL"/>
              </w:rPr>
              <w:t>NR</w:t>
            </w:r>
          </w:p>
          <w:p w14:paraId="50668DA4"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lang w:val="nl-NL"/>
              </w:rPr>
            </w:pPr>
          </w:p>
        </w:tc>
      </w:tr>
      <w:tr w:rsidR="00F7742C" w:rsidRPr="006467DC" w14:paraId="3EB660D8" w14:textId="77777777" w:rsidTr="00F7742C">
        <w:trPr>
          <w:trHeight w:hRule="exact" w:val="1552"/>
        </w:trPr>
        <w:tc>
          <w:tcPr>
            <w:tcW w:w="2127" w:type="dxa"/>
            <w:tcBorders>
              <w:top w:val="single" w:sz="4" w:space="0" w:color="000000"/>
              <w:left w:val="single" w:sz="4" w:space="0" w:color="000000"/>
              <w:bottom w:val="single" w:sz="4" w:space="0" w:color="000000"/>
              <w:right w:val="single" w:sz="4" w:space="0" w:color="000000"/>
            </w:tcBorders>
          </w:tcPr>
          <w:p w14:paraId="106CDDF1"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lang w:val="nl-NL"/>
              </w:rPr>
            </w:pPr>
            <w:r w:rsidRPr="006467DC">
              <w:rPr>
                <w:rFonts w:ascii="Arial Narrow" w:hAnsi="Arial Narrow" w:cs="Calibri"/>
                <w:sz w:val="20"/>
                <w:szCs w:val="20"/>
                <w:lang w:val="nl-NL"/>
              </w:rPr>
              <w:t xml:space="preserve">P693 </w:t>
            </w:r>
            <w:r w:rsidRPr="006467DC">
              <w:rPr>
                <w:rFonts w:ascii="Arial Narrow" w:hAnsi="Arial Narrow" w:cs="Calibri"/>
                <w:spacing w:val="-1"/>
                <w:sz w:val="20"/>
                <w:szCs w:val="20"/>
                <w:lang w:val="nl-NL"/>
              </w:rPr>
              <w:t>Stein</w:t>
            </w:r>
            <w:r w:rsidRPr="006467DC">
              <w:rPr>
                <w:rFonts w:ascii="Arial Narrow" w:hAnsi="Arial Narrow" w:cs="Calibri"/>
                <w:spacing w:val="-7"/>
                <w:sz w:val="20"/>
                <w:szCs w:val="20"/>
                <w:lang w:val="nl-NL"/>
              </w:rPr>
              <w:t xml:space="preserve"> </w:t>
            </w:r>
            <w:r w:rsidRPr="006467DC">
              <w:rPr>
                <w:rFonts w:ascii="Arial Narrow" w:hAnsi="Arial Narrow" w:cs="Calibri"/>
                <w:sz w:val="20"/>
                <w:szCs w:val="20"/>
                <w:lang w:val="nl-NL"/>
              </w:rPr>
              <w:t>2004</w:t>
            </w:r>
            <w:r w:rsidRPr="006467DC">
              <w:rPr>
                <w:rFonts w:ascii="Arial Narrow" w:hAnsi="Arial Narrow" w:cs="Calibri"/>
                <w:sz w:val="20"/>
                <w:szCs w:val="20"/>
                <w:vertAlign w:val="superscript"/>
                <w:lang w:val="nl-NL"/>
              </w:rPr>
              <w:t>2</w:t>
            </w:r>
            <w:r w:rsidRPr="006467DC">
              <w:rPr>
                <w:rFonts w:ascii="Arial Narrow" w:hAnsi="Arial Narrow" w:cs="Calibri"/>
                <w:sz w:val="20"/>
                <w:szCs w:val="20"/>
                <w:lang w:val="nl-NL"/>
              </w:rPr>
              <w:t xml:space="preserve"> </w:t>
            </w:r>
          </w:p>
          <w:p w14:paraId="3B8B20EC"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p>
          <w:p w14:paraId="637AC451"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18"/>
                <w:szCs w:val="18"/>
                <w:lang w:val="nl-NL"/>
              </w:rPr>
            </w:pPr>
            <w:r w:rsidRPr="006467DC">
              <w:rPr>
                <w:rFonts w:ascii="Arial Narrow" w:hAnsi="Arial Narrow" w:cs="Calibri"/>
                <w:spacing w:val="-1"/>
                <w:sz w:val="18"/>
                <w:szCs w:val="18"/>
                <w:lang w:val="nl-NL"/>
              </w:rPr>
              <w:t>ATOR 10 (run-in dose)</w:t>
            </w:r>
          </w:p>
          <w:p w14:paraId="77CA354F"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lang w:val="nl-NL"/>
              </w:rPr>
              <w:t xml:space="preserve">      Week  1-4   ATOR </w:t>
            </w:r>
            <w:r w:rsidRPr="006467DC">
              <w:rPr>
                <w:rFonts w:ascii="Arial Narrow" w:hAnsi="Arial Narrow" w:cs="Calibri"/>
                <w:spacing w:val="-1"/>
                <w:sz w:val="20"/>
                <w:szCs w:val="20"/>
              </w:rPr>
              <w:t xml:space="preserve">20 </w:t>
            </w:r>
          </w:p>
          <w:p w14:paraId="236C0865"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    Week  5-8   ATOR 40 </w:t>
            </w:r>
          </w:p>
          <w:p w14:paraId="028AC55D"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    Week  9-14 ATOR 80</w:t>
            </w:r>
          </w:p>
          <w:p w14:paraId="20C23CE1"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6A65124"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583B4E9"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316 (all)</w:t>
            </w:r>
          </w:p>
          <w:p w14:paraId="68C01886"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C79AA44"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303 (96%)</w:t>
            </w:r>
          </w:p>
          <w:p w14:paraId="5285C785"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71442AD5"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270 (85%)</w:t>
            </w:r>
          </w:p>
          <w:p w14:paraId="5F2C0E56"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382ED4E1" w14:textId="77777777" w:rsidR="00F7742C" w:rsidRPr="006467DC" w:rsidRDefault="00F7742C" w:rsidP="00F7742C">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77A99B32" w14:textId="77777777" w:rsidR="00F7742C" w:rsidRPr="006467DC" w:rsidRDefault="00F7742C" w:rsidP="00F7742C">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1.29</w:t>
            </w:r>
          </w:p>
          <w:p w14:paraId="40B3B6BD" w14:textId="77777777" w:rsidR="00F7742C" w:rsidRPr="006467DC" w:rsidRDefault="00F7742C" w:rsidP="00F7742C">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497647F4" w14:textId="77777777" w:rsidR="00F7742C" w:rsidRPr="006467DC" w:rsidRDefault="00F7742C" w:rsidP="00F7742C">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59B32691"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 xml:space="preserve"> NR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8DB7B17" w14:textId="77777777" w:rsidR="00F7742C" w:rsidRPr="006467DC" w:rsidRDefault="00F7742C" w:rsidP="00F7742C">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lang w:val="nl-NL"/>
              </w:rPr>
            </w:pPr>
          </w:p>
          <w:p w14:paraId="270E0935" w14:textId="77777777" w:rsidR="00F7742C" w:rsidRPr="006467DC" w:rsidRDefault="00F7742C" w:rsidP="00F7742C">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lang w:val="nl-NL"/>
              </w:rPr>
            </w:pPr>
          </w:p>
          <w:p w14:paraId="608406A6" w14:textId="77777777" w:rsidR="00F7742C" w:rsidRPr="006467DC" w:rsidRDefault="00F7742C" w:rsidP="00F7742C">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lang w:val="nl-NL"/>
              </w:rPr>
            </w:pPr>
          </w:p>
          <w:p w14:paraId="44000AB0" w14:textId="77777777" w:rsidR="00F7742C" w:rsidRPr="006467DC" w:rsidRDefault="00F7742C" w:rsidP="00F7742C">
            <w:pPr>
              <w:kinsoku w:val="0"/>
              <w:overflowPunct w:val="0"/>
              <w:autoSpaceDE w:val="0"/>
              <w:autoSpaceDN w:val="0"/>
              <w:adjustRightInd w:val="0"/>
              <w:spacing w:after="0" w:line="240" w:lineRule="auto"/>
              <w:ind w:left="13" w:right="1"/>
              <w:rPr>
                <w:rFonts w:ascii="Arial Narrow" w:hAnsi="Arial Narrow" w:cs="Calibri"/>
                <w:spacing w:val="-1"/>
                <w:sz w:val="20"/>
                <w:szCs w:val="20"/>
                <w:lang w:val="nl-NL"/>
              </w:rPr>
            </w:pPr>
            <w:r w:rsidRPr="006467DC">
              <w:rPr>
                <w:rFonts w:ascii="Arial Narrow" w:hAnsi="Arial Narrow" w:cs="Calibri"/>
                <w:spacing w:val="-1"/>
                <w:sz w:val="20"/>
                <w:szCs w:val="20"/>
                <w:lang w:val="nl-NL"/>
              </w:rPr>
              <w:t xml:space="preserve">       Week 4   EZ+  ATOR 10</w:t>
            </w:r>
          </w:p>
          <w:p w14:paraId="50A6C97E"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6467DC">
              <w:rPr>
                <w:rFonts w:ascii="Arial Narrow" w:hAnsi="Arial Narrow" w:cs="Calibri"/>
                <w:spacing w:val="-1"/>
                <w:sz w:val="20"/>
                <w:szCs w:val="20"/>
                <w:lang w:val="nl-NL"/>
              </w:rPr>
              <w:t xml:space="preserve">     Week 8   EZ + ATOR 20</w:t>
            </w:r>
          </w:p>
          <w:p w14:paraId="298CD286"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lang w:val="nl-NL"/>
              </w:rPr>
              <w:t xml:space="preserve">     </w:t>
            </w:r>
            <w:r w:rsidRPr="006467DC">
              <w:rPr>
                <w:rFonts w:ascii="Arial Narrow" w:hAnsi="Arial Narrow" w:cs="Calibri"/>
                <w:spacing w:val="-1"/>
                <w:sz w:val="20"/>
                <w:szCs w:val="20"/>
              </w:rPr>
              <w:t>Week 14 EZ + ATOR 40</w:t>
            </w:r>
          </w:p>
          <w:p w14:paraId="1A7519CD"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p>
          <w:p w14:paraId="196B8D04"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E0D8721"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t>
            </w:r>
          </w:p>
          <w:p w14:paraId="7805CB0F"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 xml:space="preserve">   305 (all)</w:t>
            </w:r>
          </w:p>
          <w:p w14:paraId="114C08FF"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D01CC92"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 xml:space="preserve">  293(96%)</w:t>
            </w:r>
          </w:p>
          <w:p w14:paraId="3911BDC7"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 xml:space="preserve">  NR</w:t>
            </w:r>
          </w:p>
          <w:p w14:paraId="78AA52BB"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 xml:space="preserve">  84 (60%)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934CF2A"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39FC4238"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1.29</w:t>
            </w:r>
          </w:p>
          <w:p w14:paraId="1D852E85"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56656F"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227E00E2" w14:textId="77777777" w:rsidR="00F7742C" w:rsidRPr="006467DC" w:rsidRDefault="00F7742C" w:rsidP="00F7742C">
            <w:pPr>
              <w:kinsoku w:val="0"/>
              <w:overflowPunct w:val="0"/>
              <w:autoSpaceDE w:val="0"/>
              <w:autoSpaceDN w:val="0"/>
              <w:adjustRightInd w:val="0"/>
              <w:spacing w:after="0" w:line="240" w:lineRule="auto"/>
              <w:ind w:right="1"/>
              <w:rPr>
                <w:rFonts w:ascii="Arial Narrow" w:hAnsi="Arial Narrow" w:cs="Calibri"/>
                <w:sz w:val="20"/>
                <w:szCs w:val="20"/>
              </w:rPr>
            </w:pPr>
            <w:r w:rsidRPr="006467DC">
              <w:rPr>
                <w:rFonts w:ascii="Arial Narrow" w:hAnsi="Arial Narrow" w:cs="Calibri"/>
                <w:sz w:val="20"/>
                <w:szCs w:val="20"/>
              </w:rPr>
              <w:t xml:space="preserve">     NR</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6F4A25C"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02058F79"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2A5DC596"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6A71E0E9"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z w:val="20"/>
                <w:szCs w:val="20"/>
              </w:rPr>
              <w:t>1.3 (0.6)</w:t>
            </w:r>
          </w:p>
          <w:p w14:paraId="2DCE3E2F"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C346E5C"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z w:val="20"/>
                <w:szCs w:val="20"/>
              </w:rPr>
              <w:t>1.0 (0.7)</w:t>
            </w:r>
          </w:p>
          <w:p w14:paraId="627A9EBB"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284793"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454E8B7F"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714A70B5"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4FD2CD55"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z w:val="20"/>
                <w:szCs w:val="20"/>
              </w:rPr>
              <w:t>2.1 (0.6)</w:t>
            </w:r>
          </w:p>
          <w:p w14:paraId="651C2033"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030C3B11"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z w:val="20"/>
                <w:szCs w:val="20"/>
              </w:rPr>
              <w:t>3.7 (0.7)</w:t>
            </w:r>
          </w:p>
          <w:p w14:paraId="0742BC4B"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63E36CF"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3BC95817"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36453E17"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196BBE57"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0.9 (NS)</w:t>
            </w:r>
          </w:p>
          <w:p w14:paraId="5571DC1B"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0C15E31C"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r>
      <w:tr w:rsidR="004145DA" w:rsidRPr="006467DC" w14:paraId="62C2CEBC" w14:textId="77777777" w:rsidTr="00F7742C">
        <w:trPr>
          <w:trHeight w:hRule="exact" w:val="1757"/>
        </w:trPr>
        <w:tc>
          <w:tcPr>
            <w:tcW w:w="2127" w:type="dxa"/>
            <w:tcBorders>
              <w:top w:val="single" w:sz="4" w:space="0" w:color="000000"/>
              <w:left w:val="single" w:sz="4" w:space="0" w:color="000000"/>
              <w:bottom w:val="single" w:sz="4" w:space="0" w:color="000000"/>
              <w:right w:val="single" w:sz="4" w:space="0" w:color="000000"/>
            </w:tcBorders>
          </w:tcPr>
          <w:p w14:paraId="75AE16BB"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McKenney 2007</w:t>
            </w:r>
            <w:r w:rsidRPr="006467DC">
              <w:rPr>
                <w:rFonts w:ascii="Arial Narrow" w:hAnsi="Arial Narrow" w:cs="Calibri"/>
                <w:spacing w:val="-1"/>
                <w:sz w:val="20"/>
                <w:szCs w:val="20"/>
                <w:vertAlign w:val="superscript"/>
              </w:rPr>
              <w:t>1</w:t>
            </w:r>
          </w:p>
          <w:p w14:paraId="32AB0317"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t>
            </w:r>
          </w:p>
          <w:p w14:paraId="65A24645"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Week 1-4    ROSUV 10 </w:t>
            </w:r>
          </w:p>
          <w:p w14:paraId="1D6EB8C2"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     Week  5-8   ROSUV 20 </w:t>
            </w:r>
          </w:p>
          <w:p w14:paraId="3BB2AF56"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Week  9-12  ROSUV 40</w:t>
            </w:r>
          </w:p>
          <w:p w14:paraId="50FD4D4F"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08BAC17"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2955A069"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54F79C82"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76</w:t>
            </w:r>
          </w:p>
        </w:tc>
        <w:tc>
          <w:tcPr>
            <w:tcW w:w="851" w:type="dxa"/>
            <w:tcBorders>
              <w:top w:val="single" w:sz="4" w:space="0" w:color="000000"/>
              <w:left w:val="single" w:sz="4" w:space="0" w:color="000000"/>
              <w:bottom w:val="single" w:sz="4" w:space="0" w:color="000000"/>
              <w:right w:val="single" w:sz="4" w:space="0" w:color="000000"/>
            </w:tcBorders>
          </w:tcPr>
          <w:p w14:paraId="3A3C0231" w14:textId="77777777" w:rsidR="00F7742C" w:rsidRPr="006467DC" w:rsidRDefault="00F7742C" w:rsidP="00F7742C">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2B2CD8E9" w14:textId="77777777" w:rsidR="00F7742C" w:rsidRPr="006467DC" w:rsidRDefault="00F7742C" w:rsidP="00F7742C">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p>
          <w:p w14:paraId="728A2494" w14:textId="77777777" w:rsidR="00F7742C" w:rsidRPr="006467DC" w:rsidRDefault="00F7742C" w:rsidP="00F7742C">
            <w:pPr>
              <w:tabs>
                <w:tab w:val="left" w:pos="849"/>
              </w:tabs>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1.24</w:t>
            </w:r>
          </w:p>
        </w:tc>
        <w:tc>
          <w:tcPr>
            <w:tcW w:w="850" w:type="dxa"/>
            <w:tcBorders>
              <w:top w:val="single" w:sz="4" w:space="0" w:color="000000"/>
              <w:left w:val="single" w:sz="4" w:space="0" w:color="000000"/>
              <w:bottom w:val="single" w:sz="4" w:space="0" w:color="000000"/>
              <w:right w:val="single" w:sz="4" w:space="0" w:color="000000"/>
            </w:tcBorders>
          </w:tcPr>
          <w:p w14:paraId="38AA3BF9"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75CBA32F"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rPr>
            </w:pPr>
          </w:p>
          <w:p w14:paraId="20403936"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5ADF9F43"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FEDB497"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lang w:val="nl-NL"/>
              </w:rPr>
            </w:pPr>
          </w:p>
          <w:p w14:paraId="6D35EA3B"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p>
          <w:p w14:paraId="4867D06B"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6467DC">
              <w:rPr>
                <w:rFonts w:ascii="Arial Narrow" w:hAnsi="Arial Narrow" w:cs="Calibri"/>
                <w:spacing w:val="-1"/>
                <w:sz w:val="20"/>
                <w:szCs w:val="20"/>
                <w:lang w:val="nl-NL"/>
              </w:rPr>
              <w:t xml:space="preserve">      Week 1   EZ +SIM 20 </w:t>
            </w:r>
          </w:p>
          <w:p w14:paraId="51B383CB"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6467DC">
              <w:rPr>
                <w:rFonts w:ascii="Arial Narrow" w:hAnsi="Arial Narrow" w:cs="Calibri"/>
                <w:spacing w:val="-1"/>
                <w:sz w:val="20"/>
                <w:szCs w:val="20"/>
                <w:lang w:val="nl-NL"/>
              </w:rPr>
              <w:t xml:space="preserve">      Week 4   EZ +SIM 20 </w:t>
            </w:r>
          </w:p>
          <w:p w14:paraId="6ED3E44D"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lang w:val="nl-NL"/>
              </w:rPr>
              <w:t xml:space="preserve">      </w:t>
            </w:r>
            <w:r w:rsidRPr="006467DC">
              <w:rPr>
                <w:rFonts w:ascii="Arial Narrow" w:hAnsi="Arial Narrow" w:cs="Calibri"/>
                <w:spacing w:val="-1"/>
                <w:sz w:val="20"/>
                <w:szCs w:val="20"/>
              </w:rPr>
              <w:t xml:space="preserve">Week 8   EZ +SIM 40 </w:t>
            </w:r>
          </w:p>
          <w:p w14:paraId="51EA4AD8"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t>
            </w:r>
          </w:p>
          <w:p w14:paraId="24461776" w14:textId="77777777" w:rsidR="00F7742C" w:rsidRPr="006467DC" w:rsidRDefault="00F7742C" w:rsidP="00F7742C">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FFEDF49"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5FC8D00E"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5E28F70"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77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A59A2C"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1F1865B3"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06024418"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FB0BD0"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7D00DBC9"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rPr>
            </w:pPr>
          </w:p>
          <w:p w14:paraId="24FCBB30"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0EA5DC02" w14:textId="77777777" w:rsidR="00F7742C" w:rsidRPr="006467DC" w:rsidRDefault="00F7742C" w:rsidP="00F7742C">
            <w:pPr>
              <w:kinsoku w:val="0"/>
              <w:overflowPunct w:val="0"/>
              <w:autoSpaceDE w:val="0"/>
              <w:autoSpaceDN w:val="0"/>
              <w:adjustRightInd w:val="0"/>
              <w:spacing w:after="0" w:line="240" w:lineRule="auto"/>
              <w:ind w:right="1"/>
              <w:jc w:val="center"/>
              <w:rPr>
                <w:rFonts w:ascii="Arial Narrow" w:hAnsi="Arial Narrow" w:cs="Calibri"/>
                <w:sz w:val="20"/>
                <w:szCs w:val="20"/>
              </w:rPr>
            </w:pPr>
            <w:r w:rsidRPr="006467DC">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BF5FBB7"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76C65DCA"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33090512"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7C145296"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z w:val="20"/>
                <w:szCs w:val="20"/>
              </w:rPr>
              <w:t>7(4, 10)</w:t>
            </w:r>
          </w:p>
          <w:p w14:paraId="32B13689"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z w:val="20"/>
                <w:szCs w:val="20"/>
              </w:rPr>
              <w:t>7 (4, 11)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85EAED"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53927909"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353A4089"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16CAA1B0"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z w:val="20"/>
                <w:szCs w:val="20"/>
              </w:rPr>
              <w:t>8 (5, 11)</w:t>
            </w:r>
          </w:p>
          <w:p w14:paraId="76A98F36"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z w:val="20"/>
                <w:szCs w:val="20"/>
              </w:rPr>
              <w:t>10 (6, 13)</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1E8063F"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1D449401"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z w:val="20"/>
                <w:szCs w:val="20"/>
              </w:rPr>
            </w:pPr>
          </w:p>
          <w:p w14:paraId="6AEE9A2A"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5E9D391D" w14:textId="4B22368E" w:rsidR="00F7742C" w:rsidRPr="006467DC" w:rsidRDefault="00F7742C" w:rsidP="00F7742C">
            <w:pPr>
              <w:kinsoku w:val="0"/>
              <w:overflowPunct w:val="0"/>
              <w:autoSpaceDE w:val="0"/>
              <w:autoSpaceDN w:val="0"/>
              <w:adjustRightInd w:val="0"/>
              <w:spacing w:after="0" w:line="240" w:lineRule="auto"/>
              <w:ind w:left="2" w:hanging="2"/>
              <w:jc w:val="center"/>
              <w:rPr>
                <w:rFonts w:ascii="Arial Narrow" w:hAnsi="Arial Narrow" w:cs="Calibri"/>
                <w:sz w:val="20"/>
                <w:szCs w:val="20"/>
              </w:rPr>
            </w:pPr>
            <w:r w:rsidRPr="006467DC">
              <w:rPr>
                <w:rFonts w:ascii="Arial Narrow" w:hAnsi="Arial Narrow" w:cs="Calibri"/>
                <w:sz w:val="20"/>
                <w:szCs w:val="20"/>
              </w:rPr>
              <w:t>NR</w:t>
            </w:r>
          </w:p>
          <w:p w14:paraId="50A4F11D" w14:textId="0D8F3CF5" w:rsidR="00F7742C" w:rsidRPr="006467DC" w:rsidRDefault="00F7742C" w:rsidP="004145DA">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r>
      <w:tr w:rsidR="00F7742C" w:rsidRPr="006467DC" w14:paraId="1F097AD6" w14:textId="77777777" w:rsidTr="00F7742C">
        <w:trPr>
          <w:trHeight w:hRule="exact" w:val="461"/>
        </w:trPr>
        <w:tc>
          <w:tcPr>
            <w:tcW w:w="15451" w:type="dxa"/>
            <w:gridSpan w:val="11"/>
            <w:tcBorders>
              <w:top w:val="single" w:sz="4" w:space="0" w:color="000000"/>
              <w:left w:val="single" w:sz="4" w:space="0" w:color="000000"/>
              <w:bottom w:val="single" w:sz="4" w:space="0" w:color="000000"/>
              <w:right w:val="single" w:sz="4" w:space="0" w:color="000000"/>
            </w:tcBorders>
            <w:vAlign w:val="center"/>
          </w:tcPr>
          <w:p w14:paraId="6681DD08" w14:textId="77777777" w:rsidR="00F7742C" w:rsidRPr="006467DC" w:rsidRDefault="00F7742C" w:rsidP="00F7742C">
            <w:pPr>
              <w:kinsoku w:val="0"/>
              <w:overflowPunct w:val="0"/>
              <w:autoSpaceDE w:val="0"/>
              <w:autoSpaceDN w:val="0"/>
              <w:adjustRightInd w:val="0"/>
              <w:spacing w:after="0" w:line="240" w:lineRule="auto"/>
              <w:ind w:firstLine="2"/>
              <w:jc w:val="center"/>
              <w:rPr>
                <w:rFonts w:ascii="Arial Narrow" w:hAnsi="Arial Narrow" w:cs="Calibri"/>
                <w:sz w:val="20"/>
                <w:szCs w:val="20"/>
                <w:highlight w:val="yellow"/>
              </w:rPr>
            </w:pPr>
            <w:r w:rsidRPr="006467DC">
              <w:rPr>
                <w:rFonts w:ascii="Arial Narrow" w:hAnsi="Arial Narrow" w:cs="Calibri"/>
                <w:b/>
                <w:spacing w:val="-1"/>
                <w:sz w:val="20"/>
                <w:szCs w:val="20"/>
              </w:rPr>
              <w:t xml:space="preserve">Fixed dose of statin +ezetimibe vs up-titrating the dose of statin </w:t>
            </w:r>
          </w:p>
        </w:tc>
      </w:tr>
      <w:tr w:rsidR="00F7742C" w:rsidRPr="006467DC" w14:paraId="071EA2B9" w14:textId="77777777" w:rsidTr="00F7742C">
        <w:trPr>
          <w:trHeight w:hRule="exact" w:val="291"/>
        </w:trPr>
        <w:tc>
          <w:tcPr>
            <w:tcW w:w="15451" w:type="dxa"/>
            <w:gridSpan w:val="11"/>
            <w:tcBorders>
              <w:top w:val="single" w:sz="4" w:space="0" w:color="000000"/>
              <w:left w:val="single" w:sz="4" w:space="0" w:color="000000"/>
              <w:bottom w:val="single" w:sz="4" w:space="0" w:color="000000"/>
              <w:right w:val="single" w:sz="4" w:space="0" w:color="000000"/>
            </w:tcBorders>
          </w:tcPr>
          <w:p w14:paraId="49BA320B" w14:textId="77777777" w:rsidR="00F7742C" w:rsidRPr="006467DC" w:rsidRDefault="00F7742C" w:rsidP="00F7742C">
            <w:pPr>
              <w:kinsoku w:val="0"/>
              <w:overflowPunct w:val="0"/>
              <w:autoSpaceDE w:val="0"/>
              <w:autoSpaceDN w:val="0"/>
              <w:adjustRightInd w:val="0"/>
              <w:spacing w:after="0" w:line="240" w:lineRule="auto"/>
              <w:ind w:left="-2" w:firstLine="2"/>
              <w:jc w:val="center"/>
              <w:rPr>
                <w:rFonts w:ascii="Arial Narrow" w:hAnsi="Arial Narrow" w:cs="Calibri"/>
                <w:sz w:val="20"/>
                <w:szCs w:val="20"/>
              </w:rPr>
            </w:pPr>
            <w:r w:rsidRPr="006467DC">
              <w:rPr>
                <w:rFonts w:ascii="Arial Narrow" w:hAnsi="Arial Narrow" w:cs="Calibri"/>
                <w:i/>
                <w:sz w:val="20"/>
                <w:szCs w:val="20"/>
              </w:rPr>
              <w:t>Primary prevention population</w:t>
            </w:r>
          </w:p>
        </w:tc>
      </w:tr>
      <w:tr w:rsidR="00F7742C" w:rsidRPr="006467DC" w14:paraId="7E17D1FA" w14:textId="77777777" w:rsidTr="00F7742C">
        <w:trPr>
          <w:trHeight w:hRule="exact" w:val="848"/>
        </w:trPr>
        <w:tc>
          <w:tcPr>
            <w:tcW w:w="2127" w:type="dxa"/>
            <w:tcBorders>
              <w:top w:val="single" w:sz="4" w:space="0" w:color="000000"/>
              <w:left w:val="single" w:sz="4" w:space="0" w:color="000000"/>
              <w:bottom w:val="single" w:sz="4" w:space="0" w:color="000000"/>
              <w:right w:val="single" w:sz="4" w:space="0" w:color="000000"/>
            </w:tcBorders>
          </w:tcPr>
          <w:p w14:paraId="3D5534B3"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Teramoto 2012</w:t>
            </w:r>
            <w:r w:rsidRPr="006467DC">
              <w:rPr>
                <w:rFonts w:ascii="Arial Narrow" w:hAnsi="Arial Narrow" w:cs="Calibri"/>
                <w:spacing w:val="-1"/>
                <w:sz w:val="20"/>
                <w:szCs w:val="20"/>
                <w:vertAlign w:val="superscript"/>
              </w:rPr>
              <w:t>1</w:t>
            </w:r>
          </w:p>
          <w:p w14:paraId="08D3984A" w14:textId="77777777" w:rsidR="00F7742C" w:rsidRPr="006467DC" w:rsidRDefault="00F7742C" w:rsidP="00F7742C">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16"/>
                <w:szCs w:val="16"/>
              </w:rPr>
              <w:t xml:space="preserve">   ATOR 10 (run in)</w:t>
            </w:r>
          </w:p>
          <w:p w14:paraId="3885F985"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ATOR 20</w:t>
            </w:r>
          </w:p>
          <w:p w14:paraId="06C2245C"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F98402"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46</w:t>
            </w:r>
          </w:p>
        </w:tc>
        <w:tc>
          <w:tcPr>
            <w:tcW w:w="851" w:type="dxa"/>
            <w:tcBorders>
              <w:top w:val="single" w:sz="4" w:space="0" w:color="000000"/>
              <w:left w:val="single" w:sz="4" w:space="0" w:color="000000"/>
              <w:bottom w:val="single" w:sz="4" w:space="0" w:color="000000"/>
              <w:right w:val="single" w:sz="4" w:space="0" w:color="000000"/>
            </w:tcBorders>
            <w:vAlign w:val="center"/>
          </w:tcPr>
          <w:p w14:paraId="5F4A2F78"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1.34</w:t>
            </w:r>
          </w:p>
        </w:tc>
        <w:tc>
          <w:tcPr>
            <w:tcW w:w="850" w:type="dxa"/>
            <w:tcBorders>
              <w:top w:val="single" w:sz="4" w:space="0" w:color="000000"/>
              <w:left w:val="single" w:sz="4" w:space="0" w:color="000000"/>
              <w:bottom w:val="single" w:sz="4" w:space="0" w:color="000000"/>
              <w:right w:val="single" w:sz="4" w:space="0" w:color="000000"/>
            </w:tcBorders>
            <w:vAlign w:val="center"/>
          </w:tcPr>
          <w:p w14:paraId="3C0BFA44"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328CDD38" w14:textId="77777777" w:rsidR="00F7742C" w:rsidRPr="006467DC" w:rsidRDefault="00F7742C" w:rsidP="00F7742C">
            <w:pPr>
              <w:kinsoku w:val="0"/>
              <w:overflowPunct w:val="0"/>
              <w:autoSpaceDE w:val="0"/>
              <w:autoSpaceDN w:val="0"/>
              <w:adjustRightInd w:val="0"/>
              <w:spacing w:after="0" w:line="240" w:lineRule="auto"/>
              <w:ind w:left="14"/>
              <w:jc w:val="center"/>
              <w:rPr>
                <w:rFonts w:ascii="Arial Narrow" w:hAnsi="Arial Narrow" w:cs="Calibri"/>
                <w:spacing w:val="-1"/>
                <w:sz w:val="20"/>
                <w:szCs w:val="20"/>
              </w:rPr>
            </w:pPr>
            <w:r w:rsidRPr="006467DC">
              <w:rPr>
                <w:rFonts w:ascii="Arial Narrow" w:hAnsi="Arial Narrow" w:cs="Calibri"/>
                <w:spacing w:val="-1"/>
                <w:sz w:val="20"/>
                <w:szCs w:val="20"/>
              </w:rPr>
              <w:t>EZ+ATOR 10</w:t>
            </w:r>
          </w:p>
        </w:tc>
        <w:tc>
          <w:tcPr>
            <w:tcW w:w="992" w:type="dxa"/>
            <w:tcBorders>
              <w:top w:val="single" w:sz="4" w:space="0" w:color="000000"/>
              <w:left w:val="single" w:sz="4" w:space="0" w:color="000000"/>
              <w:bottom w:val="single" w:sz="4" w:space="0" w:color="000000"/>
              <w:right w:val="single" w:sz="4" w:space="0" w:color="000000"/>
            </w:tcBorders>
            <w:vAlign w:val="center"/>
          </w:tcPr>
          <w:p w14:paraId="610F7101" w14:textId="77777777" w:rsidR="00F7742C" w:rsidRPr="006467DC" w:rsidRDefault="00F7742C" w:rsidP="00F7742C">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47</w:t>
            </w:r>
          </w:p>
        </w:tc>
        <w:tc>
          <w:tcPr>
            <w:tcW w:w="851" w:type="dxa"/>
            <w:tcBorders>
              <w:top w:val="single" w:sz="4" w:space="0" w:color="000000"/>
              <w:left w:val="single" w:sz="4" w:space="0" w:color="000000"/>
              <w:bottom w:val="single" w:sz="4" w:space="0" w:color="000000"/>
              <w:right w:val="single" w:sz="4" w:space="0" w:color="000000"/>
            </w:tcBorders>
            <w:vAlign w:val="center"/>
          </w:tcPr>
          <w:p w14:paraId="286F0E07"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1.36</w:t>
            </w:r>
          </w:p>
        </w:tc>
        <w:tc>
          <w:tcPr>
            <w:tcW w:w="850" w:type="dxa"/>
            <w:tcBorders>
              <w:top w:val="single" w:sz="4" w:space="0" w:color="000000"/>
              <w:left w:val="single" w:sz="4" w:space="0" w:color="000000"/>
              <w:bottom w:val="single" w:sz="4" w:space="0" w:color="000000"/>
              <w:right w:val="single" w:sz="4" w:space="0" w:color="000000"/>
            </w:tcBorders>
            <w:vAlign w:val="center"/>
          </w:tcPr>
          <w:p w14:paraId="4779F424"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2C97DB80"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8CC8FD8"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highlight w:val="yellow"/>
              </w:rPr>
            </w:pPr>
            <w:r w:rsidRPr="006467DC">
              <w:rPr>
                <w:rFonts w:ascii="Arial Narrow" w:hAnsi="Arial Narrow" w:cs="Calibri"/>
                <w:sz w:val="20"/>
                <w:szCs w:val="20"/>
              </w:rPr>
              <w:t>0.6 (-2.5, 3.6)</w:t>
            </w:r>
          </w:p>
        </w:tc>
        <w:tc>
          <w:tcPr>
            <w:tcW w:w="1842" w:type="dxa"/>
            <w:tcBorders>
              <w:top w:val="single" w:sz="4" w:space="0" w:color="000000"/>
              <w:left w:val="single" w:sz="4" w:space="0" w:color="000000"/>
              <w:bottom w:val="single" w:sz="4" w:space="0" w:color="000000"/>
              <w:right w:val="single" w:sz="4" w:space="0" w:color="000000"/>
            </w:tcBorders>
          </w:tcPr>
          <w:p w14:paraId="3AB74336"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239A3E1E"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highlight w:val="yellow"/>
              </w:rPr>
            </w:pPr>
            <w:r w:rsidRPr="006467DC">
              <w:rPr>
                <w:rFonts w:ascii="Arial Narrow" w:hAnsi="Arial Narrow" w:cs="Calibri"/>
                <w:sz w:val="20"/>
                <w:szCs w:val="20"/>
              </w:rPr>
              <w:t>4.5 (1.5, 7.6)</w:t>
            </w:r>
          </w:p>
        </w:tc>
        <w:tc>
          <w:tcPr>
            <w:tcW w:w="1986" w:type="dxa"/>
            <w:tcBorders>
              <w:top w:val="single" w:sz="4" w:space="0" w:color="000000"/>
              <w:left w:val="single" w:sz="4" w:space="0" w:color="000000"/>
              <w:bottom w:val="single" w:sz="4" w:space="0" w:color="000000"/>
              <w:right w:val="single" w:sz="4" w:space="0" w:color="000000"/>
            </w:tcBorders>
          </w:tcPr>
          <w:p w14:paraId="6F4DD405" w14:textId="77777777" w:rsidR="00F7742C" w:rsidRPr="006467DC" w:rsidRDefault="00F7742C" w:rsidP="00F7742C">
            <w:pPr>
              <w:kinsoku w:val="0"/>
              <w:overflowPunct w:val="0"/>
              <w:autoSpaceDE w:val="0"/>
              <w:autoSpaceDN w:val="0"/>
              <w:adjustRightInd w:val="0"/>
              <w:spacing w:after="0" w:line="240" w:lineRule="auto"/>
              <w:ind w:left="-2" w:firstLine="2"/>
              <w:jc w:val="center"/>
              <w:rPr>
                <w:rFonts w:ascii="Arial Narrow" w:hAnsi="Arial Narrow" w:cs="Calibri"/>
                <w:sz w:val="20"/>
                <w:szCs w:val="20"/>
              </w:rPr>
            </w:pPr>
          </w:p>
          <w:p w14:paraId="17CBBCD4" w14:textId="77777777" w:rsidR="00F7742C" w:rsidRPr="006467DC" w:rsidRDefault="00F7742C" w:rsidP="00F7742C">
            <w:pPr>
              <w:kinsoku w:val="0"/>
              <w:overflowPunct w:val="0"/>
              <w:autoSpaceDE w:val="0"/>
              <w:autoSpaceDN w:val="0"/>
              <w:adjustRightInd w:val="0"/>
              <w:spacing w:after="0" w:line="240" w:lineRule="auto"/>
              <w:ind w:left="-2" w:firstLine="2"/>
              <w:jc w:val="center"/>
              <w:rPr>
                <w:rFonts w:ascii="Arial Narrow" w:hAnsi="Arial Narrow" w:cs="Calibri"/>
                <w:sz w:val="20"/>
                <w:szCs w:val="20"/>
                <w:highlight w:val="yellow"/>
              </w:rPr>
            </w:pPr>
            <w:r w:rsidRPr="006467DC">
              <w:rPr>
                <w:rFonts w:ascii="Arial Narrow" w:hAnsi="Arial Narrow" w:cs="Calibri"/>
                <w:sz w:val="20"/>
                <w:szCs w:val="20"/>
              </w:rPr>
              <w:t>4.0 (-0.3, 8.3) NS</w:t>
            </w:r>
          </w:p>
        </w:tc>
      </w:tr>
      <w:tr w:rsidR="00F7742C" w:rsidRPr="006467DC" w14:paraId="10B06D7F" w14:textId="77777777" w:rsidTr="00F7742C">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72DF502A"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P079 Conard 2008</w:t>
            </w:r>
            <w:r w:rsidRPr="006467DC">
              <w:rPr>
                <w:rFonts w:ascii="Arial Narrow" w:hAnsi="Arial Narrow" w:cs="Calibri"/>
                <w:spacing w:val="-1"/>
                <w:sz w:val="20"/>
                <w:szCs w:val="20"/>
                <w:vertAlign w:val="superscript"/>
              </w:rPr>
              <w:t>2</w:t>
            </w:r>
          </w:p>
          <w:p w14:paraId="7C134E45"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16"/>
                <w:szCs w:val="16"/>
              </w:rPr>
            </w:pPr>
            <w:r w:rsidRPr="006467DC">
              <w:rPr>
                <w:rFonts w:ascii="Arial Narrow" w:hAnsi="Arial Narrow" w:cs="Calibri"/>
                <w:spacing w:val="-1"/>
                <w:sz w:val="16"/>
                <w:szCs w:val="16"/>
              </w:rPr>
              <w:t>ATOR 20 (run in)</w:t>
            </w:r>
          </w:p>
          <w:p w14:paraId="0BAEA661"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ATOR 40</w:t>
            </w:r>
          </w:p>
          <w:p w14:paraId="46318DB6"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6165AFA"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52AD1D2F"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5645715C"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98^</w:t>
            </w:r>
          </w:p>
        </w:tc>
        <w:tc>
          <w:tcPr>
            <w:tcW w:w="851" w:type="dxa"/>
            <w:tcBorders>
              <w:top w:val="single" w:sz="4" w:space="0" w:color="000000"/>
              <w:left w:val="single" w:sz="4" w:space="0" w:color="000000"/>
              <w:bottom w:val="single" w:sz="4" w:space="0" w:color="000000"/>
              <w:right w:val="single" w:sz="4" w:space="0" w:color="000000"/>
            </w:tcBorders>
          </w:tcPr>
          <w:p w14:paraId="411AB5BB"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38BAA292"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6AFB9A7F"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1.34</w:t>
            </w:r>
          </w:p>
        </w:tc>
        <w:tc>
          <w:tcPr>
            <w:tcW w:w="850" w:type="dxa"/>
            <w:tcBorders>
              <w:top w:val="single" w:sz="4" w:space="0" w:color="000000"/>
              <w:left w:val="single" w:sz="4" w:space="0" w:color="000000"/>
              <w:bottom w:val="single" w:sz="4" w:space="0" w:color="000000"/>
              <w:right w:val="single" w:sz="4" w:space="0" w:color="000000"/>
            </w:tcBorders>
          </w:tcPr>
          <w:p w14:paraId="5162E3B6"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59C69468"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32384B13"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34A4E3F5" w14:textId="77777777" w:rsidR="00F7742C" w:rsidRPr="006467DC" w:rsidRDefault="00F7742C" w:rsidP="00F7742C">
            <w:pPr>
              <w:kinsoku w:val="0"/>
              <w:overflowPunct w:val="0"/>
              <w:autoSpaceDE w:val="0"/>
              <w:autoSpaceDN w:val="0"/>
              <w:adjustRightInd w:val="0"/>
              <w:spacing w:after="0" w:line="240" w:lineRule="auto"/>
              <w:ind w:right="142"/>
              <w:jc w:val="center"/>
              <w:rPr>
                <w:rFonts w:ascii="Arial Narrow" w:hAnsi="Arial Narrow" w:cs="Calibri"/>
                <w:spacing w:val="-1"/>
                <w:sz w:val="20"/>
                <w:szCs w:val="20"/>
              </w:rPr>
            </w:pPr>
          </w:p>
          <w:p w14:paraId="34C9EF7E" w14:textId="77777777" w:rsidR="00F7742C" w:rsidRPr="006467DC" w:rsidRDefault="00F7742C" w:rsidP="00F7742C">
            <w:pPr>
              <w:kinsoku w:val="0"/>
              <w:overflowPunct w:val="0"/>
              <w:autoSpaceDE w:val="0"/>
              <w:autoSpaceDN w:val="0"/>
              <w:adjustRightInd w:val="0"/>
              <w:spacing w:after="0" w:line="240" w:lineRule="auto"/>
              <w:ind w:left="14"/>
              <w:jc w:val="center"/>
              <w:rPr>
                <w:rFonts w:ascii="Arial Narrow" w:hAnsi="Arial Narrow" w:cs="Calibri"/>
                <w:spacing w:val="-1"/>
                <w:sz w:val="20"/>
                <w:szCs w:val="20"/>
              </w:rPr>
            </w:pPr>
            <w:r w:rsidRPr="006467DC">
              <w:rPr>
                <w:rFonts w:ascii="Arial Narrow" w:hAnsi="Arial Narrow" w:cs="Calibri"/>
                <w:spacing w:val="-1"/>
                <w:sz w:val="20"/>
                <w:szCs w:val="20"/>
              </w:rPr>
              <w:t>EZ+ATOR 20</w:t>
            </w:r>
          </w:p>
          <w:p w14:paraId="41F5852C" w14:textId="77777777" w:rsidR="00F7742C" w:rsidRPr="006467DC" w:rsidRDefault="00F7742C" w:rsidP="00F7742C">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302BF02" w14:textId="77777777" w:rsidR="00F7742C" w:rsidRPr="006467DC" w:rsidRDefault="00F7742C" w:rsidP="00F7742C">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p w14:paraId="1B6650EC" w14:textId="77777777" w:rsidR="00F7742C" w:rsidRPr="006467DC" w:rsidRDefault="00F7742C" w:rsidP="00F7742C">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p w14:paraId="3F3B331F" w14:textId="77777777" w:rsidR="00F7742C" w:rsidRPr="006467DC" w:rsidRDefault="00F7742C" w:rsidP="00F7742C">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98^</w:t>
            </w:r>
          </w:p>
        </w:tc>
        <w:tc>
          <w:tcPr>
            <w:tcW w:w="851" w:type="dxa"/>
            <w:tcBorders>
              <w:top w:val="single" w:sz="4" w:space="0" w:color="000000"/>
              <w:left w:val="single" w:sz="4" w:space="0" w:color="000000"/>
              <w:bottom w:val="single" w:sz="4" w:space="0" w:color="000000"/>
              <w:right w:val="single" w:sz="4" w:space="0" w:color="000000"/>
            </w:tcBorders>
          </w:tcPr>
          <w:p w14:paraId="5D24FE62"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6F3FD26F"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7E78EE8C"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1.32</w:t>
            </w:r>
          </w:p>
        </w:tc>
        <w:tc>
          <w:tcPr>
            <w:tcW w:w="850" w:type="dxa"/>
            <w:tcBorders>
              <w:top w:val="single" w:sz="4" w:space="0" w:color="000000"/>
              <w:left w:val="single" w:sz="4" w:space="0" w:color="000000"/>
              <w:bottom w:val="single" w:sz="4" w:space="0" w:color="000000"/>
              <w:right w:val="single" w:sz="4" w:space="0" w:color="000000"/>
            </w:tcBorders>
          </w:tcPr>
          <w:p w14:paraId="00646561"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2691D8BC"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p>
          <w:p w14:paraId="44347B5D"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2C6D898F"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01430693"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035FDDCB"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highlight w:val="yellow"/>
              </w:rPr>
            </w:pPr>
            <w:r w:rsidRPr="006467DC">
              <w:rPr>
                <w:rFonts w:ascii="Arial Narrow" w:hAnsi="Arial Narrow" w:cs="Calibri"/>
                <w:sz w:val="20"/>
                <w:szCs w:val="20"/>
              </w:rPr>
              <w:t>1 (-2, 4)</w:t>
            </w:r>
          </w:p>
        </w:tc>
        <w:tc>
          <w:tcPr>
            <w:tcW w:w="1842" w:type="dxa"/>
            <w:tcBorders>
              <w:top w:val="single" w:sz="4" w:space="0" w:color="000000"/>
              <w:left w:val="single" w:sz="4" w:space="0" w:color="000000"/>
              <w:bottom w:val="single" w:sz="4" w:space="0" w:color="000000"/>
              <w:right w:val="single" w:sz="4" w:space="0" w:color="000000"/>
            </w:tcBorders>
          </w:tcPr>
          <w:p w14:paraId="0FCC648E"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2F3A5637"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6C0A4025" w14:textId="77777777" w:rsidR="00F7742C" w:rsidRPr="006467DC" w:rsidRDefault="00F7742C" w:rsidP="00F7742C">
            <w:pPr>
              <w:kinsoku w:val="0"/>
              <w:overflowPunct w:val="0"/>
              <w:autoSpaceDE w:val="0"/>
              <w:autoSpaceDN w:val="0"/>
              <w:adjustRightInd w:val="0"/>
              <w:spacing w:after="0" w:line="240" w:lineRule="auto"/>
              <w:ind w:left="191"/>
              <w:jc w:val="center"/>
              <w:rPr>
                <w:rFonts w:ascii="Arial Narrow" w:hAnsi="Arial Narrow" w:cs="Calibri"/>
                <w:sz w:val="20"/>
                <w:szCs w:val="20"/>
                <w:highlight w:val="yellow"/>
              </w:rPr>
            </w:pPr>
            <w:r w:rsidRPr="006467DC">
              <w:rPr>
                <w:rFonts w:ascii="Arial Narrow" w:hAnsi="Arial Narrow" w:cs="Calibri"/>
                <w:sz w:val="20"/>
                <w:szCs w:val="20"/>
              </w:rPr>
              <w:t>3 (0, 6)</w:t>
            </w:r>
          </w:p>
        </w:tc>
        <w:tc>
          <w:tcPr>
            <w:tcW w:w="1986" w:type="dxa"/>
            <w:tcBorders>
              <w:top w:val="single" w:sz="4" w:space="0" w:color="000000"/>
              <w:left w:val="single" w:sz="4" w:space="0" w:color="000000"/>
              <w:bottom w:val="single" w:sz="4" w:space="0" w:color="000000"/>
              <w:right w:val="single" w:sz="4" w:space="0" w:color="000000"/>
            </w:tcBorders>
          </w:tcPr>
          <w:p w14:paraId="604BB863"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53ED8C00"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5B20B444" w14:textId="77777777" w:rsidR="00F7742C" w:rsidRPr="006467DC" w:rsidRDefault="00F7742C" w:rsidP="00F7742C">
            <w:pPr>
              <w:kinsoku w:val="0"/>
              <w:overflowPunct w:val="0"/>
              <w:autoSpaceDE w:val="0"/>
              <w:autoSpaceDN w:val="0"/>
              <w:adjustRightInd w:val="0"/>
              <w:spacing w:after="0" w:line="240" w:lineRule="auto"/>
              <w:ind w:left="-2" w:firstLine="2"/>
              <w:jc w:val="center"/>
              <w:rPr>
                <w:rFonts w:ascii="Arial Narrow" w:hAnsi="Arial Narrow" w:cs="Calibri"/>
                <w:sz w:val="20"/>
                <w:szCs w:val="20"/>
                <w:highlight w:val="yellow"/>
              </w:rPr>
            </w:pPr>
            <w:r w:rsidRPr="006467DC">
              <w:rPr>
                <w:rFonts w:ascii="Arial Narrow" w:hAnsi="Arial Narrow" w:cs="Calibri" w:hint="eastAsia"/>
                <w:sz w:val="20"/>
                <w:szCs w:val="20"/>
              </w:rPr>
              <w:t>2</w:t>
            </w:r>
            <w:r w:rsidRPr="006467DC">
              <w:rPr>
                <w:rFonts w:ascii="Arial Narrow" w:hAnsi="Arial Narrow" w:cs="Calibri"/>
                <w:sz w:val="20"/>
                <w:szCs w:val="20"/>
              </w:rPr>
              <w:t xml:space="preserve"> (-2, 7)</w:t>
            </w:r>
            <w:r w:rsidRPr="006467DC">
              <w:rPr>
                <w:rFonts w:ascii="Arial Narrow" w:hAnsi="Arial Narrow" w:cs="Calibri"/>
                <w:spacing w:val="-1"/>
                <w:sz w:val="20"/>
                <w:szCs w:val="20"/>
              </w:rPr>
              <w:t xml:space="preserve"> NS</w:t>
            </w:r>
          </w:p>
        </w:tc>
      </w:tr>
      <w:tr w:rsidR="00F7742C" w:rsidRPr="006467DC" w14:paraId="5E7F672E" w14:textId="77777777" w:rsidTr="00F7742C">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5B655DFA"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Lee 2013</w:t>
            </w:r>
            <w:r w:rsidRPr="006467DC">
              <w:rPr>
                <w:rFonts w:ascii="Arial Narrow" w:hAnsi="Arial Narrow" w:cs="Calibri"/>
                <w:spacing w:val="-1"/>
                <w:sz w:val="20"/>
                <w:szCs w:val="20"/>
                <w:vertAlign w:val="superscript"/>
              </w:rPr>
              <w:t>1</w:t>
            </w:r>
            <w:r w:rsidRPr="006467DC">
              <w:rPr>
                <w:rFonts w:ascii="Arial Narrow" w:hAnsi="Arial Narrow" w:cs="Calibri"/>
                <w:spacing w:val="-1"/>
                <w:sz w:val="20"/>
                <w:szCs w:val="20"/>
              </w:rPr>
              <w:t xml:space="preserve"> </w:t>
            </w:r>
          </w:p>
          <w:p w14:paraId="5AD32C8A" w14:textId="77777777" w:rsidR="00F7742C" w:rsidRPr="006467DC" w:rsidRDefault="00F7742C" w:rsidP="00F7742C">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ATOR 20</w:t>
            </w:r>
          </w:p>
        </w:tc>
        <w:tc>
          <w:tcPr>
            <w:tcW w:w="992" w:type="dxa"/>
            <w:tcBorders>
              <w:top w:val="single" w:sz="4" w:space="0" w:color="000000"/>
              <w:left w:val="single" w:sz="4" w:space="0" w:color="000000"/>
              <w:bottom w:val="single" w:sz="4" w:space="0" w:color="000000"/>
              <w:right w:val="single" w:sz="4" w:space="0" w:color="000000"/>
            </w:tcBorders>
          </w:tcPr>
          <w:p w14:paraId="72609979"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7EECB402" w14:textId="77777777" w:rsidR="00F7742C" w:rsidRPr="006467DC" w:rsidRDefault="00F7742C" w:rsidP="00F7742C">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63</w:t>
            </w:r>
          </w:p>
        </w:tc>
        <w:tc>
          <w:tcPr>
            <w:tcW w:w="851" w:type="dxa"/>
            <w:tcBorders>
              <w:top w:val="single" w:sz="4" w:space="0" w:color="000000"/>
              <w:left w:val="single" w:sz="4" w:space="0" w:color="000000"/>
              <w:bottom w:val="single" w:sz="4" w:space="0" w:color="000000"/>
              <w:right w:val="single" w:sz="4" w:space="0" w:color="000000"/>
            </w:tcBorders>
          </w:tcPr>
          <w:p w14:paraId="59C2B712"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1DF6219B"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1.24</w:t>
            </w:r>
          </w:p>
        </w:tc>
        <w:tc>
          <w:tcPr>
            <w:tcW w:w="850" w:type="dxa"/>
            <w:tcBorders>
              <w:top w:val="single" w:sz="4" w:space="0" w:color="000000"/>
              <w:left w:val="single" w:sz="4" w:space="0" w:color="000000"/>
              <w:bottom w:val="single" w:sz="4" w:space="0" w:color="000000"/>
              <w:right w:val="single" w:sz="4" w:space="0" w:color="000000"/>
            </w:tcBorders>
          </w:tcPr>
          <w:p w14:paraId="0673F8A6" w14:textId="77777777" w:rsidR="00F7742C" w:rsidRPr="006467DC" w:rsidRDefault="00F7742C" w:rsidP="00F7742C">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p w14:paraId="2A16BAC5" w14:textId="77777777" w:rsidR="00F7742C" w:rsidRPr="006467DC" w:rsidRDefault="00F7742C" w:rsidP="00F7742C">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r w:rsidRPr="006467DC">
              <w:rPr>
                <w:rFonts w:ascii="Arial Narrow" w:hAnsi="Arial Narrow" w:cs="Calibri"/>
                <w:spacing w:val="-1"/>
                <w:sz w:val="20"/>
                <w:szCs w:val="20"/>
              </w:rPr>
              <w:t>1.22</w:t>
            </w:r>
          </w:p>
        </w:tc>
        <w:tc>
          <w:tcPr>
            <w:tcW w:w="2268" w:type="dxa"/>
            <w:tcBorders>
              <w:top w:val="single" w:sz="4" w:space="0" w:color="000000"/>
              <w:left w:val="single" w:sz="4" w:space="0" w:color="000000"/>
              <w:bottom w:val="single" w:sz="4" w:space="0" w:color="000000"/>
              <w:right w:val="single" w:sz="4" w:space="0" w:color="000000"/>
            </w:tcBorders>
            <w:vAlign w:val="center"/>
          </w:tcPr>
          <w:p w14:paraId="4507CF77" w14:textId="77777777" w:rsidR="00F7742C" w:rsidRPr="006467DC" w:rsidRDefault="00F7742C" w:rsidP="00F7742C">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r w:rsidRPr="006467DC">
              <w:rPr>
                <w:rFonts w:ascii="Arial Narrow" w:hAnsi="Arial Narrow" w:cs="Calibri"/>
                <w:spacing w:val="-1"/>
                <w:sz w:val="20"/>
                <w:szCs w:val="20"/>
              </w:rPr>
              <w:t>EZ+SIM 20</w:t>
            </w:r>
          </w:p>
        </w:tc>
        <w:tc>
          <w:tcPr>
            <w:tcW w:w="992" w:type="dxa"/>
            <w:tcBorders>
              <w:top w:val="single" w:sz="4" w:space="0" w:color="000000"/>
              <w:left w:val="single" w:sz="4" w:space="0" w:color="000000"/>
              <w:bottom w:val="single" w:sz="4" w:space="0" w:color="000000"/>
              <w:right w:val="single" w:sz="4" w:space="0" w:color="000000"/>
            </w:tcBorders>
          </w:tcPr>
          <w:p w14:paraId="57AECF09"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68497F0F" w14:textId="77777777" w:rsidR="00F7742C" w:rsidRPr="006467DC" w:rsidRDefault="00F7742C" w:rsidP="00F7742C">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62</w:t>
            </w:r>
          </w:p>
        </w:tc>
        <w:tc>
          <w:tcPr>
            <w:tcW w:w="851" w:type="dxa"/>
            <w:tcBorders>
              <w:top w:val="single" w:sz="4" w:space="0" w:color="000000"/>
              <w:left w:val="single" w:sz="4" w:space="0" w:color="000000"/>
              <w:bottom w:val="single" w:sz="4" w:space="0" w:color="000000"/>
              <w:right w:val="single" w:sz="4" w:space="0" w:color="000000"/>
            </w:tcBorders>
          </w:tcPr>
          <w:p w14:paraId="669C46C7" w14:textId="77777777" w:rsidR="00F7742C" w:rsidRPr="006467DC" w:rsidRDefault="00F7742C" w:rsidP="00F7742C">
            <w:pPr>
              <w:kinsoku w:val="0"/>
              <w:overflowPunct w:val="0"/>
              <w:autoSpaceDE w:val="0"/>
              <w:autoSpaceDN w:val="0"/>
              <w:adjustRightInd w:val="0"/>
              <w:spacing w:after="0" w:line="278" w:lineRule="auto"/>
              <w:jc w:val="center"/>
              <w:rPr>
                <w:rFonts w:ascii="Arial Narrow" w:hAnsi="Arial Narrow" w:cs="Calibri"/>
                <w:spacing w:val="-1"/>
                <w:sz w:val="20"/>
                <w:szCs w:val="20"/>
              </w:rPr>
            </w:pPr>
          </w:p>
          <w:p w14:paraId="14542274" w14:textId="77777777" w:rsidR="00F7742C" w:rsidRPr="006467DC" w:rsidRDefault="00F7742C" w:rsidP="00F7742C">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1.27</w:t>
            </w:r>
          </w:p>
        </w:tc>
        <w:tc>
          <w:tcPr>
            <w:tcW w:w="850" w:type="dxa"/>
            <w:tcBorders>
              <w:top w:val="single" w:sz="4" w:space="0" w:color="000000"/>
              <w:left w:val="single" w:sz="4" w:space="0" w:color="000000"/>
              <w:bottom w:val="single" w:sz="4" w:space="0" w:color="000000"/>
              <w:right w:val="single" w:sz="4" w:space="0" w:color="000000"/>
            </w:tcBorders>
          </w:tcPr>
          <w:p w14:paraId="7ABA6DAA" w14:textId="77777777" w:rsidR="00F7742C" w:rsidRPr="006467DC" w:rsidRDefault="00F7742C" w:rsidP="00F7742C">
            <w:pPr>
              <w:kinsoku w:val="0"/>
              <w:overflowPunct w:val="0"/>
              <w:autoSpaceDE w:val="0"/>
              <w:autoSpaceDN w:val="0"/>
              <w:adjustRightInd w:val="0"/>
              <w:spacing w:after="0" w:line="218" w:lineRule="exact"/>
              <w:ind w:right="142"/>
              <w:jc w:val="center"/>
              <w:rPr>
                <w:rFonts w:ascii="Arial Narrow" w:hAnsi="Arial Narrow" w:cs="Calibri"/>
                <w:spacing w:val="-1"/>
                <w:sz w:val="20"/>
                <w:szCs w:val="20"/>
              </w:rPr>
            </w:pPr>
          </w:p>
          <w:p w14:paraId="5D0E156E" w14:textId="77777777" w:rsidR="00F7742C" w:rsidRPr="006467DC" w:rsidRDefault="00F7742C" w:rsidP="00F7742C">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1.32</w:t>
            </w:r>
          </w:p>
        </w:tc>
        <w:tc>
          <w:tcPr>
            <w:tcW w:w="1842" w:type="dxa"/>
            <w:tcBorders>
              <w:top w:val="single" w:sz="4" w:space="0" w:color="000000"/>
              <w:left w:val="single" w:sz="4" w:space="0" w:color="000000"/>
              <w:bottom w:val="single" w:sz="4" w:space="0" w:color="000000"/>
              <w:right w:val="single" w:sz="4" w:space="0" w:color="000000"/>
            </w:tcBorders>
          </w:tcPr>
          <w:p w14:paraId="005914C7"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747EB469" w14:textId="77777777" w:rsidR="00F7742C" w:rsidRPr="006467DC" w:rsidRDefault="00F7742C" w:rsidP="00F7742C">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pacing w:val="-1"/>
                <w:sz w:val="20"/>
                <w:szCs w:val="20"/>
              </w:rPr>
              <w:t>4.2 (12.7)</w:t>
            </w:r>
          </w:p>
        </w:tc>
        <w:tc>
          <w:tcPr>
            <w:tcW w:w="1842" w:type="dxa"/>
            <w:tcBorders>
              <w:top w:val="single" w:sz="4" w:space="0" w:color="000000"/>
              <w:left w:val="single" w:sz="4" w:space="0" w:color="000000"/>
              <w:bottom w:val="single" w:sz="4" w:space="0" w:color="000000"/>
              <w:right w:val="single" w:sz="4" w:space="0" w:color="000000"/>
            </w:tcBorders>
          </w:tcPr>
          <w:p w14:paraId="3BDC2119" w14:textId="77777777" w:rsidR="00F7742C" w:rsidRPr="006467DC" w:rsidRDefault="00F7742C" w:rsidP="00F7742C">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06EE952D"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pacing w:val="-1"/>
                <w:sz w:val="20"/>
                <w:szCs w:val="20"/>
              </w:rPr>
              <w:t>-0.2 (14.8)</w:t>
            </w:r>
          </w:p>
        </w:tc>
        <w:tc>
          <w:tcPr>
            <w:tcW w:w="1986" w:type="dxa"/>
            <w:tcBorders>
              <w:top w:val="single" w:sz="4" w:space="0" w:color="000000"/>
              <w:left w:val="single" w:sz="4" w:space="0" w:color="000000"/>
              <w:bottom w:val="single" w:sz="4" w:space="0" w:color="000000"/>
              <w:right w:val="single" w:sz="4" w:space="0" w:color="000000"/>
            </w:tcBorders>
          </w:tcPr>
          <w:p w14:paraId="09DD91B4" w14:textId="77777777" w:rsidR="00F7742C" w:rsidRPr="006467DC" w:rsidRDefault="00F7742C" w:rsidP="00F7742C">
            <w:pPr>
              <w:kinsoku w:val="0"/>
              <w:overflowPunct w:val="0"/>
              <w:autoSpaceDE w:val="0"/>
              <w:autoSpaceDN w:val="0"/>
              <w:adjustRightInd w:val="0"/>
              <w:spacing w:after="0" w:line="278" w:lineRule="auto"/>
              <w:ind w:left="142" w:hanging="1"/>
              <w:jc w:val="center"/>
              <w:rPr>
                <w:rFonts w:ascii="Arial Narrow" w:hAnsi="Arial Narrow" w:cs="Calibri"/>
                <w:sz w:val="20"/>
                <w:szCs w:val="20"/>
              </w:rPr>
            </w:pPr>
          </w:p>
          <w:p w14:paraId="142B5C44" w14:textId="77777777" w:rsidR="00F7742C" w:rsidRPr="006467DC" w:rsidRDefault="00F7742C" w:rsidP="00F7742C">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 xml:space="preserve">NR </w:t>
            </w:r>
            <w:r w:rsidRPr="004145DA">
              <w:rPr>
                <w:rFonts w:ascii="Arial Narrow" w:hAnsi="Arial Narrow" w:cs="Calibri"/>
                <w:sz w:val="20"/>
                <w:szCs w:val="20"/>
              </w:rPr>
              <w:t>(NS)</w:t>
            </w:r>
          </w:p>
        </w:tc>
      </w:tr>
      <w:tr w:rsidR="00577609" w:rsidRPr="006467DC" w14:paraId="4C95B084" w14:textId="77777777" w:rsidTr="00D666E2">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2DD23E0C" w14:textId="77777777" w:rsidR="00577609" w:rsidRPr="006467DC" w:rsidRDefault="00577609" w:rsidP="00577609">
            <w:pPr>
              <w:kinsoku w:val="0"/>
              <w:overflowPunct w:val="0"/>
              <w:autoSpaceDE w:val="0"/>
              <w:autoSpaceDN w:val="0"/>
              <w:adjustRightInd w:val="0"/>
              <w:spacing w:after="0" w:line="240" w:lineRule="auto"/>
              <w:ind w:left="102"/>
              <w:rPr>
                <w:rFonts w:ascii="Arial Narrow" w:hAnsi="Arial Narrow" w:cs="Calibri"/>
                <w:sz w:val="20"/>
                <w:szCs w:val="20"/>
              </w:rPr>
            </w:pPr>
            <w:r w:rsidRPr="006467DC">
              <w:rPr>
                <w:rFonts w:ascii="Arial Narrow" w:hAnsi="Arial Narrow" w:cs="Calibri"/>
                <w:spacing w:val="-1"/>
                <w:sz w:val="20"/>
                <w:szCs w:val="20"/>
              </w:rPr>
              <w:t>Garcia 2016</w:t>
            </w:r>
            <w:r w:rsidRPr="006467DC">
              <w:rPr>
                <w:rFonts w:ascii="Arial Narrow" w:hAnsi="Arial Narrow" w:cs="Calibri"/>
                <w:spacing w:val="-1"/>
                <w:sz w:val="20"/>
                <w:szCs w:val="20"/>
                <w:vertAlign w:val="superscript"/>
              </w:rPr>
              <w:t>1</w:t>
            </w:r>
            <w:r w:rsidRPr="006467DC">
              <w:rPr>
                <w:rFonts w:ascii="Arial Narrow" w:hAnsi="Arial Narrow" w:cs="Calibri"/>
                <w:sz w:val="20"/>
                <w:szCs w:val="20"/>
              </w:rPr>
              <w:t xml:space="preserve"> </w:t>
            </w:r>
          </w:p>
          <w:p w14:paraId="580413BD" w14:textId="75A310EC" w:rsidR="00577609" w:rsidRPr="006467DC" w:rsidRDefault="00577609" w:rsidP="00577609">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z w:val="20"/>
                <w:szCs w:val="20"/>
              </w:rPr>
              <w:t>SIM 80</w:t>
            </w:r>
          </w:p>
        </w:tc>
        <w:tc>
          <w:tcPr>
            <w:tcW w:w="992" w:type="dxa"/>
            <w:tcBorders>
              <w:top w:val="single" w:sz="4" w:space="0" w:color="000000"/>
              <w:left w:val="single" w:sz="4" w:space="0" w:color="000000"/>
              <w:bottom w:val="single" w:sz="4" w:space="0" w:color="000000"/>
              <w:right w:val="single" w:sz="4" w:space="0" w:color="000000"/>
            </w:tcBorders>
          </w:tcPr>
          <w:p w14:paraId="0BCD2147" w14:textId="77777777" w:rsidR="00577609" w:rsidRPr="006467DC" w:rsidRDefault="00577609" w:rsidP="00577609">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77C96CA7" w14:textId="578257DD" w:rsidR="00577609" w:rsidRPr="006467DC" w:rsidRDefault="00577609" w:rsidP="00577609">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z w:val="20"/>
                <w:szCs w:val="20"/>
              </w:rPr>
              <w:t>16</w:t>
            </w:r>
          </w:p>
        </w:tc>
        <w:tc>
          <w:tcPr>
            <w:tcW w:w="851" w:type="dxa"/>
            <w:tcBorders>
              <w:top w:val="single" w:sz="4" w:space="0" w:color="000000"/>
              <w:left w:val="single" w:sz="4" w:space="0" w:color="000000"/>
              <w:bottom w:val="single" w:sz="4" w:space="0" w:color="000000"/>
              <w:right w:val="single" w:sz="4" w:space="0" w:color="000000"/>
            </w:tcBorders>
          </w:tcPr>
          <w:p w14:paraId="3E71A688" w14:textId="77777777" w:rsidR="00577609" w:rsidRPr="006467DC" w:rsidRDefault="00577609" w:rsidP="00577609">
            <w:pPr>
              <w:kinsoku w:val="0"/>
              <w:overflowPunct w:val="0"/>
              <w:autoSpaceDE w:val="0"/>
              <w:autoSpaceDN w:val="0"/>
              <w:adjustRightInd w:val="0"/>
              <w:spacing w:after="0" w:line="218" w:lineRule="exact"/>
              <w:jc w:val="center"/>
              <w:rPr>
                <w:rFonts w:ascii="Arial Narrow" w:hAnsi="Arial Narrow" w:cs="Calibri"/>
                <w:sz w:val="20"/>
                <w:szCs w:val="20"/>
              </w:rPr>
            </w:pPr>
          </w:p>
          <w:p w14:paraId="6298A510" w14:textId="290E82CE" w:rsidR="00577609" w:rsidRPr="006467DC" w:rsidRDefault="00577609" w:rsidP="00577609">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1.27</w:t>
            </w:r>
          </w:p>
        </w:tc>
        <w:tc>
          <w:tcPr>
            <w:tcW w:w="850" w:type="dxa"/>
            <w:tcBorders>
              <w:top w:val="single" w:sz="4" w:space="0" w:color="000000"/>
              <w:left w:val="single" w:sz="4" w:space="0" w:color="000000"/>
              <w:bottom w:val="single" w:sz="4" w:space="0" w:color="000000"/>
              <w:right w:val="single" w:sz="4" w:space="0" w:color="000000"/>
            </w:tcBorders>
          </w:tcPr>
          <w:p w14:paraId="2CBCD2AF" w14:textId="77777777" w:rsidR="00577609" w:rsidRPr="006467DC" w:rsidRDefault="00577609" w:rsidP="00577609">
            <w:pPr>
              <w:kinsoku w:val="0"/>
              <w:overflowPunct w:val="0"/>
              <w:autoSpaceDE w:val="0"/>
              <w:autoSpaceDN w:val="0"/>
              <w:adjustRightInd w:val="0"/>
              <w:spacing w:after="0" w:line="240" w:lineRule="auto"/>
              <w:jc w:val="center"/>
              <w:rPr>
                <w:rFonts w:ascii="Arial Narrow" w:hAnsi="Arial Narrow" w:cs="Calibri"/>
                <w:sz w:val="20"/>
                <w:szCs w:val="20"/>
              </w:rPr>
            </w:pPr>
          </w:p>
          <w:p w14:paraId="55660F92" w14:textId="62EB3FBD" w:rsidR="00577609" w:rsidRPr="006467DC" w:rsidRDefault="00577609" w:rsidP="00577609">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1.32</w:t>
            </w:r>
          </w:p>
        </w:tc>
        <w:tc>
          <w:tcPr>
            <w:tcW w:w="2268" w:type="dxa"/>
            <w:tcBorders>
              <w:top w:val="single" w:sz="4" w:space="0" w:color="000000"/>
              <w:left w:val="single" w:sz="4" w:space="0" w:color="000000"/>
              <w:bottom w:val="single" w:sz="4" w:space="0" w:color="000000"/>
              <w:right w:val="single" w:sz="4" w:space="0" w:color="000000"/>
            </w:tcBorders>
          </w:tcPr>
          <w:p w14:paraId="73C25A65" w14:textId="77777777" w:rsidR="00577609" w:rsidRPr="006467DC" w:rsidRDefault="00577609" w:rsidP="00577609">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3765BB30" w14:textId="0212CE74" w:rsidR="00577609" w:rsidRPr="006467DC" w:rsidRDefault="00577609" w:rsidP="00577609">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r w:rsidRPr="006467DC">
              <w:rPr>
                <w:rFonts w:ascii="Arial Narrow" w:hAnsi="Arial Narrow" w:cs="Calibri"/>
                <w:sz w:val="20"/>
                <w:szCs w:val="20"/>
              </w:rPr>
              <w:t>EZ+SIM 10</w:t>
            </w:r>
          </w:p>
        </w:tc>
        <w:tc>
          <w:tcPr>
            <w:tcW w:w="992" w:type="dxa"/>
            <w:tcBorders>
              <w:top w:val="single" w:sz="4" w:space="0" w:color="000000"/>
              <w:left w:val="single" w:sz="4" w:space="0" w:color="000000"/>
              <w:bottom w:val="single" w:sz="4" w:space="0" w:color="000000"/>
              <w:right w:val="single" w:sz="4" w:space="0" w:color="000000"/>
            </w:tcBorders>
          </w:tcPr>
          <w:p w14:paraId="220112F4" w14:textId="77777777" w:rsidR="00577609" w:rsidRPr="006467DC" w:rsidRDefault="00577609" w:rsidP="00577609">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65DF5EDA" w14:textId="1E40DB88" w:rsidR="00577609" w:rsidRPr="006467DC" w:rsidRDefault="00577609" w:rsidP="00577609">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z w:val="20"/>
                <w:szCs w:val="20"/>
              </w:rPr>
              <w:t>16</w:t>
            </w:r>
          </w:p>
        </w:tc>
        <w:tc>
          <w:tcPr>
            <w:tcW w:w="851" w:type="dxa"/>
            <w:tcBorders>
              <w:top w:val="single" w:sz="4" w:space="0" w:color="000000"/>
              <w:left w:val="single" w:sz="4" w:space="0" w:color="000000"/>
              <w:bottom w:val="single" w:sz="4" w:space="0" w:color="000000"/>
              <w:right w:val="single" w:sz="4" w:space="0" w:color="000000"/>
            </w:tcBorders>
          </w:tcPr>
          <w:p w14:paraId="688092DB" w14:textId="77777777" w:rsidR="00577609" w:rsidRPr="006467DC" w:rsidRDefault="00577609" w:rsidP="00577609">
            <w:pPr>
              <w:kinsoku w:val="0"/>
              <w:overflowPunct w:val="0"/>
              <w:autoSpaceDE w:val="0"/>
              <w:autoSpaceDN w:val="0"/>
              <w:adjustRightInd w:val="0"/>
              <w:spacing w:after="0" w:line="218" w:lineRule="exact"/>
              <w:jc w:val="center"/>
              <w:rPr>
                <w:rFonts w:ascii="Arial Narrow" w:hAnsi="Arial Narrow" w:cs="Calibri"/>
                <w:sz w:val="20"/>
                <w:szCs w:val="20"/>
              </w:rPr>
            </w:pPr>
          </w:p>
          <w:p w14:paraId="0B1FA115" w14:textId="278EC67C" w:rsidR="00577609" w:rsidRPr="006467DC" w:rsidRDefault="00577609" w:rsidP="00577609">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1.40</w:t>
            </w:r>
          </w:p>
        </w:tc>
        <w:tc>
          <w:tcPr>
            <w:tcW w:w="850" w:type="dxa"/>
            <w:tcBorders>
              <w:top w:val="single" w:sz="4" w:space="0" w:color="000000"/>
              <w:left w:val="single" w:sz="4" w:space="0" w:color="000000"/>
              <w:bottom w:val="single" w:sz="4" w:space="0" w:color="000000"/>
              <w:right w:val="single" w:sz="4" w:space="0" w:color="000000"/>
            </w:tcBorders>
          </w:tcPr>
          <w:p w14:paraId="2B613E3E" w14:textId="77777777" w:rsidR="00577609" w:rsidRPr="006467DC" w:rsidRDefault="00577609" w:rsidP="00577609">
            <w:pPr>
              <w:kinsoku w:val="0"/>
              <w:overflowPunct w:val="0"/>
              <w:autoSpaceDE w:val="0"/>
              <w:autoSpaceDN w:val="0"/>
              <w:adjustRightInd w:val="0"/>
              <w:spacing w:after="0" w:line="240" w:lineRule="auto"/>
              <w:jc w:val="center"/>
              <w:rPr>
                <w:rFonts w:ascii="Arial Narrow" w:hAnsi="Arial Narrow" w:cs="Calibri"/>
                <w:sz w:val="20"/>
                <w:szCs w:val="20"/>
              </w:rPr>
            </w:pPr>
          </w:p>
          <w:p w14:paraId="5A2448AC" w14:textId="4C9D9708" w:rsidR="00577609" w:rsidRPr="006467DC" w:rsidRDefault="00577609" w:rsidP="00577609">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1.34</w:t>
            </w:r>
          </w:p>
        </w:tc>
        <w:tc>
          <w:tcPr>
            <w:tcW w:w="1842" w:type="dxa"/>
            <w:tcBorders>
              <w:top w:val="single" w:sz="4" w:space="0" w:color="000000"/>
              <w:left w:val="single" w:sz="4" w:space="0" w:color="000000"/>
              <w:bottom w:val="single" w:sz="4" w:space="0" w:color="000000"/>
              <w:right w:val="single" w:sz="4" w:space="0" w:color="000000"/>
            </w:tcBorders>
          </w:tcPr>
          <w:p w14:paraId="54B7E4D2" w14:textId="77777777" w:rsidR="00577609" w:rsidRPr="006467DC" w:rsidRDefault="00577609" w:rsidP="00577609">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3F5246DD" w14:textId="2DD2411B" w:rsidR="00577609" w:rsidRPr="006467DC" w:rsidRDefault="00577609" w:rsidP="00577609">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pacing w:val="-1"/>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209EC26D" w14:textId="77777777" w:rsidR="00577609" w:rsidRPr="006467DC" w:rsidRDefault="00577609" w:rsidP="00577609">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15D6E9EA" w14:textId="05958B52" w:rsidR="00577609" w:rsidRPr="006467DC" w:rsidRDefault="00577609" w:rsidP="00577609">
            <w:pPr>
              <w:kinsoku w:val="0"/>
              <w:overflowPunct w:val="0"/>
              <w:autoSpaceDE w:val="0"/>
              <w:autoSpaceDN w:val="0"/>
              <w:adjustRightInd w:val="0"/>
              <w:spacing w:after="0" w:line="240" w:lineRule="auto"/>
              <w:ind w:left="2" w:hanging="2"/>
              <w:jc w:val="center"/>
              <w:rPr>
                <w:rFonts w:ascii="Arial Narrow" w:hAnsi="Arial Narrow" w:cs="Calibri"/>
                <w:sz w:val="20"/>
                <w:szCs w:val="20"/>
              </w:rPr>
            </w:pPr>
            <w:r w:rsidRPr="006467DC">
              <w:rPr>
                <w:rFonts w:ascii="Arial Narrow" w:hAnsi="Arial Narrow" w:cs="Calibri"/>
                <w:spacing w:val="-1"/>
                <w:sz w:val="20"/>
                <w:szCs w:val="20"/>
              </w:rPr>
              <w:t>NR</w:t>
            </w:r>
          </w:p>
        </w:tc>
        <w:tc>
          <w:tcPr>
            <w:tcW w:w="1986" w:type="dxa"/>
            <w:tcBorders>
              <w:top w:val="single" w:sz="4" w:space="0" w:color="000000"/>
              <w:left w:val="single" w:sz="4" w:space="0" w:color="000000"/>
              <w:bottom w:val="single" w:sz="4" w:space="0" w:color="000000"/>
              <w:right w:val="single" w:sz="4" w:space="0" w:color="000000"/>
            </w:tcBorders>
          </w:tcPr>
          <w:p w14:paraId="550E7359" w14:textId="77777777" w:rsidR="00577609" w:rsidRPr="006467DC" w:rsidRDefault="00577609" w:rsidP="00577609">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03C235C6" w14:textId="266BFDC4" w:rsidR="00577609" w:rsidRPr="006467DC" w:rsidRDefault="00577609" w:rsidP="00577609">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 xml:space="preserve">NR </w:t>
            </w:r>
          </w:p>
        </w:tc>
      </w:tr>
      <w:tr w:rsidR="00FA2B14" w:rsidRPr="006467DC" w14:paraId="73675FB0" w14:textId="77777777" w:rsidTr="00D666E2">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1A6F08AF"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P090 Leiter 2008</w:t>
            </w:r>
            <w:r w:rsidRPr="006467DC">
              <w:rPr>
                <w:rFonts w:ascii="Arial Narrow" w:hAnsi="Arial Narrow" w:cs="Calibri"/>
                <w:spacing w:val="-1"/>
                <w:sz w:val="20"/>
                <w:szCs w:val="20"/>
                <w:vertAlign w:val="superscript"/>
              </w:rPr>
              <w:t>2</w:t>
            </w:r>
          </w:p>
          <w:p w14:paraId="30ACD68D"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16"/>
                <w:szCs w:val="16"/>
              </w:rPr>
            </w:pPr>
            <w:r w:rsidRPr="006467DC">
              <w:rPr>
                <w:rFonts w:ascii="Arial Narrow" w:hAnsi="Arial Narrow" w:cs="Calibri"/>
                <w:spacing w:val="-1"/>
                <w:sz w:val="20"/>
                <w:szCs w:val="20"/>
              </w:rPr>
              <w:t xml:space="preserve">   </w:t>
            </w:r>
            <w:r w:rsidRPr="006467DC">
              <w:rPr>
                <w:rFonts w:ascii="Arial Narrow" w:hAnsi="Arial Narrow" w:cs="Calibri"/>
                <w:spacing w:val="-1"/>
                <w:sz w:val="16"/>
                <w:szCs w:val="16"/>
              </w:rPr>
              <w:t>ATOR 40 (run in)</w:t>
            </w:r>
          </w:p>
          <w:p w14:paraId="22596E37" w14:textId="71AFA2CE"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ATOR 80</w:t>
            </w:r>
          </w:p>
        </w:tc>
        <w:tc>
          <w:tcPr>
            <w:tcW w:w="992" w:type="dxa"/>
            <w:tcBorders>
              <w:top w:val="single" w:sz="4" w:space="0" w:color="000000"/>
              <w:left w:val="single" w:sz="4" w:space="0" w:color="000000"/>
              <w:bottom w:val="single" w:sz="4" w:space="0" w:color="000000"/>
              <w:right w:val="single" w:sz="4" w:space="0" w:color="000000"/>
            </w:tcBorders>
            <w:vAlign w:val="center"/>
          </w:tcPr>
          <w:p w14:paraId="5BE5EFC6" w14:textId="7A05B2E4"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z w:val="20"/>
                <w:szCs w:val="20"/>
              </w:rPr>
            </w:pPr>
            <w:r w:rsidRPr="006467DC">
              <w:rPr>
                <w:rFonts w:ascii="Arial Narrow" w:hAnsi="Arial Narrow" w:cs="Calibri"/>
                <w:spacing w:val="-1"/>
                <w:sz w:val="20"/>
                <w:szCs w:val="20"/>
              </w:rPr>
              <w:t>291^</w:t>
            </w:r>
          </w:p>
        </w:tc>
        <w:tc>
          <w:tcPr>
            <w:tcW w:w="851" w:type="dxa"/>
            <w:tcBorders>
              <w:top w:val="single" w:sz="4" w:space="0" w:color="000000"/>
              <w:left w:val="single" w:sz="4" w:space="0" w:color="000000"/>
              <w:bottom w:val="single" w:sz="4" w:space="0" w:color="000000"/>
              <w:right w:val="single" w:sz="4" w:space="0" w:color="000000"/>
            </w:tcBorders>
            <w:vAlign w:val="center"/>
          </w:tcPr>
          <w:p w14:paraId="1F2C56D3" w14:textId="47ACD0FC"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r w:rsidRPr="006467DC">
              <w:rPr>
                <w:rFonts w:ascii="Arial Narrow" w:hAnsi="Arial Narrow" w:cs="Calibri"/>
                <w:sz w:val="20"/>
                <w:szCs w:val="20"/>
              </w:rPr>
              <w:t>1.22</w:t>
            </w:r>
          </w:p>
        </w:tc>
        <w:tc>
          <w:tcPr>
            <w:tcW w:w="850" w:type="dxa"/>
            <w:tcBorders>
              <w:top w:val="single" w:sz="4" w:space="0" w:color="000000"/>
              <w:left w:val="single" w:sz="4" w:space="0" w:color="000000"/>
              <w:bottom w:val="single" w:sz="4" w:space="0" w:color="000000"/>
              <w:right w:val="single" w:sz="4" w:space="0" w:color="000000"/>
            </w:tcBorders>
            <w:vAlign w:val="center"/>
          </w:tcPr>
          <w:p w14:paraId="030B929B" w14:textId="4BDA2CA3"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6E03EF64" w14:textId="0BEF41EF"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z w:val="20"/>
                <w:szCs w:val="20"/>
              </w:rPr>
            </w:pPr>
            <w:r w:rsidRPr="006467DC">
              <w:rPr>
                <w:rFonts w:ascii="Arial Narrow" w:hAnsi="Arial Narrow" w:cs="Calibri"/>
                <w:spacing w:val="-1"/>
                <w:sz w:val="20"/>
                <w:szCs w:val="20"/>
              </w:rPr>
              <w:t>EZ+ATOR 40</w:t>
            </w:r>
          </w:p>
        </w:tc>
        <w:tc>
          <w:tcPr>
            <w:tcW w:w="992" w:type="dxa"/>
            <w:tcBorders>
              <w:top w:val="single" w:sz="4" w:space="0" w:color="000000"/>
              <w:left w:val="single" w:sz="4" w:space="0" w:color="000000"/>
              <w:bottom w:val="single" w:sz="4" w:space="0" w:color="000000"/>
              <w:right w:val="single" w:sz="4" w:space="0" w:color="000000"/>
            </w:tcBorders>
            <w:vAlign w:val="center"/>
          </w:tcPr>
          <w:p w14:paraId="2803BA2E" w14:textId="74C123B2"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z w:val="20"/>
                <w:szCs w:val="20"/>
              </w:rPr>
            </w:pPr>
            <w:r w:rsidRPr="006467DC">
              <w:rPr>
                <w:rFonts w:ascii="Arial Narrow" w:hAnsi="Arial Narrow" w:cs="Calibri"/>
                <w:spacing w:val="-1"/>
                <w:sz w:val="20"/>
                <w:szCs w:val="20"/>
              </w:rPr>
              <w:t>288^</w:t>
            </w:r>
          </w:p>
        </w:tc>
        <w:tc>
          <w:tcPr>
            <w:tcW w:w="851" w:type="dxa"/>
            <w:tcBorders>
              <w:top w:val="single" w:sz="4" w:space="0" w:color="000000"/>
              <w:left w:val="single" w:sz="4" w:space="0" w:color="000000"/>
              <w:bottom w:val="single" w:sz="4" w:space="0" w:color="000000"/>
              <w:right w:val="single" w:sz="4" w:space="0" w:color="000000"/>
            </w:tcBorders>
            <w:vAlign w:val="center"/>
          </w:tcPr>
          <w:p w14:paraId="320A4204" w14:textId="30835482"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r w:rsidRPr="006467DC">
              <w:rPr>
                <w:rFonts w:ascii="Arial Narrow" w:hAnsi="Arial Narrow" w:cs="Calibri"/>
                <w:sz w:val="20"/>
                <w:szCs w:val="20"/>
              </w:rPr>
              <w:t>1.24</w:t>
            </w:r>
          </w:p>
        </w:tc>
        <w:tc>
          <w:tcPr>
            <w:tcW w:w="850" w:type="dxa"/>
            <w:tcBorders>
              <w:top w:val="single" w:sz="4" w:space="0" w:color="000000"/>
              <w:left w:val="single" w:sz="4" w:space="0" w:color="000000"/>
              <w:bottom w:val="single" w:sz="4" w:space="0" w:color="000000"/>
              <w:right w:val="single" w:sz="4" w:space="0" w:color="000000"/>
            </w:tcBorders>
            <w:vAlign w:val="center"/>
          </w:tcPr>
          <w:p w14:paraId="4E935BFC" w14:textId="394DC7FC"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77FDD055"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063CA5CC" w14:textId="5F2E3926"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z w:val="20"/>
                <w:szCs w:val="20"/>
              </w:rPr>
              <w:t>-1 (-2, 0)</w:t>
            </w:r>
          </w:p>
        </w:tc>
        <w:tc>
          <w:tcPr>
            <w:tcW w:w="1842" w:type="dxa"/>
            <w:tcBorders>
              <w:top w:val="single" w:sz="4" w:space="0" w:color="000000"/>
              <w:left w:val="single" w:sz="4" w:space="0" w:color="000000"/>
              <w:bottom w:val="single" w:sz="4" w:space="0" w:color="000000"/>
              <w:right w:val="single" w:sz="4" w:space="0" w:color="000000"/>
            </w:tcBorders>
          </w:tcPr>
          <w:p w14:paraId="0B5352C8"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5FB12F04" w14:textId="169B6C52"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z w:val="20"/>
                <w:szCs w:val="20"/>
              </w:rPr>
              <w:t>0 (-2, 1)</w:t>
            </w:r>
          </w:p>
        </w:tc>
        <w:tc>
          <w:tcPr>
            <w:tcW w:w="1986" w:type="dxa"/>
            <w:tcBorders>
              <w:top w:val="single" w:sz="4" w:space="0" w:color="000000"/>
              <w:left w:val="single" w:sz="4" w:space="0" w:color="000000"/>
              <w:bottom w:val="single" w:sz="4" w:space="0" w:color="000000"/>
              <w:right w:val="single" w:sz="4" w:space="0" w:color="000000"/>
            </w:tcBorders>
          </w:tcPr>
          <w:p w14:paraId="639738F7" w14:textId="77777777" w:rsidR="00FA2B14" w:rsidRPr="006467DC" w:rsidRDefault="00FA2B14" w:rsidP="00FA2B14">
            <w:pPr>
              <w:kinsoku w:val="0"/>
              <w:overflowPunct w:val="0"/>
              <w:autoSpaceDE w:val="0"/>
              <w:autoSpaceDN w:val="0"/>
              <w:adjustRightInd w:val="0"/>
              <w:spacing w:after="0" w:line="240" w:lineRule="auto"/>
              <w:ind w:left="-2" w:firstLine="2"/>
              <w:jc w:val="center"/>
              <w:rPr>
                <w:rFonts w:ascii="Arial Narrow" w:hAnsi="Arial Narrow" w:cs="Calibri"/>
                <w:sz w:val="20"/>
                <w:szCs w:val="20"/>
              </w:rPr>
            </w:pPr>
          </w:p>
          <w:p w14:paraId="2B65973A" w14:textId="3B7137E5"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Pr>
                <w:rFonts w:ascii="Arial Narrow" w:hAnsi="Arial Narrow" w:cs="Calibri"/>
                <w:sz w:val="20"/>
                <w:szCs w:val="20"/>
              </w:rPr>
              <w:t>1</w:t>
            </w:r>
            <w:r w:rsidRPr="006467DC">
              <w:rPr>
                <w:rFonts w:ascii="Arial Narrow" w:hAnsi="Arial Narrow" w:cs="Calibri"/>
                <w:sz w:val="20"/>
                <w:szCs w:val="20"/>
              </w:rPr>
              <w:t xml:space="preserve"> (-1, 2) (NS)</w:t>
            </w:r>
          </w:p>
        </w:tc>
      </w:tr>
      <w:tr w:rsidR="00FA2B14" w:rsidRPr="006467DC" w14:paraId="6764E699" w14:textId="77777777" w:rsidTr="00F7742C">
        <w:trPr>
          <w:trHeight w:hRule="exact" w:val="275"/>
        </w:trPr>
        <w:tc>
          <w:tcPr>
            <w:tcW w:w="15451" w:type="dxa"/>
            <w:gridSpan w:val="11"/>
            <w:tcBorders>
              <w:top w:val="single" w:sz="4" w:space="0" w:color="000000"/>
              <w:left w:val="single" w:sz="4" w:space="0" w:color="000000"/>
              <w:bottom w:val="single" w:sz="4" w:space="0" w:color="000000"/>
              <w:right w:val="single" w:sz="4" w:space="0" w:color="000000"/>
            </w:tcBorders>
          </w:tcPr>
          <w:p w14:paraId="21983639" w14:textId="77777777" w:rsidR="00FA2B14" w:rsidRPr="006467DC" w:rsidRDefault="00FA2B14" w:rsidP="00FA2B14">
            <w:pPr>
              <w:kinsoku w:val="0"/>
              <w:overflowPunct w:val="0"/>
              <w:autoSpaceDE w:val="0"/>
              <w:autoSpaceDN w:val="0"/>
              <w:adjustRightInd w:val="0"/>
              <w:spacing w:after="0" w:line="240" w:lineRule="auto"/>
              <w:ind w:left="-2" w:firstLine="2"/>
              <w:jc w:val="center"/>
              <w:rPr>
                <w:rFonts w:ascii="Arial Narrow" w:hAnsi="Arial Narrow" w:cs="Calibri"/>
                <w:sz w:val="20"/>
                <w:szCs w:val="20"/>
                <w:highlight w:val="yellow"/>
              </w:rPr>
            </w:pPr>
            <w:r w:rsidRPr="006467DC">
              <w:rPr>
                <w:rFonts w:ascii="Arial Narrow" w:hAnsi="Arial Narrow" w:cs="Calibri"/>
                <w:i/>
                <w:sz w:val="20"/>
                <w:szCs w:val="20"/>
              </w:rPr>
              <w:t>Secondary prevention population</w:t>
            </w:r>
          </w:p>
        </w:tc>
      </w:tr>
      <w:tr w:rsidR="00FA2B14" w:rsidRPr="006467DC" w14:paraId="60B8B46F" w14:textId="77777777" w:rsidTr="00F7742C">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24EF56C6"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Pesaro 2013</w:t>
            </w:r>
            <w:r w:rsidRPr="006467DC">
              <w:rPr>
                <w:rFonts w:ascii="Arial Narrow" w:hAnsi="Arial Narrow" w:cs="Calibri"/>
                <w:spacing w:val="-1"/>
                <w:sz w:val="20"/>
                <w:szCs w:val="20"/>
                <w:vertAlign w:val="superscript"/>
              </w:rPr>
              <w:t>2</w:t>
            </w:r>
            <w:r w:rsidRPr="006467DC">
              <w:rPr>
                <w:rFonts w:ascii="Arial Narrow" w:hAnsi="Arial Narrow" w:cs="Calibri"/>
                <w:spacing w:val="-1"/>
                <w:sz w:val="20"/>
                <w:szCs w:val="20"/>
              </w:rPr>
              <w:t xml:space="preserve"> </w:t>
            </w:r>
          </w:p>
          <w:p w14:paraId="0CE09F95"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t>
            </w:r>
            <w:r w:rsidRPr="006467DC">
              <w:rPr>
                <w:rFonts w:ascii="Arial Narrow" w:hAnsi="Arial Narrow" w:cs="Calibri"/>
                <w:spacing w:val="-1"/>
                <w:sz w:val="16"/>
                <w:szCs w:val="16"/>
              </w:rPr>
              <w:t>SIM 20 (run in)</w:t>
            </w:r>
          </w:p>
          <w:p w14:paraId="2056CCB4"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 SIM 80</w:t>
            </w:r>
          </w:p>
        </w:tc>
        <w:tc>
          <w:tcPr>
            <w:tcW w:w="992" w:type="dxa"/>
            <w:tcBorders>
              <w:top w:val="single" w:sz="4" w:space="0" w:color="000000"/>
              <w:left w:val="single" w:sz="4" w:space="0" w:color="000000"/>
              <w:bottom w:val="single" w:sz="4" w:space="0" w:color="000000"/>
              <w:right w:val="single" w:sz="4" w:space="0" w:color="000000"/>
            </w:tcBorders>
            <w:vAlign w:val="center"/>
          </w:tcPr>
          <w:p w14:paraId="3CF7EA5C"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31</w:t>
            </w:r>
          </w:p>
        </w:tc>
        <w:tc>
          <w:tcPr>
            <w:tcW w:w="851" w:type="dxa"/>
            <w:tcBorders>
              <w:top w:val="single" w:sz="4" w:space="0" w:color="000000"/>
              <w:left w:val="single" w:sz="4" w:space="0" w:color="000000"/>
              <w:bottom w:val="single" w:sz="4" w:space="0" w:color="000000"/>
              <w:right w:val="single" w:sz="4" w:space="0" w:color="000000"/>
            </w:tcBorders>
            <w:vAlign w:val="center"/>
          </w:tcPr>
          <w:p w14:paraId="0DE6A484" w14:textId="77777777" w:rsidR="00FA2B14" w:rsidRPr="006467DC" w:rsidRDefault="00FA2B14" w:rsidP="00FA2B14">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1.14</w:t>
            </w:r>
          </w:p>
        </w:tc>
        <w:tc>
          <w:tcPr>
            <w:tcW w:w="850" w:type="dxa"/>
            <w:tcBorders>
              <w:top w:val="single" w:sz="4" w:space="0" w:color="000000"/>
              <w:left w:val="single" w:sz="4" w:space="0" w:color="000000"/>
              <w:bottom w:val="single" w:sz="4" w:space="0" w:color="000000"/>
              <w:right w:val="single" w:sz="4" w:space="0" w:color="000000"/>
            </w:tcBorders>
            <w:vAlign w:val="center"/>
          </w:tcPr>
          <w:p w14:paraId="64420E4E"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552BA292" w14:textId="77777777" w:rsidR="00FA2B14" w:rsidRPr="006467DC" w:rsidRDefault="00FA2B14" w:rsidP="00FA2B14">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r w:rsidRPr="006467DC">
              <w:rPr>
                <w:rFonts w:ascii="Arial Narrow" w:hAnsi="Arial Narrow" w:cs="Calibri"/>
                <w:spacing w:val="-1"/>
                <w:sz w:val="20"/>
                <w:szCs w:val="20"/>
              </w:rPr>
              <w:t>EZ+SIM 20</w:t>
            </w:r>
          </w:p>
        </w:tc>
        <w:tc>
          <w:tcPr>
            <w:tcW w:w="992" w:type="dxa"/>
            <w:tcBorders>
              <w:top w:val="single" w:sz="4" w:space="0" w:color="000000"/>
              <w:left w:val="single" w:sz="4" w:space="0" w:color="000000"/>
              <w:bottom w:val="single" w:sz="4" w:space="0" w:color="000000"/>
              <w:right w:val="single" w:sz="4" w:space="0" w:color="000000"/>
            </w:tcBorders>
            <w:vAlign w:val="center"/>
          </w:tcPr>
          <w:p w14:paraId="0608ABE3"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37</w:t>
            </w:r>
          </w:p>
        </w:tc>
        <w:tc>
          <w:tcPr>
            <w:tcW w:w="851" w:type="dxa"/>
            <w:tcBorders>
              <w:top w:val="single" w:sz="4" w:space="0" w:color="000000"/>
              <w:left w:val="single" w:sz="4" w:space="0" w:color="000000"/>
              <w:bottom w:val="single" w:sz="4" w:space="0" w:color="000000"/>
              <w:right w:val="single" w:sz="4" w:space="0" w:color="000000"/>
            </w:tcBorders>
            <w:vAlign w:val="center"/>
          </w:tcPr>
          <w:p w14:paraId="15B6C5B6" w14:textId="77777777" w:rsidR="00FA2B14" w:rsidRPr="006467DC" w:rsidRDefault="00FA2B14" w:rsidP="00FA2B14">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1.16</w:t>
            </w:r>
          </w:p>
        </w:tc>
        <w:tc>
          <w:tcPr>
            <w:tcW w:w="850" w:type="dxa"/>
            <w:tcBorders>
              <w:top w:val="single" w:sz="4" w:space="0" w:color="000000"/>
              <w:left w:val="single" w:sz="4" w:space="0" w:color="000000"/>
              <w:bottom w:val="single" w:sz="4" w:space="0" w:color="000000"/>
              <w:right w:val="single" w:sz="4" w:space="0" w:color="000000"/>
            </w:tcBorders>
            <w:vAlign w:val="center"/>
          </w:tcPr>
          <w:p w14:paraId="1FCB8AF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5E9F1A3E"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18BEA7AC"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z w:val="20"/>
                <w:szCs w:val="20"/>
              </w:rPr>
              <w:t>1.6 (14)</w:t>
            </w:r>
          </w:p>
        </w:tc>
        <w:tc>
          <w:tcPr>
            <w:tcW w:w="1842" w:type="dxa"/>
            <w:tcBorders>
              <w:top w:val="single" w:sz="4" w:space="0" w:color="000000"/>
              <w:left w:val="single" w:sz="4" w:space="0" w:color="000000"/>
              <w:bottom w:val="single" w:sz="4" w:space="0" w:color="000000"/>
              <w:right w:val="single" w:sz="4" w:space="0" w:color="000000"/>
            </w:tcBorders>
          </w:tcPr>
          <w:p w14:paraId="65334195"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7A67D1A2"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2.0 (12)</w:t>
            </w:r>
          </w:p>
        </w:tc>
        <w:tc>
          <w:tcPr>
            <w:tcW w:w="1986" w:type="dxa"/>
            <w:tcBorders>
              <w:top w:val="single" w:sz="4" w:space="0" w:color="000000"/>
              <w:left w:val="single" w:sz="4" w:space="0" w:color="000000"/>
              <w:bottom w:val="single" w:sz="4" w:space="0" w:color="000000"/>
              <w:right w:val="single" w:sz="4" w:space="0" w:color="000000"/>
            </w:tcBorders>
          </w:tcPr>
          <w:p w14:paraId="7BE23241"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2FAED1F0"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NR</w:t>
            </w:r>
          </w:p>
        </w:tc>
      </w:tr>
      <w:tr w:rsidR="00FA2B14" w:rsidRPr="006467DC" w14:paraId="3E661AE4" w14:textId="77777777" w:rsidTr="00F7742C">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29CF454F"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Cho 2011</w:t>
            </w:r>
            <w:r w:rsidRPr="006467DC">
              <w:rPr>
                <w:rFonts w:ascii="Arial Narrow" w:hAnsi="Arial Narrow" w:cs="Calibri"/>
                <w:spacing w:val="-1"/>
                <w:sz w:val="20"/>
                <w:szCs w:val="20"/>
                <w:vertAlign w:val="superscript"/>
              </w:rPr>
              <w:t>1</w:t>
            </w:r>
          </w:p>
          <w:p w14:paraId="0FA2C0DE"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lang w:eastAsia="en-US"/>
              </w:rPr>
            </w:pPr>
            <w:r w:rsidRPr="006467DC">
              <w:rPr>
                <w:rFonts w:ascii="Arial Narrow" w:hAnsi="Arial Narrow" w:cs="Calibri"/>
                <w:spacing w:val="-1"/>
                <w:sz w:val="20"/>
                <w:szCs w:val="20"/>
              </w:rPr>
              <w:t>ATOR 20</w:t>
            </w:r>
          </w:p>
        </w:tc>
        <w:tc>
          <w:tcPr>
            <w:tcW w:w="992" w:type="dxa"/>
            <w:tcBorders>
              <w:top w:val="single" w:sz="4" w:space="0" w:color="000000"/>
              <w:left w:val="single" w:sz="4" w:space="0" w:color="000000"/>
              <w:bottom w:val="single" w:sz="4" w:space="0" w:color="000000"/>
              <w:right w:val="single" w:sz="4" w:space="0" w:color="000000"/>
            </w:tcBorders>
          </w:tcPr>
          <w:p w14:paraId="71CDBDF7" w14:textId="77777777" w:rsidR="00FA2B14" w:rsidRPr="006467DC" w:rsidRDefault="00FA2B14" w:rsidP="00FA2B14">
            <w:pPr>
              <w:kinsoku w:val="0"/>
              <w:overflowPunct w:val="0"/>
              <w:autoSpaceDE w:val="0"/>
              <w:autoSpaceDN w:val="0"/>
              <w:adjustRightInd w:val="0"/>
              <w:spacing w:after="0" w:line="240" w:lineRule="auto"/>
              <w:ind w:right="224"/>
              <w:rPr>
                <w:rFonts w:ascii="Arial Narrow" w:hAnsi="Arial Narrow" w:cs="Calibri"/>
                <w:spacing w:val="-1"/>
                <w:sz w:val="20"/>
                <w:szCs w:val="20"/>
              </w:rPr>
            </w:pPr>
          </w:p>
          <w:p w14:paraId="7CFDAB35"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43</w:t>
            </w:r>
          </w:p>
        </w:tc>
        <w:tc>
          <w:tcPr>
            <w:tcW w:w="851" w:type="dxa"/>
            <w:tcBorders>
              <w:top w:val="single" w:sz="4" w:space="0" w:color="000000"/>
              <w:left w:val="single" w:sz="4" w:space="0" w:color="000000"/>
              <w:bottom w:val="single" w:sz="4" w:space="0" w:color="000000"/>
              <w:right w:val="single" w:sz="4" w:space="0" w:color="000000"/>
            </w:tcBorders>
          </w:tcPr>
          <w:p w14:paraId="2A9E0179" w14:textId="77777777" w:rsidR="00FA2B14" w:rsidRPr="006467DC" w:rsidRDefault="00FA2B14" w:rsidP="00FA2B14">
            <w:pPr>
              <w:tabs>
                <w:tab w:val="left" w:pos="849"/>
              </w:tabs>
              <w:kinsoku w:val="0"/>
              <w:overflowPunct w:val="0"/>
              <w:autoSpaceDE w:val="0"/>
              <w:autoSpaceDN w:val="0"/>
              <w:adjustRightInd w:val="0"/>
              <w:spacing w:after="0" w:line="240" w:lineRule="auto"/>
              <w:ind w:right="224"/>
              <w:rPr>
                <w:rFonts w:ascii="Arial Narrow" w:hAnsi="Arial Narrow" w:cs="Calibri"/>
                <w:spacing w:val="-1"/>
                <w:sz w:val="20"/>
                <w:szCs w:val="20"/>
              </w:rPr>
            </w:pPr>
          </w:p>
          <w:p w14:paraId="0AAB441F"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1.19</w:t>
            </w:r>
          </w:p>
        </w:tc>
        <w:tc>
          <w:tcPr>
            <w:tcW w:w="850" w:type="dxa"/>
            <w:tcBorders>
              <w:top w:val="single" w:sz="4" w:space="0" w:color="000000"/>
              <w:left w:val="single" w:sz="4" w:space="0" w:color="000000"/>
              <w:bottom w:val="single" w:sz="4" w:space="0" w:color="000000"/>
              <w:right w:val="single" w:sz="4" w:space="0" w:color="000000"/>
            </w:tcBorders>
          </w:tcPr>
          <w:p w14:paraId="6760FF79" w14:textId="77777777" w:rsidR="00FA2B14" w:rsidRPr="006467DC" w:rsidRDefault="00FA2B14" w:rsidP="00FA2B14">
            <w:pPr>
              <w:kinsoku w:val="0"/>
              <w:overflowPunct w:val="0"/>
              <w:autoSpaceDE w:val="0"/>
              <w:autoSpaceDN w:val="0"/>
              <w:adjustRightInd w:val="0"/>
              <w:spacing w:after="0" w:line="240" w:lineRule="auto"/>
              <w:ind w:right="224"/>
              <w:rPr>
                <w:rFonts w:ascii="Arial Narrow" w:hAnsi="Arial Narrow" w:cs="Calibri"/>
                <w:spacing w:val="-1"/>
                <w:sz w:val="20"/>
                <w:szCs w:val="20"/>
              </w:rPr>
            </w:pPr>
          </w:p>
          <w:p w14:paraId="0F35B73A"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1.21</w:t>
            </w:r>
          </w:p>
        </w:tc>
        <w:tc>
          <w:tcPr>
            <w:tcW w:w="2268" w:type="dxa"/>
            <w:tcBorders>
              <w:top w:val="single" w:sz="4" w:space="0" w:color="000000"/>
              <w:left w:val="single" w:sz="4" w:space="0" w:color="000000"/>
              <w:bottom w:val="single" w:sz="4" w:space="0" w:color="000000"/>
              <w:right w:val="single" w:sz="4" w:space="0" w:color="000000"/>
            </w:tcBorders>
          </w:tcPr>
          <w:p w14:paraId="1AC2DFA0" w14:textId="77777777" w:rsidR="00FA2B14" w:rsidRPr="006467DC" w:rsidRDefault="00FA2B14" w:rsidP="00FA2B14">
            <w:pPr>
              <w:kinsoku w:val="0"/>
              <w:overflowPunct w:val="0"/>
              <w:autoSpaceDE w:val="0"/>
              <w:autoSpaceDN w:val="0"/>
              <w:adjustRightInd w:val="0"/>
              <w:spacing w:after="0" w:line="240" w:lineRule="auto"/>
              <w:ind w:right="142"/>
              <w:jc w:val="center"/>
              <w:rPr>
                <w:rFonts w:ascii="Arial Narrow" w:hAnsi="Arial Narrow" w:cs="Calibri"/>
                <w:spacing w:val="-1"/>
                <w:sz w:val="20"/>
                <w:szCs w:val="20"/>
              </w:rPr>
            </w:pPr>
          </w:p>
          <w:p w14:paraId="4109AF67" w14:textId="77777777" w:rsidR="00FA2B14" w:rsidRPr="006467DC" w:rsidRDefault="00FA2B14" w:rsidP="00FA2B14">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r w:rsidRPr="006467DC">
              <w:rPr>
                <w:rFonts w:ascii="Arial Narrow" w:hAnsi="Arial Narrow" w:cs="Calibri"/>
                <w:spacing w:val="-1"/>
                <w:sz w:val="20"/>
                <w:szCs w:val="20"/>
              </w:rPr>
              <w:t>EZ +SIM 20</w:t>
            </w:r>
          </w:p>
        </w:tc>
        <w:tc>
          <w:tcPr>
            <w:tcW w:w="992" w:type="dxa"/>
            <w:tcBorders>
              <w:top w:val="single" w:sz="4" w:space="0" w:color="000000"/>
              <w:left w:val="single" w:sz="4" w:space="0" w:color="000000"/>
              <w:bottom w:val="single" w:sz="4" w:space="0" w:color="000000"/>
              <w:right w:val="single" w:sz="4" w:space="0" w:color="000000"/>
            </w:tcBorders>
          </w:tcPr>
          <w:p w14:paraId="2B9AD7B0" w14:textId="77777777" w:rsidR="00FA2B14" w:rsidRPr="006467DC" w:rsidRDefault="00FA2B14" w:rsidP="00FA2B14">
            <w:pPr>
              <w:kinsoku w:val="0"/>
              <w:overflowPunct w:val="0"/>
              <w:autoSpaceDE w:val="0"/>
              <w:autoSpaceDN w:val="0"/>
              <w:adjustRightInd w:val="0"/>
              <w:spacing w:after="0" w:line="240" w:lineRule="auto"/>
              <w:ind w:right="155"/>
              <w:jc w:val="center"/>
              <w:rPr>
                <w:rFonts w:ascii="Arial Narrow" w:hAnsi="Arial Narrow" w:cs="Calibri"/>
                <w:spacing w:val="-1"/>
                <w:sz w:val="20"/>
                <w:szCs w:val="20"/>
              </w:rPr>
            </w:pPr>
          </w:p>
          <w:p w14:paraId="6E514989"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42</w:t>
            </w:r>
          </w:p>
        </w:tc>
        <w:tc>
          <w:tcPr>
            <w:tcW w:w="851" w:type="dxa"/>
            <w:tcBorders>
              <w:top w:val="single" w:sz="4" w:space="0" w:color="000000"/>
              <w:left w:val="single" w:sz="4" w:space="0" w:color="000000"/>
              <w:bottom w:val="single" w:sz="4" w:space="0" w:color="000000"/>
              <w:right w:val="single" w:sz="4" w:space="0" w:color="000000"/>
            </w:tcBorders>
          </w:tcPr>
          <w:p w14:paraId="3F7EFB5D" w14:textId="77777777" w:rsidR="00FA2B14" w:rsidRPr="006467DC" w:rsidRDefault="00FA2B14" w:rsidP="00FA2B14">
            <w:pPr>
              <w:tabs>
                <w:tab w:val="left" w:pos="849"/>
              </w:tabs>
              <w:kinsoku w:val="0"/>
              <w:overflowPunct w:val="0"/>
              <w:autoSpaceDE w:val="0"/>
              <w:autoSpaceDN w:val="0"/>
              <w:adjustRightInd w:val="0"/>
              <w:spacing w:after="0" w:line="240" w:lineRule="auto"/>
              <w:jc w:val="center"/>
              <w:rPr>
                <w:rFonts w:ascii="Arial Narrow" w:hAnsi="Arial Narrow" w:cs="Calibri"/>
                <w:spacing w:val="-1"/>
                <w:sz w:val="20"/>
                <w:szCs w:val="20"/>
              </w:rPr>
            </w:pPr>
          </w:p>
          <w:p w14:paraId="057DFC86"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z w:val="20"/>
                <w:szCs w:val="20"/>
              </w:rPr>
            </w:pPr>
            <w:r w:rsidRPr="006467DC">
              <w:rPr>
                <w:rFonts w:ascii="Arial Narrow" w:hAnsi="Arial Narrow" w:cs="Calibri"/>
                <w:spacing w:val="-1"/>
                <w:sz w:val="20"/>
                <w:szCs w:val="20"/>
              </w:rPr>
              <w:t>1.17</w:t>
            </w:r>
          </w:p>
        </w:tc>
        <w:tc>
          <w:tcPr>
            <w:tcW w:w="850" w:type="dxa"/>
            <w:tcBorders>
              <w:top w:val="single" w:sz="4" w:space="0" w:color="000000"/>
              <w:left w:val="single" w:sz="4" w:space="0" w:color="000000"/>
              <w:bottom w:val="single" w:sz="4" w:space="0" w:color="000000"/>
              <w:right w:val="single" w:sz="4" w:space="0" w:color="000000"/>
            </w:tcBorders>
          </w:tcPr>
          <w:p w14:paraId="4D4D5D1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BF864D1"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z w:val="20"/>
                <w:szCs w:val="20"/>
              </w:rPr>
            </w:pPr>
            <w:r w:rsidRPr="006467DC">
              <w:rPr>
                <w:rFonts w:ascii="Arial Narrow" w:hAnsi="Arial Narrow" w:cs="Calibri"/>
                <w:spacing w:val="-1"/>
                <w:sz w:val="20"/>
                <w:szCs w:val="20"/>
              </w:rPr>
              <w:t>1.20</w:t>
            </w:r>
          </w:p>
        </w:tc>
        <w:tc>
          <w:tcPr>
            <w:tcW w:w="1842" w:type="dxa"/>
            <w:tcBorders>
              <w:top w:val="single" w:sz="4" w:space="0" w:color="000000"/>
              <w:left w:val="single" w:sz="4" w:space="0" w:color="000000"/>
              <w:bottom w:val="single" w:sz="4" w:space="0" w:color="000000"/>
              <w:right w:val="single" w:sz="4" w:space="0" w:color="000000"/>
            </w:tcBorders>
          </w:tcPr>
          <w:p w14:paraId="73406144"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07E06884"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pacing w:val="-1"/>
                <w:sz w:val="20"/>
                <w:szCs w:val="20"/>
              </w:rPr>
              <w:t>4.4 (17.8)</w:t>
            </w:r>
          </w:p>
        </w:tc>
        <w:tc>
          <w:tcPr>
            <w:tcW w:w="1842" w:type="dxa"/>
            <w:tcBorders>
              <w:top w:val="single" w:sz="4" w:space="0" w:color="000000"/>
              <w:left w:val="single" w:sz="4" w:space="0" w:color="000000"/>
              <w:bottom w:val="single" w:sz="4" w:space="0" w:color="000000"/>
              <w:right w:val="single" w:sz="4" w:space="0" w:color="000000"/>
            </w:tcBorders>
          </w:tcPr>
          <w:p w14:paraId="4716385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A7C37C6"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pacing w:val="-1"/>
                <w:sz w:val="20"/>
                <w:szCs w:val="20"/>
              </w:rPr>
              <w:t>2.3 (26,6)</w:t>
            </w:r>
          </w:p>
        </w:tc>
        <w:tc>
          <w:tcPr>
            <w:tcW w:w="1986" w:type="dxa"/>
            <w:tcBorders>
              <w:top w:val="single" w:sz="4" w:space="0" w:color="000000"/>
              <w:left w:val="single" w:sz="4" w:space="0" w:color="000000"/>
              <w:bottom w:val="single" w:sz="4" w:space="0" w:color="000000"/>
              <w:right w:val="single" w:sz="4" w:space="0" w:color="000000"/>
            </w:tcBorders>
          </w:tcPr>
          <w:p w14:paraId="4A747C6C"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71D61EBD" w14:textId="77777777" w:rsidR="00FA2B14" w:rsidRPr="006467DC" w:rsidRDefault="00FA2B14" w:rsidP="00FA2B14">
            <w:pPr>
              <w:kinsoku w:val="0"/>
              <w:overflowPunct w:val="0"/>
              <w:autoSpaceDE w:val="0"/>
              <w:autoSpaceDN w:val="0"/>
              <w:adjustRightInd w:val="0"/>
              <w:spacing w:after="0" w:line="278" w:lineRule="auto"/>
              <w:ind w:left="142" w:hanging="1"/>
              <w:jc w:val="center"/>
              <w:rPr>
                <w:rFonts w:ascii="Arial Narrow" w:hAnsi="Arial Narrow" w:cs="Calibri"/>
                <w:sz w:val="20"/>
                <w:szCs w:val="20"/>
              </w:rPr>
            </w:pPr>
            <w:r w:rsidRPr="006467DC">
              <w:rPr>
                <w:rFonts w:ascii="Arial Narrow" w:hAnsi="Arial Narrow" w:cs="Calibri"/>
                <w:sz w:val="20"/>
                <w:szCs w:val="20"/>
              </w:rPr>
              <w:t>NR (NS)</w:t>
            </w:r>
          </w:p>
        </w:tc>
      </w:tr>
      <w:tr w:rsidR="00FA2B14" w:rsidRPr="006467DC" w14:paraId="2365EC37" w14:textId="77777777" w:rsidTr="00F7742C">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6E227BC3"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vertAlign w:val="superscript"/>
              </w:rPr>
            </w:pPr>
            <w:r w:rsidRPr="006467DC">
              <w:rPr>
                <w:rFonts w:ascii="Arial Narrow" w:hAnsi="Arial Narrow" w:cs="Calibri"/>
                <w:spacing w:val="-1"/>
                <w:sz w:val="20"/>
                <w:szCs w:val="20"/>
              </w:rPr>
              <w:t xml:space="preserve">   Barrios 2005</w:t>
            </w:r>
            <w:r w:rsidRPr="006467DC">
              <w:rPr>
                <w:rFonts w:ascii="Arial Narrow" w:hAnsi="Arial Narrow" w:cs="Calibri"/>
                <w:spacing w:val="-1"/>
                <w:sz w:val="20"/>
                <w:szCs w:val="20"/>
                <w:vertAlign w:val="superscript"/>
              </w:rPr>
              <w:t>2</w:t>
            </w:r>
          </w:p>
          <w:p w14:paraId="3BF2C700"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t>
            </w:r>
            <w:r w:rsidRPr="006467DC">
              <w:rPr>
                <w:rFonts w:ascii="Arial Narrow" w:hAnsi="Arial Narrow" w:cs="Calibri"/>
                <w:spacing w:val="-1"/>
                <w:sz w:val="16"/>
                <w:szCs w:val="16"/>
              </w:rPr>
              <w:t>ATOR 10 (run in)</w:t>
            </w:r>
            <w:r w:rsidRPr="006467DC">
              <w:rPr>
                <w:rFonts w:ascii="Arial Narrow" w:hAnsi="Arial Narrow" w:cs="Calibri"/>
                <w:spacing w:val="-1"/>
                <w:sz w:val="20"/>
                <w:szCs w:val="20"/>
              </w:rPr>
              <w:t xml:space="preserve"> </w:t>
            </w:r>
          </w:p>
          <w:p w14:paraId="6BC918D9"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ATOR 20</w:t>
            </w:r>
          </w:p>
          <w:p w14:paraId="1CCB3279"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A5C0654"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776B8B18"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214</w:t>
            </w:r>
          </w:p>
          <w:p w14:paraId="73C41BF7"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571C37F" w14:textId="77777777" w:rsidR="00FA2B14" w:rsidRPr="006467DC" w:rsidRDefault="00FA2B14" w:rsidP="00FA2B14">
            <w:pPr>
              <w:kinsoku w:val="0"/>
              <w:overflowPunct w:val="0"/>
              <w:autoSpaceDE w:val="0"/>
              <w:autoSpaceDN w:val="0"/>
              <w:adjustRightInd w:val="0"/>
              <w:spacing w:after="0" w:line="218" w:lineRule="exact"/>
              <w:rPr>
                <w:rFonts w:ascii="Arial Narrow" w:hAnsi="Arial Narrow" w:cs="Calibri"/>
                <w:spacing w:val="-1"/>
                <w:sz w:val="20"/>
                <w:szCs w:val="20"/>
              </w:rPr>
            </w:pPr>
          </w:p>
          <w:p w14:paraId="3865C737"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1.44</w:t>
            </w:r>
          </w:p>
          <w:p w14:paraId="339847EC" w14:textId="77777777" w:rsidR="00FA2B14" w:rsidRPr="006467DC" w:rsidRDefault="00FA2B14" w:rsidP="00FA2B14">
            <w:pPr>
              <w:kinsoku w:val="0"/>
              <w:overflowPunct w:val="0"/>
              <w:autoSpaceDE w:val="0"/>
              <w:autoSpaceDN w:val="0"/>
              <w:adjustRightInd w:val="0"/>
              <w:spacing w:after="0" w:line="240" w:lineRule="auto"/>
              <w:ind w:right="338"/>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40BF263"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095EAF03"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NR</w:t>
            </w:r>
          </w:p>
          <w:p w14:paraId="106CC110"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737346A" w14:textId="77777777" w:rsidR="00FA2B14" w:rsidRPr="006467DC" w:rsidRDefault="00FA2B14" w:rsidP="00FA2B14">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p>
          <w:p w14:paraId="5BE2A9C9" w14:textId="77777777" w:rsidR="00FA2B14" w:rsidRPr="006467DC" w:rsidRDefault="00FA2B14" w:rsidP="00FA2B14">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r w:rsidRPr="006467DC">
              <w:rPr>
                <w:rFonts w:ascii="Arial Narrow" w:hAnsi="Arial Narrow" w:cs="Calibri"/>
                <w:spacing w:val="-1"/>
                <w:sz w:val="20"/>
                <w:szCs w:val="20"/>
              </w:rPr>
              <w:t>EZ+ SIM 20</w:t>
            </w:r>
          </w:p>
          <w:p w14:paraId="219877B6" w14:textId="77777777" w:rsidR="00FA2B14" w:rsidRPr="006467DC" w:rsidRDefault="00FA2B14" w:rsidP="00FA2B14">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13545F9"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p>
          <w:p w14:paraId="23CA5EE4"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pacing w:val="-1"/>
                <w:sz w:val="20"/>
                <w:szCs w:val="20"/>
              </w:rPr>
              <w:t>221</w:t>
            </w:r>
          </w:p>
          <w:p w14:paraId="25A70701"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3C4715B" w14:textId="77777777" w:rsidR="00FA2B14" w:rsidRPr="006467DC" w:rsidRDefault="00FA2B14" w:rsidP="00FA2B14">
            <w:pPr>
              <w:tabs>
                <w:tab w:val="left" w:pos="849"/>
              </w:tabs>
              <w:kinsoku w:val="0"/>
              <w:overflowPunct w:val="0"/>
              <w:autoSpaceDE w:val="0"/>
              <w:autoSpaceDN w:val="0"/>
              <w:adjustRightInd w:val="0"/>
              <w:spacing w:after="0" w:line="218" w:lineRule="exact"/>
              <w:jc w:val="center"/>
              <w:rPr>
                <w:rFonts w:ascii="Arial Narrow" w:hAnsi="Arial Narrow" w:cs="Calibri"/>
                <w:spacing w:val="-1"/>
                <w:sz w:val="20"/>
                <w:szCs w:val="20"/>
              </w:rPr>
            </w:pPr>
          </w:p>
          <w:p w14:paraId="723D682D" w14:textId="77777777" w:rsidR="00FA2B14" w:rsidRPr="006467DC" w:rsidRDefault="00FA2B14" w:rsidP="00FA2B14">
            <w:pPr>
              <w:tabs>
                <w:tab w:val="left" w:pos="849"/>
              </w:tabs>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1.38</w:t>
            </w:r>
          </w:p>
          <w:p w14:paraId="38D2886D" w14:textId="77777777" w:rsidR="00FA2B14" w:rsidRPr="006467DC" w:rsidRDefault="00FA2B14" w:rsidP="00FA2B14">
            <w:pPr>
              <w:tabs>
                <w:tab w:val="left" w:pos="849"/>
              </w:tabs>
              <w:kinsoku w:val="0"/>
              <w:overflowPunct w:val="0"/>
              <w:autoSpaceDE w:val="0"/>
              <w:autoSpaceDN w:val="0"/>
              <w:adjustRightInd w:val="0"/>
              <w:spacing w:after="0" w:line="240" w:lineRule="auto"/>
              <w:ind w:right="338"/>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FC87DA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4989A1D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p w14:paraId="4012D99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E31AAC7"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42716DFB"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z w:val="20"/>
                <w:szCs w:val="20"/>
              </w:rPr>
              <w:t>-0.4 (0.8)</w:t>
            </w:r>
          </w:p>
          <w:p w14:paraId="14952049"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38044BCA"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17DC51DD"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z w:val="20"/>
                <w:szCs w:val="20"/>
              </w:rPr>
              <w:t>1.8 (0.8)</w:t>
            </w:r>
          </w:p>
          <w:p w14:paraId="7A3D37B7"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center"/>
          </w:tcPr>
          <w:p w14:paraId="198F5CAC"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2BE2E942"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2.5 (1.2)*</w:t>
            </w:r>
          </w:p>
          <w:p w14:paraId="3B1B5A59"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tc>
      </w:tr>
      <w:tr w:rsidR="00FA2B14" w:rsidRPr="006467DC" w14:paraId="3B7EA20F" w14:textId="77777777" w:rsidTr="00F7742C">
        <w:trPr>
          <w:trHeight w:hRule="exact" w:val="850"/>
        </w:trPr>
        <w:tc>
          <w:tcPr>
            <w:tcW w:w="2127" w:type="dxa"/>
            <w:tcBorders>
              <w:top w:val="single" w:sz="4" w:space="0" w:color="000000"/>
              <w:left w:val="single" w:sz="4" w:space="0" w:color="000000"/>
              <w:bottom w:val="single" w:sz="4" w:space="0" w:color="000000"/>
              <w:right w:val="single" w:sz="4" w:space="0" w:color="000000"/>
            </w:tcBorders>
          </w:tcPr>
          <w:p w14:paraId="1823B254"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z w:val="20"/>
                <w:szCs w:val="20"/>
              </w:rPr>
            </w:pPr>
            <w:r w:rsidRPr="006467DC">
              <w:rPr>
                <w:rFonts w:ascii="Arial Narrow" w:hAnsi="Arial Narrow" w:cs="Calibri"/>
                <w:spacing w:val="-1"/>
                <w:sz w:val="20"/>
                <w:szCs w:val="20"/>
              </w:rPr>
              <w:t>Ostad 2009</w:t>
            </w:r>
            <w:r w:rsidRPr="006467DC">
              <w:rPr>
                <w:rFonts w:ascii="Arial Narrow" w:hAnsi="Arial Narrow" w:cs="Calibri"/>
                <w:spacing w:val="-1"/>
                <w:sz w:val="20"/>
                <w:szCs w:val="20"/>
                <w:vertAlign w:val="superscript"/>
              </w:rPr>
              <w:t>2</w:t>
            </w:r>
            <w:r w:rsidRPr="006467DC">
              <w:rPr>
                <w:rFonts w:ascii="Arial Narrow" w:hAnsi="Arial Narrow" w:cs="Calibri"/>
                <w:sz w:val="20"/>
                <w:szCs w:val="20"/>
              </w:rPr>
              <w:t xml:space="preserve"> </w:t>
            </w:r>
          </w:p>
          <w:p w14:paraId="2C7D0AC5"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ATOR 80</w:t>
            </w:r>
          </w:p>
        </w:tc>
        <w:tc>
          <w:tcPr>
            <w:tcW w:w="992" w:type="dxa"/>
            <w:tcBorders>
              <w:top w:val="single" w:sz="4" w:space="0" w:color="000000"/>
              <w:left w:val="single" w:sz="4" w:space="0" w:color="000000"/>
              <w:bottom w:val="single" w:sz="4" w:space="0" w:color="000000"/>
              <w:right w:val="single" w:sz="4" w:space="0" w:color="000000"/>
            </w:tcBorders>
          </w:tcPr>
          <w:p w14:paraId="541301A1"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78326410"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z w:val="20"/>
                <w:szCs w:val="20"/>
              </w:rPr>
              <w:t>24</w:t>
            </w:r>
          </w:p>
        </w:tc>
        <w:tc>
          <w:tcPr>
            <w:tcW w:w="851" w:type="dxa"/>
            <w:tcBorders>
              <w:top w:val="single" w:sz="4" w:space="0" w:color="000000"/>
              <w:left w:val="single" w:sz="4" w:space="0" w:color="000000"/>
              <w:bottom w:val="single" w:sz="4" w:space="0" w:color="000000"/>
              <w:right w:val="single" w:sz="4" w:space="0" w:color="000000"/>
            </w:tcBorders>
          </w:tcPr>
          <w:p w14:paraId="4035AD3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6642733D"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1.34</w:t>
            </w:r>
          </w:p>
        </w:tc>
        <w:tc>
          <w:tcPr>
            <w:tcW w:w="850" w:type="dxa"/>
            <w:tcBorders>
              <w:top w:val="single" w:sz="4" w:space="0" w:color="000000"/>
              <w:left w:val="single" w:sz="4" w:space="0" w:color="000000"/>
              <w:bottom w:val="single" w:sz="4" w:space="0" w:color="000000"/>
              <w:right w:val="single" w:sz="4" w:space="0" w:color="000000"/>
            </w:tcBorders>
          </w:tcPr>
          <w:p w14:paraId="1E4BD2B7" w14:textId="77777777" w:rsidR="00FA2B14" w:rsidRPr="006467DC" w:rsidRDefault="00FA2B14" w:rsidP="00FA2B14">
            <w:pPr>
              <w:kinsoku w:val="0"/>
              <w:overflowPunct w:val="0"/>
              <w:autoSpaceDE w:val="0"/>
              <w:autoSpaceDN w:val="0"/>
              <w:adjustRightInd w:val="0"/>
              <w:spacing w:after="0" w:line="240" w:lineRule="auto"/>
              <w:ind w:right="-1"/>
              <w:jc w:val="center"/>
              <w:rPr>
                <w:rFonts w:ascii="Arial Narrow" w:hAnsi="Arial Narrow" w:cs="Calibri"/>
                <w:sz w:val="20"/>
                <w:szCs w:val="20"/>
              </w:rPr>
            </w:pPr>
          </w:p>
          <w:p w14:paraId="5DDF6B01"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z w:val="20"/>
                <w:szCs w:val="20"/>
              </w:rPr>
              <w:t>1.37</w:t>
            </w:r>
          </w:p>
        </w:tc>
        <w:tc>
          <w:tcPr>
            <w:tcW w:w="2268" w:type="dxa"/>
            <w:tcBorders>
              <w:top w:val="single" w:sz="4" w:space="0" w:color="000000"/>
              <w:left w:val="single" w:sz="4" w:space="0" w:color="000000"/>
              <w:bottom w:val="single" w:sz="4" w:space="0" w:color="000000"/>
              <w:right w:val="single" w:sz="4" w:space="0" w:color="000000"/>
            </w:tcBorders>
          </w:tcPr>
          <w:p w14:paraId="5F18EBD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5A1D69B5" w14:textId="77777777" w:rsidR="00FA2B14" w:rsidRPr="006467DC" w:rsidRDefault="00FA2B14" w:rsidP="00FA2B14">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r w:rsidRPr="006467DC">
              <w:rPr>
                <w:rFonts w:ascii="Arial Narrow" w:hAnsi="Arial Narrow" w:cs="Calibri"/>
                <w:sz w:val="20"/>
                <w:szCs w:val="20"/>
              </w:rPr>
              <w:t>EZ+ATOR 10</w:t>
            </w:r>
          </w:p>
        </w:tc>
        <w:tc>
          <w:tcPr>
            <w:tcW w:w="992" w:type="dxa"/>
            <w:tcBorders>
              <w:top w:val="single" w:sz="4" w:space="0" w:color="000000"/>
              <w:left w:val="single" w:sz="4" w:space="0" w:color="000000"/>
              <w:bottom w:val="single" w:sz="4" w:space="0" w:color="000000"/>
              <w:right w:val="single" w:sz="4" w:space="0" w:color="000000"/>
            </w:tcBorders>
          </w:tcPr>
          <w:p w14:paraId="356D183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354729E2"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z w:val="20"/>
                <w:szCs w:val="20"/>
              </w:rPr>
              <w:t>25</w:t>
            </w:r>
          </w:p>
        </w:tc>
        <w:tc>
          <w:tcPr>
            <w:tcW w:w="851" w:type="dxa"/>
            <w:tcBorders>
              <w:top w:val="single" w:sz="4" w:space="0" w:color="000000"/>
              <w:left w:val="single" w:sz="4" w:space="0" w:color="000000"/>
              <w:bottom w:val="single" w:sz="4" w:space="0" w:color="000000"/>
              <w:right w:val="single" w:sz="4" w:space="0" w:color="000000"/>
            </w:tcBorders>
          </w:tcPr>
          <w:p w14:paraId="061EA18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6026F355" w14:textId="77777777" w:rsidR="00FA2B14" w:rsidRPr="006467DC" w:rsidRDefault="00FA2B14" w:rsidP="00FA2B14">
            <w:pPr>
              <w:tabs>
                <w:tab w:val="left" w:pos="849"/>
              </w:tabs>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z w:val="20"/>
                <w:szCs w:val="20"/>
              </w:rPr>
              <w:t>1.50</w:t>
            </w:r>
          </w:p>
        </w:tc>
        <w:tc>
          <w:tcPr>
            <w:tcW w:w="850" w:type="dxa"/>
            <w:tcBorders>
              <w:top w:val="single" w:sz="4" w:space="0" w:color="000000"/>
              <w:left w:val="single" w:sz="4" w:space="0" w:color="000000"/>
              <w:bottom w:val="single" w:sz="4" w:space="0" w:color="000000"/>
              <w:right w:val="single" w:sz="4" w:space="0" w:color="000000"/>
            </w:tcBorders>
          </w:tcPr>
          <w:p w14:paraId="5151EE6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4F34B0A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1.50</w:t>
            </w:r>
          </w:p>
        </w:tc>
        <w:tc>
          <w:tcPr>
            <w:tcW w:w="1842" w:type="dxa"/>
            <w:tcBorders>
              <w:top w:val="single" w:sz="4" w:space="0" w:color="000000"/>
              <w:left w:val="single" w:sz="4" w:space="0" w:color="000000"/>
              <w:bottom w:val="single" w:sz="4" w:space="0" w:color="000000"/>
              <w:right w:val="single" w:sz="4" w:space="0" w:color="000000"/>
            </w:tcBorders>
          </w:tcPr>
          <w:p w14:paraId="336AB7F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0202D6A"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pacing w:val="-1"/>
                <w:sz w:val="20"/>
                <w:szCs w:val="20"/>
              </w:rPr>
              <w:t>4 (15)</w:t>
            </w:r>
          </w:p>
        </w:tc>
        <w:tc>
          <w:tcPr>
            <w:tcW w:w="1842" w:type="dxa"/>
            <w:tcBorders>
              <w:top w:val="single" w:sz="4" w:space="0" w:color="000000"/>
              <w:left w:val="single" w:sz="4" w:space="0" w:color="000000"/>
              <w:bottom w:val="single" w:sz="4" w:space="0" w:color="000000"/>
              <w:right w:val="single" w:sz="4" w:space="0" w:color="000000"/>
            </w:tcBorders>
          </w:tcPr>
          <w:p w14:paraId="0D7AF53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11DA07C"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pacing w:val="-1"/>
                <w:sz w:val="20"/>
                <w:szCs w:val="20"/>
              </w:rPr>
              <w:t>2 (15)</w:t>
            </w:r>
          </w:p>
        </w:tc>
        <w:tc>
          <w:tcPr>
            <w:tcW w:w="1986" w:type="dxa"/>
            <w:tcBorders>
              <w:top w:val="single" w:sz="4" w:space="0" w:color="000000"/>
              <w:left w:val="single" w:sz="4" w:space="0" w:color="000000"/>
              <w:bottom w:val="single" w:sz="4" w:space="0" w:color="000000"/>
              <w:right w:val="single" w:sz="4" w:space="0" w:color="000000"/>
            </w:tcBorders>
          </w:tcPr>
          <w:p w14:paraId="28A291A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7FBAC759"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NR (NS)</w:t>
            </w:r>
          </w:p>
        </w:tc>
      </w:tr>
      <w:tr w:rsidR="00FA2B14" w:rsidRPr="006467DC" w14:paraId="3FAD2B6B" w14:textId="77777777" w:rsidTr="00F7742C">
        <w:trPr>
          <w:trHeight w:hRule="exact" w:val="289"/>
        </w:trPr>
        <w:tc>
          <w:tcPr>
            <w:tcW w:w="15451" w:type="dxa"/>
            <w:gridSpan w:val="11"/>
            <w:tcBorders>
              <w:top w:val="single" w:sz="4" w:space="0" w:color="000000"/>
              <w:left w:val="single" w:sz="4" w:space="0" w:color="000000"/>
              <w:bottom w:val="single" w:sz="4" w:space="0" w:color="000000"/>
              <w:right w:val="single" w:sz="4" w:space="0" w:color="000000"/>
            </w:tcBorders>
          </w:tcPr>
          <w:p w14:paraId="041BF5B1"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i/>
                <w:sz w:val="20"/>
                <w:szCs w:val="20"/>
              </w:rPr>
              <w:t>Mixed (both primary and secondary) prevention population</w:t>
            </w:r>
          </w:p>
        </w:tc>
      </w:tr>
      <w:tr w:rsidR="00FA2B14" w:rsidRPr="006467DC" w14:paraId="757A9A4E" w14:textId="77777777" w:rsidTr="00D666E2">
        <w:trPr>
          <w:trHeight w:val="737"/>
        </w:trPr>
        <w:tc>
          <w:tcPr>
            <w:tcW w:w="2127" w:type="dxa"/>
            <w:tcBorders>
              <w:top w:val="single" w:sz="4" w:space="0" w:color="000000"/>
              <w:left w:val="single" w:sz="4" w:space="0" w:color="000000"/>
              <w:bottom w:val="single" w:sz="4" w:space="0" w:color="000000"/>
              <w:right w:val="single" w:sz="4" w:space="0" w:color="000000"/>
            </w:tcBorders>
            <w:vAlign w:val="center"/>
          </w:tcPr>
          <w:p w14:paraId="45A64D83" w14:textId="77777777" w:rsidR="00FA2B14" w:rsidRPr="00AB0BB0"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lang w:eastAsia="en-US"/>
              </w:rPr>
              <w:t xml:space="preserve">P021 </w:t>
            </w:r>
            <w:r w:rsidRPr="00AB0BB0">
              <w:rPr>
                <w:rFonts w:ascii="Arial Narrow" w:hAnsi="Arial Narrow" w:cs="Calibri"/>
                <w:spacing w:val="-1"/>
                <w:sz w:val="20"/>
                <w:szCs w:val="20"/>
              </w:rPr>
              <w:t>Gaudiani 2005</w:t>
            </w:r>
            <w:r w:rsidRPr="00AB0BB0">
              <w:rPr>
                <w:rFonts w:ascii="Arial Narrow" w:hAnsi="Arial Narrow" w:cs="Calibri"/>
                <w:spacing w:val="-1"/>
                <w:sz w:val="20"/>
                <w:szCs w:val="20"/>
                <w:vertAlign w:val="superscript"/>
              </w:rPr>
              <w:t>2</w:t>
            </w:r>
          </w:p>
          <w:p w14:paraId="17F88704" w14:textId="77777777" w:rsidR="00FA2B14" w:rsidRPr="00AB0BB0" w:rsidRDefault="00FA2B14" w:rsidP="00FA2B14">
            <w:pPr>
              <w:kinsoku w:val="0"/>
              <w:overflowPunct w:val="0"/>
              <w:autoSpaceDE w:val="0"/>
              <w:autoSpaceDN w:val="0"/>
              <w:adjustRightInd w:val="0"/>
              <w:spacing w:after="0" w:line="240" w:lineRule="auto"/>
              <w:ind w:left="102"/>
              <w:rPr>
                <w:rFonts w:ascii="Arial Narrow" w:hAnsi="Arial Narrow" w:cs="Calibri"/>
                <w:spacing w:val="-1"/>
                <w:sz w:val="16"/>
                <w:szCs w:val="16"/>
              </w:rPr>
            </w:pPr>
            <w:r w:rsidRPr="00AB0BB0">
              <w:rPr>
                <w:rFonts w:ascii="Arial Narrow" w:hAnsi="Arial Narrow" w:cs="Calibri"/>
                <w:spacing w:val="-1"/>
                <w:sz w:val="16"/>
                <w:szCs w:val="16"/>
              </w:rPr>
              <w:t>SIM 20 (run in)</w:t>
            </w:r>
          </w:p>
          <w:p w14:paraId="00FB36BB" w14:textId="34605190"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AB0BB0">
              <w:rPr>
                <w:rFonts w:ascii="Arial Narrow" w:hAnsi="Arial Narrow" w:cs="Calibri"/>
                <w:spacing w:val="-1"/>
                <w:sz w:val="20"/>
                <w:szCs w:val="20"/>
              </w:rPr>
              <w:t>SIM 40</w:t>
            </w:r>
          </w:p>
        </w:tc>
        <w:tc>
          <w:tcPr>
            <w:tcW w:w="992" w:type="dxa"/>
            <w:tcBorders>
              <w:top w:val="single" w:sz="4" w:space="0" w:color="000000"/>
              <w:left w:val="single" w:sz="4" w:space="0" w:color="000000"/>
              <w:bottom w:val="single" w:sz="4" w:space="0" w:color="000000"/>
              <w:right w:val="single" w:sz="4" w:space="0" w:color="000000"/>
            </w:tcBorders>
            <w:vAlign w:val="center"/>
          </w:tcPr>
          <w:p w14:paraId="6E25C21F" w14:textId="77777777" w:rsidR="00FA2B14" w:rsidRPr="00AB0BB0" w:rsidRDefault="00FA2B14" w:rsidP="00FA2B14">
            <w:pPr>
              <w:kinsoku w:val="0"/>
              <w:overflowPunct w:val="0"/>
              <w:autoSpaceDE w:val="0"/>
              <w:autoSpaceDN w:val="0"/>
              <w:adjustRightInd w:val="0"/>
              <w:spacing w:after="0" w:line="240" w:lineRule="auto"/>
              <w:ind w:right="224"/>
              <w:jc w:val="center"/>
              <w:rPr>
                <w:rFonts w:ascii="Arial Narrow" w:hAnsi="Arial Narrow" w:cs="Calibri"/>
                <w:spacing w:val="-1"/>
                <w:sz w:val="20"/>
                <w:szCs w:val="20"/>
              </w:rPr>
            </w:pPr>
          </w:p>
          <w:p w14:paraId="39952409" w14:textId="77777777" w:rsidR="00FA2B14" w:rsidRPr="00AB0BB0"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AB0BB0">
              <w:rPr>
                <w:rFonts w:ascii="Arial Narrow" w:hAnsi="Arial Narrow" w:cs="Calibri"/>
                <w:spacing w:val="-1"/>
                <w:sz w:val="20"/>
                <w:szCs w:val="20"/>
              </w:rPr>
              <w:t>107</w:t>
            </w:r>
          </w:p>
          <w:p w14:paraId="406F4F51" w14:textId="6118FD59"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942B6CA" w14:textId="5D283F0A"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z w:val="20"/>
                <w:szCs w:val="20"/>
              </w:rPr>
            </w:pPr>
            <w:r>
              <w:rPr>
                <w:rFonts w:ascii="Arial Narrow" w:hAnsi="Arial Narrow" w:cs="Calibri"/>
                <w:sz w:val="20"/>
                <w:szCs w:val="20"/>
              </w:rPr>
              <w:t>1.27</w:t>
            </w:r>
          </w:p>
        </w:tc>
        <w:tc>
          <w:tcPr>
            <w:tcW w:w="850" w:type="dxa"/>
            <w:tcBorders>
              <w:top w:val="single" w:sz="4" w:space="0" w:color="000000"/>
              <w:left w:val="single" w:sz="4" w:space="0" w:color="000000"/>
              <w:bottom w:val="single" w:sz="4" w:space="0" w:color="000000"/>
              <w:right w:val="single" w:sz="4" w:space="0" w:color="000000"/>
            </w:tcBorders>
            <w:vAlign w:val="center"/>
          </w:tcPr>
          <w:p w14:paraId="5F6B1296" w14:textId="6EB5D36C"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z w:val="20"/>
                <w:szCs w:val="20"/>
              </w:rPr>
            </w:pPr>
            <w:r w:rsidRPr="006467DC">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09C56B78" w14:textId="77777777" w:rsidR="00FA2B14" w:rsidRPr="00AB0BB0" w:rsidRDefault="00FA2B14" w:rsidP="00FA2B14">
            <w:pPr>
              <w:kinsoku w:val="0"/>
              <w:overflowPunct w:val="0"/>
              <w:autoSpaceDE w:val="0"/>
              <w:autoSpaceDN w:val="0"/>
              <w:adjustRightInd w:val="0"/>
              <w:spacing w:after="0" w:line="240" w:lineRule="auto"/>
              <w:ind w:left="14" w:right="142"/>
              <w:jc w:val="center"/>
              <w:rPr>
                <w:rFonts w:ascii="Arial Narrow" w:hAnsi="Arial Narrow" w:cs="Calibri"/>
                <w:spacing w:val="-1"/>
                <w:sz w:val="20"/>
                <w:szCs w:val="20"/>
              </w:rPr>
            </w:pPr>
          </w:p>
          <w:p w14:paraId="75B89449" w14:textId="77777777" w:rsidR="00FA2B14" w:rsidRPr="00AB0BB0" w:rsidRDefault="00FA2B14" w:rsidP="00FA2B14">
            <w:pPr>
              <w:kinsoku w:val="0"/>
              <w:overflowPunct w:val="0"/>
              <w:autoSpaceDE w:val="0"/>
              <w:autoSpaceDN w:val="0"/>
              <w:adjustRightInd w:val="0"/>
              <w:spacing w:after="0" w:line="240" w:lineRule="auto"/>
              <w:ind w:right="142"/>
              <w:jc w:val="center"/>
              <w:rPr>
                <w:rFonts w:ascii="Arial Narrow" w:hAnsi="Arial Narrow" w:cs="Calibri"/>
                <w:spacing w:val="-1"/>
                <w:sz w:val="20"/>
                <w:szCs w:val="20"/>
              </w:rPr>
            </w:pPr>
            <w:r w:rsidRPr="00AB0BB0">
              <w:rPr>
                <w:rFonts w:ascii="Arial Narrow" w:hAnsi="Arial Narrow" w:cs="Calibri"/>
                <w:spacing w:val="-1"/>
                <w:sz w:val="20"/>
                <w:szCs w:val="20"/>
              </w:rPr>
              <w:t>EZ + SIM 20</w:t>
            </w:r>
          </w:p>
          <w:p w14:paraId="29B4EEF8" w14:textId="0CC596C3" w:rsidR="00FA2B14" w:rsidRPr="006467DC" w:rsidRDefault="00FA2B14" w:rsidP="00FA2B14">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51DAF7A" w14:textId="77777777" w:rsidR="00FA2B14" w:rsidRPr="00AB0BB0"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p w14:paraId="1EE1B802" w14:textId="77777777" w:rsidR="00FA2B14" w:rsidRPr="00AB0BB0" w:rsidRDefault="00FA2B14" w:rsidP="00FA2B14">
            <w:pPr>
              <w:kinsoku w:val="0"/>
              <w:overflowPunct w:val="0"/>
              <w:autoSpaceDE w:val="0"/>
              <w:autoSpaceDN w:val="0"/>
              <w:adjustRightInd w:val="0"/>
              <w:spacing w:after="0" w:line="240" w:lineRule="auto"/>
              <w:ind w:right="155"/>
              <w:jc w:val="center"/>
              <w:rPr>
                <w:rFonts w:ascii="Arial Narrow" w:hAnsi="Arial Narrow" w:cs="Calibri"/>
                <w:spacing w:val="-1"/>
                <w:sz w:val="20"/>
                <w:szCs w:val="20"/>
              </w:rPr>
            </w:pPr>
            <w:r w:rsidRPr="00AB0BB0">
              <w:rPr>
                <w:rFonts w:ascii="Arial Narrow" w:hAnsi="Arial Narrow" w:cs="Calibri"/>
                <w:spacing w:val="-1"/>
                <w:sz w:val="20"/>
                <w:szCs w:val="20"/>
              </w:rPr>
              <w:t>103</w:t>
            </w:r>
          </w:p>
          <w:p w14:paraId="1D4057D8" w14:textId="70231410"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876B257" w14:textId="60F35028"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Pr>
                <w:rFonts w:ascii="Arial Narrow" w:hAnsi="Arial Narrow" w:cs="Calibri"/>
                <w:sz w:val="20"/>
                <w:szCs w:val="20"/>
              </w:rPr>
              <w:t>1.23</w:t>
            </w:r>
          </w:p>
        </w:tc>
        <w:tc>
          <w:tcPr>
            <w:tcW w:w="850" w:type="dxa"/>
            <w:tcBorders>
              <w:top w:val="single" w:sz="4" w:space="0" w:color="000000"/>
              <w:left w:val="single" w:sz="4" w:space="0" w:color="000000"/>
              <w:bottom w:val="single" w:sz="4" w:space="0" w:color="000000"/>
              <w:right w:val="single" w:sz="4" w:space="0" w:color="000000"/>
            </w:tcBorders>
            <w:vAlign w:val="center"/>
          </w:tcPr>
          <w:p w14:paraId="0CA48847" w14:textId="507CDB3B"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vAlign w:val="center"/>
          </w:tcPr>
          <w:p w14:paraId="7F66B668" w14:textId="77777777" w:rsidR="00FA2B14" w:rsidRPr="00AB0BB0"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45BEA02" w14:textId="013EB166" w:rsidR="00FA2B14" w:rsidRPr="00AB0BB0"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Pr>
                <w:rFonts w:ascii="Arial Narrow" w:hAnsi="Arial Narrow" w:cs="Calibri"/>
                <w:spacing w:val="-1"/>
                <w:sz w:val="20"/>
                <w:szCs w:val="20"/>
              </w:rPr>
              <w:t>0.3 (12.4)</w:t>
            </w:r>
          </w:p>
          <w:p w14:paraId="1F0CC903" w14:textId="4CA19645"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48883AED" w14:textId="1082B3F6"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Pr>
                <w:rFonts w:ascii="Arial Narrow" w:hAnsi="Arial Narrow" w:cs="Calibri"/>
                <w:sz w:val="20"/>
                <w:szCs w:val="20"/>
              </w:rPr>
              <w:t>0.2 (12.1)</w:t>
            </w:r>
          </w:p>
        </w:tc>
        <w:tc>
          <w:tcPr>
            <w:tcW w:w="1986" w:type="dxa"/>
            <w:tcBorders>
              <w:top w:val="single" w:sz="4" w:space="0" w:color="000000"/>
              <w:left w:val="single" w:sz="4" w:space="0" w:color="000000"/>
              <w:bottom w:val="single" w:sz="4" w:space="0" w:color="000000"/>
              <w:right w:val="single" w:sz="4" w:space="0" w:color="000000"/>
            </w:tcBorders>
            <w:vAlign w:val="center"/>
          </w:tcPr>
          <w:p w14:paraId="2D4970D6" w14:textId="417D93D8"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Pr>
                <w:rFonts w:ascii="Arial Narrow" w:hAnsi="Arial Narrow" w:cs="Calibri"/>
                <w:sz w:val="20"/>
                <w:szCs w:val="20"/>
              </w:rPr>
              <w:t>-0.1 (-3.4, 3.2)</w:t>
            </w:r>
          </w:p>
        </w:tc>
      </w:tr>
      <w:tr w:rsidR="00FA2B14" w:rsidRPr="006467DC" w14:paraId="718E2FD8" w14:textId="77777777" w:rsidTr="00F7742C">
        <w:trPr>
          <w:trHeight w:val="989"/>
        </w:trPr>
        <w:tc>
          <w:tcPr>
            <w:tcW w:w="2127" w:type="dxa"/>
            <w:tcBorders>
              <w:top w:val="single" w:sz="4" w:space="0" w:color="000000"/>
              <w:left w:val="single" w:sz="4" w:space="0" w:color="000000"/>
              <w:bottom w:val="single" w:sz="4" w:space="0" w:color="000000"/>
              <w:right w:val="single" w:sz="4" w:space="0" w:color="000000"/>
            </w:tcBorders>
          </w:tcPr>
          <w:p w14:paraId="7A58F493"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lang w:eastAsia="en-US"/>
              </w:rPr>
            </w:pPr>
            <w:r w:rsidRPr="006467DC">
              <w:rPr>
                <w:rFonts w:ascii="Arial Narrow" w:hAnsi="Arial Narrow" w:cs="Calibri"/>
                <w:spacing w:val="-1"/>
                <w:sz w:val="20"/>
                <w:szCs w:val="20"/>
                <w:lang w:eastAsia="en-US"/>
              </w:rPr>
              <w:t>P112 Zieve 2010</w:t>
            </w:r>
            <w:r w:rsidRPr="006467DC">
              <w:rPr>
                <w:rFonts w:ascii="Arial Narrow" w:hAnsi="Arial Narrow" w:cs="Calibri"/>
                <w:spacing w:val="-1"/>
                <w:sz w:val="20"/>
                <w:szCs w:val="20"/>
                <w:vertAlign w:val="superscript"/>
                <w:lang w:eastAsia="en-US"/>
              </w:rPr>
              <w:t>2</w:t>
            </w:r>
            <w:r w:rsidRPr="006467DC">
              <w:rPr>
                <w:rFonts w:ascii="Arial Narrow" w:hAnsi="Arial Narrow" w:cs="Calibri"/>
                <w:spacing w:val="-1"/>
                <w:sz w:val="20"/>
                <w:szCs w:val="20"/>
                <w:lang w:eastAsia="en-US"/>
              </w:rPr>
              <w:t xml:space="preserve"> </w:t>
            </w:r>
          </w:p>
          <w:p w14:paraId="41ABAE87"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18"/>
                <w:szCs w:val="18"/>
              </w:rPr>
            </w:pPr>
          </w:p>
          <w:p w14:paraId="72534615"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18"/>
                <w:szCs w:val="18"/>
              </w:rPr>
            </w:pPr>
            <w:r w:rsidRPr="006467DC">
              <w:rPr>
                <w:rFonts w:ascii="Arial Narrow" w:hAnsi="Arial Narrow" w:cs="Calibri"/>
                <w:spacing w:val="-1"/>
                <w:sz w:val="18"/>
                <w:szCs w:val="18"/>
              </w:rPr>
              <w:t>ATOR 10 (run-in dose)</w:t>
            </w:r>
          </w:p>
          <w:p w14:paraId="7FB49A0C"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Week  1-6    ATOR 20 </w:t>
            </w:r>
          </w:p>
          <w:p w14:paraId="4E86B977"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     Week  7-12  ATOR 40 </w:t>
            </w:r>
          </w:p>
          <w:p w14:paraId="2185F4DB"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B0F3B3E"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02609085"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4D94ED5F"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526</w:t>
            </w:r>
          </w:p>
          <w:p w14:paraId="6563320C"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515</w:t>
            </w:r>
          </w:p>
          <w:p w14:paraId="2983F3B7"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509</w:t>
            </w:r>
          </w:p>
        </w:tc>
        <w:tc>
          <w:tcPr>
            <w:tcW w:w="851" w:type="dxa"/>
            <w:tcBorders>
              <w:top w:val="single" w:sz="4" w:space="0" w:color="000000"/>
              <w:left w:val="single" w:sz="4" w:space="0" w:color="000000"/>
              <w:bottom w:val="single" w:sz="4" w:space="0" w:color="000000"/>
              <w:right w:val="single" w:sz="4" w:space="0" w:color="000000"/>
            </w:tcBorders>
          </w:tcPr>
          <w:p w14:paraId="462988E6" w14:textId="77777777" w:rsidR="00FA2B14" w:rsidRPr="006467DC" w:rsidRDefault="00FA2B14" w:rsidP="00FA2B14">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4275BC17" w14:textId="77777777" w:rsidR="00FA2B14" w:rsidRPr="006467DC" w:rsidRDefault="00FA2B14" w:rsidP="00FA2B14">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39BDA4B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 xml:space="preserve">  1.42</w:t>
            </w:r>
          </w:p>
        </w:tc>
        <w:tc>
          <w:tcPr>
            <w:tcW w:w="850" w:type="dxa"/>
            <w:tcBorders>
              <w:top w:val="single" w:sz="4" w:space="0" w:color="000000"/>
              <w:left w:val="single" w:sz="4" w:space="0" w:color="000000"/>
              <w:bottom w:val="single" w:sz="4" w:space="0" w:color="000000"/>
              <w:right w:val="single" w:sz="4" w:space="0" w:color="000000"/>
            </w:tcBorders>
          </w:tcPr>
          <w:p w14:paraId="3B64923D"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1C4B09E0"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05C6967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2E862C24" w14:textId="77777777" w:rsidR="00FA2B14" w:rsidRPr="006467DC" w:rsidRDefault="00FA2B14" w:rsidP="00FA2B14">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lang w:val="nl-NL"/>
              </w:rPr>
            </w:pPr>
          </w:p>
          <w:p w14:paraId="6C5838AB" w14:textId="77777777" w:rsidR="00FA2B14" w:rsidRPr="006467DC" w:rsidRDefault="00FA2B14" w:rsidP="00FA2B14">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lang w:val="nl-NL"/>
              </w:rPr>
            </w:pPr>
          </w:p>
          <w:p w14:paraId="0F82DEED"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lang w:val="nl-NL"/>
              </w:rPr>
            </w:pPr>
          </w:p>
          <w:p w14:paraId="2AAEE5AB"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6467DC">
              <w:rPr>
                <w:rFonts w:ascii="Arial Narrow" w:hAnsi="Arial Narrow" w:cs="Calibri"/>
                <w:spacing w:val="-1"/>
                <w:sz w:val="20"/>
                <w:szCs w:val="20"/>
                <w:lang w:val="nl-NL"/>
              </w:rPr>
              <w:t xml:space="preserve">     Week 6    EZ + ATOR 10</w:t>
            </w:r>
          </w:p>
          <w:p w14:paraId="12AD941C"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lang w:val="nl-NL"/>
              </w:rPr>
            </w:pPr>
            <w:r w:rsidRPr="006467DC">
              <w:rPr>
                <w:rFonts w:ascii="Arial Narrow" w:hAnsi="Arial Narrow" w:cs="Calibri"/>
                <w:spacing w:val="-1"/>
                <w:sz w:val="20"/>
                <w:szCs w:val="20"/>
                <w:lang w:val="nl-NL"/>
              </w:rPr>
              <w:t xml:space="preserve">     Week 12  EZ + ATOR 10</w:t>
            </w:r>
          </w:p>
          <w:p w14:paraId="2817B87C"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lang w:val="nl-NL"/>
              </w:rPr>
            </w:pPr>
            <w:r w:rsidRPr="006467DC">
              <w:rPr>
                <w:rFonts w:ascii="Arial Narrow" w:hAnsi="Arial Narrow" w:cs="Calibri"/>
                <w:spacing w:val="-1"/>
                <w:sz w:val="20"/>
                <w:szCs w:val="20"/>
                <w:lang w:val="nl-NL"/>
              </w:rPr>
              <w:t xml:space="preserve">       </w:t>
            </w:r>
          </w:p>
          <w:p w14:paraId="310D3D5F" w14:textId="77777777" w:rsidR="00FA2B14" w:rsidRPr="006467DC" w:rsidRDefault="00FA2B14" w:rsidP="00FA2B14">
            <w:pPr>
              <w:kinsoku w:val="0"/>
              <w:overflowPunct w:val="0"/>
              <w:autoSpaceDE w:val="0"/>
              <w:autoSpaceDN w:val="0"/>
              <w:adjustRightInd w:val="0"/>
              <w:spacing w:after="0" w:line="240" w:lineRule="auto"/>
              <w:ind w:right="142"/>
              <w:rPr>
                <w:rFonts w:ascii="Arial Narrow" w:hAnsi="Arial Narrow" w:cs="Calibri"/>
                <w:spacing w:val="-1"/>
                <w:sz w:val="20"/>
                <w:szCs w:val="20"/>
                <w:lang w:val="nl-NL"/>
              </w:rPr>
            </w:pPr>
          </w:p>
        </w:tc>
        <w:tc>
          <w:tcPr>
            <w:tcW w:w="992" w:type="dxa"/>
            <w:tcBorders>
              <w:top w:val="single" w:sz="4" w:space="0" w:color="000000"/>
              <w:left w:val="single" w:sz="4" w:space="0" w:color="000000"/>
              <w:bottom w:val="single" w:sz="4" w:space="0" w:color="000000"/>
              <w:right w:val="single" w:sz="4" w:space="0" w:color="000000"/>
            </w:tcBorders>
          </w:tcPr>
          <w:p w14:paraId="63F8348F"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lang w:val="nl-NL"/>
              </w:rPr>
            </w:pPr>
          </w:p>
          <w:p w14:paraId="440543FD" w14:textId="77777777" w:rsidR="00FA2B14" w:rsidRPr="006467DC" w:rsidRDefault="00FA2B14" w:rsidP="00FA2B14">
            <w:pPr>
              <w:kinsoku w:val="0"/>
              <w:overflowPunct w:val="0"/>
              <w:autoSpaceDE w:val="0"/>
              <w:autoSpaceDN w:val="0"/>
              <w:adjustRightInd w:val="0"/>
              <w:spacing w:after="0" w:line="240" w:lineRule="auto"/>
              <w:ind w:right="256"/>
              <w:rPr>
                <w:rFonts w:ascii="Arial Narrow" w:hAnsi="Arial Narrow" w:cs="Calibri"/>
                <w:spacing w:val="-1"/>
                <w:sz w:val="20"/>
                <w:szCs w:val="20"/>
                <w:lang w:val="nl-NL"/>
              </w:rPr>
            </w:pPr>
          </w:p>
          <w:p w14:paraId="190E2C49"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pacing w:val="-1"/>
                <w:sz w:val="20"/>
                <w:szCs w:val="20"/>
              </w:rPr>
              <w:t>527</w:t>
            </w:r>
          </w:p>
          <w:p w14:paraId="4FC5AB29"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pacing w:val="-1"/>
                <w:sz w:val="20"/>
                <w:szCs w:val="20"/>
              </w:rPr>
              <w:t>516</w:t>
            </w:r>
          </w:p>
          <w:p w14:paraId="6D441809"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 xml:space="preserve"> 516</w:t>
            </w:r>
          </w:p>
        </w:tc>
        <w:tc>
          <w:tcPr>
            <w:tcW w:w="851" w:type="dxa"/>
            <w:tcBorders>
              <w:top w:val="single" w:sz="4" w:space="0" w:color="000000"/>
              <w:left w:val="single" w:sz="4" w:space="0" w:color="000000"/>
              <w:bottom w:val="single" w:sz="4" w:space="0" w:color="000000"/>
              <w:right w:val="single" w:sz="4" w:space="0" w:color="000000"/>
            </w:tcBorders>
          </w:tcPr>
          <w:p w14:paraId="685B10C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08A041F2"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z w:val="20"/>
                <w:szCs w:val="20"/>
              </w:rPr>
            </w:pPr>
          </w:p>
          <w:p w14:paraId="070EA09B"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1.42</w:t>
            </w:r>
          </w:p>
        </w:tc>
        <w:tc>
          <w:tcPr>
            <w:tcW w:w="850" w:type="dxa"/>
            <w:tcBorders>
              <w:top w:val="single" w:sz="4" w:space="0" w:color="000000"/>
              <w:left w:val="single" w:sz="4" w:space="0" w:color="000000"/>
              <w:bottom w:val="single" w:sz="4" w:space="0" w:color="000000"/>
              <w:right w:val="single" w:sz="4" w:space="0" w:color="000000"/>
            </w:tcBorders>
          </w:tcPr>
          <w:p w14:paraId="57341CEB"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05464F92"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z w:val="20"/>
                <w:szCs w:val="20"/>
              </w:rPr>
            </w:pPr>
          </w:p>
          <w:p w14:paraId="7567529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17D8D17D"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73E95F7B"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B00DEED"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4B752401"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z w:val="20"/>
                <w:szCs w:val="20"/>
              </w:rPr>
              <w:t>1 (-1, 2)</w:t>
            </w:r>
          </w:p>
          <w:p w14:paraId="67F32881"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z w:val="20"/>
                <w:szCs w:val="20"/>
              </w:rPr>
              <w:t>-1 (-2, 1)</w:t>
            </w:r>
          </w:p>
        </w:tc>
        <w:tc>
          <w:tcPr>
            <w:tcW w:w="1842" w:type="dxa"/>
            <w:tcBorders>
              <w:top w:val="single" w:sz="4" w:space="0" w:color="000000"/>
              <w:left w:val="single" w:sz="4" w:space="0" w:color="000000"/>
              <w:bottom w:val="single" w:sz="4" w:space="0" w:color="000000"/>
              <w:right w:val="single" w:sz="4" w:space="0" w:color="000000"/>
            </w:tcBorders>
          </w:tcPr>
          <w:p w14:paraId="7665DD83"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3CEFE612"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5A5A2790"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4FACB626"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z w:val="20"/>
                <w:szCs w:val="20"/>
              </w:rPr>
              <w:t>3 (1, 4)</w:t>
            </w:r>
          </w:p>
          <w:p w14:paraId="2FD4ACCB"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z w:val="20"/>
                <w:szCs w:val="20"/>
              </w:rPr>
              <w:t>2 (1, 4)</w:t>
            </w:r>
          </w:p>
        </w:tc>
        <w:tc>
          <w:tcPr>
            <w:tcW w:w="1986" w:type="dxa"/>
            <w:tcBorders>
              <w:top w:val="single" w:sz="4" w:space="0" w:color="000000"/>
              <w:left w:val="single" w:sz="4" w:space="0" w:color="000000"/>
              <w:bottom w:val="single" w:sz="4" w:space="0" w:color="000000"/>
              <w:right w:val="single" w:sz="4" w:space="0" w:color="000000"/>
            </w:tcBorders>
          </w:tcPr>
          <w:p w14:paraId="0CF5AB2F"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47B4EFD5"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03619C58"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52B786E7"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2 (0.3, 4)*</w:t>
            </w:r>
          </w:p>
          <w:p w14:paraId="65BF28D4"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3 (2, 5)***</w:t>
            </w:r>
          </w:p>
        </w:tc>
      </w:tr>
      <w:tr w:rsidR="00FA2B14" w:rsidRPr="006467DC" w14:paraId="62B4C041" w14:textId="77777777" w:rsidTr="00F7742C">
        <w:trPr>
          <w:trHeight w:val="715"/>
        </w:trPr>
        <w:tc>
          <w:tcPr>
            <w:tcW w:w="2127" w:type="dxa"/>
            <w:vMerge w:val="restart"/>
            <w:tcBorders>
              <w:top w:val="single" w:sz="4" w:space="0" w:color="000000"/>
              <w:left w:val="single" w:sz="4" w:space="0" w:color="000000"/>
              <w:bottom w:val="nil"/>
              <w:right w:val="single" w:sz="4" w:space="0" w:color="000000"/>
            </w:tcBorders>
          </w:tcPr>
          <w:p w14:paraId="76CE61B5"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vertAlign w:val="superscript"/>
              </w:rPr>
            </w:pPr>
            <w:r w:rsidRPr="006467DC">
              <w:rPr>
                <w:rFonts w:ascii="Arial Narrow" w:hAnsi="Arial Narrow" w:cs="Calibri"/>
                <w:spacing w:val="-1"/>
                <w:sz w:val="20"/>
                <w:szCs w:val="20"/>
              </w:rPr>
              <w:t>McCormack 2010</w:t>
            </w:r>
            <w:r w:rsidRPr="006467DC">
              <w:rPr>
                <w:rFonts w:ascii="Arial Narrow" w:hAnsi="Arial Narrow" w:cs="Calibri"/>
                <w:spacing w:val="-1"/>
                <w:sz w:val="20"/>
                <w:szCs w:val="20"/>
                <w:vertAlign w:val="superscript"/>
              </w:rPr>
              <w:t>2</w:t>
            </w:r>
          </w:p>
          <w:p w14:paraId="668760DA"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16"/>
                <w:szCs w:val="20"/>
              </w:rPr>
            </w:pPr>
            <w:r w:rsidRPr="006467DC">
              <w:rPr>
                <w:rFonts w:ascii="Arial Narrow" w:hAnsi="Arial Narrow" w:cs="Calibri"/>
                <w:spacing w:val="-1"/>
                <w:sz w:val="16"/>
                <w:szCs w:val="20"/>
              </w:rPr>
              <w:t>SIM 40 (run in)</w:t>
            </w:r>
          </w:p>
          <w:p w14:paraId="729B6E06"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16"/>
                <w:szCs w:val="20"/>
              </w:rPr>
            </w:pPr>
          </w:p>
          <w:p w14:paraId="4FD8CC6C"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ATOR 40</w:t>
            </w:r>
          </w:p>
          <w:p w14:paraId="4B2728F8"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ROSU 5/10</w:t>
            </w:r>
            <w:r w:rsidRPr="006467DC">
              <w:rPr>
                <w:rFonts w:ascii="Arial Narrow" w:hAnsi="Arial Narrow" w:cs="Calibri"/>
                <w:spacing w:val="-1"/>
                <w:sz w:val="20"/>
                <w:szCs w:val="20"/>
                <w:vertAlign w:val="superscript"/>
              </w:rPr>
              <w:t>##</w:t>
            </w:r>
          </w:p>
        </w:tc>
        <w:tc>
          <w:tcPr>
            <w:tcW w:w="992" w:type="dxa"/>
            <w:tcBorders>
              <w:top w:val="single" w:sz="4" w:space="0" w:color="000000"/>
              <w:left w:val="single" w:sz="4" w:space="0" w:color="000000"/>
              <w:right w:val="single" w:sz="4" w:space="0" w:color="000000"/>
            </w:tcBorders>
            <w:vAlign w:val="center"/>
          </w:tcPr>
          <w:p w14:paraId="385B94DA"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259</w:t>
            </w:r>
          </w:p>
        </w:tc>
        <w:tc>
          <w:tcPr>
            <w:tcW w:w="851" w:type="dxa"/>
            <w:tcBorders>
              <w:top w:val="single" w:sz="4" w:space="0" w:color="000000"/>
              <w:left w:val="single" w:sz="4" w:space="0" w:color="000000"/>
              <w:right w:val="single" w:sz="4" w:space="0" w:color="000000"/>
            </w:tcBorders>
            <w:vAlign w:val="center"/>
          </w:tcPr>
          <w:p w14:paraId="2C6A321C"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1.4</w:t>
            </w:r>
          </w:p>
        </w:tc>
        <w:tc>
          <w:tcPr>
            <w:tcW w:w="850" w:type="dxa"/>
            <w:tcBorders>
              <w:top w:val="single" w:sz="4" w:space="0" w:color="000000"/>
              <w:left w:val="single" w:sz="4" w:space="0" w:color="000000"/>
              <w:right w:val="single" w:sz="4" w:space="0" w:color="000000"/>
            </w:tcBorders>
            <w:vAlign w:val="center"/>
          </w:tcPr>
          <w:p w14:paraId="0111178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tc>
        <w:tc>
          <w:tcPr>
            <w:tcW w:w="2268" w:type="dxa"/>
            <w:vMerge w:val="restart"/>
            <w:tcBorders>
              <w:top w:val="single" w:sz="4" w:space="0" w:color="000000"/>
              <w:left w:val="single" w:sz="4" w:space="0" w:color="000000"/>
              <w:bottom w:val="nil"/>
              <w:right w:val="single" w:sz="4" w:space="0" w:color="000000"/>
            </w:tcBorders>
            <w:vAlign w:val="center"/>
          </w:tcPr>
          <w:p w14:paraId="07BFF767" w14:textId="77777777" w:rsidR="00FA2B14" w:rsidRPr="006467DC" w:rsidRDefault="00FA2B14" w:rsidP="00FA2B14">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r w:rsidRPr="006467DC">
              <w:rPr>
                <w:rFonts w:ascii="Arial Narrow" w:hAnsi="Arial Narrow" w:cs="Calibri"/>
                <w:spacing w:val="-1"/>
                <w:sz w:val="20"/>
                <w:szCs w:val="20"/>
              </w:rPr>
              <w:t>EZ+SIM 40</w:t>
            </w:r>
          </w:p>
        </w:tc>
        <w:tc>
          <w:tcPr>
            <w:tcW w:w="992" w:type="dxa"/>
            <w:vMerge w:val="restart"/>
            <w:tcBorders>
              <w:top w:val="single" w:sz="4" w:space="0" w:color="000000"/>
              <w:left w:val="single" w:sz="4" w:space="0" w:color="000000"/>
              <w:bottom w:val="nil"/>
              <w:right w:val="single" w:sz="4" w:space="0" w:color="000000"/>
            </w:tcBorders>
            <w:vAlign w:val="center"/>
          </w:tcPr>
          <w:p w14:paraId="6A82D2BA"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pacing w:val="-1"/>
                <w:sz w:val="20"/>
                <w:szCs w:val="20"/>
              </w:rPr>
              <w:t>255</w:t>
            </w:r>
          </w:p>
        </w:tc>
        <w:tc>
          <w:tcPr>
            <w:tcW w:w="851" w:type="dxa"/>
            <w:vMerge w:val="restart"/>
            <w:tcBorders>
              <w:top w:val="single" w:sz="4" w:space="0" w:color="000000"/>
              <w:left w:val="single" w:sz="4" w:space="0" w:color="000000"/>
              <w:bottom w:val="nil"/>
              <w:right w:val="single" w:sz="4" w:space="0" w:color="000000"/>
            </w:tcBorders>
            <w:vAlign w:val="center"/>
          </w:tcPr>
          <w:p w14:paraId="37DB2AA3"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1.4</w:t>
            </w:r>
          </w:p>
        </w:tc>
        <w:tc>
          <w:tcPr>
            <w:tcW w:w="850" w:type="dxa"/>
            <w:vMerge w:val="restart"/>
            <w:tcBorders>
              <w:top w:val="single" w:sz="4" w:space="0" w:color="000000"/>
              <w:left w:val="single" w:sz="4" w:space="0" w:color="000000"/>
              <w:bottom w:val="nil"/>
              <w:right w:val="single" w:sz="4" w:space="0" w:color="000000"/>
            </w:tcBorders>
            <w:vAlign w:val="center"/>
          </w:tcPr>
          <w:p w14:paraId="6DFF712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tc>
        <w:tc>
          <w:tcPr>
            <w:tcW w:w="1842" w:type="dxa"/>
            <w:tcBorders>
              <w:top w:val="single" w:sz="4" w:space="0" w:color="000000"/>
              <w:left w:val="single" w:sz="4" w:space="0" w:color="000000"/>
              <w:right w:val="single" w:sz="4" w:space="0" w:color="000000"/>
            </w:tcBorders>
            <w:vAlign w:val="center"/>
          </w:tcPr>
          <w:p w14:paraId="7BA4B902"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pacing w:val="-1"/>
                <w:sz w:val="20"/>
                <w:szCs w:val="20"/>
              </w:rPr>
              <w:t>-2.3 (-3.7, -0.9)</w:t>
            </w:r>
          </w:p>
        </w:tc>
        <w:tc>
          <w:tcPr>
            <w:tcW w:w="1842" w:type="dxa"/>
            <w:vMerge w:val="restart"/>
            <w:tcBorders>
              <w:top w:val="single" w:sz="4" w:space="0" w:color="000000"/>
              <w:left w:val="single" w:sz="4" w:space="0" w:color="000000"/>
              <w:bottom w:val="nil"/>
              <w:right w:val="single" w:sz="4" w:space="0" w:color="000000"/>
            </w:tcBorders>
            <w:vAlign w:val="center"/>
          </w:tcPr>
          <w:p w14:paraId="795A8BD1" w14:textId="77777777" w:rsidR="00FA2B14" w:rsidRPr="006467DC" w:rsidRDefault="00FA2B14" w:rsidP="00FA2B14">
            <w:pPr>
              <w:kinsoku w:val="0"/>
              <w:overflowPunct w:val="0"/>
              <w:autoSpaceDE w:val="0"/>
              <w:autoSpaceDN w:val="0"/>
              <w:adjustRightInd w:val="0"/>
              <w:spacing w:after="0" w:line="240" w:lineRule="auto"/>
              <w:ind w:left="2"/>
              <w:jc w:val="center"/>
              <w:rPr>
                <w:rFonts w:ascii="Arial Narrow" w:hAnsi="Arial Narrow" w:cs="Calibri"/>
                <w:spacing w:val="-1"/>
                <w:sz w:val="20"/>
                <w:szCs w:val="20"/>
              </w:rPr>
            </w:pPr>
            <w:r w:rsidRPr="006467DC">
              <w:rPr>
                <w:rFonts w:ascii="Arial Narrow" w:hAnsi="Arial Narrow" w:cs="Calibri"/>
                <w:spacing w:val="-1"/>
                <w:sz w:val="20"/>
                <w:szCs w:val="20"/>
              </w:rPr>
              <w:t>-1.4 (-2.9, 0.0)</w:t>
            </w:r>
          </w:p>
        </w:tc>
        <w:tc>
          <w:tcPr>
            <w:tcW w:w="1986" w:type="dxa"/>
            <w:tcBorders>
              <w:top w:val="single" w:sz="4" w:space="0" w:color="000000"/>
              <w:left w:val="single" w:sz="4" w:space="0" w:color="000000"/>
              <w:right w:val="single" w:sz="4" w:space="0" w:color="000000"/>
            </w:tcBorders>
            <w:vAlign w:val="center"/>
          </w:tcPr>
          <w:p w14:paraId="21B2C824"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NR (NS)</w:t>
            </w:r>
          </w:p>
        </w:tc>
      </w:tr>
      <w:tr w:rsidR="00FA2B14" w:rsidRPr="006467DC" w14:paraId="69B87ADE" w14:textId="77777777" w:rsidTr="00F7742C">
        <w:trPr>
          <w:trHeight w:hRule="exact" w:val="860"/>
        </w:trPr>
        <w:tc>
          <w:tcPr>
            <w:tcW w:w="2127" w:type="dxa"/>
            <w:vMerge/>
            <w:tcBorders>
              <w:left w:val="single" w:sz="4" w:space="0" w:color="000000"/>
              <w:bottom w:val="single" w:sz="4" w:space="0" w:color="000000"/>
              <w:right w:val="single" w:sz="4" w:space="0" w:color="000000"/>
            </w:tcBorders>
          </w:tcPr>
          <w:p w14:paraId="4B4059C6"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left w:val="single" w:sz="4" w:space="0" w:color="000000"/>
              <w:bottom w:val="single" w:sz="4" w:space="0" w:color="000000"/>
              <w:right w:val="single" w:sz="4" w:space="0" w:color="000000"/>
            </w:tcBorders>
            <w:vAlign w:val="center"/>
          </w:tcPr>
          <w:p w14:paraId="7EC0EACD"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262</w:t>
            </w:r>
          </w:p>
        </w:tc>
        <w:tc>
          <w:tcPr>
            <w:tcW w:w="851" w:type="dxa"/>
            <w:tcBorders>
              <w:left w:val="single" w:sz="4" w:space="0" w:color="000000"/>
              <w:bottom w:val="single" w:sz="4" w:space="0" w:color="000000"/>
              <w:right w:val="single" w:sz="4" w:space="0" w:color="000000"/>
            </w:tcBorders>
            <w:vAlign w:val="center"/>
          </w:tcPr>
          <w:p w14:paraId="49FCAD90"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1.4</w:t>
            </w:r>
          </w:p>
        </w:tc>
        <w:tc>
          <w:tcPr>
            <w:tcW w:w="850" w:type="dxa"/>
            <w:tcBorders>
              <w:left w:val="single" w:sz="4" w:space="0" w:color="000000"/>
              <w:bottom w:val="single" w:sz="4" w:space="0" w:color="000000"/>
              <w:right w:val="single" w:sz="4" w:space="0" w:color="000000"/>
            </w:tcBorders>
            <w:vAlign w:val="center"/>
          </w:tcPr>
          <w:p w14:paraId="7D9B472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tc>
        <w:tc>
          <w:tcPr>
            <w:tcW w:w="2268" w:type="dxa"/>
            <w:vMerge/>
            <w:tcBorders>
              <w:left w:val="single" w:sz="4" w:space="0" w:color="000000"/>
              <w:bottom w:val="single" w:sz="4" w:space="0" w:color="000000"/>
              <w:right w:val="single" w:sz="4" w:space="0" w:color="000000"/>
            </w:tcBorders>
            <w:vAlign w:val="center"/>
          </w:tcPr>
          <w:p w14:paraId="490574D7" w14:textId="77777777" w:rsidR="00FA2B14" w:rsidRPr="006467DC" w:rsidRDefault="00FA2B14" w:rsidP="00FA2B14">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p>
        </w:tc>
        <w:tc>
          <w:tcPr>
            <w:tcW w:w="992" w:type="dxa"/>
            <w:vMerge/>
            <w:tcBorders>
              <w:left w:val="single" w:sz="4" w:space="0" w:color="000000"/>
              <w:bottom w:val="single" w:sz="4" w:space="0" w:color="000000"/>
              <w:right w:val="single" w:sz="4" w:space="0" w:color="000000"/>
            </w:tcBorders>
            <w:vAlign w:val="center"/>
          </w:tcPr>
          <w:p w14:paraId="716035A4"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p>
        </w:tc>
        <w:tc>
          <w:tcPr>
            <w:tcW w:w="851" w:type="dxa"/>
            <w:vMerge/>
            <w:tcBorders>
              <w:left w:val="single" w:sz="4" w:space="0" w:color="000000"/>
              <w:bottom w:val="single" w:sz="4" w:space="0" w:color="000000"/>
              <w:right w:val="single" w:sz="4" w:space="0" w:color="000000"/>
            </w:tcBorders>
            <w:vAlign w:val="center"/>
          </w:tcPr>
          <w:p w14:paraId="12F6D71B"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p>
        </w:tc>
        <w:tc>
          <w:tcPr>
            <w:tcW w:w="850" w:type="dxa"/>
            <w:vMerge/>
            <w:tcBorders>
              <w:left w:val="single" w:sz="4" w:space="0" w:color="000000"/>
              <w:bottom w:val="single" w:sz="4" w:space="0" w:color="000000"/>
              <w:right w:val="single" w:sz="4" w:space="0" w:color="000000"/>
            </w:tcBorders>
            <w:vAlign w:val="center"/>
          </w:tcPr>
          <w:p w14:paraId="22A6EA7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tc>
        <w:tc>
          <w:tcPr>
            <w:tcW w:w="1842" w:type="dxa"/>
            <w:tcBorders>
              <w:left w:val="single" w:sz="4" w:space="0" w:color="000000"/>
              <w:bottom w:val="single" w:sz="4" w:space="0" w:color="000000"/>
              <w:right w:val="single" w:sz="4" w:space="0" w:color="000000"/>
            </w:tcBorders>
            <w:vAlign w:val="center"/>
          </w:tcPr>
          <w:p w14:paraId="787DD841"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pacing w:val="-1"/>
                <w:sz w:val="20"/>
                <w:szCs w:val="20"/>
              </w:rPr>
              <w:t>-0.1 (-1.5, 1.3)</w:t>
            </w:r>
          </w:p>
        </w:tc>
        <w:tc>
          <w:tcPr>
            <w:tcW w:w="1842" w:type="dxa"/>
            <w:vMerge/>
            <w:tcBorders>
              <w:left w:val="single" w:sz="4" w:space="0" w:color="000000"/>
              <w:bottom w:val="single" w:sz="4" w:space="0" w:color="000000"/>
              <w:right w:val="single" w:sz="4" w:space="0" w:color="000000"/>
            </w:tcBorders>
            <w:vAlign w:val="center"/>
          </w:tcPr>
          <w:p w14:paraId="0EDE2D94" w14:textId="77777777" w:rsidR="00FA2B14" w:rsidRPr="006467DC" w:rsidRDefault="00FA2B14" w:rsidP="00FA2B14">
            <w:pPr>
              <w:kinsoku w:val="0"/>
              <w:overflowPunct w:val="0"/>
              <w:autoSpaceDE w:val="0"/>
              <w:autoSpaceDN w:val="0"/>
              <w:adjustRightInd w:val="0"/>
              <w:spacing w:after="0" w:line="240" w:lineRule="auto"/>
              <w:ind w:left="191"/>
              <w:rPr>
                <w:rFonts w:ascii="Arial Narrow" w:hAnsi="Arial Narrow" w:cs="Calibri"/>
                <w:spacing w:val="-1"/>
                <w:sz w:val="20"/>
                <w:szCs w:val="20"/>
              </w:rPr>
            </w:pPr>
          </w:p>
        </w:tc>
        <w:tc>
          <w:tcPr>
            <w:tcW w:w="1986" w:type="dxa"/>
            <w:tcBorders>
              <w:left w:val="single" w:sz="4" w:space="0" w:color="000000"/>
              <w:bottom w:val="single" w:sz="4" w:space="0" w:color="000000"/>
              <w:right w:val="single" w:sz="4" w:space="0" w:color="000000"/>
            </w:tcBorders>
            <w:vAlign w:val="center"/>
          </w:tcPr>
          <w:p w14:paraId="7C8732E5"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NR (NS)</w:t>
            </w:r>
          </w:p>
        </w:tc>
      </w:tr>
      <w:tr w:rsidR="00FA2B14" w:rsidRPr="006467DC" w14:paraId="60C4F3C0" w14:textId="77777777" w:rsidTr="00F7742C">
        <w:trPr>
          <w:trHeight w:hRule="exact" w:val="1844"/>
        </w:trPr>
        <w:tc>
          <w:tcPr>
            <w:tcW w:w="2127" w:type="dxa"/>
            <w:tcBorders>
              <w:top w:val="single" w:sz="4" w:space="0" w:color="000000"/>
              <w:left w:val="single" w:sz="4" w:space="0" w:color="000000"/>
              <w:bottom w:val="single" w:sz="4" w:space="0" w:color="000000"/>
              <w:right w:val="single" w:sz="4" w:space="0" w:color="000000"/>
            </w:tcBorders>
          </w:tcPr>
          <w:p w14:paraId="654E8444"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P051 Ballantyne 2005</w:t>
            </w:r>
            <w:r w:rsidRPr="006467DC">
              <w:rPr>
                <w:rFonts w:ascii="Arial Narrow" w:hAnsi="Arial Narrow" w:cs="Calibri"/>
                <w:spacing w:val="-1"/>
                <w:sz w:val="20"/>
                <w:szCs w:val="20"/>
                <w:vertAlign w:val="superscript"/>
              </w:rPr>
              <w:t>1</w:t>
            </w:r>
          </w:p>
          <w:p w14:paraId="10351AF1"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60575B27"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ATOR 10 mg</w:t>
            </w:r>
          </w:p>
          <w:p w14:paraId="1250CB93"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ATOR 20 mg</w:t>
            </w:r>
          </w:p>
          <w:p w14:paraId="409E892A"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ATOR 40 mg</w:t>
            </w:r>
          </w:p>
          <w:p w14:paraId="1D00E408"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ATOR 80 mg</w:t>
            </w:r>
          </w:p>
        </w:tc>
        <w:tc>
          <w:tcPr>
            <w:tcW w:w="992" w:type="dxa"/>
            <w:tcBorders>
              <w:top w:val="single" w:sz="4" w:space="0" w:color="000000"/>
              <w:left w:val="single" w:sz="4" w:space="0" w:color="000000"/>
              <w:bottom w:val="single" w:sz="4" w:space="0" w:color="000000"/>
              <w:right w:val="single" w:sz="4" w:space="0" w:color="000000"/>
            </w:tcBorders>
          </w:tcPr>
          <w:p w14:paraId="4638BD3B"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927</w:t>
            </w:r>
          </w:p>
          <w:p w14:paraId="09C04E5D"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318AF5AA"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235</w:t>
            </w:r>
          </w:p>
          <w:p w14:paraId="3AFF5738"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230</w:t>
            </w:r>
          </w:p>
          <w:p w14:paraId="70C1DEBA"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232</w:t>
            </w:r>
          </w:p>
          <w:p w14:paraId="588A682D"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230</w:t>
            </w:r>
          </w:p>
        </w:tc>
        <w:tc>
          <w:tcPr>
            <w:tcW w:w="851" w:type="dxa"/>
            <w:tcBorders>
              <w:top w:val="single" w:sz="4" w:space="0" w:color="000000"/>
              <w:left w:val="single" w:sz="4" w:space="0" w:color="000000"/>
              <w:bottom w:val="single" w:sz="4" w:space="0" w:color="000000"/>
              <w:right w:val="single" w:sz="4" w:space="0" w:color="000000"/>
            </w:tcBorders>
          </w:tcPr>
          <w:p w14:paraId="50CB61AF" w14:textId="77777777" w:rsidR="00FA2B14" w:rsidRPr="006467DC" w:rsidRDefault="00FA2B14" w:rsidP="00FA2B14">
            <w:pPr>
              <w:kinsoku w:val="0"/>
              <w:overflowPunct w:val="0"/>
              <w:autoSpaceDE w:val="0"/>
              <w:autoSpaceDN w:val="0"/>
              <w:adjustRightInd w:val="0"/>
              <w:spacing w:after="0" w:line="240" w:lineRule="auto"/>
              <w:ind w:right="224"/>
              <w:rPr>
                <w:rFonts w:ascii="Arial Narrow" w:hAnsi="Arial Narrow" w:cs="Calibri"/>
                <w:spacing w:val="-1"/>
                <w:sz w:val="20"/>
                <w:szCs w:val="20"/>
              </w:rPr>
            </w:pPr>
          </w:p>
          <w:p w14:paraId="256F6086" w14:textId="77777777" w:rsidR="00FA2B14" w:rsidRPr="006467DC" w:rsidRDefault="00FA2B14" w:rsidP="00FA2B14">
            <w:pPr>
              <w:kinsoku w:val="0"/>
              <w:overflowPunct w:val="0"/>
              <w:autoSpaceDE w:val="0"/>
              <w:autoSpaceDN w:val="0"/>
              <w:adjustRightInd w:val="0"/>
              <w:spacing w:after="0" w:line="240" w:lineRule="auto"/>
              <w:ind w:left="222" w:right="224"/>
              <w:rPr>
                <w:rFonts w:ascii="Arial Narrow" w:hAnsi="Arial Narrow" w:cs="Calibri"/>
                <w:spacing w:val="-1"/>
                <w:sz w:val="20"/>
                <w:szCs w:val="20"/>
              </w:rPr>
            </w:pPr>
          </w:p>
          <w:p w14:paraId="3CD6C860"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1.25</w:t>
            </w:r>
          </w:p>
          <w:p w14:paraId="16D1E099"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1.26</w:t>
            </w:r>
          </w:p>
          <w:p w14:paraId="0CA1F945"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1.30</w:t>
            </w:r>
          </w:p>
          <w:p w14:paraId="3CE47B92" w14:textId="77777777" w:rsidR="00FA2B14" w:rsidRPr="006467DC" w:rsidRDefault="00FA2B14" w:rsidP="00FA2B14">
            <w:pPr>
              <w:kinsoku w:val="0"/>
              <w:overflowPunct w:val="0"/>
              <w:autoSpaceDE w:val="0"/>
              <w:autoSpaceDN w:val="0"/>
              <w:adjustRightInd w:val="0"/>
              <w:spacing w:after="0" w:line="218" w:lineRule="exact"/>
              <w:ind w:left="222" w:right="224"/>
              <w:jc w:val="center"/>
              <w:rPr>
                <w:rFonts w:ascii="Arial Narrow" w:hAnsi="Arial Narrow" w:cs="Calibri"/>
                <w:spacing w:val="-1"/>
                <w:sz w:val="20"/>
                <w:szCs w:val="20"/>
              </w:rPr>
            </w:pPr>
            <w:r w:rsidRPr="006467DC">
              <w:rPr>
                <w:rFonts w:ascii="Arial Narrow" w:hAnsi="Arial Narrow" w:cs="Calibri"/>
                <w:spacing w:val="-1"/>
                <w:sz w:val="20"/>
                <w:szCs w:val="20"/>
              </w:rPr>
              <w:t>1.24</w:t>
            </w:r>
          </w:p>
        </w:tc>
        <w:tc>
          <w:tcPr>
            <w:tcW w:w="850" w:type="dxa"/>
            <w:tcBorders>
              <w:top w:val="single" w:sz="4" w:space="0" w:color="000000"/>
              <w:left w:val="single" w:sz="4" w:space="0" w:color="000000"/>
              <w:bottom w:val="single" w:sz="4" w:space="0" w:color="000000"/>
              <w:right w:val="single" w:sz="4" w:space="0" w:color="000000"/>
            </w:tcBorders>
          </w:tcPr>
          <w:p w14:paraId="24657006"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p>
          <w:p w14:paraId="628763CE"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p>
          <w:p w14:paraId="7F0CB69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25C4C5A0"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08DE42C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51B56460"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36D88FAA"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p>
          <w:p w14:paraId="2D0C4FF7"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p>
          <w:p w14:paraId="4C647D16"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10</w:t>
            </w:r>
          </w:p>
          <w:p w14:paraId="461FA456"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20</w:t>
            </w:r>
          </w:p>
          <w:p w14:paraId="46F04DEF"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40</w:t>
            </w:r>
          </w:p>
          <w:p w14:paraId="0BEAA9BC"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80</w:t>
            </w:r>
          </w:p>
          <w:p w14:paraId="447E57F4" w14:textId="77777777" w:rsidR="00FA2B14" w:rsidRPr="006467DC" w:rsidRDefault="00FA2B14" w:rsidP="00FA2B14">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E01107F"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923</w:t>
            </w:r>
          </w:p>
          <w:p w14:paraId="49E29E58"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15E17761"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230</w:t>
            </w:r>
          </w:p>
          <w:p w14:paraId="05AD7CD0"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233</w:t>
            </w:r>
          </w:p>
          <w:p w14:paraId="6B99F05B"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236</w:t>
            </w:r>
          </w:p>
          <w:p w14:paraId="0BA6C720"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224</w:t>
            </w:r>
          </w:p>
          <w:p w14:paraId="1831D80A" w14:textId="77777777" w:rsidR="00FA2B14" w:rsidRPr="006467DC" w:rsidRDefault="00FA2B14" w:rsidP="00FA2B14">
            <w:pPr>
              <w:kinsoku w:val="0"/>
              <w:overflowPunct w:val="0"/>
              <w:autoSpaceDE w:val="0"/>
              <w:autoSpaceDN w:val="0"/>
              <w:adjustRightInd w:val="0"/>
              <w:spacing w:after="0" w:line="240" w:lineRule="auto"/>
              <w:ind w:right="256"/>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B39C110" w14:textId="77777777" w:rsidR="00FA2B14" w:rsidRPr="006467DC" w:rsidRDefault="00FA2B14" w:rsidP="00FA2B14">
            <w:pPr>
              <w:kinsoku w:val="0"/>
              <w:overflowPunct w:val="0"/>
              <w:autoSpaceDE w:val="0"/>
              <w:autoSpaceDN w:val="0"/>
              <w:adjustRightInd w:val="0"/>
              <w:spacing w:after="0" w:line="240" w:lineRule="auto"/>
              <w:ind w:right="224"/>
              <w:jc w:val="center"/>
              <w:rPr>
                <w:rFonts w:ascii="Arial Narrow" w:hAnsi="Arial Narrow" w:cs="Calibri"/>
                <w:spacing w:val="-1"/>
                <w:sz w:val="20"/>
                <w:szCs w:val="20"/>
              </w:rPr>
            </w:pPr>
          </w:p>
          <w:p w14:paraId="01B05CF5"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p>
          <w:p w14:paraId="65EAC3D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1.27</w:t>
            </w:r>
          </w:p>
          <w:p w14:paraId="7A673E8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1.27</w:t>
            </w:r>
          </w:p>
          <w:p w14:paraId="65D7DAA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1.27</w:t>
            </w:r>
          </w:p>
          <w:p w14:paraId="24ECF9E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1.27</w:t>
            </w:r>
          </w:p>
        </w:tc>
        <w:tc>
          <w:tcPr>
            <w:tcW w:w="850" w:type="dxa"/>
            <w:tcBorders>
              <w:top w:val="single" w:sz="4" w:space="0" w:color="000000"/>
              <w:left w:val="single" w:sz="4" w:space="0" w:color="000000"/>
              <w:bottom w:val="single" w:sz="4" w:space="0" w:color="000000"/>
              <w:right w:val="single" w:sz="4" w:space="0" w:color="000000"/>
            </w:tcBorders>
          </w:tcPr>
          <w:p w14:paraId="323B478B"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p>
          <w:p w14:paraId="27345D50"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EEC9A4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75E79C4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51639E7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75C2540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3B1F725B"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p>
          <w:p w14:paraId="4072DBCF"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p>
          <w:p w14:paraId="11676A5F"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pacing w:val="-1"/>
                <w:sz w:val="20"/>
                <w:szCs w:val="20"/>
              </w:rPr>
            </w:pPr>
            <w:r w:rsidRPr="006467DC">
              <w:rPr>
                <w:rFonts w:ascii="Arial Narrow" w:hAnsi="Arial Narrow" w:cs="Calibri"/>
                <w:spacing w:val="-1"/>
                <w:sz w:val="20"/>
                <w:szCs w:val="20"/>
              </w:rPr>
              <w:t>6.9 (0.9)</w:t>
            </w:r>
          </w:p>
          <w:p w14:paraId="47686DA4"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pacing w:val="-1"/>
                <w:sz w:val="20"/>
                <w:szCs w:val="20"/>
              </w:rPr>
            </w:pPr>
            <w:r w:rsidRPr="006467DC">
              <w:rPr>
                <w:rFonts w:ascii="Arial Narrow" w:hAnsi="Arial Narrow" w:cs="Calibri"/>
                <w:spacing w:val="-1"/>
                <w:sz w:val="20"/>
                <w:szCs w:val="20"/>
              </w:rPr>
              <w:t>5.1 (0.9)</w:t>
            </w:r>
          </w:p>
          <w:p w14:paraId="0C431016" w14:textId="705C405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pacing w:val="-1"/>
                <w:sz w:val="20"/>
                <w:szCs w:val="20"/>
              </w:rPr>
            </w:pPr>
            <w:r>
              <w:rPr>
                <w:rFonts w:ascii="Arial Narrow" w:hAnsi="Arial Narrow" w:cs="Calibri"/>
                <w:spacing w:val="-1"/>
                <w:sz w:val="20"/>
                <w:szCs w:val="20"/>
              </w:rPr>
              <w:t>3.8</w:t>
            </w:r>
            <w:r w:rsidRPr="006467DC">
              <w:rPr>
                <w:rFonts w:ascii="Arial Narrow" w:hAnsi="Arial Narrow" w:cs="Calibri"/>
                <w:spacing w:val="-1"/>
                <w:sz w:val="20"/>
                <w:szCs w:val="20"/>
              </w:rPr>
              <w:t xml:space="preserve"> (0.9)</w:t>
            </w:r>
          </w:p>
          <w:p w14:paraId="03CCD7DD"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r w:rsidRPr="006467DC">
              <w:rPr>
                <w:rFonts w:ascii="Arial Narrow" w:hAnsi="Arial Narrow" w:cs="Calibri"/>
                <w:spacing w:val="-1"/>
                <w:sz w:val="20"/>
                <w:szCs w:val="20"/>
              </w:rPr>
              <w:t>1.4 (0.9)</w:t>
            </w:r>
          </w:p>
        </w:tc>
        <w:tc>
          <w:tcPr>
            <w:tcW w:w="1842" w:type="dxa"/>
            <w:tcBorders>
              <w:top w:val="single" w:sz="4" w:space="0" w:color="000000"/>
              <w:left w:val="single" w:sz="4" w:space="0" w:color="000000"/>
              <w:bottom w:val="single" w:sz="4" w:space="0" w:color="000000"/>
              <w:right w:val="single" w:sz="4" w:space="0" w:color="000000"/>
            </w:tcBorders>
          </w:tcPr>
          <w:p w14:paraId="6481F1C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8255DD8"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7C8E1FA6"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7.7 (0.9)</w:t>
            </w:r>
          </w:p>
          <w:p w14:paraId="736130FE"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7.2 (0.9)</w:t>
            </w:r>
          </w:p>
          <w:p w14:paraId="72A16CB1"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9.0 (0.9)</w:t>
            </w:r>
          </w:p>
          <w:p w14:paraId="35D3BC36"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pacing w:val="-1"/>
                <w:sz w:val="20"/>
                <w:szCs w:val="20"/>
              </w:rPr>
              <w:t>7.6 (0.9)</w:t>
            </w:r>
          </w:p>
        </w:tc>
        <w:tc>
          <w:tcPr>
            <w:tcW w:w="1986" w:type="dxa"/>
            <w:tcBorders>
              <w:top w:val="single" w:sz="4" w:space="0" w:color="000000"/>
              <w:left w:val="single" w:sz="4" w:space="0" w:color="000000"/>
              <w:bottom w:val="single" w:sz="4" w:space="0" w:color="000000"/>
              <w:right w:val="single" w:sz="4" w:space="0" w:color="000000"/>
            </w:tcBorders>
          </w:tcPr>
          <w:p w14:paraId="16E82B7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3D8A236" w14:textId="77777777" w:rsidR="00FA2B14" w:rsidRPr="006467DC" w:rsidRDefault="00FA2B14" w:rsidP="00FA2B14">
            <w:pPr>
              <w:kinsoku w:val="0"/>
              <w:overflowPunct w:val="0"/>
              <w:autoSpaceDE w:val="0"/>
              <w:autoSpaceDN w:val="0"/>
              <w:adjustRightInd w:val="0"/>
              <w:spacing w:after="0" w:line="240" w:lineRule="auto"/>
              <w:ind w:left="118"/>
              <w:jc w:val="center"/>
              <w:rPr>
                <w:rFonts w:ascii="Arial Narrow" w:hAnsi="Arial Narrow" w:cs="Calibri"/>
                <w:spacing w:val="-1"/>
                <w:sz w:val="20"/>
                <w:szCs w:val="20"/>
              </w:rPr>
            </w:pPr>
          </w:p>
          <w:p w14:paraId="08D3E8FB" w14:textId="77777777" w:rsidR="00FA2B14" w:rsidRPr="006467DC" w:rsidRDefault="00FA2B14" w:rsidP="00FA2B14">
            <w:pPr>
              <w:kinsoku w:val="0"/>
              <w:overflowPunct w:val="0"/>
              <w:autoSpaceDE w:val="0"/>
              <w:autoSpaceDN w:val="0"/>
              <w:adjustRightInd w:val="0"/>
              <w:spacing w:after="0" w:line="240" w:lineRule="auto"/>
              <w:ind w:left="118"/>
              <w:jc w:val="center"/>
              <w:rPr>
                <w:rFonts w:ascii="Arial Narrow" w:hAnsi="Arial Narrow" w:cs="Calibri"/>
                <w:spacing w:val="-1"/>
                <w:sz w:val="20"/>
                <w:szCs w:val="20"/>
              </w:rPr>
            </w:pPr>
            <w:r w:rsidRPr="006467DC">
              <w:rPr>
                <w:rFonts w:ascii="Arial Narrow" w:hAnsi="Arial Narrow" w:cs="Calibri"/>
                <w:spacing w:val="-1"/>
                <w:sz w:val="20"/>
                <w:szCs w:val="20"/>
              </w:rPr>
              <w:t>0.8 (1.2)</w:t>
            </w:r>
          </w:p>
          <w:p w14:paraId="449DA639" w14:textId="77777777" w:rsidR="00FA2B14" w:rsidRPr="006467DC" w:rsidRDefault="00FA2B14" w:rsidP="00FA2B14">
            <w:pPr>
              <w:kinsoku w:val="0"/>
              <w:overflowPunct w:val="0"/>
              <w:autoSpaceDE w:val="0"/>
              <w:autoSpaceDN w:val="0"/>
              <w:adjustRightInd w:val="0"/>
              <w:spacing w:after="0" w:line="240" w:lineRule="auto"/>
              <w:ind w:left="118"/>
              <w:jc w:val="center"/>
              <w:rPr>
                <w:rFonts w:ascii="Arial Narrow" w:hAnsi="Arial Narrow" w:cs="Calibri"/>
                <w:spacing w:val="-1"/>
                <w:sz w:val="20"/>
                <w:szCs w:val="20"/>
              </w:rPr>
            </w:pPr>
            <w:r w:rsidRPr="006467DC">
              <w:rPr>
                <w:rFonts w:ascii="Arial Narrow" w:hAnsi="Arial Narrow" w:cs="Calibri"/>
                <w:spacing w:val="-1"/>
                <w:sz w:val="20"/>
                <w:szCs w:val="20"/>
              </w:rPr>
              <w:t>2.1 (1.2)</w:t>
            </w:r>
          </w:p>
          <w:p w14:paraId="6EFEA5A8" w14:textId="77777777" w:rsidR="00FA2B14" w:rsidRPr="006467DC" w:rsidRDefault="00FA2B14" w:rsidP="00FA2B14">
            <w:pPr>
              <w:kinsoku w:val="0"/>
              <w:overflowPunct w:val="0"/>
              <w:autoSpaceDE w:val="0"/>
              <w:autoSpaceDN w:val="0"/>
              <w:adjustRightInd w:val="0"/>
              <w:spacing w:after="0" w:line="240" w:lineRule="auto"/>
              <w:ind w:left="118"/>
              <w:jc w:val="center"/>
              <w:rPr>
                <w:rFonts w:ascii="Arial Narrow" w:hAnsi="Arial Narrow" w:cs="Calibri"/>
                <w:spacing w:val="-1"/>
                <w:sz w:val="20"/>
                <w:szCs w:val="20"/>
              </w:rPr>
            </w:pPr>
            <w:r w:rsidRPr="006467DC">
              <w:rPr>
                <w:rFonts w:ascii="Arial Narrow" w:hAnsi="Arial Narrow" w:cs="Calibri"/>
                <w:spacing w:val="-1"/>
                <w:sz w:val="20"/>
                <w:szCs w:val="20"/>
              </w:rPr>
              <w:t>5.2 (1.3)***</w:t>
            </w:r>
          </w:p>
          <w:p w14:paraId="3A260CC7"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pacing w:val="-1"/>
                <w:sz w:val="20"/>
                <w:szCs w:val="20"/>
              </w:rPr>
              <w:t>6.2 (1.2)***</w:t>
            </w:r>
          </w:p>
        </w:tc>
      </w:tr>
      <w:tr w:rsidR="00FA2B14" w:rsidRPr="006467DC" w14:paraId="5040BDE0" w14:textId="77777777" w:rsidTr="00F7742C">
        <w:trPr>
          <w:trHeight w:hRule="exact" w:val="1587"/>
        </w:trPr>
        <w:tc>
          <w:tcPr>
            <w:tcW w:w="2127" w:type="dxa"/>
            <w:tcBorders>
              <w:top w:val="single" w:sz="4" w:space="0" w:color="000000"/>
              <w:left w:val="single" w:sz="4" w:space="0" w:color="000000"/>
              <w:bottom w:val="single" w:sz="4" w:space="0" w:color="000000"/>
              <w:right w:val="single" w:sz="4" w:space="0" w:color="000000"/>
            </w:tcBorders>
          </w:tcPr>
          <w:p w14:paraId="7EC7F532"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P077Goldberg 2006</w:t>
            </w:r>
            <w:r w:rsidRPr="006467DC">
              <w:rPr>
                <w:rFonts w:ascii="Arial Narrow" w:hAnsi="Arial Narrow" w:cs="Calibri"/>
                <w:spacing w:val="-1"/>
                <w:sz w:val="20"/>
                <w:szCs w:val="20"/>
                <w:vertAlign w:val="superscript"/>
              </w:rPr>
              <w:t>1</w:t>
            </w:r>
            <w:r w:rsidRPr="006467DC">
              <w:rPr>
                <w:rFonts w:ascii="Arial Narrow" w:hAnsi="Arial Narrow" w:cs="Calibri"/>
                <w:spacing w:val="-1"/>
                <w:sz w:val="20"/>
                <w:szCs w:val="20"/>
              </w:rPr>
              <w:t xml:space="preserve">   </w:t>
            </w:r>
          </w:p>
          <w:p w14:paraId="5816874F"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r w:rsidRPr="006467DC">
              <w:rPr>
                <w:rFonts w:ascii="Arial Narrow" w:hAnsi="Arial Narrow" w:cs="Calibri"/>
                <w:spacing w:val="-1"/>
                <w:sz w:val="20"/>
                <w:szCs w:val="20"/>
              </w:rPr>
              <w:t xml:space="preserve"> VYTAL </w:t>
            </w:r>
          </w:p>
          <w:p w14:paraId="7351BD2F"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21D3ABF6"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ATOR 10 mg </w:t>
            </w:r>
          </w:p>
          <w:p w14:paraId="5078C7D2"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ATOR 20 mg </w:t>
            </w:r>
          </w:p>
          <w:p w14:paraId="449699C2"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ATOR 40 mg </w:t>
            </w:r>
          </w:p>
          <w:p w14:paraId="6095727A"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055ABB4"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51A8FC1F"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5ADD0208"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6BA3E5C3"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237</w:t>
            </w:r>
          </w:p>
          <w:p w14:paraId="09B26985"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240</w:t>
            </w:r>
          </w:p>
          <w:p w14:paraId="1C86DA93"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241</w:t>
            </w:r>
          </w:p>
        </w:tc>
        <w:tc>
          <w:tcPr>
            <w:tcW w:w="851" w:type="dxa"/>
            <w:tcBorders>
              <w:top w:val="single" w:sz="4" w:space="0" w:color="000000"/>
              <w:left w:val="single" w:sz="4" w:space="0" w:color="000000"/>
              <w:bottom w:val="single" w:sz="4" w:space="0" w:color="000000"/>
              <w:right w:val="single" w:sz="4" w:space="0" w:color="000000"/>
            </w:tcBorders>
          </w:tcPr>
          <w:p w14:paraId="7C7C0946" w14:textId="77777777" w:rsidR="00FA2B14" w:rsidRPr="006467DC" w:rsidRDefault="00FA2B14" w:rsidP="00FA2B14">
            <w:pPr>
              <w:kinsoku w:val="0"/>
              <w:overflowPunct w:val="0"/>
              <w:autoSpaceDE w:val="0"/>
              <w:autoSpaceDN w:val="0"/>
              <w:adjustRightInd w:val="0"/>
              <w:spacing w:after="0" w:line="240" w:lineRule="auto"/>
              <w:ind w:left="129"/>
              <w:jc w:val="center"/>
              <w:rPr>
                <w:rFonts w:ascii="Arial Narrow" w:hAnsi="Arial Narrow" w:cs="Calibri"/>
                <w:sz w:val="20"/>
                <w:szCs w:val="20"/>
              </w:rPr>
            </w:pPr>
          </w:p>
          <w:p w14:paraId="3D7CB465" w14:textId="77777777" w:rsidR="00FA2B14" w:rsidRPr="006467DC" w:rsidRDefault="00FA2B14" w:rsidP="00FA2B14">
            <w:pPr>
              <w:kinsoku w:val="0"/>
              <w:overflowPunct w:val="0"/>
              <w:autoSpaceDE w:val="0"/>
              <w:autoSpaceDN w:val="0"/>
              <w:adjustRightInd w:val="0"/>
              <w:spacing w:after="0" w:line="240" w:lineRule="auto"/>
              <w:ind w:left="129"/>
              <w:jc w:val="center"/>
              <w:rPr>
                <w:rFonts w:ascii="Arial Narrow" w:hAnsi="Arial Narrow" w:cs="Calibri"/>
                <w:sz w:val="20"/>
                <w:szCs w:val="20"/>
              </w:rPr>
            </w:pPr>
          </w:p>
          <w:p w14:paraId="74216B2B" w14:textId="77777777" w:rsidR="00FA2B14" w:rsidRPr="006467DC" w:rsidRDefault="00FA2B14" w:rsidP="00FA2B14">
            <w:pPr>
              <w:kinsoku w:val="0"/>
              <w:overflowPunct w:val="0"/>
              <w:autoSpaceDE w:val="0"/>
              <w:autoSpaceDN w:val="0"/>
              <w:adjustRightInd w:val="0"/>
              <w:spacing w:after="0" w:line="240" w:lineRule="auto"/>
              <w:ind w:left="129"/>
              <w:jc w:val="center"/>
              <w:rPr>
                <w:rFonts w:ascii="Arial Narrow" w:hAnsi="Arial Narrow" w:cs="Calibri"/>
                <w:sz w:val="20"/>
                <w:szCs w:val="20"/>
              </w:rPr>
            </w:pPr>
          </w:p>
          <w:p w14:paraId="411940B7" w14:textId="77777777" w:rsidR="00FA2B14" w:rsidRPr="006467DC" w:rsidRDefault="00FA2B14" w:rsidP="00FA2B14">
            <w:pPr>
              <w:kinsoku w:val="0"/>
              <w:overflowPunct w:val="0"/>
              <w:autoSpaceDE w:val="0"/>
              <w:autoSpaceDN w:val="0"/>
              <w:adjustRightInd w:val="0"/>
              <w:spacing w:after="0" w:line="240" w:lineRule="auto"/>
              <w:ind w:left="129"/>
              <w:jc w:val="center"/>
              <w:rPr>
                <w:rFonts w:ascii="Arial Narrow" w:hAnsi="Arial Narrow" w:cs="Calibri"/>
                <w:sz w:val="20"/>
                <w:szCs w:val="20"/>
              </w:rPr>
            </w:pPr>
            <w:r w:rsidRPr="006467DC">
              <w:rPr>
                <w:rFonts w:ascii="Arial Narrow" w:hAnsi="Arial Narrow" w:cs="Calibri"/>
                <w:sz w:val="20"/>
                <w:szCs w:val="20"/>
              </w:rPr>
              <w:t>1.16</w:t>
            </w:r>
          </w:p>
          <w:p w14:paraId="00D47C22" w14:textId="77777777" w:rsidR="00FA2B14" w:rsidRPr="006467DC" w:rsidRDefault="00FA2B14" w:rsidP="00FA2B14">
            <w:pPr>
              <w:kinsoku w:val="0"/>
              <w:overflowPunct w:val="0"/>
              <w:autoSpaceDE w:val="0"/>
              <w:autoSpaceDN w:val="0"/>
              <w:adjustRightInd w:val="0"/>
              <w:spacing w:after="0" w:line="240" w:lineRule="auto"/>
              <w:ind w:left="129"/>
              <w:jc w:val="center"/>
              <w:rPr>
                <w:rFonts w:ascii="Arial Narrow" w:hAnsi="Arial Narrow" w:cs="Calibri"/>
                <w:sz w:val="20"/>
                <w:szCs w:val="20"/>
              </w:rPr>
            </w:pPr>
            <w:r w:rsidRPr="006467DC">
              <w:rPr>
                <w:rFonts w:ascii="Arial Narrow" w:hAnsi="Arial Narrow" w:cs="Calibri"/>
                <w:sz w:val="20"/>
                <w:szCs w:val="20"/>
              </w:rPr>
              <w:t>1.20</w:t>
            </w:r>
          </w:p>
          <w:p w14:paraId="72AADB0C"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z w:val="20"/>
                <w:szCs w:val="20"/>
              </w:rPr>
              <w:t xml:space="preserve">   1.19</w:t>
            </w:r>
          </w:p>
        </w:tc>
        <w:tc>
          <w:tcPr>
            <w:tcW w:w="850" w:type="dxa"/>
            <w:tcBorders>
              <w:top w:val="single" w:sz="4" w:space="0" w:color="000000"/>
              <w:left w:val="single" w:sz="4" w:space="0" w:color="000000"/>
              <w:bottom w:val="single" w:sz="4" w:space="0" w:color="000000"/>
              <w:right w:val="single" w:sz="4" w:space="0" w:color="000000"/>
            </w:tcBorders>
          </w:tcPr>
          <w:p w14:paraId="1FA24C2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304F5B3E"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6F6C176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20CB18B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2A7F40C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6EE3E8A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386145E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6C2A24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3D859F4"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p>
          <w:p w14:paraId="4DFFCF84"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p>
          <w:p w14:paraId="69C8C7C1"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20</w:t>
            </w:r>
          </w:p>
          <w:p w14:paraId="56A417EB"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40</w:t>
            </w:r>
          </w:p>
          <w:p w14:paraId="7036864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6CA7848" w14:textId="77777777" w:rsidR="00FA2B14" w:rsidRPr="006467DC" w:rsidRDefault="00FA2B14" w:rsidP="00FA2B14">
            <w:pPr>
              <w:kinsoku w:val="0"/>
              <w:overflowPunct w:val="0"/>
              <w:autoSpaceDE w:val="0"/>
              <w:autoSpaceDN w:val="0"/>
              <w:adjustRightInd w:val="0"/>
              <w:spacing w:after="0" w:line="240" w:lineRule="auto"/>
              <w:ind w:left="155" w:right="142"/>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075535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00C4F0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340D8D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59CBC8BC" w14:textId="77777777" w:rsidR="00FA2B14" w:rsidRPr="006467DC" w:rsidRDefault="00FA2B14" w:rsidP="00FA2B14">
            <w:pPr>
              <w:kinsoku w:val="0"/>
              <w:overflowPunct w:val="0"/>
              <w:autoSpaceDE w:val="0"/>
              <w:autoSpaceDN w:val="0"/>
              <w:adjustRightInd w:val="0"/>
              <w:spacing w:after="0" w:line="240" w:lineRule="auto"/>
              <w:ind w:left="227"/>
              <w:rPr>
                <w:rFonts w:ascii="Arial Narrow" w:hAnsi="Arial Narrow" w:cs="Calibri"/>
                <w:spacing w:val="-1"/>
                <w:sz w:val="20"/>
                <w:szCs w:val="20"/>
              </w:rPr>
            </w:pPr>
            <w:r w:rsidRPr="006467DC">
              <w:rPr>
                <w:rFonts w:ascii="Arial Narrow" w:hAnsi="Arial Narrow" w:cs="Calibri"/>
                <w:spacing w:val="-1"/>
                <w:sz w:val="20"/>
                <w:szCs w:val="20"/>
              </w:rPr>
              <w:t xml:space="preserve">   </w:t>
            </w:r>
          </w:p>
          <w:p w14:paraId="79E0AE35" w14:textId="77777777" w:rsidR="00FA2B14" w:rsidRPr="006467DC" w:rsidRDefault="00FA2B14" w:rsidP="00FA2B14">
            <w:pPr>
              <w:kinsoku w:val="0"/>
              <w:overflowPunct w:val="0"/>
              <w:autoSpaceDE w:val="0"/>
              <w:autoSpaceDN w:val="0"/>
              <w:adjustRightInd w:val="0"/>
              <w:spacing w:after="0" w:line="240" w:lineRule="auto"/>
              <w:ind w:firstLine="1"/>
              <w:jc w:val="center"/>
              <w:rPr>
                <w:rFonts w:ascii="Arial Narrow" w:hAnsi="Arial Narrow" w:cs="Calibri"/>
                <w:spacing w:val="-1"/>
                <w:sz w:val="20"/>
                <w:szCs w:val="20"/>
              </w:rPr>
            </w:pPr>
            <w:r w:rsidRPr="006467DC">
              <w:rPr>
                <w:rFonts w:ascii="Arial Narrow" w:hAnsi="Arial Narrow" w:cs="Calibri"/>
                <w:spacing w:val="-1"/>
                <w:sz w:val="20"/>
                <w:szCs w:val="20"/>
              </w:rPr>
              <w:t>247</w:t>
            </w:r>
          </w:p>
          <w:p w14:paraId="3B882642"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pacing w:val="-1"/>
                <w:sz w:val="20"/>
                <w:szCs w:val="20"/>
              </w:rPr>
              <w:t>247</w:t>
            </w:r>
          </w:p>
        </w:tc>
        <w:tc>
          <w:tcPr>
            <w:tcW w:w="851" w:type="dxa"/>
            <w:tcBorders>
              <w:top w:val="single" w:sz="4" w:space="0" w:color="000000"/>
              <w:left w:val="single" w:sz="4" w:space="0" w:color="000000"/>
              <w:bottom w:val="single" w:sz="4" w:space="0" w:color="000000"/>
              <w:right w:val="single" w:sz="4" w:space="0" w:color="000000"/>
            </w:tcBorders>
          </w:tcPr>
          <w:p w14:paraId="71308751"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6DC42A5B"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1999CFAF"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3CC13255"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p>
          <w:p w14:paraId="5AB4C4D6"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r w:rsidRPr="006467DC">
              <w:rPr>
                <w:rFonts w:ascii="Arial Narrow" w:hAnsi="Arial Narrow" w:cs="Calibri"/>
                <w:sz w:val="20"/>
                <w:szCs w:val="20"/>
              </w:rPr>
              <w:t>1.15</w:t>
            </w:r>
          </w:p>
          <w:p w14:paraId="63F03D67"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z w:val="20"/>
                <w:szCs w:val="20"/>
              </w:rPr>
              <w:t xml:space="preserve"> 3.72</w:t>
            </w:r>
          </w:p>
        </w:tc>
        <w:tc>
          <w:tcPr>
            <w:tcW w:w="850" w:type="dxa"/>
            <w:tcBorders>
              <w:top w:val="single" w:sz="4" w:space="0" w:color="000000"/>
              <w:left w:val="single" w:sz="4" w:space="0" w:color="000000"/>
              <w:bottom w:val="single" w:sz="4" w:space="0" w:color="000000"/>
              <w:right w:val="single" w:sz="4" w:space="0" w:color="000000"/>
            </w:tcBorders>
          </w:tcPr>
          <w:p w14:paraId="12707555"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7F51FA58"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06FDF237"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5741DF5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522627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6327BF0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06D9376F"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6304B67"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15C9A37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73908EB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4.3 (NR)</w:t>
            </w:r>
          </w:p>
          <w:p w14:paraId="0BBF6902"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r w:rsidRPr="006467DC">
              <w:rPr>
                <w:rFonts w:ascii="Arial Narrow" w:hAnsi="Arial Narrow" w:cs="Calibri"/>
                <w:sz w:val="20"/>
                <w:szCs w:val="20"/>
              </w:rPr>
              <w:t>4.5 (NR)</w:t>
            </w:r>
          </w:p>
          <w:p w14:paraId="492C2E7E"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r w:rsidRPr="006467DC">
              <w:rPr>
                <w:rFonts w:ascii="Arial Narrow" w:hAnsi="Arial Narrow" w:cs="Calibri"/>
                <w:sz w:val="20"/>
                <w:szCs w:val="20"/>
              </w:rPr>
              <w:t>2.3 (NR)</w:t>
            </w:r>
          </w:p>
        </w:tc>
        <w:tc>
          <w:tcPr>
            <w:tcW w:w="1842" w:type="dxa"/>
            <w:tcBorders>
              <w:top w:val="single" w:sz="4" w:space="0" w:color="000000"/>
              <w:left w:val="single" w:sz="4" w:space="0" w:color="000000"/>
              <w:bottom w:val="single" w:sz="4" w:space="0" w:color="000000"/>
              <w:right w:val="single" w:sz="4" w:space="0" w:color="000000"/>
            </w:tcBorders>
          </w:tcPr>
          <w:p w14:paraId="3F007D87" w14:textId="77777777" w:rsidR="00FA2B14" w:rsidRPr="006467DC" w:rsidRDefault="00FA2B14" w:rsidP="00FA2B14">
            <w:pPr>
              <w:kinsoku w:val="0"/>
              <w:overflowPunct w:val="0"/>
              <w:autoSpaceDE w:val="0"/>
              <w:autoSpaceDN w:val="0"/>
              <w:adjustRightInd w:val="0"/>
              <w:spacing w:after="0" w:line="240" w:lineRule="auto"/>
              <w:ind w:left="191"/>
              <w:rPr>
                <w:rFonts w:ascii="Arial Narrow" w:hAnsi="Arial Narrow" w:cs="Calibri"/>
                <w:sz w:val="20"/>
                <w:szCs w:val="20"/>
              </w:rPr>
            </w:pPr>
          </w:p>
          <w:p w14:paraId="10DC7126" w14:textId="77777777" w:rsidR="00FA2B14" w:rsidRPr="006467DC" w:rsidRDefault="00FA2B14" w:rsidP="00FA2B14">
            <w:pPr>
              <w:kinsoku w:val="0"/>
              <w:overflowPunct w:val="0"/>
              <w:autoSpaceDE w:val="0"/>
              <w:autoSpaceDN w:val="0"/>
              <w:adjustRightInd w:val="0"/>
              <w:spacing w:after="0" w:line="240" w:lineRule="auto"/>
              <w:ind w:left="191"/>
              <w:rPr>
                <w:rFonts w:ascii="Arial Narrow" w:hAnsi="Arial Narrow" w:cs="Calibri"/>
                <w:sz w:val="20"/>
                <w:szCs w:val="20"/>
              </w:rPr>
            </w:pPr>
          </w:p>
          <w:p w14:paraId="73ED6EC2" w14:textId="77777777" w:rsidR="00FA2B14" w:rsidRPr="006467DC" w:rsidRDefault="00FA2B14" w:rsidP="00FA2B14">
            <w:pPr>
              <w:kinsoku w:val="0"/>
              <w:overflowPunct w:val="0"/>
              <w:autoSpaceDE w:val="0"/>
              <w:autoSpaceDN w:val="0"/>
              <w:adjustRightInd w:val="0"/>
              <w:spacing w:after="0" w:line="240" w:lineRule="auto"/>
              <w:ind w:left="191"/>
              <w:rPr>
                <w:rFonts w:ascii="Arial Narrow" w:hAnsi="Arial Narrow" w:cs="Calibri"/>
                <w:sz w:val="20"/>
                <w:szCs w:val="20"/>
              </w:rPr>
            </w:pPr>
          </w:p>
          <w:p w14:paraId="76BEEBE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156CFE9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8.0 (NR)</w:t>
            </w:r>
          </w:p>
          <w:p w14:paraId="1170DD6D" w14:textId="77777777" w:rsidR="00FA2B14" w:rsidRPr="006467DC" w:rsidRDefault="00FA2B14" w:rsidP="00FA2B14">
            <w:pPr>
              <w:kinsoku w:val="0"/>
              <w:overflowPunct w:val="0"/>
              <w:autoSpaceDE w:val="0"/>
              <w:autoSpaceDN w:val="0"/>
              <w:adjustRightInd w:val="0"/>
              <w:spacing w:after="0" w:line="240" w:lineRule="auto"/>
              <w:ind w:left="191" w:hanging="189"/>
              <w:jc w:val="center"/>
              <w:rPr>
                <w:rFonts w:ascii="Arial Narrow" w:hAnsi="Arial Narrow" w:cs="Calibri"/>
                <w:sz w:val="20"/>
                <w:szCs w:val="20"/>
              </w:rPr>
            </w:pPr>
            <w:r w:rsidRPr="006467DC">
              <w:rPr>
                <w:rFonts w:ascii="Arial Narrow" w:hAnsi="Arial Narrow" w:cs="Calibri"/>
                <w:sz w:val="20"/>
                <w:szCs w:val="20"/>
              </w:rPr>
              <w:t>6.3 (NR)</w:t>
            </w:r>
          </w:p>
        </w:tc>
        <w:tc>
          <w:tcPr>
            <w:tcW w:w="1986" w:type="dxa"/>
            <w:tcBorders>
              <w:top w:val="single" w:sz="4" w:space="0" w:color="000000"/>
              <w:left w:val="single" w:sz="4" w:space="0" w:color="000000"/>
              <w:bottom w:val="single" w:sz="4" w:space="0" w:color="000000"/>
              <w:right w:val="single" w:sz="4" w:space="0" w:color="000000"/>
            </w:tcBorders>
          </w:tcPr>
          <w:p w14:paraId="31EB52E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BD8132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B63919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55D52033" w14:textId="5B5FF628"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Pr>
                <w:rFonts w:ascii="Arial Narrow" w:hAnsi="Arial Narrow" w:cs="Calibri"/>
                <w:spacing w:val="-1"/>
                <w:sz w:val="20"/>
                <w:szCs w:val="20"/>
              </w:rPr>
              <w:t xml:space="preserve"> </w:t>
            </w:r>
            <w:r w:rsidRPr="006467DC">
              <w:rPr>
                <w:rFonts w:ascii="Arial Narrow" w:hAnsi="Arial Narrow" w:cs="Calibri"/>
                <w:spacing w:val="-1"/>
                <w:sz w:val="20"/>
                <w:szCs w:val="20"/>
              </w:rPr>
              <w:t>NR***</w:t>
            </w:r>
          </w:p>
          <w:p w14:paraId="6C413644" w14:textId="77777777" w:rsidR="00FA2B14" w:rsidRPr="006467DC" w:rsidRDefault="00FA2B14" w:rsidP="00FA2B14">
            <w:pPr>
              <w:kinsoku w:val="0"/>
              <w:overflowPunct w:val="0"/>
              <w:autoSpaceDE w:val="0"/>
              <w:autoSpaceDN w:val="0"/>
              <w:adjustRightInd w:val="0"/>
              <w:spacing w:after="0" w:line="240" w:lineRule="auto"/>
              <w:ind w:left="2"/>
              <w:jc w:val="center"/>
              <w:rPr>
                <w:rFonts w:ascii="Arial Narrow" w:hAnsi="Arial Narrow" w:cs="Calibri"/>
                <w:spacing w:val="-1"/>
                <w:sz w:val="20"/>
                <w:szCs w:val="20"/>
              </w:rPr>
            </w:pPr>
            <w:r w:rsidRPr="006467DC">
              <w:rPr>
                <w:rFonts w:ascii="Arial Narrow" w:hAnsi="Arial Narrow" w:cs="Calibri"/>
                <w:spacing w:val="-1"/>
                <w:sz w:val="20"/>
                <w:szCs w:val="20"/>
              </w:rPr>
              <w:t>NR**</w:t>
            </w:r>
          </w:p>
          <w:p w14:paraId="1CCBC491" w14:textId="2202AAD2" w:rsidR="00FA2B14" w:rsidRPr="006467DC" w:rsidRDefault="00FA2B14" w:rsidP="00FA2B14">
            <w:pPr>
              <w:kinsoku w:val="0"/>
              <w:overflowPunct w:val="0"/>
              <w:autoSpaceDE w:val="0"/>
              <w:autoSpaceDN w:val="0"/>
              <w:adjustRightInd w:val="0"/>
              <w:spacing w:after="0" w:line="240" w:lineRule="auto"/>
              <w:ind w:left="2"/>
              <w:jc w:val="center"/>
              <w:rPr>
                <w:rFonts w:ascii="Arial Narrow" w:hAnsi="Arial Narrow" w:cs="Calibri"/>
                <w:sz w:val="20"/>
                <w:szCs w:val="20"/>
              </w:rPr>
            </w:pPr>
            <w:r>
              <w:rPr>
                <w:rFonts w:ascii="Arial Narrow" w:hAnsi="Arial Narrow" w:cs="Calibri"/>
                <w:spacing w:val="-1"/>
                <w:sz w:val="20"/>
                <w:szCs w:val="20"/>
              </w:rPr>
              <w:t xml:space="preserve"> </w:t>
            </w:r>
            <w:r w:rsidRPr="006467DC">
              <w:rPr>
                <w:rFonts w:ascii="Arial Narrow" w:hAnsi="Arial Narrow" w:cs="Calibri"/>
                <w:spacing w:val="-1"/>
                <w:sz w:val="20"/>
                <w:szCs w:val="20"/>
              </w:rPr>
              <w:t>NR***</w:t>
            </w:r>
          </w:p>
        </w:tc>
      </w:tr>
      <w:tr w:rsidR="00FA2B14" w:rsidRPr="006467DC" w14:paraId="414B4764" w14:textId="77777777" w:rsidTr="00F7742C">
        <w:trPr>
          <w:trHeight w:hRule="exact" w:val="1265"/>
        </w:trPr>
        <w:tc>
          <w:tcPr>
            <w:tcW w:w="2127" w:type="dxa"/>
            <w:tcBorders>
              <w:top w:val="single" w:sz="4" w:space="0" w:color="000000"/>
              <w:left w:val="single" w:sz="4" w:space="0" w:color="000000"/>
              <w:bottom w:val="single" w:sz="4" w:space="0" w:color="000000"/>
              <w:right w:val="single" w:sz="4" w:space="0" w:color="000000"/>
            </w:tcBorders>
          </w:tcPr>
          <w:p w14:paraId="5EC113FD"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vertAlign w:val="superscript"/>
              </w:rPr>
            </w:pPr>
            <w:r w:rsidRPr="006467DC">
              <w:rPr>
                <w:rFonts w:ascii="Arial Narrow" w:hAnsi="Arial Narrow" w:cs="Calibri"/>
                <w:spacing w:val="-1"/>
                <w:sz w:val="20"/>
                <w:szCs w:val="20"/>
              </w:rPr>
              <w:t>P058 Catapano 2006</w:t>
            </w:r>
            <w:r w:rsidRPr="006467DC">
              <w:rPr>
                <w:rFonts w:ascii="Arial Narrow" w:hAnsi="Arial Narrow" w:cs="Calibri"/>
                <w:spacing w:val="-1"/>
                <w:sz w:val="20"/>
                <w:szCs w:val="20"/>
                <w:vertAlign w:val="superscript"/>
              </w:rPr>
              <w:t>1</w:t>
            </w:r>
          </w:p>
          <w:p w14:paraId="3028B40B"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sz w:val="20"/>
                <w:szCs w:val="18"/>
                <w:lang w:val="en-US"/>
              </w:rPr>
            </w:pPr>
          </w:p>
          <w:p w14:paraId="248FC963"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sz w:val="20"/>
                <w:szCs w:val="18"/>
                <w:lang w:val="en-US"/>
              </w:rPr>
            </w:pPr>
            <w:r w:rsidRPr="006467DC">
              <w:rPr>
                <w:rFonts w:ascii="Arial Narrow" w:hAnsi="Arial Narrow"/>
                <w:sz w:val="20"/>
                <w:szCs w:val="18"/>
                <w:lang w:val="en-US"/>
              </w:rPr>
              <w:t>ROSU 10</w:t>
            </w:r>
          </w:p>
          <w:p w14:paraId="3B2DA811"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sz w:val="20"/>
                <w:szCs w:val="18"/>
                <w:lang w:val="en-US"/>
              </w:rPr>
            </w:pPr>
            <w:r w:rsidRPr="006467DC">
              <w:rPr>
                <w:rFonts w:ascii="Arial Narrow" w:hAnsi="Arial Narrow"/>
                <w:sz w:val="20"/>
                <w:szCs w:val="18"/>
                <w:lang w:val="en-US"/>
              </w:rPr>
              <w:t>ROSU 20</w:t>
            </w:r>
          </w:p>
          <w:p w14:paraId="61956A7E"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sz w:val="20"/>
                <w:szCs w:val="18"/>
                <w:lang w:val="en-US"/>
              </w:rPr>
            </w:pPr>
            <w:r w:rsidRPr="006467DC">
              <w:rPr>
                <w:rFonts w:ascii="Arial Narrow" w:hAnsi="Arial Narrow"/>
                <w:sz w:val="20"/>
                <w:szCs w:val="18"/>
                <w:lang w:val="en-US"/>
              </w:rPr>
              <w:t>ROSU 40</w:t>
            </w:r>
          </w:p>
          <w:p w14:paraId="3C234734"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06F7128"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3E54C826"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p w14:paraId="558F319F"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492</w:t>
            </w:r>
          </w:p>
          <w:p w14:paraId="716F761A"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495</w:t>
            </w:r>
          </w:p>
          <w:p w14:paraId="5C12BF60"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494</w:t>
            </w:r>
          </w:p>
        </w:tc>
        <w:tc>
          <w:tcPr>
            <w:tcW w:w="851" w:type="dxa"/>
            <w:tcBorders>
              <w:top w:val="single" w:sz="4" w:space="0" w:color="000000"/>
              <w:left w:val="single" w:sz="4" w:space="0" w:color="000000"/>
              <w:bottom w:val="single" w:sz="4" w:space="0" w:color="000000"/>
              <w:right w:val="single" w:sz="4" w:space="0" w:color="000000"/>
            </w:tcBorders>
          </w:tcPr>
          <w:p w14:paraId="5644B07F"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p>
          <w:p w14:paraId="2433E42F"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p>
          <w:p w14:paraId="75C5B610"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pacing w:val="-1"/>
                <w:sz w:val="20"/>
                <w:szCs w:val="20"/>
              </w:rPr>
            </w:pPr>
            <w:r w:rsidRPr="006467DC">
              <w:rPr>
                <w:rFonts w:ascii="Arial Narrow" w:hAnsi="Arial Narrow" w:cs="Calibri"/>
                <w:spacing w:val="-1"/>
                <w:sz w:val="20"/>
                <w:szCs w:val="20"/>
              </w:rPr>
              <w:t>1.32</w:t>
            </w:r>
          </w:p>
          <w:p w14:paraId="3CE67F98"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pacing w:val="-1"/>
                <w:sz w:val="20"/>
                <w:szCs w:val="20"/>
              </w:rPr>
            </w:pPr>
            <w:r w:rsidRPr="006467DC">
              <w:rPr>
                <w:rFonts w:ascii="Arial Narrow" w:hAnsi="Arial Narrow" w:cs="Calibri"/>
                <w:spacing w:val="-1"/>
                <w:sz w:val="20"/>
                <w:szCs w:val="20"/>
              </w:rPr>
              <w:t>1.29</w:t>
            </w:r>
          </w:p>
          <w:p w14:paraId="71B9C6C1" w14:textId="77777777" w:rsidR="00FA2B14" w:rsidRPr="006467DC" w:rsidRDefault="00FA2B14" w:rsidP="00FA2B14">
            <w:pPr>
              <w:kinsoku w:val="0"/>
              <w:overflowPunct w:val="0"/>
              <w:autoSpaceDE w:val="0"/>
              <w:autoSpaceDN w:val="0"/>
              <w:adjustRightInd w:val="0"/>
              <w:spacing w:after="0" w:line="218" w:lineRule="exact"/>
              <w:ind w:left="1"/>
              <w:jc w:val="center"/>
              <w:rPr>
                <w:rFonts w:ascii="Arial Narrow" w:hAnsi="Arial Narrow" w:cs="Calibri"/>
                <w:spacing w:val="-1"/>
                <w:sz w:val="20"/>
                <w:szCs w:val="20"/>
              </w:rPr>
            </w:pPr>
            <w:r w:rsidRPr="006467DC">
              <w:rPr>
                <w:rFonts w:ascii="Arial Narrow" w:hAnsi="Arial Narrow" w:cs="Calibri"/>
                <w:spacing w:val="-1"/>
                <w:sz w:val="20"/>
                <w:szCs w:val="20"/>
              </w:rPr>
              <w:t>1.29</w:t>
            </w:r>
          </w:p>
        </w:tc>
        <w:tc>
          <w:tcPr>
            <w:tcW w:w="850" w:type="dxa"/>
            <w:tcBorders>
              <w:top w:val="single" w:sz="4" w:space="0" w:color="000000"/>
              <w:left w:val="single" w:sz="4" w:space="0" w:color="000000"/>
              <w:bottom w:val="single" w:sz="4" w:space="0" w:color="000000"/>
              <w:right w:val="single" w:sz="4" w:space="0" w:color="000000"/>
            </w:tcBorders>
          </w:tcPr>
          <w:p w14:paraId="7F0AC07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5A8673D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7317CF0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736D64E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46C3EDF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658D220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25F45B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C01D81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EZ +SIM 20</w:t>
            </w:r>
          </w:p>
          <w:p w14:paraId="7DCBD22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EZ +SIM 40</w:t>
            </w:r>
          </w:p>
          <w:p w14:paraId="0F492BC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EZ +SIM 80</w:t>
            </w:r>
          </w:p>
        </w:tc>
        <w:tc>
          <w:tcPr>
            <w:tcW w:w="992" w:type="dxa"/>
            <w:tcBorders>
              <w:top w:val="single" w:sz="4" w:space="0" w:color="000000"/>
              <w:left w:val="single" w:sz="4" w:space="0" w:color="000000"/>
              <w:bottom w:val="single" w:sz="4" w:space="0" w:color="000000"/>
              <w:right w:val="single" w:sz="4" w:space="0" w:color="000000"/>
            </w:tcBorders>
          </w:tcPr>
          <w:p w14:paraId="052171C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F17664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FBC142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492</w:t>
            </w:r>
          </w:p>
          <w:p w14:paraId="1D5DEBF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493</w:t>
            </w:r>
          </w:p>
          <w:p w14:paraId="37324DCE"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pacing w:val="-1"/>
                <w:sz w:val="20"/>
                <w:szCs w:val="20"/>
              </w:rPr>
              <w:t>493</w:t>
            </w:r>
          </w:p>
        </w:tc>
        <w:tc>
          <w:tcPr>
            <w:tcW w:w="851" w:type="dxa"/>
            <w:tcBorders>
              <w:top w:val="single" w:sz="4" w:space="0" w:color="000000"/>
              <w:left w:val="single" w:sz="4" w:space="0" w:color="000000"/>
              <w:bottom w:val="single" w:sz="4" w:space="0" w:color="000000"/>
              <w:right w:val="single" w:sz="4" w:space="0" w:color="000000"/>
            </w:tcBorders>
          </w:tcPr>
          <w:p w14:paraId="1FDFA0F8"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612F085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6460891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1.32</w:t>
            </w:r>
          </w:p>
          <w:p w14:paraId="6677FEC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1.29</w:t>
            </w:r>
          </w:p>
          <w:p w14:paraId="24755CA7"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1.29</w:t>
            </w:r>
          </w:p>
        </w:tc>
        <w:tc>
          <w:tcPr>
            <w:tcW w:w="850" w:type="dxa"/>
            <w:tcBorders>
              <w:top w:val="single" w:sz="4" w:space="0" w:color="000000"/>
              <w:left w:val="single" w:sz="4" w:space="0" w:color="000000"/>
              <w:bottom w:val="single" w:sz="4" w:space="0" w:color="000000"/>
              <w:right w:val="single" w:sz="4" w:space="0" w:color="000000"/>
            </w:tcBorders>
          </w:tcPr>
          <w:p w14:paraId="45703607"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7CD58FB1"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p w14:paraId="27F681B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36DC4D6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NR</w:t>
            </w:r>
          </w:p>
          <w:p w14:paraId="3C91900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374E4351"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07942CE"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5704C482"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r w:rsidRPr="006467DC">
              <w:rPr>
                <w:rFonts w:ascii="Arial Narrow" w:hAnsi="Arial Narrow" w:cs="Calibri"/>
                <w:sz w:val="20"/>
                <w:szCs w:val="20"/>
              </w:rPr>
              <w:t>6.7 (0.5)</w:t>
            </w:r>
          </w:p>
          <w:p w14:paraId="6CF389BD"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r w:rsidRPr="006467DC">
              <w:rPr>
                <w:rFonts w:ascii="Arial Narrow" w:hAnsi="Arial Narrow" w:cs="Calibri"/>
                <w:sz w:val="20"/>
                <w:szCs w:val="20"/>
              </w:rPr>
              <w:t>8.1 (0.5)</w:t>
            </w:r>
          </w:p>
          <w:p w14:paraId="55F801AF"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r w:rsidRPr="006467DC">
              <w:rPr>
                <w:rFonts w:ascii="Arial Narrow" w:hAnsi="Arial Narrow" w:cs="Calibri"/>
                <w:sz w:val="20"/>
                <w:szCs w:val="20"/>
              </w:rPr>
              <w:t>8.1 (0.5)</w:t>
            </w:r>
          </w:p>
        </w:tc>
        <w:tc>
          <w:tcPr>
            <w:tcW w:w="1842" w:type="dxa"/>
            <w:tcBorders>
              <w:top w:val="single" w:sz="4" w:space="0" w:color="000000"/>
              <w:left w:val="single" w:sz="4" w:space="0" w:color="000000"/>
              <w:bottom w:val="single" w:sz="4" w:space="0" w:color="000000"/>
              <w:right w:val="single" w:sz="4" w:space="0" w:color="000000"/>
            </w:tcBorders>
          </w:tcPr>
          <w:p w14:paraId="26657150"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1CB8E2A1"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p>
          <w:p w14:paraId="7BDB08C9" w14:textId="77777777" w:rsidR="00FA2B14" w:rsidRPr="006467DC" w:rsidRDefault="00FA2B14" w:rsidP="00FA2B14">
            <w:pPr>
              <w:kinsoku w:val="0"/>
              <w:overflowPunct w:val="0"/>
              <w:autoSpaceDE w:val="0"/>
              <w:autoSpaceDN w:val="0"/>
              <w:adjustRightInd w:val="0"/>
              <w:spacing w:after="0" w:line="240" w:lineRule="auto"/>
              <w:ind w:left="2"/>
              <w:jc w:val="center"/>
              <w:rPr>
                <w:rFonts w:ascii="Arial Narrow" w:hAnsi="Arial Narrow" w:cs="Calibri"/>
                <w:sz w:val="20"/>
                <w:szCs w:val="20"/>
              </w:rPr>
            </w:pPr>
            <w:r w:rsidRPr="006467DC">
              <w:rPr>
                <w:rFonts w:ascii="Arial Narrow" w:hAnsi="Arial Narrow" w:cs="Calibri"/>
                <w:sz w:val="20"/>
                <w:szCs w:val="20"/>
              </w:rPr>
              <w:t>7.0 (0.5)</w:t>
            </w:r>
          </w:p>
          <w:p w14:paraId="1CED001B" w14:textId="77777777" w:rsidR="00FA2B14" w:rsidRPr="006467DC" w:rsidRDefault="00FA2B14" w:rsidP="00FA2B14">
            <w:pPr>
              <w:kinsoku w:val="0"/>
              <w:overflowPunct w:val="0"/>
              <w:autoSpaceDE w:val="0"/>
              <w:autoSpaceDN w:val="0"/>
              <w:adjustRightInd w:val="0"/>
              <w:spacing w:after="0" w:line="240" w:lineRule="auto"/>
              <w:ind w:left="2"/>
              <w:jc w:val="center"/>
              <w:rPr>
                <w:rFonts w:ascii="Arial Narrow" w:hAnsi="Arial Narrow" w:cs="Calibri"/>
                <w:sz w:val="20"/>
                <w:szCs w:val="20"/>
              </w:rPr>
            </w:pPr>
            <w:r w:rsidRPr="006467DC">
              <w:rPr>
                <w:rFonts w:ascii="Arial Narrow" w:hAnsi="Arial Narrow" w:cs="Calibri"/>
                <w:sz w:val="20"/>
                <w:szCs w:val="20"/>
              </w:rPr>
              <w:t>8.3 (0.5)</w:t>
            </w:r>
          </w:p>
          <w:p w14:paraId="4B29D3AA" w14:textId="77777777" w:rsidR="00FA2B14" w:rsidRPr="006467DC" w:rsidRDefault="00FA2B14" w:rsidP="00FA2B14">
            <w:pPr>
              <w:kinsoku w:val="0"/>
              <w:overflowPunct w:val="0"/>
              <w:autoSpaceDE w:val="0"/>
              <w:autoSpaceDN w:val="0"/>
              <w:adjustRightInd w:val="0"/>
              <w:spacing w:after="0" w:line="240" w:lineRule="auto"/>
              <w:ind w:left="2"/>
              <w:jc w:val="center"/>
              <w:rPr>
                <w:rFonts w:ascii="Arial Narrow" w:hAnsi="Arial Narrow" w:cs="Calibri"/>
                <w:sz w:val="20"/>
                <w:szCs w:val="20"/>
              </w:rPr>
            </w:pPr>
            <w:r w:rsidRPr="006467DC">
              <w:rPr>
                <w:rFonts w:ascii="Arial Narrow" w:hAnsi="Arial Narrow" w:cs="Calibri"/>
                <w:sz w:val="20"/>
                <w:szCs w:val="20"/>
              </w:rPr>
              <w:t>7.6 (0.5)</w:t>
            </w:r>
          </w:p>
        </w:tc>
        <w:tc>
          <w:tcPr>
            <w:tcW w:w="1986" w:type="dxa"/>
            <w:tcBorders>
              <w:top w:val="single" w:sz="4" w:space="0" w:color="000000"/>
              <w:left w:val="single" w:sz="4" w:space="0" w:color="000000"/>
              <w:bottom w:val="single" w:sz="4" w:space="0" w:color="000000"/>
              <w:right w:val="single" w:sz="4" w:space="0" w:color="000000"/>
            </w:tcBorders>
          </w:tcPr>
          <w:p w14:paraId="1EAA020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B1C247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1AF372F" w14:textId="0B733B65"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Pr>
                <w:rFonts w:ascii="Arial Narrow" w:hAnsi="Arial Narrow" w:cs="Calibri"/>
                <w:spacing w:val="-1"/>
                <w:sz w:val="20"/>
                <w:szCs w:val="20"/>
              </w:rPr>
              <w:t xml:space="preserve">  </w:t>
            </w:r>
            <w:r w:rsidRPr="006467DC">
              <w:rPr>
                <w:rFonts w:ascii="Arial Narrow" w:hAnsi="Arial Narrow" w:cs="Calibri"/>
                <w:spacing w:val="-1"/>
                <w:sz w:val="20"/>
                <w:szCs w:val="20"/>
              </w:rPr>
              <w:t>0.3 (0.7)(NS)</w:t>
            </w:r>
          </w:p>
          <w:p w14:paraId="39E4ACAA" w14:textId="5EBA4384"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Pr>
                <w:rFonts w:ascii="Arial Narrow" w:hAnsi="Arial Narrow" w:cs="Calibri"/>
                <w:spacing w:val="-1"/>
                <w:sz w:val="20"/>
                <w:szCs w:val="20"/>
              </w:rPr>
              <w:t xml:space="preserve">  </w:t>
            </w:r>
            <w:r w:rsidRPr="006467DC">
              <w:rPr>
                <w:rFonts w:ascii="Arial Narrow" w:hAnsi="Arial Narrow" w:cs="Calibri"/>
                <w:spacing w:val="-1"/>
                <w:sz w:val="20"/>
                <w:szCs w:val="20"/>
              </w:rPr>
              <w:t>0.2 (0.7)(NS)</w:t>
            </w:r>
          </w:p>
          <w:p w14:paraId="14C0BE25"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pacing w:val="-1"/>
                <w:sz w:val="20"/>
                <w:szCs w:val="20"/>
              </w:rPr>
              <w:t>-0.6 (0.7)(NS)</w:t>
            </w:r>
          </w:p>
        </w:tc>
      </w:tr>
      <w:tr w:rsidR="00FA2B14" w:rsidRPr="006467DC" w14:paraId="7D2E76F3" w14:textId="77777777" w:rsidTr="00AD696F">
        <w:trPr>
          <w:trHeight w:hRule="exact" w:val="1265"/>
        </w:trPr>
        <w:tc>
          <w:tcPr>
            <w:tcW w:w="2127" w:type="dxa"/>
            <w:tcBorders>
              <w:top w:val="single" w:sz="4" w:space="0" w:color="000000"/>
              <w:left w:val="single" w:sz="4" w:space="0" w:color="000000"/>
              <w:bottom w:val="single" w:sz="4" w:space="0" w:color="000000"/>
              <w:right w:val="single" w:sz="4" w:space="0" w:color="000000"/>
            </w:tcBorders>
          </w:tcPr>
          <w:p w14:paraId="367E2D45"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Constance 2007</w:t>
            </w:r>
            <w:r w:rsidRPr="006467DC">
              <w:rPr>
                <w:rFonts w:ascii="Arial Narrow" w:hAnsi="Arial Narrow" w:cs="Calibri"/>
                <w:spacing w:val="-1"/>
                <w:sz w:val="20"/>
                <w:szCs w:val="20"/>
                <w:vertAlign w:val="superscript"/>
              </w:rPr>
              <w:t>2</w:t>
            </w:r>
            <w:r w:rsidRPr="006467DC">
              <w:rPr>
                <w:rFonts w:ascii="Arial Narrow" w:hAnsi="Arial Narrow" w:cs="Calibri"/>
                <w:spacing w:val="-1"/>
                <w:sz w:val="20"/>
                <w:szCs w:val="20"/>
              </w:rPr>
              <w:t xml:space="preserve"> </w:t>
            </w:r>
          </w:p>
          <w:p w14:paraId="219B8A48"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16"/>
                <w:szCs w:val="16"/>
              </w:rPr>
            </w:pPr>
            <w:r w:rsidRPr="006467DC">
              <w:rPr>
                <w:rFonts w:ascii="Arial Narrow" w:hAnsi="Arial Narrow" w:cs="Calibri"/>
                <w:spacing w:val="-1"/>
                <w:sz w:val="16"/>
                <w:szCs w:val="16"/>
              </w:rPr>
              <w:t>ATOR 10 (run in)</w:t>
            </w:r>
          </w:p>
          <w:p w14:paraId="6714BA4E" w14:textId="77777777" w:rsidR="00FA2B14" w:rsidRPr="006467DC" w:rsidRDefault="00FA2B14" w:rsidP="00FA2B14">
            <w:pPr>
              <w:kinsoku w:val="0"/>
              <w:overflowPunct w:val="0"/>
              <w:autoSpaceDE w:val="0"/>
              <w:autoSpaceDN w:val="0"/>
              <w:adjustRightInd w:val="0"/>
              <w:spacing w:before="80"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ATOR 20</w:t>
            </w:r>
          </w:p>
          <w:p w14:paraId="213C2D7C" w14:textId="77777777" w:rsidR="00FA2B14" w:rsidRPr="006467DC" w:rsidRDefault="00FA2B14" w:rsidP="00FA2B14">
            <w:pPr>
              <w:kinsoku w:val="0"/>
              <w:overflowPunct w:val="0"/>
              <w:autoSpaceDE w:val="0"/>
              <w:autoSpaceDN w:val="0"/>
              <w:adjustRightInd w:val="0"/>
              <w:spacing w:before="80" w:after="0" w:line="240" w:lineRule="auto"/>
              <w:ind w:left="102"/>
              <w:rPr>
                <w:rFonts w:ascii="Arial Narrow" w:hAnsi="Arial Narrow" w:cs="Calibri"/>
                <w:spacing w:val="-1"/>
                <w:sz w:val="20"/>
                <w:szCs w:val="20"/>
              </w:rPr>
            </w:pPr>
          </w:p>
          <w:p w14:paraId="470CA0AA"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CA9BE26" w14:textId="77777777" w:rsidR="00FA2B14" w:rsidRPr="006467DC" w:rsidRDefault="00FA2B14" w:rsidP="00FA2B14">
            <w:pPr>
              <w:kinsoku w:val="0"/>
              <w:overflowPunct w:val="0"/>
              <w:autoSpaceDE w:val="0"/>
              <w:autoSpaceDN w:val="0"/>
              <w:adjustRightInd w:val="0"/>
              <w:spacing w:after="0" w:line="240" w:lineRule="auto"/>
              <w:ind w:right="224"/>
              <w:jc w:val="center"/>
              <w:rPr>
                <w:rFonts w:ascii="Arial Narrow" w:hAnsi="Arial Narrow" w:cs="Calibri"/>
                <w:spacing w:val="-1"/>
                <w:sz w:val="20"/>
                <w:szCs w:val="20"/>
              </w:rPr>
            </w:pPr>
          </w:p>
          <w:p w14:paraId="36F071F3"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pacing w:val="-1"/>
                <w:sz w:val="20"/>
                <w:szCs w:val="20"/>
              </w:rPr>
              <w:t>219</w:t>
            </w:r>
          </w:p>
          <w:p w14:paraId="4A7C6C41"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1504F51"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p>
          <w:p w14:paraId="40FFC0AD"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1.25</w:t>
            </w:r>
          </w:p>
          <w:p w14:paraId="2251D2EE" w14:textId="77777777"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E8F760E"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50B0BC5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p w14:paraId="3815BBB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27356956" w14:textId="77777777" w:rsidR="00FA2B14" w:rsidRPr="006467DC" w:rsidRDefault="00FA2B14" w:rsidP="00FA2B14">
            <w:pPr>
              <w:kinsoku w:val="0"/>
              <w:overflowPunct w:val="0"/>
              <w:autoSpaceDE w:val="0"/>
              <w:autoSpaceDN w:val="0"/>
              <w:adjustRightInd w:val="0"/>
              <w:spacing w:after="0" w:line="240" w:lineRule="auto"/>
              <w:ind w:right="142"/>
              <w:rPr>
                <w:rFonts w:ascii="Arial Narrow" w:hAnsi="Arial Narrow" w:cs="Calibri"/>
                <w:spacing w:val="-1"/>
                <w:sz w:val="20"/>
                <w:szCs w:val="20"/>
              </w:rPr>
            </w:pPr>
          </w:p>
          <w:p w14:paraId="244CF510" w14:textId="77777777" w:rsidR="00FA2B14" w:rsidRPr="006467DC" w:rsidRDefault="00FA2B14" w:rsidP="00FA2B14">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p>
          <w:p w14:paraId="4716D006" w14:textId="77777777" w:rsidR="00FA2B14" w:rsidRPr="006467DC" w:rsidRDefault="00FA2B14" w:rsidP="00FA2B14">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r w:rsidRPr="006467DC">
              <w:rPr>
                <w:rFonts w:ascii="Arial Narrow" w:hAnsi="Arial Narrow" w:cs="Calibri"/>
                <w:spacing w:val="-1"/>
                <w:sz w:val="20"/>
                <w:szCs w:val="20"/>
              </w:rPr>
              <w:t>EZ + SIM 20</w:t>
            </w:r>
          </w:p>
          <w:p w14:paraId="34CF51B8" w14:textId="51375078"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EZ + SIM 40</w:t>
            </w:r>
          </w:p>
        </w:tc>
        <w:tc>
          <w:tcPr>
            <w:tcW w:w="992" w:type="dxa"/>
            <w:tcBorders>
              <w:top w:val="single" w:sz="4" w:space="0" w:color="000000"/>
              <w:left w:val="single" w:sz="4" w:space="0" w:color="000000"/>
              <w:bottom w:val="single" w:sz="4" w:space="0" w:color="000000"/>
              <w:right w:val="single" w:sz="4" w:space="0" w:color="000000"/>
            </w:tcBorders>
          </w:tcPr>
          <w:p w14:paraId="5216E0B6" w14:textId="77777777" w:rsidR="00FA2B14" w:rsidRPr="006467DC" w:rsidRDefault="00FA2B14" w:rsidP="00FA2B14">
            <w:pPr>
              <w:kinsoku w:val="0"/>
              <w:overflowPunct w:val="0"/>
              <w:autoSpaceDE w:val="0"/>
              <w:autoSpaceDN w:val="0"/>
              <w:adjustRightInd w:val="0"/>
              <w:spacing w:after="0" w:line="240" w:lineRule="auto"/>
              <w:ind w:right="155"/>
              <w:rPr>
                <w:rFonts w:ascii="Arial Narrow" w:hAnsi="Arial Narrow" w:cs="Calibri"/>
                <w:spacing w:val="-1"/>
                <w:sz w:val="20"/>
                <w:szCs w:val="20"/>
              </w:rPr>
            </w:pPr>
          </w:p>
          <w:p w14:paraId="37621C63"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p>
          <w:p w14:paraId="52B78D25"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220</w:t>
            </w:r>
          </w:p>
          <w:p w14:paraId="107ECB73" w14:textId="66AE94EA"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222</w:t>
            </w:r>
          </w:p>
        </w:tc>
        <w:tc>
          <w:tcPr>
            <w:tcW w:w="851" w:type="dxa"/>
            <w:tcBorders>
              <w:top w:val="single" w:sz="4" w:space="0" w:color="000000"/>
              <w:left w:val="single" w:sz="4" w:space="0" w:color="000000"/>
              <w:bottom w:val="single" w:sz="4" w:space="0" w:color="000000"/>
              <w:right w:val="single" w:sz="4" w:space="0" w:color="000000"/>
            </w:tcBorders>
          </w:tcPr>
          <w:p w14:paraId="5293B1FE" w14:textId="77777777" w:rsidR="00FA2B14" w:rsidRPr="006467DC" w:rsidRDefault="00FA2B14" w:rsidP="00FA2B14">
            <w:pPr>
              <w:tabs>
                <w:tab w:val="left" w:pos="849"/>
              </w:tabs>
              <w:kinsoku w:val="0"/>
              <w:overflowPunct w:val="0"/>
              <w:autoSpaceDE w:val="0"/>
              <w:autoSpaceDN w:val="0"/>
              <w:adjustRightInd w:val="0"/>
              <w:spacing w:after="0" w:line="240" w:lineRule="auto"/>
              <w:rPr>
                <w:rFonts w:ascii="Arial Narrow" w:hAnsi="Arial Narrow" w:cs="Calibri"/>
                <w:sz w:val="20"/>
                <w:szCs w:val="20"/>
              </w:rPr>
            </w:pPr>
          </w:p>
          <w:p w14:paraId="49E7D6EF" w14:textId="77777777" w:rsidR="00FA2B14" w:rsidRPr="006467DC" w:rsidRDefault="00FA2B14" w:rsidP="00FA2B14">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p>
          <w:p w14:paraId="07204713" w14:textId="77777777" w:rsidR="00FA2B14" w:rsidRPr="006467DC" w:rsidRDefault="00FA2B14" w:rsidP="00FA2B14">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1.27</w:t>
            </w:r>
          </w:p>
          <w:p w14:paraId="6B4FB8D1" w14:textId="7C5369A8" w:rsidR="00FA2B14" w:rsidRPr="006467DC" w:rsidRDefault="00FA2B14" w:rsidP="00FA2B14">
            <w:pPr>
              <w:kinsoku w:val="0"/>
              <w:overflowPunct w:val="0"/>
              <w:autoSpaceDE w:val="0"/>
              <w:autoSpaceDN w:val="0"/>
              <w:adjustRightInd w:val="0"/>
              <w:spacing w:after="0" w:line="240" w:lineRule="auto"/>
              <w:ind w:left="1"/>
              <w:jc w:val="center"/>
              <w:rPr>
                <w:rFonts w:ascii="Arial Narrow" w:hAnsi="Arial Narrow" w:cs="Calibri"/>
                <w:sz w:val="20"/>
                <w:szCs w:val="20"/>
              </w:rPr>
            </w:pPr>
            <w:r w:rsidRPr="006467DC">
              <w:rPr>
                <w:rFonts w:ascii="Arial Narrow" w:hAnsi="Arial Narrow" w:cs="Calibri"/>
                <w:sz w:val="20"/>
                <w:szCs w:val="20"/>
              </w:rPr>
              <w:t>1.31</w:t>
            </w:r>
          </w:p>
        </w:tc>
        <w:tc>
          <w:tcPr>
            <w:tcW w:w="850" w:type="dxa"/>
            <w:tcBorders>
              <w:top w:val="single" w:sz="4" w:space="0" w:color="000000"/>
              <w:left w:val="single" w:sz="4" w:space="0" w:color="000000"/>
              <w:bottom w:val="single" w:sz="4" w:space="0" w:color="000000"/>
              <w:right w:val="single" w:sz="4" w:space="0" w:color="000000"/>
            </w:tcBorders>
          </w:tcPr>
          <w:p w14:paraId="2709565B"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z w:val="20"/>
                <w:szCs w:val="20"/>
              </w:rPr>
            </w:pPr>
          </w:p>
          <w:p w14:paraId="5E2D67E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2C42B28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p w14:paraId="15C6E9B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p w14:paraId="6C72130C" w14:textId="77777777" w:rsidR="00FA2B14" w:rsidRPr="006467DC" w:rsidRDefault="00FA2B14" w:rsidP="00FA2B14">
            <w:pPr>
              <w:kinsoku w:val="0"/>
              <w:overflowPunct w:val="0"/>
              <w:autoSpaceDE w:val="0"/>
              <w:autoSpaceDN w:val="0"/>
              <w:adjustRightInd w:val="0"/>
              <w:spacing w:after="0" w:line="240" w:lineRule="auto"/>
              <w:ind w:left="338" w:right="338"/>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B00C5B6"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37AD7B6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1.63(13.85)</w:t>
            </w:r>
          </w:p>
          <w:p w14:paraId="6F51AD91"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1563352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0EF854BA" w14:textId="77777777" w:rsidR="00FA2B14" w:rsidRPr="006467DC" w:rsidRDefault="00FA2B14" w:rsidP="00FA2B14">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p>
          <w:p w14:paraId="19FA9E6A" w14:textId="77777777" w:rsidR="00FA2B14" w:rsidRPr="006467DC" w:rsidRDefault="00FA2B14" w:rsidP="00FA2B14">
            <w:pPr>
              <w:kinsoku w:val="0"/>
              <w:overflowPunct w:val="0"/>
              <w:autoSpaceDE w:val="0"/>
              <w:autoSpaceDN w:val="0"/>
              <w:adjustRightInd w:val="0"/>
              <w:spacing w:after="0" w:line="240" w:lineRule="auto"/>
              <w:ind w:left="13" w:right="1"/>
              <w:jc w:val="center"/>
              <w:rPr>
                <w:rFonts w:ascii="Arial Narrow" w:hAnsi="Arial Narrow" w:cs="Calibri"/>
                <w:spacing w:val="-1"/>
                <w:sz w:val="20"/>
                <w:szCs w:val="20"/>
              </w:rPr>
            </w:pPr>
            <w:r w:rsidRPr="006467DC">
              <w:rPr>
                <w:rFonts w:ascii="Arial Narrow" w:hAnsi="Arial Narrow" w:cs="Calibri"/>
                <w:spacing w:val="-1"/>
                <w:sz w:val="20"/>
                <w:szCs w:val="20"/>
              </w:rPr>
              <w:t>2.37(13.85)</w:t>
            </w:r>
          </w:p>
          <w:p w14:paraId="2B7C7768" w14:textId="41F7F4E5" w:rsidR="00FA2B14" w:rsidRPr="006467DC" w:rsidRDefault="00FA2B14" w:rsidP="00FA2B14">
            <w:pPr>
              <w:kinsoku w:val="0"/>
              <w:overflowPunct w:val="0"/>
              <w:autoSpaceDE w:val="0"/>
              <w:autoSpaceDN w:val="0"/>
              <w:adjustRightInd w:val="0"/>
              <w:spacing w:after="0" w:line="240" w:lineRule="auto"/>
              <w:ind w:left="191"/>
              <w:rPr>
                <w:rFonts w:ascii="Arial Narrow" w:hAnsi="Arial Narrow" w:cs="Calibri"/>
                <w:sz w:val="20"/>
                <w:szCs w:val="20"/>
              </w:rPr>
            </w:pPr>
            <w:r w:rsidRPr="006467DC">
              <w:rPr>
                <w:rFonts w:ascii="Arial Narrow" w:hAnsi="Arial Narrow" w:cs="Calibri"/>
                <w:spacing w:val="-1"/>
                <w:sz w:val="20"/>
                <w:szCs w:val="20"/>
              </w:rPr>
              <w:t xml:space="preserve">       1.29(13.89)</w:t>
            </w:r>
          </w:p>
        </w:tc>
        <w:tc>
          <w:tcPr>
            <w:tcW w:w="1986" w:type="dxa"/>
            <w:tcBorders>
              <w:top w:val="single" w:sz="4" w:space="0" w:color="000000"/>
              <w:left w:val="single" w:sz="4" w:space="0" w:color="000000"/>
              <w:bottom w:val="single" w:sz="4" w:space="0" w:color="000000"/>
              <w:right w:val="single" w:sz="4" w:space="0" w:color="000000"/>
            </w:tcBorders>
            <w:vAlign w:val="center"/>
          </w:tcPr>
          <w:p w14:paraId="053AD4E4"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3D05D5B7"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NR</w:t>
            </w:r>
          </w:p>
          <w:p w14:paraId="60FDA1A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tc>
      </w:tr>
      <w:tr w:rsidR="00FA2B14" w:rsidRPr="006467DC" w14:paraId="6C74E529" w14:textId="77777777" w:rsidTr="003636D6">
        <w:trPr>
          <w:trHeight w:hRule="exact" w:val="706"/>
        </w:trPr>
        <w:tc>
          <w:tcPr>
            <w:tcW w:w="2127" w:type="dxa"/>
            <w:tcBorders>
              <w:top w:val="single" w:sz="4" w:space="0" w:color="000000"/>
              <w:left w:val="single" w:sz="4" w:space="0" w:color="000000"/>
              <w:bottom w:val="single" w:sz="4" w:space="0" w:color="000000"/>
              <w:right w:val="single" w:sz="4" w:space="0" w:color="000000"/>
            </w:tcBorders>
          </w:tcPr>
          <w:p w14:paraId="7A4D1B09" w14:textId="77777777" w:rsidR="00FA2B14"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Pr>
                <w:rFonts w:ascii="Arial Narrow" w:hAnsi="Arial Narrow" w:cs="Calibri"/>
                <w:spacing w:val="-1"/>
                <w:sz w:val="20"/>
                <w:szCs w:val="20"/>
              </w:rPr>
              <w:t>Farnier 2009</w:t>
            </w:r>
          </w:p>
          <w:p w14:paraId="3BBE9908" w14:textId="7B132DCA"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Pr>
                <w:rFonts w:ascii="Arial Narrow" w:hAnsi="Arial Narrow" w:cs="Calibri"/>
                <w:spacing w:val="-1"/>
                <w:sz w:val="20"/>
                <w:szCs w:val="20"/>
              </w:rPr>
              <w:t>ROSU 10 mg</w:t>
            </w:r>
          </w:p>
        </w:tc>
        <w:tc>
          <w:tcPr>
            <w:tcW w:w="992" w:type="dxa"/>
            <w:tcBorders>
              <w:top w:val="single" w:sz="4" w:space="0" w:color="000000"/>
              <w:left w:val="single" w:sz="4" w:space="0" w:color="000000"/>
              <w:bottom w:val="single" w:sz="4" w:space="0" w:color="000000"/>
              <w:right w:val="single" w:sz="4" w:space="0" w:color="000000"/>
            </w:tcBorders>
            <w:vAlign w:val="center"/>
          </w:tcPr>
          <w:p w14:paraId="1A01892C" w14:textId="29D09299" w:rsidR="00FA2B14" w:rsidRPr="006467DC" w:rsidRDefault="00FA2B14" w:rsidP="00FA2B14">
            <w:pPr>
              <w:kinsoku w:val="0"/>
              <w:overflowPunct w:val="0"/>
              <w:autoSpaceDE w:val="0"/>
              <w:autoSpaceDN w:val="0"/>
              <w:adjustRightInd w:val="0"/>
              <w:spacing w:after="0" w:line="240" w:lineRule="auto"/>
              <w:ind w:right="224"/>
              <w:jc w:val="center"/>
              <w:rPr>
                <w:rFonts w:ascii="Arial Narrow" w:hAnsi="Arial Narrow" w:cs="Calibri"/>
                <w:spacing w:val="-1"/>
                <w:sz w:val="20"/>
                <w:szCs w:val="20"/>
              </w:rPr>
            </w:pPr>
            <w:r>
              <w:rPr>
                <w:rFonts w:ascii="Arial Narrow" w:hAnsi="Arial Narrow" w:cs="Calibri"/>
                <w:spacing w:val="-1"/>
                <w:sz w:val="20"/>
                <w:szCs w:val="20"/>
              </w:rPr>
              <w:t>292</w:t>
            </w:r>
          </w:p>
        </w:tc>
        <w:tc>
          <w:tcPr>
            <w:tcW w:w="851" w:type="dxa"/>
            <w:tcBorders>
              <w:top w:val="single" w:sz="4" w:space="0" w:color="000000"/>
              <w:left w:val="single" w:sz="4" w:space="0" w:color="000000"/>
              <w:bottom w:val="single" w:sz="4" w:space="0" w:color="000000"/>
              <w:right w:val="single" w:sz="4" w:space="0" w:color="000000"/>
            </w:tcBorders>
            <w:vAlign w:val="center"/>
          </w:tcPr>
          <w:p w14:paraId="47F8187A" w14:textId="5753B3E8"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Pr>
                <w:rFonts w:ascii="Arial Narrow" w:hAnsi="Arial Narrow" w:cs="Calibri"/>
                <w:spacing w:val="-1"/>
                <w:sz w:val="20"/>
                <w:szCs w:val="20"/>
              </w:rPr>
              <w:t>1.43</w:t>
            </w:r>
          </w:p>
        </w:tc>
        <w:tc>
          <w:tcPr>
            <w:tcW w:w="850" w:type="dxa"/>
            <w:tcBorders>
              <w:top w:val="single" w:sz="4" w:space="0" w:color="000000"/>
              <w:left w:val="single" w:sz="4" w:space="0" w:color="000000"/>
              <w:bottom w:val="single" w:sz="4" w:space="0" w:color="000000"/>
              <w:right w:val="single" w:sz="4" w:space="0" w:color="000000"/>
            </w:tcBorders>
            <w:vAlign w:val="center"/>
          </w:tcPr>
          <w:p w14:paraId="13CFE2B4" w14:textId="03A08004"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vAlign w:val="center"/>
          </w:tcPr>
          <w:p w14:paraId="2938D9D3" w14:textId="3F5BCDFA" w:rsidR="00FA2B14" w:rsidRPr="006467DC" w:rsidRDefault="00FA2B14" w:rsidP="00FA2B14">
            <w:pPr>
              <w:kinsoku w:val="0"/>
              <w:overflowPunct w:val="0"/>
              <w:autoSpaceDE w:val="0"/>
              <w:autoSpaceDN w:val="0"/>
              <w:adjustRightInd w:val="0"/>
              <w:spacing w:after="0" w:line="240" w:lineRule="auto"/>
              <w:ind w:right="142"/>
              <w:jc w:val="center"/>
              <w:rPr>
                <w:rFonts w:ascii="Arial Narrow" w:hAnsi="Arial Narrow" w:cs="Calibri"/>
                <w:spacing w:val="-1"/>
                <w:sz w:val="20"/>
                <w:szCs w:val="20"/>
              </w:rPr>
            </w:pPr>
            <w:r>
              <w:rPr>
                <w:rFonts w:ascii="Arial Narrow" w:hAnsi="Arial Narrow" w:cs="Calibri"/>
                <w:spacing w:val="-1"/>
                <w:sz w:val="20"/>
                <w:szCs w:val="20"/>
              </w:rPr>
              <w:t>EZ+SIM 20</w:t>
            </w:r>
          </w:p>
        </w:tc>
        <w:tc>
          <w:tcPr>
            <w:tcW w:w="992" w:type="dxa"/>
            <w:tcBorders>
              <w:top w:val="single" w:sz="4" w:space="0" w:color="000000"/>
              <w:left w:val="single" w:sz="4" w:space="0" w:color="000000"/>
              <w:bottom w:val="single" w:sz="4" w:space="0" w:color="000000"/>
              <w:right w:val="single" w:sz="4" w:space="0" w:color="000000"/>
            </w:tcBorders>
            <w:vAlign w:val="center"/>
          </w:tcPr>
          <w:p w14:paraId="0509439B" w14:textId="3FF9D653" w:rsidR="00FA2B14" w:rsidRPr="006467DC" w:rsidRDefault="00FA2B14" w:rsidP="00FA2B14">
            <w:pPr>
              <w:kinsoku w:val="0"/>
              <w:overflowPunct w:val="0"/>
              <w:autoSpaceDE w:val="0"/>
              <w:autoSpaceDN w:val="0"/>
              <w:adjustRightInd w:val="0"/>
              <w:spacing w:after="0" w:line="240" w:lineRule="auto"/>
              <w:ind w:right="155"/>
              <w:jc w:val="center"/>
              <w:rPr>
                <w:rFonts w:ascii="Arial Narrow" w:hAnsi="Arial Narrow" w:cs="Calibri"/>
                <w:spacing w:val="-1"/>
                <w:sz w:val="20"/>
                <w:szCs w:val="20"/>
              </w:rPr>
            </w:pPr>
            <w:r>
              <w:rPr>
                <w:rFonts w:ascii="Arial Narrow" w:hAnsi="Arial Narrow" w:cs="Calibri"/>
                <w:spacing w:val="-1"/>
                <w:sz w:val="20"/>
                <w:szCs w:val="20"/>
              </w:rPr>
              <w:t>301</w:t>
            </w:r>
          </w:p>
        </w:tc>
        <w:tc>
          <w:tcPr>
            <w:tcW w:w="851" w:type="dxa"/>
            <w:tcBorders>
              <w:top w:val="single" w:sz="4" w:space="0" w:color="000000"/>
              <w:left w:val="single" w:sz="4" w:space="0" w:color="000000"/>
              <w:bottom w:val="single" w:sz="4" w:space="0" w:color="000000"/>
              <w:right w:val="single" w:sz="4" w:space="0" w:color="000000"/>
            </w:tcBorders>
            <w:vAlign w:val="center"/>
          </w:tcPr>
          <w:p w14:paraId="4F733D84" w14:textId="4FD4DAF2" w:rsidR="00FA2B14" w:rsidRPr="006467DC" w:rsidRDefault="00FA2B14" w:rsidP="00FA2B14">
            <w:pPr>
              <w:tabs>
                <w:tab w:val="left" w:pos="849"/>
              </w:tabs>
              <w:kinsoku w:val="0"/>
              <w:overflowPunct w:val="0"/>
              <w:autoSpaceDE w:val="0"/>
              <w:autoSpaceDN w:val="0"/>
              <w:adjustRightInd w:val="0"/>
              <w:spacing w:after="0" w:line="240" w:lineRule="auto"/>
              <w:jc w:val="center"/>
              <w:rPr>
                <w:rFonts w:ascii="Arial Narrow" w:hAnsi="Arial Narrow" w:cs="Calibri"/>
                <w:sz w:val="20"/>
                <w:szCs w:val="20"/>
              </w:rPr>
            </w:pPr>
            <w:r>
              <w:rPr>
                <w:rFonts w:ascii="Arial Narrow" w:hAnsi="Arial Narrow" w:cs="Calibri"/>
                <w:spacing w:val="-1"/>
                <w:sz w:val="20"/>
                <w:szCs w:val="20"/>
              </w:rPr>
              <w:t>1.43</w:t>
            </w:r>
          </w:p>
        </w:tc>
        <w:tc>
          <w:tcPr>
            <w:tcW w:w="850" w:type="dxa"/>
            <w:tcBorders>
              <w:top w:val="single" w:sz="4" w:space="0" w:color="000000"/>
              <w:left w:val="single" w:sz="4" w:space="0" w:color="000000"/>
              <w:bottom w:val="single" w:sz="4" w:space="0" w:color="000000"/>
              <w:right w:val="single" w:sz="4" w:space="0" w:color="000000"/>
            </w:tcBorders>
            <w:vAlign w:val="center"/>
          </w:tcPr>
          <w:p w14:paraId="130BD13D" w14:textId="09688F1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vAlign w:val="center"/>
          </w:tcPr>
          <w:p w14:paraId="4766D44C" w14:textId="3872ADFE"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Pr>
                <w:rFonts w:ascii="Arial Narrow" w:hAnsi="Arial Narrow" w:cs="Calibri"/>
                <w:sz w:val="20"/>
                <w:szCs w:val="20"/>
              </w:rPr>
              <w:t>3(16.06)</w:t>
            </w:r>
          </w:p>
        </w:tc>
        <w:tc>
          <w:tcPr>
            <w:tcW w:w="1842" w:type="dxa"/>
            <w:tcBorders>
              <w:top w:val="single" w:sz="4" w:space="0" w:color="000000"/>
              <w:left w:val="single" w:sz="4" w:space="0" w:color="000000"/>
              <w:bottom w:val="single" w:sz="4" w:space="0" w:color="000000"/>
              <w:right w:val="single" w:sz="4" w:space="0" w:color="000000"/>
            </w:tcBorders>
            <w:vAlign w:val="center"/>
          </w:tcPr>
          <w:p w14:paraId="4EEB37DB" w14:textId="2289B241"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Pr>
                <w:rFonts w:ascii="Arial Narrow" w:hAnsi="Arial Narrow" w:cs="Calibri"/>
                <w:sz w:val="20"/>
                <w:szCs w:val="20"/>
              </w:rPr>
              <w:t>2.1(15.96)</w:t>
            </w:r>
          </w:p>
        </w:tc>
        <w:tc>
          <w:tcPr>
            <w:tcW w:w="1986" w:type="dxa"/>
            <w:tcBorders>
              <w:top w:val="single" w:sz="4" w:space="0" w:color="000000"/>
              <w:left w:val="single" w:sz="4" w:space="0" w:color="000000"/>
              <w:bottom w:val="single" w:sz="4" w:space="0" w:color="000000"/>
              <w:right w:val="single" w:sz="4" w:space="0" w:color="000000"/>
            </w:tcBorders>
            <w:vAlign w:val="center"/>
          </w:tcPr>
          <w:p w14:paraId="30CABB01" w14:textId="6F096AD1"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Pr>
                <w:rFonts w:ascii="Arial Narrow" w:hAnsi="Arial Narrow" w:cs="Calibri"/>
                <w:sz w:val="20"/>
                <w:szCs w:val="20"/>
              </w:rPr>
              <w:t>-0.9(-3.2, 1.4)</w:t>
            </w:r>
          </w:p>
        </w:tc>
      </w:tr>
      <w:tr w:rsidR="00FA2B14" w:rsidRPr="006467DC" w14:paraId="29048308" w14:textId="77777777" w:rsidTr="00F7742C">
        <w:trPr>
          <w:trHeight w:hRule="exact" w:val="454"/>
        </w:trPr>
        <w:tc>
          <w:tcPr>
            <w:tcW w:w="15451" w:type="dxa"/>
            <w:gridSpan w:val="11"/>
            <w:tcBorders>
              <w:top w:val="single" w:sz="4" w:space="0" w:color="000000"/>
              <w:left w:val="single" w:sz="4" w:space="0" w:color="000000"/>
              <w:bottom w:val="single" w:sz="4" w:space="0" w:color="000000"/>
              <w:right w:val="single" w:sz="4" w:space="0" w:color="000000"/>
            </w:tcBorders>
            <w:vAlign w:val="center"/>
          </w:tcPr>
          <w:p w14:paraId="7FFE98C6" w14:textId="77777777" w:rsidR="00FA2B14" w:rsidRPr="006467DC" w:rsidRDefault="00FA2B14" w:rsidP="00FA2B14">
            <w:pPr>
              <w:kinsoku w:val="0"/>
              <w:overflowPunct w:val="0"/>
              <w:autoSpaceDE w:val="0"/>
              <w:autoSpaceDN w:val="0"/>
              <w:adjustRightInd w:val="0"/>
              <w:spacing w:before="120" w:after="0" w:line="240" w:lineRule="auto"/>
              <w:ind w:right="448"/>
              <w:jc w:val="center"/>
              <w:rPr>
                <w:rFonts w:ascii="Arial Narrow" w:hAnsi="Arial Narrow"/>
                <w:b/>
                <w:sz w:val="20"/>
                <w:szCs w:val="20"/>
              </w:rPr>
            </w:pPr>
            <w:r w:rsidRPr="006467DC">
              <w:rPr>
                <w:rFonts w:ascii="Arial Narrow" w:hAnsi="Arial Narrow"/>
                <w:b/>
                <w:sz w:val="20"/>
                <w:szCs w:val="20"/>
              </w:rPr>
              <w:t>Fixed dose statin +ezetimibe vs matching fixed dose of statin</w:t>
            </w:r>
          </w:p>
          <w:p w14:paraId="6537CEC7" w14:textId="77777777" w:rsidR="00FA2B14" w:rsidRPr="006467DC" w:rsidRDefault="00FA2B14" w:rsidP="00FA2B14">
            <w:pPr>
              <w:kinsoku w:val="0"/>
              <w:overflowPunct w:val="0"/>
              <w:autoSpaceDE w:val="0"/>
              <w:autoSpaceDN w:val="0"/>
              <w:adjustRightInd w:val="0"/>
              <w:spacing w:after="0" w:line="240" w:lineRule="auto"/>
              <w:ind w:left="450" w:right="450"/>
              <w:jc w:val="center"/>
              <w:rPr>
                <w:rFonts w:ascii="Arial Narrow" w:hAnsi="Arial Narrow" w:cs="Calibri"/>
                <w:sz w:val="20"/>
                <w:szCs w:val="20"/>
              </w:rPr>
            </w:pPr>
          </w:p>
        </w:tc>
      </w:tr>
      <w:tr w:rsidR="00FA2B14" w:rsidRPr="006467DC" w14:paraId="4B1CCA42" w14:textId="77777777" w:rsidTr="00F7742C">
        <w:trPr>
          <w:trHeight w:hRule="exact" w:val="339"/>
        </w:trPr>
        <w:tc>
          <w:tcPr>
            <w:tcW w:w="15451" w:type="dxa"/>
            <w:gridSpan w:val="11"/>
            <w:tcBorders>
              <w:top w:val="single" w:sz="4" w:space="0" w:color="000000"/>
              <w:left w:val="single" w:sz="4" w:space="0" w:color="000000"/>
              <w:bottom w:val="single" w:sz="4" w:space="0" w:color="000000"/>
              <w:right w:val="single" w:sz="4" w:space="0" w:color="000000"/>
            </w:tcBorders>
          </w:tcPr>
          <w:p w14:paraId="2D23A279" w14:textId="77777777" w:rsidR="00FA2B14" w:rsidRPr="006467DC" w:rsidRDefault="00FA2B14" w:rsidP="00FA2B14">
            <w:pPr>
              <w:kinsoku w:val="0"/>
              <w:overflowPunct w:val="0"/>
              <w:autoSpaceDE w:val="0"/>
              <w:autoSpaceDN w:val="0"/>
              <w:adjustRightInd w:val="0"/>
              <w:spacing w:after="0" w:line="278" w:lineRule="auto"/>
              <w:ind w:left="1"/>
              <w:jc w:val="center"/>
              <w:rPr>
                <w:rFonts w:ascii="Arial Narrow" w:hAnsi="Arial Narrow" w:cs="Calibri"/>
                <w:sz w:val="20"/>
                <w:szCs w:val="20"/>
              </w:rPr>
            </w:pPr>
            <w:r w:rsidRPr="006467DC">
              <w:rPr>
                <w:rFonts w:ascii="Arial Narrow" w:hAnsi="Arial Narrow" w:cs="Calibri"/>
                <w:i/>
                <w:sz w:val="20"/>
                <w:szCs w:val="20"/>
              </w:rPr>
              <w:t>Primary prevention population</w:t>
            </w:r>
          </w:p>
        </w:tc>
      </w:tr>
      <w:tr w:rsidR="00FA2B14" w:rsidRPr="006467DC" w14:paraId="21039F66" w14:textId="77777777" w:rsidTr="00F7742C">
        <w:trPr>
          <w:trHeight w:hRule="exact" w:val="1726"/>
        </w:trPr>
        <w:tc>
          <w:tcPr>
            <w:tcW w:w="2127" w:type="dxa"/>
            <w:tcBorders>
              <w:top w:val="single" w:sz="4" w:space="0" w:color="000000"/>
              <w:left w:val="single" w:sz="4" w:space="0" w:color="000000"/>
              <w:bottom w:val="single" w:sz="4" w:space="0" w:color="000000"/>
              <w:right w:val="single" w:sz="4" w:space="0" w:color="000000"/>
            </w:tcBorders>
          </w:tcPr>
          <w:p w14:paraId="2A8818B3"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P692 Ballantyne 2003</w:t>
            </w:r>
            <w:r w:rsidRPr="006467DC">
              <w:rPr>
                <w:rFonts w:ascii="Arial Narrow" w:hAnsi="Arial Narrow" w:cs="Calibri"/>
                <w:spacing w:val="-1"/>
                <w:sz w:val="20"/>
                <w:szCs w:val="20"/>
                <w:vertAlign w:val="superscript"/>
              </w:rPr>
              <w:t>1</w:t>
            </w:r>
          </w:p>
          <w:p w14:paraId="422852E2"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2000895C"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ATOR 10 </w:t>
            </w:r>
          </w:p>
          <w:p w14:paraId="4FA25F6B"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ATOR 20 </w:t>
            </w:r>
          </w:p>
          <w:p w14:paraId="23337346"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ATOR 40 </w:t>
            </w:r>
          </w:p>
          <w:p w14:paraId="07DA1163"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ATOR 80 </w:t>
            </w:r>
          </w:p>
          <w:p w14:paraId="53D9A4FB"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F9B1CDB"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248</w:t>
            </w:r>
          </w:p>
          <w:p w14:paraId="5CAED812"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p>
          <w:p w14:paraId="3AA41490"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60</w:t>
            </w:r>
          </w:p>
          <w:p w14:paraId="43B5B2FA"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60</w:t>
            </w:r>
          </w:p>
          <w:p w14:paraId="2C9FF26B"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66</w:t>
            </w:r>
          </w:p>
          <w:p w14:paraId="0F23C54C"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62</w:t>
            </w:r>
          </w:p>
        </w:tc>
        <w:tc>
          <w:tcPr>
            <w:tcW w:w="851" w:type="dxa"/>
            <w:tcBorders>
              <w:top w:val="single" w:sz="4" w:space="0" w:color="000000"/>
              <w:left w:val="single" w:sz="4" w:space="0" w:color="000000"/>
              <w:bottom w:val="single" w:sz="4" w:space="0" w:color="000000"/>
              <w:right w:val="single" w:sz="4" w:space="0" w:color="000000"/>
            </w:tcBorders>
          </w:tcPr>
          <w:p w14:paraId="6A54A097"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4BA1B299"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154D6715"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6467DC">
              <w:rPr>
                <w:rFonts w:ascii="Arial Narrow" w:hAnsi="Arial Narrow" w:cs="Calibri"/>
                <w:spacing w:val="-1"/>
                <w:sz w:val="20"/>
                <w:szCs w:val="20"/>
              </w:rPr>
              <w:t>1.39</w:t>
            </w:r>
          </w:p>
          <w:p w14:paraId="55785FC1"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6467DC">
              <w:rPr>
                <w:rFonts w:ascii="Arial Narrow" w:hAnsi="Arial Narrow" w:cs="Calibri"/>
                <w:spacing w:val="-1"/>
                <w:sz w:val="20"/>
                <w:szCs w:val="20"/>
              </w:rPr>
              <w:t>1.43</w:t>
            </w:r>
          </w:p>
          <w:p w14:paraId="05FE41C3"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6467DC">
              <w:rPr>
                <w:rFonts w:ascii="Arial Narrow" w:hAnsi="Arial Narrow" w:cs="Calibri"/>
                <w:spacing w:val="-1"/>
                <w:sz w:val="20"/>
                <w:szCs w:val="20"/>
              </w:rPr>
              <w:t>1.37</w:t>
            </w:r>
          </w:p>
          <w:p w14:paraId="062D96BB"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z w:val="20"/>
                <w:szCs w:val="20"/>
              </w:rPr>
            </w:pPr>
            <w:r w:rsidRPr="006467DC">
              <w:rPr>
                <w:rFonts w:ascii="Arial Narrow" w:hAnsi="Arial Narrow" w:cs="Calibri"/>
                <w:spacing w:val="-1"/>
                <w:sz w:val="20"/>
                <w:szCs w:val="20"/>
              </w:rPr>
              <w:t>1.36</w:t>
            </w:r>
          </w:p>
        </w:tc>
        <w:tc>
          <w:tcPr>
            <w:tcW w:w="850" w:type="dxa"/>
            <w:tcBorders>
              <w:top w:val="single" w:sz="4" w:space="0" w:color="000000"/>
              <w:left w:val="single" w:sz="4" w:space="0" w:color="000000"/>
              <w:bottom w:val="single" w:sz="4" w:space="0" w:color="000000"/>
              <w:right w:val="single" w:sz="4" w:space="0" w:color="000000"/>
            </w:tcBorders>
          </w:tcPr>
          <w:p w14:paraId="1DFC42F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1A134E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5077467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1.47</w:t>
            </w:r>
          </w:p>
          <w:p w14:paraId="0AD797F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1.48</w:t>
            </w:r>
          </w:p>
          <w:p w14:paraId="0BED391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1.41</w:t>
            </w:r>
          </w:p>
          <w:p w14:paraId="26B506B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1.39</w:t>
            </w:r>
          </w:p>
        </w:tc>
        <w:tc>
          <w:tcPr>
            <w:tcW w:w="2268" w:type="dxa"/>
            <w:tcBorders>
              <w:top w:val="single" w:sz="4" w:space="0" w:color="000000"/>
              <w:left w:val="single" w:sz="4" w:space="0" w:color="000000"/>
              <w:bottom w:val="single" w:sz="4" w:space="0" w:color="000000"/>
              <w:right w:val="single" w:sz="4" w:space="0" w:color="000000"/>
            </w:tcBorders>
          </w:tcPr>
          <w:p w14:paraId="09CEA97E" w14:textId="77777777" w:rsidR="00FA2B14" w:rsidRPr="006467DC" w:rsidRDefault="00FA2B14" w:rsidP="00FA2B14">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5848FD8B" w14:textId="77777777" w:rsidR="00FA2B14" w:rsidRPr="006467DC" w:rsidRDefault="00FA2B14" w:rsidP="00FA2B14">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0333B53C"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 ATOR 10</w:t>
            </w:r>
          </w:p>
          <w:p w14:paraId="71BC7C4F"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 ATOR 20</w:t>
            </w:r>
          </w:p>
          <w:p w14:paraId="66F9E7C6"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 ATOR 40</w:t>
            </w:r>
          </w:p>
          <w:p w14:paraId="1C3D7844"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 ATOR 80</w:t>
            </w:r>
          </w:p>
          <w:p w14:paraId="7D3B7A4D" w14:textId="77777777" w:rsidR="00FA2B14" w:rsidRPr="006467DC" w:rsidRDefault="00FA2B14" w:rsidP="00FA2B14">
            <w:pPr>
              <w:kinsoku w:val="0"/>
              <w:overflowPunct w:val="0"/>
              <w:autoSpaceDE w:val="0"/>
              <w:autoSpaceDN w:val="0"/>
              <w:adjustRightInd w:val="0"/>
              <w:spacing w:after="0" w:line="240" w:lineRule="auto"/>
              <w:ind w:right="1"/>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DCFE59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255</w:t>
            </w:r>
          </w:p>
          <w:p w14:paraId="5BA8ABC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0D3A35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65</w:t>
            </w:r>
          </w:p>
          <w:p w14:paraId="022F73CB"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62</w:t>
            </w:r>
          </w:p>
          <w:p w14:paraId="7179E50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65</w:t>
            </w:r>
          </w:p>
          <w:p w14:paraId="6C53EC73"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pacing w:val="-1"/>
                <w:sz w:val="20"/>
                <w:szCs w:val="20"/>
              </w:rPr>
              <w:t>63</w:t>
            </w:r>
          </w:p>
        </w:tc>
        <w:tc>
          <w:tcPr>
            <w:tcW w:w="851" w:type="dxa"/>
            <w:tcBorders>
              <w:top w:val="single" w:sz="4" w:space="0" w:color="000000"/>
              <w:left w:val="single" w:sz="4" w:space="0" w:color="000000"/>
              <w:bottom w:val="single" w:sz="4" w:space="0" w:color="000000"/>
              <w:right w:val="single" w:sz="4" w:space="0" w:color="000000"/>
            </w:tcBorders>
          </w:tcPr>
          <w:p w14:paraId="6AA2DD7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51697B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EC7028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1.34</w:t>
            </w:r>
          </w:p>
          <w:p w14:paraId="43B8AD9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1.28</w:t>
            </w:r>
          </w:p>
          <w:p w14:paraId="1EE93F3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1.32</w:t>
            </w:r>
          </w:p>
          <w:p w14:paraId="752A2ED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1.32</w:t>
            </w:r>
          </w:p>
        </w:tc>
        <w:tc>
          <w:tcPr>
            <w:tcW w:w="850" w:type="dxa"/>
            <w:tcBorders>
              <w:top w:val="single" w:sz="4" w:space="0" w:color="000000"/>
              <w:left w:val="single" w:sz="4" w:space="0" w:color="000000"/>
              <w:bottom w:val="single" w:sz="4" w:space="0" w:color="000000"/>
              <w:right w:val="single" w:sz="4" w:space="0" w:color="000000"/>
            </w:tcBorders>
          </w:tcPr>
          <w:p w14:paraId="6E54BBF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3BC9B5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5A169D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1.45</w:t>
            </w:r>
          </w:p>
          <w:p w14:paraId="0C66779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1.39</w:t>
            </w:r>
          </w:p>
          <w:p w14:paraId="520763F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1.37</w:t>
            </w:r>
          </w:p>
          <w:p w14:paraId="0093528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1.40</w:t>
            </w:r>
          </w:p>
        </w:tc>
        <w:tc>
          <w:tcPr>
            <w:tcW w:w="1842" w:type="dxa"/>
            <w:tcBorders>
              <w:top w:val="single" w:sz="4" w:space="0" w:color="000000"/>
              <w:left w:val="single" w:sz="4" w:space="0" w:color="000000"/>
              <w:bottom w:val="single" w:sz="4" w:space="0" w:color="000000"/>
              <w:right w:val="single" w:sz="4" w:space="0" w:color="000000"/>
            </w:tcBorders>
          </w:tcPr>
          <w:p w14:paraId="2ED1BD51" w14:textId="77777777" w:rsidR="00FA2B14" w:rsidRPr="006467DC" w:rsidRDefault="00FA2B14" w:rsidP="001A5106">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3F588FB7" w14:textId="77777777" w:rsidR="00FA2B14" w:rsidRPr="006467DC" w:rsidRDefault="00FA2B14" w:rsidP="001A5106">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438E22CE" w14:textId="0CD8E053" w:rsidR="00FA2B14" w:rsidRPr="006467DC" w:rsidRDefault="00FA2B14" w:rsidP="001A5106">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pacing w:val="-1"/>
                <w:sz w:val="20"/>
                <w:szCs w:val="20"/>
              </w:rPr>
              <w:t>6.46 (1.49)</w:t>
            </w:r>
          </w:p>
          <w:p w14:paraId="3EDA075C" w14:textId="77777777" w:rsidR="00FA2B14" w:rsidRPr="006467DC" w:rsidRDefault="00FA2B14" w:rsidP="001A5106">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pacing w:val="-1"/>
                <w:sz w:val="20"/>
                <w:szCs w:val="20"/>
              </w:rPr>
              <w:t>3.96 (1.49)</w:t>
            </w:r>
          </w:p>
          <w:p w14:paraId="4D593C0C" w14:textId="77777777" w:rsidR="00FA2B14" w:rsidRPr="006467DC" w:rsidRDefault="00FA2B14" w:rsidP="001A5106">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pacing w:val="-1"/>
                <w:sz w:val="20"/>
                <w:szCs w:val="20"/>
              </w:rPr>
              <w:t>3.76 (1.45)</w:t>
            </w:r>
          </w:p>
          <w:p w14:paraId="73617A37" w14:textId="77777777" w:rsidR="00FA2B14" w:rsidRPr="006467DC" w:rsidRDefault="00FA2B14" w:rsidP="001A5106">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pacing w:val="-1"/>
                <w:sz w:val="20"/>
                <w:szCs w:val="20"/>
              </w:rPr>
              <w:t>2.81 (1.47)</w:t>
            </w:r>
          </w:p>
        </w:tc>
        <w:tc>
          <w:tcPr>
            <w:tcW w:w="1842" w:type="dxa"/>
            <w:tcBorders>
              <w:top w:val="single" w:sz="4" w:space="0" w:color="000000"/>
              <w:left w:val="single" w:sz="4" w:space="0" w:color="000000"/>
              <w:bottom w:val="single" w:sz="4" w:space="0" w:color="000000"/>
              <w:right w:val="single" w:sz="4" w:space="0" w:color="000000"/>
            </w:tcBorders>
          </w:tcPr>
          <w:p w14:paraId="7D9A725C" w14:textId="77777777" w:rsidR="00FA2B14" w:rsidRPr="006467DC" w:rsidRDefault="00FA2B14" w:rsidP="001A5106">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2922204B" w14:textId="77777777" w:rsidR="00FA2B14" w:rsidRPr="006467DC" w:rsidRDefault="00FA2B14" w:rsidP="001A5106">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1D3DB43E" w14:textId="772279A9" w:rsidR="00FA2B14" w:rsidRPr="006467DC" w:rsidRDefault="00FA2B14" w:rsidP="001A5106">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9.01 (1.43)</w:t>
            </w:r>
          </w:p>
          <w:p w14:paraId="63385D94" w14:textId="77777777" w:rsidR="00FA2B14" w:rsidRPr="006467DC" w:rsidRDefault="00FA2B14" w:rsidP="001A5106">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9.21 (1.41)</w:t>
            </w:r>
          </w:p>
          <w:p w14:paraId="046AD34E" w14:textId="77777777" w:rsidR="00FA2B14" w:rsidRPr="006467DC" w:rsidRDefault="00FA2B14" w:rsidP="001A5106">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4.58 (1.45)</w:t>
            </w:r>
          </w:p>
          <w:p w14:paraId="11391754" w14:textId="77777777" w:rsidR="00FA2B14" w:rsidRPr="006467DC" w:rsidRDefault="00FA2B14" w:rsidP="001A5106">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pacing w:val="-1"/>
                <w:sz w:val="20"/>
                <w:szCs w:val="20"/>
              </w:rPr>
              <w:t>6.55 (1.47)</w:t>
            </w:r>
          </w:p>
        </w:tc>
        <w:tc>
          <w:tcPr>
            <w:tcW w:w="1986" w:type="dxa"/>
            <w:tcBorders>
              <w:top w:val="single" w:sz="4" w:space="0" w:color="000000"/>
              <w:left w:val="single" w:sz="4" w:space="0" w:color="000000"/>
              <w:bottom w:val="single" w:sz="4" w:space="0" w:color="000000"/>
              <w:right w:val="single" w:sz="4" w:space="0" w:color="000000"/>
            </w:tcBorders>
          </w:tcPr>
          <w:p w14:paraId="5640A9A3"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09B8ADEE"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0CF54387"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6467DC">
              <w:rPr>
                <w:rFonts w:ascii="Arial Narrow" w:hAnsi="Arial Narrow" w:cs="Calibri"/>
                <w:spacing w:val="-1"/>
                <w:sz w:val="20"/>
                <w:szCs w:val="20"/>
              </w:rPr>
              <w:t>2.55 (-1.52, 6.61) (NS)</w:t>
            </w:r>
          </w:p>
          <w:p w14:paraId="382C5122"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6467DC">
              <w:rPr>
                <w:rFonts w:ascii="Arial Narrow" w:hAnsi="Arial Narrow" w:cs="Calibri"/>
                <w:spacing w:val="-1"/>
                <w:sz w:val="20"/>
                <w:szCs w:val="20"/>
              </w:rPr>
              <w:t>5.26 (1.14, 9.37)**</w:t>
            </w:r>
          </w:p>
          <w:p w14:paraId="17315CF2"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6467DC">
              <w:rPr>
                <w:rFonts w:ascii="Arial Narrow" w:hAnsi="Arial Narrow" w:cs="Calibri"/>
                <w:spacing w:val="-1"/>
                <w:sz w:val="20"/>
                <w:szCs w:val="20"/>
              </w:rPr>
              <w:t>0.82 (-3.19, 4.83) (NS)</w:t>
            </w:r>
          </w:p>
          <w:p w14:paraId="5BC7705A"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6467DC">
              <w:rPr>
                <w:rFonts w:ascii="Arial Narrow" w:hAnsi="Arial Narrow" w:cs="Calibri"/>
                <w:spacing w:val="-1"/>
                <w:sz w:val="20"/>
                <w:szCs w:val="20"/>
              </w:rPr>
              <w:t>3.74 (-0.34, 7.82) (NS)</w:t>
            </w:r>
          </w:p>
          <w:p w14:paraId="0D2E0EA1" w14:textId="77777777" w:rsidR="00FA2B14" w:rsidRPr="006467DC" w:rsidRDefault="00FA2B14" w:rsidP="00FA2B14">
            <w:pPr>
              <w:widowControl w:val="0"/>
              <w:spacing w:after="0" w:line="240" w:lineRule="auto"/>
              <w:ind w:left="222"/>
              <w:rPr>
                <w:rFonts w:ascii="Arial Narrow" w:hAnsi="Arial Narrow" w:cs="Calibri"/>
                <w:spacing w:val="-1"/>
                <w:sz w:val="20"/>
                <w:szCs w:val="20"/>
              </w:rPr>
            </w:pPr>
            <w:r w:rsidRPr="006467DC">
              <w:rPr>
                <w:rFonts w:ascii="Arial Narrow" w:hAnsi="Arial Narrow" w:cs="Calibri"/>
                <w:spacing w:val="-1"/>
                <w:sz w:val="20"/>
                <w:szCs w:val="20"/>
              </w:rPr>
              <w:t xml:space="preserve"> </w:t>
            </w:r>
          </w:p>
          <w:p w14:paraId="3AF3F97A" w14:textId="77777777" w:rsidR="00FA2B14" w:rsidRPr="006467DC" w:rsidRDefault="00FA2B14" w:rsidP="00FA2B14">
            <w:pPr>
              <w:widowControl w:val="0"/>
              <w:spacing w:after="0" w:line="240" w:lineRule="auto"/>
              <w:ind w:left="222"/>
              <w:rPr>
                <w:rFonts w:ascii="Arial Narrow" w:hAnsi="Arial Narrow" w:cs="Calibri"/>
                <w:spacing w:val="-1"/>
                <w:sz w:val="20"/>
                <w:szCs w:val="20"/>
              </w:rPr>
            </w:pPr>
          </w:p>
          <w:p w14:paraId="3CB67FA2"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404B3A2D"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p>
        </w:tc>
      </w:tr>
      <w:tr w:rsidR="00FA2B14" w:rsidRPr="006467DC" w14:paraId="3C7DB2C3" w14:textId="77777777" w:rsidTr="006E4B80">
        <w:trPr>
          <w:trHeight w:hRule="exact" w:val="1712"/>
        </w:trPr>
        <w:tc>
          <w:tcPr>
            <w:tcW w:w="2127" w:type="dxa"/>
            <w:tcBorders>
              <w:top w:val="single" w:sz="4" w:space="0" w:color="000000"/>
              <w:left w:val="single" w:sz="4" w:space="0" w:color="000000"/>
              <w:bottom w:val="single" w:sz="4" w:space="0" w:color="000000"/>
              <w:right w:val="single" w:sz="4" w:space="0" w:color="000000"/>
            </w:tcBorders>
          </w:tcPr>
          <w:p w14:paraId="2306D7BC"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P038 Bays 2004</w:t>
            </w:r>
            <w:r w:rsidRPr="006467DC">
              <w:rPr>
                <w:rFonts w:ascii="Arial Narrow" w:hAnsi="Arial Narrow" w:cs="Calibri"/>
                <w:spacing w:val="-1"/>
                <w:sz w:val="20"/>
                <w:szCs w:val="20"/>
                <w:vertAlign w:val="superscript"/>
              </w:rPr>
              <w:t>1</w:t>
            </w:r>
          </w:p>
          <w:p w14:paraId="588F0C4E"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02D7F158"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SIM 10  </w:t>
            </w:r>
          </w:p>
          <w:p w14:paraId="31526AC0"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SIM 20  </w:t>
            </w:r>
          </w:p>
          <w:p w14:paraId="41D620EB"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SIM 40  </w:t>
            </w:r>
          </w:p>
          <w:p w14:paraId="4EB9A7B2"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SIM 80  </w:t>
            </w:r>
          </w:p>
          <w:p w14:paraId="436326B7"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DD10628"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612^</w:t>
            </w:r>
          </w:p>
          <w:p w14:paraId="66E617E7"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p>
          <w:p w14:paraId="242FDDEC"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155</w:t>
            </w:r>
          </w:p>
          <w:p w14:paraId="5B617AE1"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147</w:t>
            </w:r>
          </w:p>
          <w:p w14:paraId="45B3E2E7"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154</w:t>
            </w:r>
          </w:p>
          <w:p w14:paraId="2114979B"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156</w:t>
            </w:r>
          </w:p>
        </w:tc>
        <w:tc>
          <w:tcPr>
            <w:tcW w:w="851" w:type="dxa"/>
            <w:tcBorders>
              <w:top w:val="single" w:sz="4" w:space="0" w:color="000000"/>
              <w:left w:val="single" w:sz="4" w:space="0" w:color="000000"/>
              <w:bottom w:val="single" w:sz="4" w:space="0" w:color="000000"/>
              <w:right w:val="single" w:sz="4" w:space="0" w:color="000000"/>
            </w:tcBorders>
          </w:tcPr>
          <w:p w14:paraId="2E08C710"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21C97BAB"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499A1434"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6467DC">
              <w:rPr>
                <w:rFonts w:ascii="Arial Narrow" w:hAnsi="Arial Narrow" w:cs="Calibri"/>
                <w:spacing w:val="-1"/>
                <w:sz w:val="20"/>
                <w:szCs w:val="20"/>
              </w:rPr>
              <w:t>1.3</w:t>
            </w:r>
          </w:p>
          <w:p w14:paraId="3705FADD"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6467DC">
              <w:rPr>
                <w:rFonts w:ascii="Arial Narrow" w:hAnsi="Arial Narrow" w:cs="Calibri"/>
                <w:spacing w:val="-1"/>
                <w:sz w:val="20"/>
                <w:szCs w:val="20"/>
              </w:rPr>
              <w:t>1.4</w:t>
            </w:r>
          </w:p>
          <w:p w14:paraId="7B75C04E"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6467DC">
              <w:rPr>
                <w:rFonts w:ascii="Arial Narrow" w:hAnsi="Arial Narrow" w:cs="Calibri"/>
                <w:spacing w:val="-1"/>
                <w:sz w:val="20"/>
                <w:szCs w:val="20"/>
              </w:rPr>
              <w:t>1.3</w:t>
            </w:r>
          </w:p>
          <w:p w14:paraId="6F5F703C"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z w:val="20"/>
                <w:szCs w:val="20"/>
              </w:rPr>
            </w:pPr>
            <w:r w:rsidRPr="006467DC">
              <w:rPr>
                <w:rFonts w:ascii="Arial Narrow" w:hAnsi="Arial Narrow" w:cs="Calibri"/>
                <w:spacing w:val="-1"/>
                <w:sz w:val="20"/>
                <w:szCs w:val="20"/>
              </w:rPr>
              <w:t xml:space="preserve"> 1.3</w:t>
            </w:r>
          </w:p>
        </w:tc>
        <w:tc>
          <w:tcPr>
            <w:tcW w:w="850" w:type="dxa"/>
            <w:tcBorders>
              <w:top w:val="single" w:sz="4" w:space="0" w:color="000000"/>
              <w:left w:val="single" w:sz="4" w:space="0" w:color="000000"/>
              <w:bottom w:val="single" w:sz="4" w:space="0" w:color="000000"/>
              <w:right w:val="single" w:sz="4" w:space="0" w:color="000000"/>
            </w:tcBorders>
          </w:tcPr>
          <w:p w14:paraId="3B61B06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DB9039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DCC473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w:t>
            </w:r>
          </w:p>
          <w:p w14:paraId="10D611F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1.5</w:t>
            </w:r>
          </w:p>
          <w:p w14:paraId="7F7C98B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w:t>
            </w:r>
          </w:p>
          <w:p w14:paraId="69FB3F6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1.4</w:t>
            </w:r>
          </w:p>
        </w:tc>
        <w:tc>
          <w:tcPr>
            <w:tcW w:w="2268" w:type="dxa"/>
            <w:tcBorders>
              <w:top w:val="single" w:sz="4" w:space="0" w:color="000000"/>
              <w:left w:val="single" w:sz="4" w:space="0" w:color="000000"/>
              <w:bottom w:val="single" w:sz="4" w:space="0" w:color="000000"/>
              <w:right w:val="single" w:sz="4" w:space="0" w:color="000000"/>
            </w:tcBorders>
          </w:tcPr>
          <w:p w14:paraId="66BB4E2B" w14:textId="77777777" w:rsidR="00FA2B14" w:rsidRPr="006467DC" w:rsidRDefault="00FA2B14" w:rsidP="00FA2B14">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3AB2B0F9" w14:textId="77777777" w:rsidR="00FA2B14" w:rsidRPr="006467DC" w:rsidRDefault="00FA2B14" w:rsidP="00FA2B14">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743C02C4"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10</w:t>
            </w:r>
          </w:p>
          <w:p w14:paraId="3D430FE4"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20</w:t>
            </w:r>
          </w:p>
          <w:p w14:paraId="50C56CE0"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40</w:t>
            </w:r>
          </w:p>
          <w:p w14:paraId="40EEBF6B"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80</w:t>
            </w:r>
          </w:p>
        </w:tc>
        <w:tc>
          <w:tcPr>
            <w:tcW w:w="992" w:type="dxa"/>
            <w:tcBorders>
              <w:top w:val="single" w:sz="4" w:space="0" w:color="000000"/>
              <w:left w:val="single" w:sz="4" w:space="0" w:color="000000"/>
              <w:bottom w:val="single" w:sz="4" w:space="0" w:color="000000"/>
              <w:right w:val="single" w:sz="4" w:space="0" w:color="000000"/>
            </w:tcBorders>
          </w:tcPr>
          <w:p w14:paraId="223230E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604^</w:t>
            </w:r>
          </w:p>
          <w:p w14:paraId="7A8A0CB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D17A92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151</w:t>
            </w:r>
          </w:p>
          <w:p w14:paraId="2FC1AFD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153</w:t>
            </w:r>
          </w:p>
          <w:p w14:paraId="3484719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146</w:t>
            </w:r>
          </w:p>
          <w:p w14:paraId="5805E86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154</w:t>
            </w:r>
          </w:p>
        </w:tc>
        <w:tc>
          <w:tcPr>
            <w:tcW w:w="851" w:type="dxa"/>
            <w:tcBorders>
              <w:top w:val="single" w:sz="4" w:space="0" w:color="000000"/>
              <w:left w:val="single" w:sz="4" w:space="0" w:color="000000"/>
              <w:bottom w:val="single" w:sz="4" w:space="0" w:color="000000"/>
              <w:right w:val="single" w:sz="4" w:space="0" w:color="000000"/>
            </w:tcBorders>
          </w:tcPr>
          <w:p w14:paraId="75B15C4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02E1E1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444E31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w:t>
            </w:r>
          </w:p>
          <w:p w14:paraId="11C8026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w:t>
            </w:r>
          </w:p>
          <w:p w14:paraId="411113BE"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w:t>
            </w:r>
          </w:p>
          <w:p w14:paraId="472F303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1.4</w:t>
            </w:r>
          </w:p>
        </w:tc>
        <w:tc>
          <w:tcPr>
            <w:tcW w:w="850" w:type="dxa"/>
            <w:tcBorders>
              <w:top w:val="single" w:sz="4" w:space="0" w:color="000000"/>
              <w:left w:val="single" w:sz="4" w:space="0" w:color="000000"/>
              <w:bottom w:val="single" w:sz="4" w:space="0" w:color="000000"/>
              <w:right w:val="single" w:sz="4" w:space="0" w:color="000000"/>
            </w:tcBorders>
          </w:tcPr>
          <w:p w14:paraId="7858D5A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308C880"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3009AC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w:t>
            </w:r>
          </w:p>
          <w:p w14:paraId="493DF08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w:t>
            </w:r>
          </w:p>
          <w:p w14:paraId="684132AB"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w:t>
            </w:r>
          </w:p>
          <w:p w14:paraId="2841B53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1.4</w:t>
            </w:r>
          </w:p>
        </w:tc>
        <w:tc>
          <w:tcPr>
            <w:tcW w:w="1842" w:type="dxa"/>
            <w:tcBorders>
              <w:top w:val="single" w:sz="4" w:space="0" w:color="000000"/>
              <w:left w:val="single" w:sz="4" w:space="0" w:color="000000"/>
              <w:bottom w:val="single" w:sz="4" w:space="0" w:color="000000"/>
              <w:right w:val="single" w:sz="4" w:space="0" w:color="000000"/>
            </w:tcBorders>
          </w:tcPr>
          <w:p w14:paraId="7BD1084A"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1D3809E1"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09DFAE1F"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pacing w:val="-1"/>
                <w:sz w:val="20"/>
                <w:szCs w:val="20"/>
              </w:rPr>
              <w:t>5.4 (3.3, 7.4)</w:t>
            </w:r>
          </w:p>
          <w:p w14:paraId="65278346"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pacing w:val="-1"/>
                <w:sz w:val="20"/>
                <w:szCs w:val="20"/>
              </w:rPr>
              <w:t>7.4 (5.3, 9.6)</w:t>
            </w:r>
          </w:p>
          <w:p w14:paraId="37E3EE1F"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pacing w:val="-1"/>
                <w:sz w:val="20"/>
                <w:szCs w:val="20"/>
              </w:rPr>
              <w:t>7.5 (5.4, 9.6)</w:t>
            </w:r>
          </w:p>
          <w:p w14:paraId="3E32DEFF"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pacing w:val="-1"/>
                <w:sz w:val="20"/>
                <w:szCs w:val="20"/>
              </w:rPr>
              <w:t>7.1 (5.0, 9.1)</w:t>
            </w:r>
          </w:p>
        </w:tc>
        <w:tc>
          <w:tcPr>
            <w:tcW w:w="1842" w:type="dxa"/>
            <w:tcBorders>
              <w:top w:val="single" w:sz="4" w:space="0" w:color="000000"/>
              <w:left w:val="single" w:sz="4" w:space="0" w:color="000000"/>
              <w:bottom w:val="single" w:sz="4" w:space="0" w:color="000000"/>
              <w:right w:val="single" w:sz="4" w:space="0" w:color="000000"/>
            </w:tcBorders>
          </w:tcPr>
          <w:p w14:paraId="40A1BE45"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180D2A8C"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4C25E94B"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8.0 (5.9, 10.2)</w:t>
            </w:r>
          </w:p>
          <w:p w14:paraId="6573B112"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9.8 (7.7, 11.8)</w:t>
            </w:r>
          </w:p>
          <w:p w14:paraId="225CDCAD"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5.5 (3.4, 7.7)</w:t>
            </w:r>
          </w:p>
          <w:p w14:paraId="5F8AAA38"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pacing w:val="-1"/>
                <w:sz w:val="20"/>
                <w:szCs w:val="20"/>
              </w:rPr>
              <w:t>5.6 (3.6, 7.7)</w:t>
            </w:r>
          </w:p>
        </w:tc>
        <w:tc>
          <w:tcPr>
            <w:tcW w:w="1986" w:type="dxa"/>
            <w:tcBorders>
              <w:top w:val="single" w:sz="4" w:space="0" w:color="000000"/>
              <w:left w:val="single" w:sz="4" w:space="0" w:color="000000"/>
              <w:bottom w:val="single" w:sz="4" w:space="0" w:color="000000"/>
              <w:right w:val="single" w:sz="4" w:space="0" w:color="000000"/>
            </w:tcBorders>
          </w:tcPr>
          <w:p w14:paraId="65B10A39"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53E20B6A"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21DCD221"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6467DC">
              <w:rPr>
                <w:rFonts w:ascii="Arial Narrow" w:hAnsi="Arial Narrow" w:cs="Calibri"/>
                <w:spacing w:val="-1"/>
                <w:sz w:val="20"/>
                <w:szCs w:val="20"/>
              </w:rPr>
              <w:t>2.6 (-0.4, 5.5) (NS)</w:t>
            </w:r>
          </w:p>
          <w:p w14:paraId="2F75EFB1"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6467DC">
              <w:rPr>
                <w:rFonts w:ascii="Arial Narrow" w:hAnsi="Arial Narrow" w:cs="Calibri"/>
                <w:spacing w:val="-1"/>
                <w:sz w:val="20"/>
                <w:szCs w:val="20"/>
              </w:rPr>
              <w:t>2.3 (-0.6, 5.3) (NS)</w:t>
            </w:r>
          </w:p>
          <w:p w14:paraId="5A791983"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6467DC">
              <w:rPr>
                <w:rFonts w:ascii="Arial Narrow" w:hAnsi="Arial Narrow" w:cs="Calibri"/>
                <w:spacing w:val="-1"/>
                <w:sz w:val="20"/>
                <w:szCs w:val="20"/>
              </w:rPr>
              <w:t>-1.9 (-4.9, 1.0) (NS)</w:t>
            </w:r>
          </w:p>
          <w:p w14:paraId="72D4A9FA"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r w:rsidRPr="006467DC">
              <w:rPr>
                <w:rFonts w:ascii="Arial Narrow" w:hAnsi="Arial Narrow" w:cs="Calibri"/>
                <w:spacing w:val="-1"/>
                <w:sz w:val="20"/>
                <w:szCs w:val="20"/>
              </w:rPr>
              <w:t>-1.4 (-4.3, 1.5) (NS)</w:t>
            </w:r>
          </w:p>
          <w:p w14:paraId="6389D188"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p>
          <w:p w14:paraId="39383608" w14:textId="77777777" w:rsidR="00FA2B14" w:rsidRPr="006467DC" w:rsidRDefault="00FA2B14" w:rsidP="00FA2B14">
            <w:pPr>
              <w:kinsoku w:val="0"/>
              <w:overflowPunct w:val="0"/>
              <w:autoSpaceDE w:val="0"/>
              <w:autoSpaceDN w:val="0"/>
              <w:adjustRightInd w:val="0"/>
              <w:spacing w:after="0" w:line="240" w:lineRule="auto"/>
              <w:ind w:left="222"/>
              <w:rPr>
                <w:rFonts w:ascii="Arial Narrow" w:hAnsi="Arial Narrow" w:cs="Calibri"/>
                <w:spacing w:val="-1"/>
                <w:sz w:val="20"/>
                <w:szCs w:val="20"/>
              </w:rPr>
            </w:pPr>
          </w:p>
        </w:tc>
      </w:tr>
      <w:tr w:rsidR="00FA2B14" w:rsidRPr="006467DC" w14:paraId="5B5D2D83" w14:textId="77777777" w:rsidTr="00F7742C">
        <w:trPr>
          <w:trHeight w:hRule="exact" w:val="1694"/>
        </w:trPr>
        <w:tc>
          <w:tcPr>
            <w:tcW w:w="2127" w:type="dxa"/>
            <w:tcBorders>
              <w:top w:val="single" w:sz="4" w:space="0" w:color="000000"/>
              <w:left w:val="single" w:sz="4" w:space="0" w:color="000000"/>
              <w:bottom w:val="single" w:sz="4" w:space="0" w:color="000000"/>
              <w:right w:val="single" w:sz="4" w:space="0" w:color="000000"/>
            </w:tcBorders>
          </w:tcPr>
          <w:p w14:paraId="3D3FC539"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P068 Davidson 2002</w:t>
            </w:r>
            <w:r w:rsidRPr="006467DC">
              <w:rPr>
                <w:rFonts w:ascii="Arial Narrow" w:hAnsi="Arial Narrow" w:cs="Calibri"/>
                <w:spacing w:val="-1"/>
                <w:sz w:val="20"/>
                <w:szCs w:val="20"/>
                <w:vertAlign w:val="superscript"/>
              </w:rPr>
              <w:t>1</w:t>
            </w:r>
          </w:p>
          <w:p w14:paraId="527DE224"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42594F07"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SIM 10 </w:t>
            </w:r>
          </w:p>
          <w:p w14:paraId="7739921C"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SIM 20  </w:t>
            </w:r>
          </w:p>
          <w:p w14:paraId="76A742D1"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SIM 40  </w:t>
            </w:r>
          </w:p>
          <w:p w14:paraId="09BB3581"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SIM 80  </w:t>
            </w:r>
          </w:p>
          <w:p w14:paraId="6E0046CA"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BA8A4AD"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263</w:t>
            </w:r>
          </w:p>
          <w:p w14:paraId="2FC24CE7"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p>
          <w:p w14:paraId="4C0CFB68"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70</w:t>
            </w:r>
          </w:p>
          <w:p w14:paraId="2915952E"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61</w:t>
            </w:r>
          </w:p>
          <w:p w14:paraId="3C08DBBB"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65</w:t>
            </w:r>
          </w:p>
          <w:p w14:paraId="3AE25C7E"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67</w:t>
            </w:r>
          </w:p>
        </w:tc>
        <w:tc>
          <w:tcPr>
            <w:tcW w:w="851" w:type="dxa"/>
            <w:tcBorders>
              <w:top w:val="single" w:sz="4" w:space="0" w:color="000000"/>
              <w:left w:val="single" w:sz="4" w:space="0" w:color="000000"/>
              <w:bottom w:val="single" w:sz="4" w:space="0" w:color="000000"/>
              <w:right w:val="single" w:sz="4" w:space="0" w:color="000000"/>
            </w:tcBorders>
          </w:tcPr>
          <w:p w14:paraId="19031329"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2602C704"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p>
          <w:p w14:paraId="5399A3FE"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6467DC">
              <w:rPr>
                <w:rFonts w:ascii="Arial Narrow" w:hAnsi="Arial Narrow" w:cs="Calibri"/>
                <w:spacing w:val="-1"/>
                <w:sz w:val="20"/>
                <w:szCs w:val="20"/>
              </w:rPr>
              <w:t>1.30</w:t>
            </w:r>
          </w:p>
          <w:p w14:paraId="48352250"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6467DC">
              <w:rPr>
                <w:rFonts w:ascii="Arial Narrow" w:hAnsi="Arial Narrow" w:cs="Calibri"/>
                <w:spacing w:val="-1"/>
                <w:sz w:val="20"/>
                <w:szCs w:val="20"/>
              </w:rPr>
              <w:t>1.33</w:t>
            </w:r>
          </w:p>
          <w:p w14:paraId="39722523"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pacing w:val="-1"/>
                <w:sz w:val="20"/>
                <w:szCs w:val="20"/>
              </w:rPr>
            </w:pPr>
            <w:r w:rsidRPr="006467DC">
              <w:rPr>
                <w:rFonts w:ascii="Arial Narrow" w:hAnsi="Arial Narrow" w:cs="Calibri"/>
                <w:spacing w:val="-1"/>
                <w:sz w:val="20"/>
                <w:szCs w:val="20"/>
              </w:rPr>
              <w:t>1.31</w:t>
            </w:r>
          </w:p>
          <w:p w14:paraId="6B0793E4" w14:textId="77777777" w:rsidR="00FA2B14" w:rsidRPr="006467DC" w:rsidRDefault="00FA2B14" w:rsidP="00FA2B14">
            <w:pPr>
              <w:kinsoku w:val="0"/>
              <w:overflowPunct w:val="0"/>
              <w:autoSpaceDE w:val="0"/>
              <w:autoSpaceDN w:val="0"/>
              <w:adjustRightInd w:val="0"/>
              <w:spacing w:after="0" w:line="240" w:lineRule="auto"/>
              <w:ind w:left="1" w:hanging="1"/>
              <w:jc w:val="center"/>
              <w:rPr>
                <w:rFonts w:ascii="Arial Narrow" w:hAnsi="Arial Narrow" w:cs="Calibri"/>
                <w:sz w:val="20"/>
                <w:szCs w:val="20"/>
              </w:rPr>
            </w:pPr>
            <w:r w:rsidRPr="006467DC">
              <w:rPr>
                <w:rFonts w:ascii="Arial Narrow" w:hAnsi="Arial Narrow" w:cs="Calibri"/>
                <w:spacing w:val="-1"/>
                <w:sz w:val="20"/>
                <w:szCs w:val="20"/>
              </w:rPr>
              <w:t>1.34</w:t>
            </w:r>
          </w:p>
        </w:tc>
        <w:tc>
          <w:tcPr>
            <w:tcW w:w="850" w:type="dxa"/>
            <w:tcBorders>
              <w:top w:val="single" w:sz="4" w:space="0" w:color="000000"/>
              <w:left w:val="single" w:sz="4" w:space="0" w:color="000000"/>
              <w:bottom w:val="single" w:sz="4" w:space="0" w:color="000000"/>
              <w:right w:val="single" w:sz="4" w:space="0" w:color="000000"/>
            </w:tcBorders>
          </w:tcPr>
          <w:p w14:paraId="1CC18C6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834784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FF7175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1.40</w:t>
            </w:r>
          </w:p>
          <w:p w14:paraId="6547D68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1.40</w:t>
            </w:r>
          </w:p>
          <w:p w14:paraId="0FFEA68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1.38</w:t>
            </w:r>
          </w:p>
          <w:p w14:paraId="37486C6E"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1.45</w:t>
            </w:r>
          </w:p>
        </w:tc>
        <w:tc>
          <w:tcPr>
            <w:tcW w:w="2268" w:type="dxa"/>
            <w:tcBorders>
              <w:top w:val="single" w:sz="4" w:space="0" w:color="000000"/>
              <w:left w:val="single" w:sz="4" w:space="0" w:color="000000"/>
              <w:bottom w:val="single" w:sz="4" w:space="0" w:color="000000"/>
              <w:right w:val="single" w:sz="4" w:space="0" w:color="000000"/>
            </w:tcBorders>
          </w:tcPr>
          <w:p w14:paraId="70747F71" w14:textId="77777777" w:rsidR="00FA2B14" w:rsidRPr="006467DC" w:rsidRDefault="00FA2B14" w:rsidP="00FA2B14">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4049F6D4" w14:textId="77777777" w:rsidR="00FA2B14" w:rsidRPr="006467DC" w:rsidRDefault="00FA2B14" w:rsidP="00FA2B14">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708F08B1"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10</w:t>
            </w:r>
          </w:p>
          <w:p w14:paraId="3A4D5ACC"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20</w:t>
            </w:r>
          </w:p>
          <w:p w14:paraId="44A11E8C"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40</w:t>
            </w:r>
          </w:p>
          <w:p w14:paraId="741DC3E9"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80</w:t>
            </w:r>
          </w:p>
        </w:tc>
        <w:tc>
          <w:tcPr>
            <w:tcW w:w="992" w:type="dxa"/>
            <w:tcBorders>
              <w:top w:val="single" w:sz="4" w:space="0" w:color="000000"/>
              <w:left w:val="single" w:sz="4" w:space="0" w:color="000000"/>
              <w:bottom w:val="single" w:sz="4" w:space="0" w:color="000000"/>
              <w:right w:val="single" w:sz="4" w:space="0" w:color="000000"/>
            </w:tcBorders>
          </w:tcPr>
          <w:p w14:paraId="34F1C6CB"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274</w:t>
            </w:r>
          </w:p>
          <w:p w14:paraId="3A642B0B"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FD421E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67</w:t>
            </w:r>
          </w:p>
          <w:p w14:paraId="7825A41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69</w:t>
            </w:r>
          </w:p>
          <w:p w14:paraId="5715B66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73</w:t>
            </w:r>
          </w:p>
          <w:p w14:paraId="7703DE3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65</w:t>
            </w:r>
          </w:p>
        </w:tc>
        <w:tc>
          <w:tcPr>
            <w:tcW w:w="851" w:type="dxa"/>
            <w:tcBorders>
              <w:top w:val="single" w:sz="4" w:space="0" w:color="000000"/>
              <w:left w:val="single" w:sz="4" w:space="0" w:color="000000"/>
              <w:bottom w:val="single" w:sz="4" w:space="0" w:color="000000"/>
              <w:right w:val="single" w:sz="4" w:space="0" w:color="000000"/>
            </w:tcBorders>
          </w:tcPr>
          <w:p w14:paraId="6A71D34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BC3343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AB7119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1.26</w:t>
            </w:r>
          </w:p>
          <w:p w14:paraId="5C2BF35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1.33</w:t>
            </w:r>
          </w:p>
          <w:p w14:paraId="1D22AD0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1.30</w:t>
            </w:r>
          </w:p>
          <w:p w14:paraId="5654419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1.32</w:t>
            </w:r>
          </w:p>
        </w:tc>
        <w:tc>
          <w:tcPr>
            <w:tcW w:w="850" w:type="dxa"/>
            <w:tcBorders>
              <w:top w:val="single" w:sz="4" w:space="0" w:color="000000"/>
              <w:left w:val="single" w:sz="4" w:space="0" w:color="000000"/>
              <w:bottom w:val="single" w:sz="4" w:space="0" w:color="000000"/>
              <w:right w:val="single" w:sz="4" w:space="0" w:color="000000"/>
            </w:tcBorders>
          </w:tcPr>
          <w:p w14:paraId="79649D6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3F7AC6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F9D843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1.36</w:t>
            </w:r>
          </w:p>
          <w:p w14:paraId="08E636E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1.44</w:t>
            </w:r>
          </w:p>
          <w:p w14:paraId="02D51EC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1.42</w:t>
            </w:r>
          </w:p>
          <w:p w14:paraId="450975A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1.41</w:t>
            </w:r>
          </w:p>
        </w:tc>
        <w:tc>
          <w:tcPr>
            <w:tcW w:w="1842" w:type="dxa"/>
            <w:tcBorders>
              <w:top w:val="single" w:sz="4" w:space="0" w:color="000000"/>
              <w:left w:val="single" w:sz="4" w:space="0" w:color="000000"/>
              <w:bottom w:val="single" w:sz="4" w:space="0" w:color="000000"/>
              <w:right w:val="single" w:sz="4" w:space="0" w:color="000000"/>
            </w:tcBorders>
          </w:tcPr>
          <w:p w14:paraId="16F27F14"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7001E7B9"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14238CA9"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pacing w:val="-1"/>
                <w:sz w:val="20"/>
                <w:szCs w:val="20"/>
              </w:rPr>
              <w:t>7.61 (1.49)</w:t>
            </w:r>
          </w:p>
          <w:p w14:paraId="32D7EAF7"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pacing w:val="-1"/>
                <w:sz w:val="20"/>
                <w:szCs w:val="20"/>
              </w:rPr>
              <w:t>5.55 (1.60)</w:t>
            </w:r>
          </w:p>
          <w:p w14:paraId="205DC8B8"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r w:rsidRPr="006467DC">
              <w:rPr>
                <w:rFonts w:ascii="Arial Narrow" w:hAnsi="Arial Narrow" w:cs="Calibri"/>
                <w:spacing w:val="-1"/>
                <w:sz w:val="20"/>
                <w:szCs w:val="20"/>
              </w:rPr>
              <w:t>6.08 (1.56)</w:t>
            </w:r>
          </w:p>
          <w:p w14:paraId="48E9FD28"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pacing w:val="-1"/>
                <w:sz w:val="20"/>
                <w:szCs w:val="20"/>
              </w:rPr>
              <w:t>8.20 (1.53)</w:t>
            </w:r>
          </w:p>
        </w:tc>
        <w:tc>
          <w:tcPr>
            <w:tcW w:w="1842" w:type="dxa"/>
            <w:tcBorders>
              <w:top w:val="single" w:sz="4" w:space="0" w:color="000000"/>
              <w:left w:val="single" w:sz="4" w:space="0" w:color="000000"/>
              <w:bottom w:val="single" w:sz="4" w:space="0" w:color="000000"/>
              <w:right w:val="single" w:sz="4" w:space="0" w:color="000000"/>
            </w:tcBorders>
          </w:tcPr>
          <w:p w14:paraId="53A1B7DA"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7E171B9B"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578AFB59"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8.55 (1.52)</w:t>
            </w:r>
          </w:p>
          <w:p w14:paraId="09D970DC"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9.17 (1.51)</w:t>
            </w:r>
          </w:p>
          <w:p w14:paraId="75CB4E22"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r w:rsidRPr="006467DC">
              <w:rPr>
                <w:rFonts w:ascii="Arial Narrow" w:hAnsi="Arial Narrow" w:cs="Calibri"/>
                <w:spacing w:val="-1"/>
                <w:sz w:val="20"/>
                <w:szCs w:val="20"/>
              </w:rPr>
              <w:t>10.97 (1.47)</w:t>
            </w:r>
          </w:p>
          <w:p w14:paraId="1381609F"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pacing w:val="-1"/>
                <w:sz w:val="20"/>
                <w:szCs w:val="20"/>
              </w:rPr>
              <w:t>8.38 (1.58)</w:t>
            </w:r>
          </w:p>
        </w:tc>
        <w:tc>
          <w:tcPr>
            <w:tcW w:w="1986" w:type="dxa"/>
            <w:tcBorders>
              <w:top w:val="single" w:sz="4" w:space="0" w:color="000000"/>
              <w:left w:val="single" w:sz="4" w:space="0" w:color="000000"/>
              <w:bottom w:val="single" w:sz="4" w:space="0" w:color="000000"/>
              <w:right w:val="single" w:sz="4" w:space="0" w:color="000000"/>
            </w:tcBorders>
          </w:tcPr>
          <w:p w14:paraId="65646763"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p>
          <w:p w14:paraId="57DF209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5F1788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0.95 (-3.24, 5.13) (NS)</w:t>
            </w:r>
          </w:p>
          <w:p w14:paraId="3BAA883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3.62 (-0.69, 7.94) (NS)</w:t>
            </w:r>
          </w:p>
          <w:p w14:paraId="1837D13D" w14:textId="19B3D8DA"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4.89 (0.68, 9.09)*</w:t>
            </w:r>
          </w:p>
          <w:p w14:paraId="3062DA4B"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0.18 (-4.15, 4.51) (NS)</w:t>
            </w:r>
          </w:p>
        </w:tc>
      </w:tr>
      <w:tr w:rsidR="00FA2B14" w:rsidRPr="006467DC" w14:paraId="1D55C49B" w14:textId="77777777" w:rsidTr="00F7742C">
        <w:trPr>
          <w:trHeight w:hRule="exact" w:val="1704"/>
        </w:trPr>
        <w:tc>
          <w:tcPr>
            <w:tcW w:w="2127" w:type="dxa"/>
            <w:tcBorders>
              <w:top w:val="single" w:sz="4" w:space="0" w:color="000000"/>
              <w:left w:val="single" w:sz="4" w:space="0" w:color="000000"/>
              <w:bottom w:val="single" w:sz="4" w:space="0" w:color="000000"/>
              <w:right w:val="single" w:sz="4" w:space="0" w:color="000000"/>
            </w:tcBorders>
          </w:tcPr>
          <w:p w14:paraId="20A7D242"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P005 Goldberg 2004</w:t>
            </w:r>
            <w:r w:rsidRPr="006467DC">
              <w:rPr>
                <w:rFonts w:ascii="Arial Narrow" w:hAnsi="Arial Narrow" w:cs="Calibri"/>
                <w:spacing w:val="-1"/>
                <w:sz w:val="20"/>
                <w:szCs w:val="20"/>
                <w:vertAlign w:val="superscript"/>
              </w:rPr>
              <w:t>1</w:t>
            </w:r>
          </w:p>
          <w:p w14:paraId="6139F562"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p w14:paraId="07878E6A"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SIM 10</w:t>
            </w:r>
          </w:p>
          <w:p w14:paraId="766F3BDE"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SIM 20 </w:t>
            </w:r>
          </w:p>
          <w:p w14:paraId="245898CE"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SIM 40 </w:t>
            </w:r>
          </w:p>
          <w:p w14:paraId="75EAD2B3"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 xml:space="preserve">SIM 80 </w:t>
            </w:r>
          </w:p>
          <w:p w14:paraId="4CA22240"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308C998"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349^</w:t>
            </w:r>
          </w:p>
          <w:p w14:paraId="032A859E"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p>
          <w:p w14:paraId="1154B720"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81</w:t>
            </w:r>
          </w:p>
          <w:p w14:paraId="7A01FDFD"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90</w:t>
            </w:r>
          </w:p>
          <w:p w14:paraId="3979D468"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91</w:t>
            </w:r>
          </w:p>
          <w:p w14:paraId="11D66709" w14:textId="77777777" w:rsidR="00FA2B14" w:rsidRPr="006467DC" w:rsidRDefault="00FA2B14" w:rsidP="00FA2B14">
            <w:pPr>
              <w:kinsoku w:val="0"/>
              <w:overflowPunct w:val="0"/>
              <w:autoSpaceDE w:val="0"/>
              <w:autoSpaceDN w:val="0"/>
              <w:adjustRightInd w:val="0"/>
              <w:spacing w:after="0" w:line="240" w:lineRule="auto"/>
              <w:ind w:left="195"/>
              <w:jc w:val="center"/>
              <w:rPr>
                <w:rFonts w:ascii="Arial Narrow" w:hAnsi="Arial Narrow" w:cs="Calibri"/>
                <w:spacing w:val="-1"/>
                <w:sz w:val="20"/>
                <w:szCs w:val="20"/>
              </w:rPr>
            </w:pPr>
            <w:r w:rsidRPr="006467DC">
              <w:rPr>
                <w:rFonts w:ascii="Arial Narrow" w:hAnsi="Arial Narrow" w:cs="Calibri"/>
                <w:spacing w:val="-1"/>
                <w:sz w:val="20"/>
                <w:szCs w:val="20"/>
              </w:rPr>
              <w:t>87</w:t>
            </w:r>
          </w:p>
        </w:tc>
        <w:tc>
          <w:tcPr>
            <w:tcW w:w="851" w:type="dxa"/>
            <w:tcBorders>
              <w:top w:val="single" w:sz="4" w:space="0" w:color="000000"/>
              <w:left w:val="single" w:sz="4" w:space="0" w:color="000000"/>
              <w:bottom w:val="single" w:sz="4" w:space="0" w:color="000000"/>
              <w:right w:val="single" w:sz="4" w:space="0" w:color="000000"/>
            </w:tcBorders>
          </w:tcPr>
          <w:p w14:paraId="693B8228"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2AFD3A1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FAA13A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w:t>
            </w:r>
          </w:p>
          <w:p w14:paraId="4AC0568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1.2</w:t>
            </w:r>
          </w:p>
          <w:p w14:paraId="4FC3DAE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w:t>
            </w:r>
          </w:p>
          <w:p w14:paraId="27B268D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1.3</w:t>
            </w:r>
          </w:p>
        </w:tc>
        <w:tc>
          <w:tcPr>
            <w:tcW w:w="850" w:type="dxa"/>
            <w:tcBorders>
              <w:top w:val="single" w:sz="4" w:space="0" w:color="000000"/>
              <w:left w:val="single" w:sz="4" w:space="0" w:color="000000"/>
              <w:bottom w:val="single" w:sz="4" w:space="0" w:color="000000"/>
              <w:right w:val="single" w:sz="4" w:space="0" w:color="000000"/>
            </w:tcBorders>
          </w:tcPr>
          <w:p w14:paraId="026C3F5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DC7D56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652017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1.40</w:t>
            </w:r>
          </w:p>
          <w:p w14:paraId="530E520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1.40</w:t>
            </w:r>
          </w:p>
          <w:p w14:paraId="676D8153"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1.38</w:t>
            </w:r>
          </w:p>
          <w:p w14:paraId="6F07427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1.45</w:t>
            </w:r>
          </w:p>
        </w:tc>
        <w:tc>
          <w:tcPr>
            <w:tcW w:w="2268" w:type="dxa"/>
            <w:tcBorders>
              <w:top w:val="single" w:sz="4" w:space="0" w:color="000000"/>
              <w:left w:val="single" w:sz="4" w:space="0" w:color="000000"/>
              <w:bottom w:val="single" w:sz="4" w:space="0" w:color="000000"/>
              <w:right w:val="single" w:sz="4" w:space="0" w:color="000000"/>
            </w:tcBorders>
          </w:tcPr>
          <w:p w14:paraId="048EA07D" w14:textId="77777777" w:rsidR="00FA2B14" w:rsidRPr="006467DC" w:rsidRDefault="00FA2B14" w:rsidP="00FA2B14">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6EAF7E40" w14:textId="77777777" w:rsidR="00FA2B14" w:rsidRPr="006467DC" w:rsidRDefault="00FA2B14" w:rsidP="00FA2B14">
            <w:pPr>
              <w:kinsoku w:val="0"/>
              <w:overflowPunct w:val="0"/>
              <w:autoSpaceDE w:val="0"/>
              <w:autoSpaceDN w:val="0"/>
              <w:adjustRightInd w:val="0"/>
              <w:spacing w:after="0" w:line="240" w:lineRule="auto"/>
              <w:ind w:left="227"/>
              <w:jc w:val="center"/>
              <w:rPr>
                <w:rFonts w:ascii="Arial Narrow" w:hAnsi="Arial Narrow" w:cs="Calibri"/>
                <w:spacing w:val="-1"/>
                <w:sz w:val="20"/>
                <w:szCs w:val="20"/>
              </w:rPr>
            </w:pPr>
          </w:p>
          <w:p w14:paraId="5D8B48D8"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10</w:t>
            </w:r>
          </w:p>
          <w:p w14:paraId="43768061"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20</w:t>
            </w:r>
          </w:p>
          <w:p w14:paraId="3427D105"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40</w:t>
            </w:r>
          </w:p>
          <w:p w14:paraId="768A871A" w14:textId="77777777" w:rsidR="00FA2B14" w:rsidRPr="006467DC" w:rsidRDefault="00FA2B14" w:rsidP="00FA2B14">
            <w:pPr>
              <w:kinsoku w:val="0"/>
              <w:overflowPunct w:val="0"/>
              <w:autoSpaceDE w:val="0"/>
              <w:autoSpaceDN w:val="0"/>
              <w:adjustRightInd w:val="0"/>
              <w:spacing w:after="0" w:line="240" w:lineRule="auto"/>
              <w:ind w:left="102"/>
              <w:jc w:val="center"/>
              <w:rPr>
                <w:rFonts w:ascii="Arial Narrow" w:hAnsi="Arial Narrow" w:cs="Calibri"/>
                <w:spacing w:val="-1"/>
                <w:sz w:val="20"/>
                <w:szCs w:val="20"/>
              </w:rPr>
            </w:pPr>
            <w:r w:rsidRPr="006467DC">
              <w:rPr>
                <w:rFonts w:ascii="Arial Narrow" w:hAnsi="Arial Narrow" w:cs="Calibri"/>
                <w:spacing w:val="-1"/>
                <w:sz w:val="20"/>
                <w:szCs w:val="20"/>
              </w:rPr>
              <w:t>EZ +SIM 80</w:t>
            </w:r>
          </w:p>
        </w:tc>
        <w:tc>
          <w:tcPr>
            <w:tcW w:w="992" w:type="dxa"/>
            <w:tcBorders>
              <w:top w:val="single" w:sz="4" w:space="0" w:color="000000"/>
              <w:left w:val="single" w:sz="4" w:space="0" w:color="000000"/>
              <w:bottom w:val="single" w:sz="4" w:space="0" w:color="000000"/>
              <w:right w:val="single" w:sz="4" w:space="0" w:color="000000"/>
            </w:tcBorders>
          </w:tcPr>
          <w:p w14:paraId="3B6DEBEE"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353^</w:t>
            </w:r>
          </w:p>
          <w:p w14:paraId="0300CA2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5056FE1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87</w:t>
            </w:r>
          </w:p>
          <w:p w14:paraId="345EE21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86</w:t>
            </w:r>
          </w:p>
          <w:p w14:paraId="3713A6F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89</w:t>
            </w:r>
          </w:p>
          <w:p w14:paraId="07F9A7E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 xml:space="preserve"> 91</w:t>
            </w:r>
          </w:p>
        </w:tc>
        <w:tc>
          <w:tcPr>
            <w:tcW w:w="851" w:type="dxa"/>
            <w:tcBorders>
              <w:top w:val="single" w:sz="4" w:space="0" w:color="000000"/>
              <w:left w:val="single" w:sz="4" w:space="0" w:color="000000"/>
              <w:bottom w:val="single" w:sz="4" w:space="0" w:color="000000"/>
              <w:right w:val="single" w:sz="4" w:space="0" w:color="000000"/>
            </w:tcBorders>
          </w:tcPr>
          <w:p w14:paraId="0FAA1B2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0BE0C51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48F6E5D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1.26</w:t>
            </w:r>
          </w:p>
          <w:p w14:paraId="42DC500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1.33</w:t>
            </w:r>
          </w:p>
          <w:p w14:paraId="18F818F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1.30</w:t>
            </w:r>
          </w:p>
          <w:p w14:paraId="00E229C0"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 xml:space="preserve"> 1.32</w:t>
            </w:r>
          </w:p>
        </w:tc>
        <w:tc>
          <w:tcPr>
            <w:tcW w:w="850" w:type="dxa"/>
            <w:tcBorders>
              <w:top w:val="single" w:sz="4" w:space="0" w:color="000000"/>
              <w:left w:val="single" w:sz="4" w:space="0" w:color="000000"/>
              <w:bottom w:val="single" w:sz="4" w:space="0" w:color="000000"/>
              <w:right w:val="single" w:sz="4" w:space="0" w:color="000000"/>
            </w:tcBorders>
          </w:tcPr>
          <w:p w14:paraId="7F686DC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4498DD7"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74D36F3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1.36</w:t>
            </w:r>
          </w:p>
          <w:p w14:paraId="6E5E38F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1.44</w:t>
            </w:r>
          </w:p>
          <w:p w14:paraId="2FBD421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1.42</w:t>
            </w:r>
          </w:p>
          <w:p w14:paraId="0A9E244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pacing w:val="-1"/>
                <w:sz w:val="20"/>
                <w:szCs w:val="20"/>
              </w:rPr>
              <w:t>1.41</w:t>
            </w:r>
          </w:p>
        </w:tc>
        <w:tc>
          <w:tcPr>
            <w:tcW w:w="1842" w:type="dxa"/>
            <w:tcBorders>
              <w:top w:val="single" w:sz="4" w:space="0" w:color="000000"/>
              <w:left w:val="single" w:sz="4" w:space="0" w:color="000000"/>
              <w:bottom w:val="single" w:sz="4" w:space="0" w:color="000000"/>
              <w:right w:val="single" w:sz="4" w:space="0" w:color="000000"/>
            </w:tcBorders>
          </w:tcPr>
          <w:p w14:paraId="6FE2BE83"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68B3980E"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4CDD43A7"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6467DC">
              <w:rPr>
                <w:rFonts w:ascii="Arial Narrow" w:hAnsi="Arial Narrow" w:cs="Calibri"/>
                <w:spacing w:val="-1"/>
                <w:sz w:val="20"/>
                <w:szCs w:val="20"/>
              </w:rPr>
              <w:t>7.61 (1.49)</w:t>
            </w:r>
          </w:p>
          <w:p w14:paraId="5F792D17"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6467DC">
              <w:rPr>
                <w:rFonts w:ascii="Arial Narrow" w:hAnsi="Arial Narrow" w:cs="Calibri"/>
                <w:spacing w:val="-1"/>
                <w:sz w:val="20"/>
                <w:szCs w:val="20"/>
              </w:rPr>
              <w:t>5.55 (1.60)</w:t>
            </w:r>
          </w:p>
          <w:p w14:paraId="46C3B9E0"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6467DC">
              <w:rPr>
                <w:rFonts w:ascii="Arial Narrow" w:hAnsi="Arial Narrow" w:cs="Calibri"/>
                <w:spacing w:val="-1"/>
                <w:sz w:val="20"/>
                <w:szCs w:val="20"/>
              </w:rPr>
              <w:t>6.08 (1.56)</w:t>
            </w:r>
          </w:p>
          <w:p w14:paraId="5DBE9D24"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pacing w:val="-1"/>
                <w:sz w:val="20"/>
                <w:szCs w:val="20"/>
              </w:rPr>
              <w:t>8.20 (1.53)</w:t>
            </w:r>
          </w:p>
        </w:tc>
        <w:tc>
          <w:tcPr>
            <w:tcW w:w="1842" w:type="dxa"/>
            <w:tcBorders>
              <w:top w:val="single" w:sz="4" w:space="0" w:color="000000"/>
              <w:left w:val="single" w:sz="4" w:space="0" w:color="000000"/>
              <w:bottom w:val="single" w:sz="4" w:space="0" w:color="000000"/>
              <w:right w:val="single" w:sz="4" w:space="0" w:color="000000"/>
            </w:tcBorders>
          </w:tcPr>
          <w:p w14:paraId="749F54F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F8AFD8B"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322D7C5D"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6467DC">
              <w:rPr>
                <w:rFonts w:ascii="Arial Narrow" w:hAnsi="Arial Narrow" w:cs="Calibri"/>
                <w:spacing w:val="-1"/>
                <w:sz w:val="20"/>
                <w:szCs w:val="20"/>
              </w:rPr>
              <w:t>8.55 (1.52)</w:t>
            </w:r>
          </w:p>
          <w:p w14:paraId="1608BE79"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6467DC">
              <w:rPr>
                <w:rFonts w:ascii="Arial Narrow" w:hAnsi="Arial Narrow" w:cs="Calibri"/>
                <w:spacing w:val="-1"/>
                <w:sz w:val="20"/>
                <w:szCs w:val="20"/>
              </w:rPr>
              <w:t>9.17 (1.51)</w:t>
            </w:r>
          </w:p>
          <w:p w14:paraId="687FF4C2"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6467DC">
              <w:rPr>
                <w:rFonts w:ascii="Arial Narrow" w:hAnsi="Arial Narrow" w:cs="Calibri"/>
                <w:spacing w:val="-1"/>
                <w:sz w:val="20"/>
                <w:szCs w:val="20"/>
              </w:rPr>
              <w:t>10.97 (1.47)</w:t>
            </w:r>
          </w:p>
          <w:p w14:paraId="0FDD974A"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pacing w:val="-1"/>
                <w:sz w:val="20"/>
                <w:szCs w:val="20"/>
              </w:rPr>
              <w:t>8.38 (1.58)</w:t>
            </w:r>
          </w:p>
        </w:tc>
        <w:tc>
          <w:tcPr>
            <w:tcW w:w="1986" w:type="dxa"/>
            <w:tcBorders>
              <w:top w:val="single" w:sz="4" w:space="0" w:color="000000"/>
              <w:left w:val="single" w:sz="4" w:space="0" w:color="000000"/>
              <w:bottom w:val="single" w:sz="4" w:space="0" w:color="000000"/>
              <w:right w:val="single" w:sz="4" w:space="0" w:color="000000"/>
            </w:tcBorders>
          </w:tcPr>
          <w:p w14:paraId="43019912"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p>
          <w:p w14:paraId="2F5A214E"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p>
          <w:p w14:paraId="2FBC780A"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6467DC">
              <w:rPr>
                <w:rFonts w:ascii="Arial Narrow" w:hAnsi="Arial Narrow" w:cs="Calibri"/>
                <w:spacing w:val="-1"/>
                <w:sz w:val="20"/>
                <w:szCs w:val="20"/>
              </w:rPr>
              <w:t>0.95 (-3.24, 5.13) (NS)</w:t>
            </w:r>
          </w:p>
          <w:p w14:paraId="6C55F524"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6467DC">
              <w:rPr>
                <w:rFonts w:ascii="Arial Narrow" w:hAnsi="Arial Narrow" w:cs="Calibri"/>
                <w:spacing w:val="-1"/>
                <w:sz w:val="20"/>
                <w:szCs w:val="20"/>
              </w:rPr>
              <w:t>3.62 (-0.69, 7.94) (NS)</w:t>
            </w:r>
          </w:p>
          <w:p w14:paraId="38AA5A4B" w14:textId="09DA6D60"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Pr>
                <w:rFonts w:ascii="Arial Narrow" w:hAnsi="Arial Narrow" w:cs="Calibri"/>
                <w:spacing w:val="-1"/>
                <w:sz w:val="20"/>
                <w:szCs w:val="20"/>
              </w:rPr>
              <w:t>4.89 (0.68, 9.09)*</w:t>
            </w:r>
          </w:p>
          <w:p w14:paraId="7A56BE98"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pacing w:val="-1"/>
                <w:sz w:val="20"/>
                <w:szCs w:val="20"/>
              </w:rPr>
            </w:pPr>
            <w:r w:rsidRPr="006467DC">
              <w:rPr>
                <w:rFonts w:ascii="Arial Narrow" w:hAnsi="Arial Narrow" w:cs="Calibri"/>
                <w:spacing w:val="-1"/>
                <w:sz w:val="20"/>
                <w:szCs w:val="20"/>
              </w:rPr>
              <w:t>0.18 (-4.15, 4.51) (NS)</w:t>
            </w:r>
          </w:p>
          <w:p w14:paraId="6CDAB4C4"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tc>
      </w:tr>
      <w:tr w:rsidR="00FA2B14" w:rsidRPr="006467DC" w14:paraId="35CC4D3E" w14:textId="77777777" w:rsidTr="00F7742C">
        <w:trPr>
          <w:trHeight w:hRule="exact" w:val="564"/>
        </w:trPr>
        <w:tc>
          <w:tcPr>
            <w:tcW w:w="2127" w:type="dxa"/>
            <w:tcBorders>
              <w:top w:val="single" w:sz="4" w:space="0" w:color="000000"/>
              <w:left w:val="single" w:sz="4" w:space="0" w:color="000000"/>
              <w:bottom w:val="single" w:sz="4" w:space="0" w:color="000000"/>
              <w:right w:val="single" w:sz="4" w:space="0" w:color="000000"/>
            </w:tcBorders>
          </w:tcPr>
          <w:p w14:paraId="7E643C75"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z w:val="20"/>
                <w:szCs w:val="20"/>
              </w:rPr>
            </w:pPr>
            <w:r w:rsidRPr="006467DC">
              <w:rPr>
                <w:rFonts w:ascii="Arial Narrow" w:hAnsi="Arial Narrow" w:cs="Calibri"/>
                <w:spacing w:val="-1"/>
                <w:sz w:val="20"/>
                <w:szCs w:val="20"/>
              </w:rPr>
              <w:t>Kastelein 2008</w:t>
            </w:r>
            <w:r w:rsidRPr="006467DC">
              <w:rPr>
                <w:rFonts w:ascii="Arial Narrow" w:hAnsi="Arial Narrow" w:cs="Calibri"/>
                <w:spacing w:val="-1"/>
                <w:sz w:val="20"/>
                <w:szCs w:val="20"/>
                <w:vertAlign w:val="superscript"/>
              </w:rPr>
              <w:t>1</w:t>
            </w:r>
          </w:p>
          <w:p w14:paraId="66703FA6"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z w:val="20"/>
                <w:szCs w:val="20"/>
              </w:rPr>
              <w:t>SIM 80</w:t>
            </w:r>
          </w:p>
        </w:tc>
        <w:tc>
          <w:tcPr>
            <w:tcW w:w="992" w:type="dxa"/>
            <w:tcBorders>
              <w:top w:val="single" w:sz="4" w:space="0" w:color="000000"/>
              <w:left w:val="single" w:sz="4" w:space="0" w:color="000000"/>
              <w:bottom w:val="single" w:sz="4" w:space="0" w:color="000000"/>
              <w:right w:val="single" w:sz="4" w:space="0" w:color="000000"/>
            </w:tcBorders>
          </w:tcPr>
          <w:p w14:paraId="7B46B9EA"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63573473"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z w:val="20"/>
                <w:szCs w:val="20"/>
              </w:rPr>
              <w:t>363</w:t>
            </w:r>
          </w:p>
        </w:tc>
        <w:tc>
          <w:tcPr>
            <w:tcW w:w="851" w:type="dxa"/>
            <w:tcBorders>
              <w:top w:val="single" w:sz="4" w:space="0" w:color="000000"/>
              <w:left w:val="single" w:sz="4" w:space="0" w:color="000000"/>
              <w:bottom w:val="single" w:sz="4" w:space="0" w:color="000000"/>
              <w:right w:val="single" w:sz="4" w:space="0" w:color="000000"/>
            </w:tcBorders>
          </w:tcPr>
          <w:p w14:paraId="23841617"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p>
          <w:p w14:paraId="1D5042EE"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r w:rsidRPr="006467DC">
              <w:rPr>
                <w:rFonts w:ascii="Arial Narrow" w:hAnsi="Arial Narrow" w:cs="Calibri"/>
                <w:sz w:val="20"/>
                <w:szCs w:val="20"/>
              </w:rPr>
              <w:t>1.23</w:t>
            </w:r>
          </w:p>
        </w:tc>
        <w:tc>
          <w:tcPr>
            <w:tcW w:w="850" w:type="dxa"/>
            <w:tcBorders>
              <w:top w:val="single" w:sz="4" w:space="0" w:color="000000"/>
              <w:left w:val="single" w:sz="4" w:space="0" w:color="000000"/>
              <w:bottom w:val="single" w:sz="4" w:space="0" w:color="000000"/>
              <w:right w:val="single" w:sz="4" w:space="0" w:color="000000"/>
            </w:tcBorders>
          </w:tcPr>
          <w:p w14:paraId="2B245E62"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2D4598BD"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1.31</w:t>
            </w:r>
          </w:p>
        </w:tc>
        <w:tc>
          <w:tcPr>
            <w:tcW w:w="2268" w:type="dxa"/>
            <w:tcBorders>
              <w:top w:val="single" w:sz="4" w:space="0" w:color="000000"/>
              <w:left w:val="single" w:sz="4" w:space="0" w:color="000000"/>
              <w:bottom w:val="single" w:sz="4" w:space="0" w:color="000000"/>
              <w:right w:val="single" w:sz="4" w:space="0" w:color="000000"/>
            </w:tcBorders>
          </w:tcPr>
          <w:p w14:paraId="62015AE8"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690964B9"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z w:val="20"/>
                <w:szCs w:val="20"/>
              </w:rPr>
              <w:t>EZ+SIM 80</w:t>
            </w:r>
          </w:p>
        </w:tc>
        <w:tc>
          <w:tcPr>
            <w:tcW w:w="992" w:type="dxa"/>
            <w:tcBorders>
              <w:top w:val="single" w:sz="4" w:space="0" w:color="000000"/>
              <w:left w:val="single" w:sz="4" w:space="0" w:color="000000"/>
              <w:bottom w:val="single" w:sz="4" w:space="0" w:color="000000"/>
              <w:right w:val="single" w:sz="4" w:space="0" w:color="000000"/>
            </w:tcBorders>
          </w:tcPr>
          <w:p w14:paraId="286A035F"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06101826"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z w:val="20"/>
                <w:szCs w:val="20"/>
              </w:rPr>
              <w:t>357</w:t>
            </w:r>
          </w:p>
        </w:tc>
        <w:tc>
          <w:tcPr>
            <w:tcW w:w="851" w:type="dxa"/>
            <w:tcBorders>
              <w:top w:val="single" w:sz="4" w:space="0" w:color="000000"/>
              <w:left w:val="single" w:sz="4" w:space="0" w:color="000000"/>
              <w:bottom w:val="single" w:sz="4" w:space="0" w:color="000000"/>
              <w:right w:val="single" w:sz="4" w:space="0" w:color="000000"/>
            </w:tcBorders>
          </w:tcPr>
          <w:p w14:paraId="327B2BF8"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p>
          <w:p w14:paraId="3A528B7B"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r w:rsidRPr="006467DC">
              <w:rPr>
                <w:rFonts w:ascii="Arial Narrow" w:hAnsi="Arial Narrow" w:cs="Calibri"/>
                <w:sz w:val="20"/>
                <w:szCs w:val="20"/>
              </w:rPr>
              <w:t>1.21</w:t>
            </w:r>
          </w:p>
        </w:tc>
        <w:tc>
          <w:tcPr>
            <w:tcW w:w="850" w:type="dxa"/>
            <w:tcBorders>
              <w:top w:val="single" w:sz="4" w:space="0" w:color="000000"/>
              <w:left w:val="single" w:sz="4" w:space="0" w:color="000000"/>
              <w:bottom w:val="single" w:sz="4" w:space="0" w:color="000000"/>
              <w:right w:val="single" w:sz="4" w:space="0" w:color="000000"/>
            </w:tcBorders>
          </w:tcPr>
          <w:p w14:paraId="0BBDC4FB"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0A3A75C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1.32</w:t>
            </w:r>
          </w:p>
        </w:tc>
        <w:tc>
          <w:tcPr>
            <w:tcW w:w="1842" w:type="dxa"/>
            <w:tcBorders>
              <w:top w:val="single" w:sz="4" w:space="0" w:color="000000"/>
              <w:left w:val="single" w:sz="4" w:space="0" w:color="000000"/>
              <w:bottom w:val="single" w:sz="4" w:space="0" w:color="000000"/>
              <w:right w:val="single" w:sz="4" w:space="0" w:color="000000"/>
            </w:tcBorders>
          </w:tcPr>
          <w:p w14:paraId="7FC412CC"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20122A53"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pacing w:val="-1"/>
                <w:sz w:val="20"/>
                <w:szCs w:val="20"/>
              </w:rPr>
              <w:t>7.8 (0.9)</w:t>
            </w:r>
          </w:p>
        </w:tc>
        <w:tc>
          <w:tcPr>
            <w:tcW w:w="1842" w:type="dxa"/>
            <w:tcBorders>
              <w:top w:val="single" w:sz="4" w:space="0" w:color="000000"/>
              <w:left w:val="single" w:sz="4" w:space="0" w:color="000000"/>
              <w:bottom w:val="single" w:sz="4" w:space="0" w:color="000000"/>
              <w:right w:val="single" w:sz="4" w:space="0" w:color="000000"/>
            </w:tcBorders>
          </w:tcPr>
          <w:p w14:paraId="73EE82B3"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2018F0FC"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pacing w:val="-1"/>
                <w:sz w:val="20"/>
                <w:szCs w:val="20"/>
              </w:rPr>
              <w:t>10.2 (1.0)</w:t>
            </w:r>
          </w:p>
        </w:tc>
        <w:tc>
          <w:tcPr>
            <w:tcW w:w="1986" w:type="dxa"/>
            <w:tcBorders>
              <w:top w:val="single" w:sz="4" w:space="0" w:color="000000"/>
              <w:left w:val="single" w:sz="4" w:space="0" w:color="000000"/>
              <w:bottom w:val="single" w:sz="4" w:space="0" w:color="000000"/>
              <w:right w:val="single" w:sz="4" w:space="0" w:color="000000"/>
            </w:tcBorders>
          </w:tcPr>
          <w:p w14:paraId="77E1B302"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289D4E29"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NR</w:t>
            </w:r>
          </w:p>
        </w:tc>
      </w:tr>
      <w:tr w:rsidR="00FA2B14" w:rsidRPr="006467DC" w14:paraId="57D418D9" w14:textId="77777777" w:rsidTr="00F7742C">
        <w:trPr>
          <w:trHeight w:hRule="exact" w:val="580"/>
        </w:trPr>
        <w:tc>
          <w:tcPr>
            <w:tcW w:w="2127" w:type="dxa"/>
            <w:tcBorders>
              <w:top w:val="single" w:sz="4" w:space="0" w:color="000000"/>
              <w:left w:val="single" w:sz="4" w:space="0" w:color="000000"/>
              <w:bottom w:val="single" w:sz="4" w:space="0" w:color="000000"/>
              <w:right w:val="single" w:sz="4" w:space="0" w:color="000000"/>
            </w:tcBorders>
          </w:tcPr>
          <w:p w14:paraId="79BC0EE6"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z w:val="20"/>
                <w:szCs w:val="20"/>
              </w:rPr>
            </w:pPr>
            <w:r w:rsidRPr="006467DC">
              <w:rPr>
                <w:rFonts w:ascii="Arial Narrow" w:hAnsi="Arial Narrow" w:cs="Calibri"/>
                <w:spacing w:val="-1"/>
                <w:sz w:val="20"/>
                <w:szCs w:val="20"/>
              </w:rPr>
              <w:t>Chirinos 2010</w:t>
            </w:r>
            <w:r w:rsidRPr="006467DC">
              <w:rPr>
                <w:rFonts w:ascii="Arial Narrow" w:hAnsi="Arial Narrow" w:cs="Calibri"/>
                <w:spacing w:val="-1"/>
                <w:sz w:val="20"/>
                <w:szCs w:val="20"/>
                <w:vertAlign w:val="superscript"/>
              </w:rPr>
              <w:t>1</w:t>
            </w:r>
            <w:r w:rsidRPr="006467DC">
              <w:rPr>
                <w:rFonts w:ascii="Arial Narrow" w:hAnsi="Arial Narrow" w:cs="Calibri"/>
                <w:sz w:val="20"/>
                <w:szCs w:val="20"/>
              </w:rPr>
              <w:t xml:space="preserve"> </w:t>
            </w:r>
          </w:p>
          <w:p w14:paraId="3E94836B"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z w:val="20"/>
                <w:szCs w:val="20"/>
              </w:rPr>
              <w:t>SIM 20</w:t>
            </w:r>
          </w:p>
        </w:tc>
        <w:tc>
          <w:tcPr>
            <w:tcW w:w="992" w:type="dxa"/>
            <w:tcBorders>
              <w:top w:val="single" w:sz="4" w:space="0" w:color="000000"/>
              <w:left w:val="single" w:sz="4" w:space="0" w:color="000000"/>
              <w:bottom w:val="single" w:sz="4" w:space="0" w:color="000000"/>
              <w:right w:val="single" w:sz="4" w:space="0" w:color="000000"/>
            </w:tcBorders>
          </w:tcPr>
          <w:p w14:paraId="62826F12"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40EBDF27"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z w:val="20"/>
                <w:szCs w:val="20"/>
              </w:rPr>
              <w:t>30</w:t>
            </w:r>
          </w:p>
        </w:tc>
        <w:tc>
          <w:tcPr>
            <w:tcW w:w="851" w:type="dxa"/>
            <w:tcBorders>
              <w:top w:val="single" w:sz="4" w:space="0" w:color="000000"/>
              <w:left w:val="single" w:sz="4" w:space="0" w:color="000000"/>
              <w:bottom w:val="single" w:sz="4" w:space="0" w:color="000000"/>
              <w:right w:val="single" w:sz="4" w:space="0" w:color="000000"/>
            </w:tcBorders>
          </w:tcPr>
          <w:p w14:paraId="33DCBE4D"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p>
          <w:p w14:paraId="367D4F5D"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r w:rsidRPr="006467DC">
              <w:rPr>
                <w:rFonts w:ascii="Arial Narrow" w:hAnsi="Arial Narrow" w:cs="Calibri"/>
                <w:sz w:val="20"/>
                <w:szCs w:val="20"/>
              </w:rPr>
              <w:t>1.06</w:t>
            </w:r>
          </w:p>
        </w:tc>
        <w:tc>
          <w:tcPr>
            <w:tcW w:w="850" w:type="dxa"/>
            <w:tcBorders>
              <w:top w:val="single" w:sz="4" w:space="0" w:color="000000"/>
              <w:left w:val="single" w:sz="4" w:space="0" w:color="000000"/>
              <w:bottom w:val="single" w:sz="4" w:space="0" w:color="000000"/>
              <w:right w:val="single" w:sz="4" w:space="0" w:color="000000"/>
            </w:tcBorders>
          </w:tcPr>
          <w:p w14:paraId="005A6FE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28832DC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4B803516"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108176A5"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z w:val="20"/>
                <w:szCs w:val="20"/>
              </w:rPr>
              <w:t xml:space="preserve">EZ+SIM 20 </w:t>
            </w:r>
          </w:p>
        </w:tc>
        <w:tc>
          <w:tcPr>
            <w:tcW w:w="992" w:type="dxa"/>
            <w:tcBorders>
              <w:top w:val="single" w:sz="4" w:space="0" w:color="000000"/>
              <w:left w:val="single" w:sz="4" w:space="0" w:color="000000"/>
              <w:bottom w:val="single" w:sz="4" w:space="0" w:color="000000"/>
              <w:right w:val="single" w:sz="4" w:space="0" w:color="000000"/>
            </w:tcBorders>
          </w:tcPr>
          <w:p w14:paraId="51B14FC3"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1A4DD20B"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z w:val="20"/>
                <w:szCs w:val="20"/>
              </w:rPr>
              <w:t>28</w:t>
            </w:r>
          </w:p>
        </w:tc>
        <w:tc>
          <w:tcPr>
            <w:tcW w:w="851" w:type="dxa"/>
            <w:tcBorders>
              <w:top w:val="single" w:sz="4" w:space="0" w:color="000000"/>
              <w:left w:val="single" w:sz="4" w:space="0" w:color="000000"/>
              <w:bottom w:val="single" w:sz="4" w:space="0" w:color="000000"/>
              <w:right w:val="single" w:sz="4" w:space="0" w:color="000000"/>
            </w:tcBorders>
          </w:tcPr>
          <w:p w14:paraId="367FC08B"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p>
          <w:p w14:paraId="5E0A7873"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r w:rsidRPr="006467DC">
              <w:rPr>
                <w:rFonts w:ascii="Arial Narrow" w:hAnsi="Arial Narrow" w:cs="Calibri"/>
                <w:sz w:val="20"/>
                <w:szCs w:val="20"/>
              </w:rPr>
              <w:t>1.14</w:t>
            </w:r>
          </w:p>
        </w:tc>
        <w:tc>
          <w:tcPr>
            <w:tcW w:w="850" w:type="dxa"/>
            <w:tcBorders>
              <w:top w:val="single" w:sz="4" w:space="0" w:color="000000"/>
              <w:left w:val="single" w:sz="4" w:space="0" w:color="000000"/>
              <w:bottom w:val="single" w:sz="4" w:space="0" w:color="000000"/>
              <w:right w:val="single" w:sz="4" w:space="0" w:color="000000"/>
            </w:tcBorders>
          </w:tcPr>
          <w:p w14:paraId="52BBB97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06C683A4"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08B4DEA8"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1DCE8FBA"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pacing w:val="-1"/>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186C8AFE"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171D0380"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pacing w:val="-1"/>
                <w:sz w:val="20"/>
                <w:szCs w:val="20"/>
              </w:rPr>
              <w:t>NR</w:t>
            </w:r>
          </w:p>
        </w:tc>
        <w:tc>
          <w:tcPr>
            <w:tcW w:w="1986" w:type="dxa"/>
            <w:tcBorders>
              <w:top w:val="single" w:sz="4" w:space="0" w:color="000000"/>
              <w:left w:val="single" w:sz="4" w:space="0" w:color="000000"/>
              <w:bottom w:val="single" w:sz="4" w:space="0" w:color="000000"/>
              <w:right w:val="single" w:sz="4" w:space="0" w:color="000000"/>
            </w:tcBorders>
          </w:tcPr>
          <w:p w14:paraId="4F1BF514"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7E95E737"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NR</w:t>
            </w:r>
          </w:p>
        </w:tc>
      </w:tr>
      <w:tr w:rsidR="00FA2B14" w:rsidRPr="006467DC" w14:paraId="15C91746" w14:textId="77777777" w:rsidTr="00F7742C">
        <w:trPr>
          <w:trHeight w:hRule="exact" w:val="573"/>
        </w:trPr>
        <w:tc>
          <w:tcPr>
            <w:tcW w:w="2127" w:type="dxa"/>
            <w:tcBorders>
              <w:top w:val="single" w:sz="4" w:space="0" w:color="000000"/>
              <w:left w:val="single" w:sz="4" w:space="0" w:color="000000"/>
              <w:bottom w:val="single" w:sz="4" w:space="0" w:color="000000"/>
              <w:right w:val="single" w:sz="4" w:space="0" w:color="000000"/>
            </w:tcBorders>
          </w:tcPr>
          <w:p w14:paraId="7ECA1E03"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z w:val="20"/>
                <w:szCs w:val="20"/>
              </w:rPr>
            </w:pPr>
            <w:r w:rsidRPr="006467DC">
              <w:rPr>
                <w:rFonts w:ascii="Arial Narrow" w:hAnsi="Arial Narrow" w:cs="Calibri"/>
                <w:spacing w:val="-1"/>
                <w:sz w:val="20"/>
                <w:szCs w:val="20"/>
              </w:rPr>
              <w:t>Shankar 2007</w:t>
            </w:r>
            <w:r w:rsidRPr="006467DC">
              <w:rPr>
                <w:rFonts w:ascii="Arial Narrow" w:hAnsi="Arial Narrow" w:cs="Calibri"/>
                <w:spacing w:val="-1"/>
                <w:sz w:val="20"/>
                <w:szCs w:val="20"/>
                <w:vertAlign w:val="superscript"/>
              </w:rPr>
              <w:t>1</w:t>
            </w:r>
            <w:r w:rsidRPr="006467DC">
              <w:rPr>
                <w:rFonts w:ascii="Arial Narrow" w:hAnsi="Arial Narrow" w:cs="Calibri"/>
                <w:sz w:val="20"/>
                <w:szCs w:val="20"/>
              </w:rPr>
              <w:t xml:space="preserve"> </w:t>
            </w:r>
          </w:p>
          <w:p w14:paraId="2AEE497C"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z w:val="20"/>
                <w:szCs w:val="20"/>
              </w:rPr>
              <w:t>SIM 10</w:t>
            </w:r>
          </w:p>
        </w:tc>
        <w:tc>
          <w:tcPr>
            <w:tcW w:w="992" w:type="dxa"/>
            <w:tcBorders>
              <w:top w:val="single" w:sz="4" w:space="0" w:color="000000"/>
              <w:left w:val="single" w:sz="4" w:space="0" w:color="000000"/>
              <w:bottom w:val="single" w:sz="4" w:space="0" w:color="000000"/>
              <w:right w:val="single" w:sz="4" w:space="0" w:color="000000"/>
            </w:tcBorders>
          </w:tcPr>
          <w:p w14:paraId="1285DF35"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34D0C0D5"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pacing w:val="-1"/>
                <w:sz w:val="20"/>
                <w:szCs w:val="20"/>
              </w:rPr>
            </w:pPr>
            <w:r w:rsidRPr="006467DC">
              <w:rPr>
                <w:rFonts w:ascii="Arial Narrow" w:hAnsi="Arial Narrow" w:cs="Calibri"/>
                <w:sz w:val="20"/>
                <w:szCs w:val="20"/>
              </w:rPr>
              <w:t>116</w:t>
            </w:r>
          </w:p>
        </w:tc>
        <w:tc>
          <w:tcPr>
            <w:tcW w:w="851" w:type="dxa"/>
            <w:tcBorders>
              <w:top w:val="single" w:sz="4" w:space="0" w:color="000000"/>
              <w:left w:val="single" w:sz="4" w:space="0" w:color="000000"/>
              <w:bottom w:val="single" w:sz="4" w:space="0" w:color="000000"/>
              <w:right w:val="single" w:sz="4" w:space="0" w:color="000000"/>
            </w:tcBorders>
          </w:tcPr>
          <w:p w14:paraId="47827748"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p>
          <w:p w14:paraId="7326DF11"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r w:rsidRPr="006467DC">
              <w:rPr>
                <w:rFonts w:ascii="Arial Narrow" w:hAnsi="Arial Narrow" w:cs="Calibri"/>
                <w:sz w:val="20"/>
                <w:szCs w:val="20"/>
              </w:rPr>
              <w:t>1.08</w:t>
            </w:r>
          </w:p>
        </w:tc>
        <w:tc>
          <w:tcPr>
            <w:tcW w:w="850" w:type="dxa"/>
            <w:tcBorders>
              <w:top w:val="single" w:sz="4" w:space="0" w:color="000000"/>
              <w:left w:val="single" w:sz="4" w:space="0" w:color="000000"/>
              <w:bottom w:val="single" w:sz="4" w:space="0" w:color="000000"/>
              <w:right w:val="single" w:sz="4" w:space="0" w:color="000000"/>
            </w:tcBorders>
          </w:tcPr>
          <w:p w14:paraId="35488E2E"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3B83500E"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1.10</w:t>
            </w:r>
          </w:p>
        </w:tc>
        <w:tc>
          <w:tcPr>
            <w:tcW w:w="2268" w:type="dxa"/>
            <w:tcBorders>
              <w:top w:val="single" w:sz="4" w:space="0" w:color="000000"/>
              <w:left w:val="single" w:sz="4" w:space="0" w:color="000000"/>
              <w:bottom w:val="single" w:sz="4" w:space="0" w:color="000000"/>
              <w:right w:val="single" w:sz="4" w:space="0" w:color="000000"/>
            </w:tcBorders>
          </w:tcPr>
          <w:p w14:paraId="37A2FEA8"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03103725"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z w:val="20"/>
                <w:szCs w:val="20"/>
              </w:rPr>
              <w:t>EZ+SIM 10</w:t>
            </w:r>
          </w:p>
        </w:tc>
        <w:tc>
          <w:tcPr>
            <w:tcW w:w="992" w:type="dxa"/>
            <w:tcBorders>
              <w:top w:val="single" w:sz="4" w:space="0" w:color="000000"/>
              <w:left w:val="single" w:sz="4" w:space="0" w:color="000000"/>
              <w:bottom w:val="single" w:sz="4" w:space="0" w:color="000000"/>
              <w:right w:val="single" w:sz="4" w:space="0" w:color="000000"/>
            </w:tcBorders>
          </w:tcPr>
          <w:p w14:paraId="20203E31"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z w:val="20"/>
                <w:szCs w:val="20"/>
              </w:rPr>
            </w:pPr>
          </w:p>
          <w:p w14:paraId="0FFE96AD"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z w:val="20"/>
                <w:szCs w:val="20"/>
              </w:rPr>
              <w:t>114</w:t>
            </w:r>
          </w:p>
        </w:tc>
        <w:tc>
          <w:tcPr>
            <w:tcW w:w="851" w:type="dxa"/>
            <w:tcBorders>
              <w:top w:val="single" w:sz="4" w:space="0" w:color="000000"/>
              <w:left w:val="single" w:sz="4" w:space="0" w:color="000000"/>
              <w:bottom w:val="single" w:sz="4" w:space="0" w:color="000000"/>
              <w:right w:val="single" w:sz="4" w:space="0" w:color="000000"/>
            </w:tcBorders>
          </w:tcPr>
          <w:p w14:paraId="34E73028"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p>
          <w:p w14:paraId="242F490C"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z w:val="20"/>
                <w:szCs w:val="20"/>
              </w:rPr>
            </w:pPr>
            <w:r w:rsidRPr="006467DC">
              <w:rPr>
                <w:rFonts w:ascii="Arial Narrow" w:hAnsi="Arial Narrow" w:cs="Calibri"/>
                <w:sz w:val="20"/>
                <w:szCs w:val="20"/>
              </w:rPr>
              <w:t>1.08</w:t>
            </w:r>
          </w:p>
        </w:tc>
        <w:tc>
          <w:tcPr>
            <w:tcW w:w="850" w:type="dxa"/>
            <w:tcBorders>
              <w:top w:val="single" w:sz="4" w:space="0" w:color="000000"/>
              <w:left w:val="single" w:sz="4" w:space="0" w:color="000000"/>
              <w:bottom w:val="single" w:sz="4" w:space="0" w:color="000000"/>
              <w:right w:val="single" w:sz="4" w:space="0" w:color="000000"/>
            </w:tcBorders>
          </w:tcPr>
          <w:p w14:paraId="4512150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p>
          <w:p w14:paraId="61BD3B7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1.13</w:t>
            </w:r>
          </w:p>
        </w:tc>
        <w:tc>
          <w:tcPr>
            <w:tcW w:w="1842" w:type="dxa"/>
            <w:tcBorders>
              <w:top w:val="single" w:sz="4" w:space="0" w:color="000000"/>
              <w:left w:val="single" w:sz="4" w:space="0" w:color="000000"/>
              <w:bottom w:val="single" w:sz="4" w:space="0" w:color="000000"/>
              <w:right w:val="single" w:sz="4" w:space="0" w:color="000000"/>
            </w:tcBorders>
          </w:tcPr>
          <w:p w14:paraId="339FAF48"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pacing w:val="-1"/>
                <w:sz w:val="20"/>
                <w:szCs w:val="20"/>
              </w:rPr>
            </w:pPr>
          </w:p>
          <w:p w14:paraId="10142F95"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pacing w:val="-1"/>
                <w:sz w:val="20"/>
                <w:szCs w:val="20"/>
              </w:rPr>
              <w:t>3.3 (20.1)</w:t>
            </w:r>
          </w:p>
        </w:tc>
        <w:tc>
          <w:tcPr>
            <w:tcW w:w="1842" w:type="dxa"/>
            <w:tcBorders>
              <w:top w:val="single" w:sz="4" w:space="0" w:color="000000"/>
              <w:left w:val="single" w:sz="4" w:space="0" w:color="000000"/>
              <w:bottom w:val="single" w:sz="4" w:space="0" w:color="000000"/>
              <w:right w:val="single" w:sz="4" w:space="0" w:color="000000"/>
            </w:tcBorders>
          </w:tcPr>
          <w:p w14:paraId="7172131C"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pacing w:val="-1"/>
                <w:sz w:val="20"/>
                <w:szCs w:val="20"/>
              </w:rPr>
            </w:pPr>
          </w:p>
          <w:p w14:paraId="40540AEA"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pacing w:val="-1"/>
                <w:sz w:val="20"/>
                <w:szCs w:val="20"/>
              </w:rPr>
              <w:t>6.0 (20.6)</w:t>
            </w:r>
          </w:p>
        </w:tc>
        <w:tc>
          <w:tcPr>
            <w:tcW w:w="1986" w:type="dxa"/>
            <w:tcBorders>
              <w:top w:val="single" w:sz="4" w:space="0" w:color="000000"/>
              <w:left w:val="single" w:sz="4" w:space="0" w:color="000000"/>
              <w:bottom w:val="single" w:sz="4" w:space="0" w:color="000000"/>
              <w:right w:val="single" w:sz="4" w:space="0" w:color="000000"/>
            </w:tcBorders>
          </w:tcPr>
          <w:p w14:paraId="733382A7"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p>
          <w:p w14:paraId="1A284418"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NR</w:t>
            </w:r>
          </w:p>
        </w:tc>
      </w:tr>
      <w:tr w:rsidR="00FA2B14" w:rsidRPr="006467DC" w14:paraId="21D00475" w14:textId="77777777" w:rsidTr="00F7742C">
        <w:trPr>
          <w:trHeight w:hRule="exact" w:val="279"/>
        </w:trPr>
        <w:tc>
          <w:tcPr>
            <w:tcW w:w="15451" w:type="dxa"/>
            <w:gridSpan w:val="11"/>
            <w:tcBorders>
              <w:top w:val="single" w:sz="4" w:space="0" w:color="000000"/>
              <w:left w:val="single" w:sz="4" w:space="0" w:color="000000"/>
              <w:bottom w:val="single" w:sz="4" w:space="0" w:color="000000"/>
              <w:right w:val="single" w:sz="4" w:space="0" w:color="000000"/>
            </w:tcBorders>
            <w:vAlign w:val="center"/>
          </w:tcPr>
          <w:p w14:paraId="5E8EA801"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i/>
                <w:sz w:val="20"/>
                <w:szCs w:val="20"/>
              </w:rPr>
              <w:t>Secondary prevention population</w:t>
            </w:r>
          </w:p>
        </w:tc>
      </w:tr>
      <w:tr w:rsidR="00FA2B14" w:rsidRPr="006467DC" w14:paraId="3A153584" w14:textId="77777777" w:rsidTr="00F7742C">
        <w:trPr>
          <w:trHeight w:hRule="exact" w:val="991"/>
        </w:trPr>
        <w:tc>
          <w:tcPr>
            <w:tcW w:w="2127" w:type="dxa"/>
            <w:tcBorders>
              <w:top w:val="single" w:sz="4" w:space="0" w:color="000000"/>
              <w:left w:val="single" w:sz="4" w:space="0" w:color="000000"/>
              <w:bottom w:val="single" w:sz="4" w:space="0" w:color="000000"/>
              <w:right w:val="single" w:sz="4" w:space="0" w:color="000000"/>
            </w:tcBorders>
          </w:tcPr>
          <w:p w14:paraId="4447CB07"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P023 Feldman 2004</w:t>
            </w:r>
            <w:r w:rsidRPr="006467DC">
              <w:rPr>
                <w:rFonts w:ascii="Arial Narrow" w:hAnsi="Arial Narrow" w:cs="Calibri"/>
                <w:spacing w:val="-1"/>
                <w:sz w:val="20"/>
                <w:szCs w:val="20"/>
                <w:vertAlign w:val="superscript"/>
              </w:rPr>
              <w:t>1</w:t>
            </w:r>
          </w:p>
          <w:p w14:paraId="1144B32C"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r w:rsidRPr="006467DC">
              <w:rPr>
                <w:rFonts w:ascii="Arial Narrow" w:hAnsi="Arial Narrow" w:cs="Calibri"/>
                <w:spacing w:val="-1"/>
                <w:sz w:val="20"/>
                <w:szCs w:val="20"/>
              </w:rPr>
              <w:t>SIM 20</w:t>
            </w:r>
          </w:p>
          <w:p w14:paraId="139A5A7B" w14:textId="77777777" w:rsidR="00FA2B14" w:rsidRPr="006467DC" w:rsidRDefault="00FA2B14" w:rsidP="00FA2B14">
            <w:pPr>
              <w:kinsoku w:val="0"/>
              <w:overflowPunct w:val="0"/>
              <w:autoSpaceDE w:val="0"/>
              <w:autoSpaceDN w:val="0"/>
              <w:adjustRightInd w:val="0"/>
              <w:spacing w:after="0" w:line="240" w:lineRule="auto"/>
              <w:ind w:left="102"/>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38DDCB4"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z w:val="20"/>
                <w:szCs w:val="20"/>
              </w:rPr>
            </w:pPr>
          </w:p>
          <w:p w14:paraId="1458ABD4" w14:textId="77777777" w:rsidR="00FA2B14" w:rsidRPr="006467DC" w:rsidRDefault="00FA2B14" w:rsidP="00FA2B14">
            <w:pPr>
              <w:kinsoku w:val="0"/>
              <w:overflowPunct w:val="0"/>
              <w:autoSpaceDE w:val="0"/>
              <w:autoSpaceDN w:val="0"/>
              <w:adjustRightInd w:val="0"/>
              <w:spacing w:after="0" w:line="240" w:lineRule="auto"/>
              <w:ind w:left="222" w:right="224"/>
              <w:jc w:val="center"/>
              <w:rPr>
                <w:rFonts w:ascii="Arial Narrow" w:hAnsi="Arial Narrow" w:cs="Calibri"/>
                <w:sz w:val="20"/>
                <w:szCs w:val="20"/>
              </w:rPr>
            </w:pPr>
            <w:r w:rsidRPr="006467DC">
              <w:rPr>
                <w:rFonts w:ascii="Arial Narrow" w:hAnsi="Arial Narrow" w:cs="Calibri"/>
                <w:sz w:val="20"/>
                <w:szCs w:val="20"/>
              </w:rPr>
              <w:t>246</w:t>
            </w:r>
          </w:p>
        </w:tc>
        <w:tc>
          <w:tcPr>
            <w:tcW w:w="851" w:type="dxa"/>
            <w:tcBorders>
              <w:top w:val="single" w:sz="4" w:space="0" w:color="000000"/>
              <w:left w:val="single" w:sz="4" w:space="0" w:color="000000"/>
              <w:bottom w:val="single" w:sz="4" w:space="0" w:color="000000"/>
              <w:right w:val="single" w:sz="4" w:space="0" w:color="000000"/>
            </w:tcBorders>
          </w:tcPr>
          <w:p w14:paraId="28C48D9A" w14:textId="77777777" w:rsidR="00FA2B14" w:rsidRPr="006467DC" w:rsidRDefault="00FA2B14" w:rsidP="00FA2B14">
            <w:pPr>
              <w:kinsoku w:val="0"/>
              <w:overflowPunct w:val="0"/>
              <w:autoSpaceDE w:val="0"/>
              <w:autoSpaceDN w:val="0"/>
              <w:adjustRightInd w:val="0"/>
              <w:spacing w:after="0" w:line="240" w:lineRule="auto"/>
              <w:ind w:left="338" w:right="338"/>
              <w:rPr>
                <w:rFonts w:ascii="Arial Narrow" w:hAnsi="Arial Narrow" w:cs="Calibri"/>
                <w:sz w:val="20"/>
                <w:szCs w:val="20"/>
              </w:rPr>
            </w:pPr>
          </w:p>
          <w:p w14:paraId="17791F85" w14:textId="77777777" w:rsidR="00FA2B14" w:rsidRPr="006467DC" w:rsidRDefault="00FA2B14" w:rsidP="00FA2B14">
            <w:pPr>
              <w:kinsoku w:val="0"/>
              <w:overflowPunct w:val="0"/>
              <w:autoSpaceDE w:val="0"/>
              <w:autoSpaceDN w:val="0"/>
              <w:adjustRightInd w:val="0"/>
              <w:spacing w:after="0" w:line="218" w:lineRule="exact"/>
              <w:ind w:left="338" w:right="130"/>
              <w:rPr>
                <w:rFonts w:ascii="Arial Narrow" w:hAnsi="Arial Narrow" w:cs="Calibri"/>
                <w:sz w:val="20"/>
                <w:szCs w:val="20"/>
              </w:rPr>
            </w:pPr>
            <w:r w:rsidRPr="006467DC">
              <w:rPr>
                <w:rFonts w:ascii="Arial Narrow" w:hAnsi="Arial Narrow" w:cs="Calibri"/>
                <w:sz w:val="20"/>
                <w:szCs w:val="20"/>
              </w:rPr>
              <w:t>1.2</w:t>
            </w:r>
          </w:p>
        </w:tc>
        <w:tc>
          <w:tcPr>
            <w:tcW w:w="850" w:type="dxa"/>
            <w:tcBorders>
              <w:top w:val="single" w:sz="4" w:space="0" w:color="000000"/>
              <w:left w:val="single" w:sz="4" w:space="0" w:color="000000"/>
              <w:bottom w:val="single" w:sz="4" w:space="0" w:color="000000"/>
              <w:right w:val="single" w:sz="4" w:space="0" w:color="000000"/>
            </w:tcBorders>
          </w:tcPr>
          <w:p w14:paraId="1CBAEB3D" w14:textId="77777777" w:rsidR="00FA2B14" w:rsidRPr="006467DC" w:rsidRDefault="00FA2B14" w:rsidP="00FA2B14">
            <w:pPr>
              <w:kinsoku w:val="0"/>
              <w:overflowPunct w:val="0"/>
              <w:autoSpaceDE w:val="0"/>
              <w:autoSpaceDN w:val="0"/>
              <w:adjustRightInd w:val="0"/>
              <w:spacing w:after="0" w:line="240" w:lineRule="auto"/>
              <w:ind w:right="338"/>
              <w:rPr>
                <w:rFonts w:ascii="Arial Narrow" w:hAnsi="Arial Narrow" w:cs="Calibri"/>
                <w:sz w:val="20"/>
                <w:szCs w:val="20"/>
              </w:rPr>
            </w:pPr>
          </w:p>
          <w:p w14:paraId="49DF464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2268" w:type="dxa"/>
            <w:tcBorders>
              <w:top w:val="single" w:sz="4" w:space="0" w:color="000000"/>
              <w:left w:val="single" w:sz="4" w:space="0" w:color="000000"/>
              <w:bottom w:val="single" w:sz="4" w:space="0" w:color="000000"/>
              <w:right w:val="single" w:sz="4" w:space="0" w:color="000000"/>
            </w:tcBorders>
          </w:tcPr>
          <w:p w14:paraId="1598A1DC"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1B863D0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EZ +SIM 10</w:t>
            </w:r>
          </w:p>
          <w:p w14:paraId="07DF1F2A"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EZ +SIM 20</w:t>
            </w:r>
          </w:p>
          <w:p w14:paraId="15BB52E5"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EZ +SIM 40</w:t>
            </w:r>
          </w:p>
          <w:p w14:paraId="4E67DD5A"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1A3AE73" w14:textId="77777777" w:rsidR="00FA2B14" w:rsidRPr="006467DC" w:rsidRDefault="00FA2B14" w:rsidP="00FA2B14">
            <w:pPr>
              <w:kinsoku w:val="0"/>
              <w:overflowPunct w:val="0"/>
              <w:autoSpaceDE w:val="0"/>
              <w:autoSpaceDN w:val="0"/>
              <w:adjustRightInd w:val="0"/>
              <w:spacing w:after="0" w:line="240" w:lineRule="auto"/>
              <w:ind w:right="155"/>
              <w:rPr>
                <w:rFonts w:ascii="Arial Narrow" w:hAnsi="Arial Narrow" w:cs="Calibri"/>
                <w:spacing w:val="-1"/>
                <w:sz w:val="20"/>
                <w:szCs w:val="20"/>
              </w:rPr>
            </w:pPr>
          </w:p>
          <w:p w14:paraId="7F6822B4"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242</w:t>
            </w:r>
          </w:p>
          <w:p w14:paraId="590844AF" w14:textId="77777777" w:rsidR="00FA2B14" w:rsidRPr="006467DC" w:rsidRDefault="00FA2B14" w:rsidP="00FA2B14">
            <w:pPr>
              <w:kinsoku w:val="0"/>
              <w:overflowPunct w:val="0"/>
              <w:autoSpaceDE w:val="0"/>
              <w:autoSpaceDN w:val="0"/>
              <w:adjustRightInd w:val="0"/>
              <w:spacing w:after="0" w:line="240" w:lineRule="auto"/>
              <w:ind w:left="141" w:right="155"/>
              <w:jc w:val="center"/>
              <w:rPr>
                <w:rFonts w:ascii="Arial Narrow" w:hAnsi="Arial Narrow" w:cs="Calibri"/>
                <w:spacing w:val="-1"/>
                <w:sz w:val="20"/>
                <w:szCs w:val="20"/>
              </w:rPr>
            </w:pPr>
            <w:r w:rsidRPr="006467DC">
              <w:rPr>
                <w:rFonts w:ascii="Arial Narrow" w:hAnsi="Arial Narrow" w:cs="Calibri"/>
                <w:spacing w:val="-1"/>
                <w:sz w:val="20"/>
                <w:szCs w:val="20"/>
              </w:rPr>
              <w:t>108</w:t>
            </w:r>
          </w:p>
          <w:p w14:paraId="2D3FC52B" w14:textId="77777777" w:rsidR="00FA2B14" w:rsidRPr="006467DC" w:rsidRDefault="00FA2B14" w:rsidP="00FA2B14">
            <w:pPr>
              <w:kinsoku w:val="0"/>
              <w:overflowPunct w:val="0"/>
              <w:autoSpaceDE w:val="0"/>
              <w:autoSpaceDN w:val="0"/>
              <w:adjustRightInd w:val="0"/>
              <w:spacing w:after="0" w:line="240" w:lineRule="auto"/>
              <w:ind w:left="254" w:right="256"/>
              <w:jc w:val="center"/>
              <w:rPr>
                <w:rFonts w:ascii="Arial Narrow" w:hAnsi="Arial Narrow" w:cs="Calibri"/>
                <w:spacing w:val="-1"/>
                <w:sz w:val="20"/>
                <w:szCs w:val="20"/>
              </w:rPr>
            </w:pPr>
            <w:r w:rsidRPr="006467DC">
              <w:rPr>
                <w:rFonts w:ascii="Arial Narrow" w:hAnsi="Arial Narrow" w:cs="Calibri"/>
                <w:spacing w:val="-1"/>
                <w:sz w:val="20"/>
                <w:szCs w:val="20"/>
              </w:rPr>
              <w:t>96</w:t>
            </w:r>
          </w:p>
        </w:tc>
        <w:tc>
          <w:tcPr>
            <w:tcW w:w="851" w:type="dxa"/>
            <w:tcBorders>
              <w:top w:val="single" w:sz="4" w:space="0" w:color="000000"/>
              <w:left w:val="single" w:sz="4" w:space="0" w:color="000000"/>
              <w:bottom w:val="single" w:sz="4" w:space="0" w:color="000000"/>
              <w:right w:val="single" w:sz="4" w:space="0" w:color="000000"/>
            </w:tcBorders>
          </w:tcPr>
          <w:p w14:paraId="027BC310"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p>
          <w:p w14:paraId="60F6F861"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1.15</w:t>
            </w:r>
          </w:p>
          <w:p w14:paraId="7DA38A9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pacing w:val="-1"/>
                <w:sz w:val="20"/>
                <w:szCs w:val="20"/>
              </w:rPr>
            </w:pPr>
            <w:r w:rsidRPr="006467DC">
              <w:rPr>
                <w:rFonts w:ascii="Arial Narrow" w:hAnsi="Arial Narrow" w:cs="Calibri"/>
                <w:spacing w:val="-1"/>
                <w:sz w:val="20"/>
                <w:szCs w:val="20"/>
              </w:rPr>
              <w:t>1.17</w:t>
            </w:r>
          </w:p>
          <w:p w14:paraId="06089C2D" w14:textId="77777777" w:rsidR="00FA2B14" w:rsidRPr="006467DC" w:rsidRDefault="00FA2B14" w:rsidP="00FA2B14">
            <w:pPr>
              <w:kinsoku w:val="0"/>
              <w:overflowPunct w:val="0"/>
              <w:autoSpaceDE w:val="0"/>
              <w:autoSpaceDN w:val="0"/>
              <w:adjustRightInd w:val="0"/>
              <w:spacing w:after="0" w:line="218" w:lineRule="exact"/>
              <w:jc w:val="center"/>
              <w:rPr>
                <w:rFonts w:ascii="Arial Narrow" w:hAnsi="Arial Narrow" w:cs="Calibri"/>
                <w:spacing w:val="-1"/>
                <w:sz w:val="20"/>
                <w:szCs w:val="20"/>
              </w:rPr>
            </w:pPr>
            <w:r w:rsidRPr="006467DC">
              <w:rPr>
                <w:rFonts w:ascii="Arial Narrow" w:hAnsi="Arial Narrow" w:cs="Calibri"/>
                <w:spacing w:val="-1"/>
                <w:sz w:val="20"/>
                <w:szCs w:val="20"/>
              </w:rPr>
              <w:t>1.20</w:t>
            </w:r>
          </w:p>
        </w:tc>
        <w:tc>
          <w:tcPr>
            <w:tcW w:w="850" w:type="dxa"/>
            <w:tcBorders>
              <w:top w:val="single" w:sz="4" w:space="0" w:color="000000"/>
              <w:left w:val="single" w:sz="4" w:space="0" w:color="000000"/>
              <w:bottom w:val="single" w:sz="4" w:space="0" w:color="000000"/>
              <w:right w:val="single" w:sz="4" w:space="0" w:color="000000"/>
            </w:tcBorders>
          </w:tcPr>
          <w:p w14:paraId="135C0B3F"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z w:val="20"/>
                <w:szCs w:val="20"/>
              </w:rPr>
            </w:pPr>
          </w:p>
          <w:p w14:paraId="4D281966"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p w14:paraId="166329A9"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p w14:paraId="7541F66F" w14:textId="77777777" w:rsidR="00FA2B14" w:rsidRPr="006467DC" w:rsidRDefault="00FA2B14" w:rsidP="00FA2B14">
            <w:pPr>
              <w:kinsoku w:val="0"/>
              <w:overflowPunct w:val="0"/>
              <w:autoSpaceDE w:val="0"/>
              <w:autoSpaceDN w:val="0"/>
              <w:adjustRightInd w:val="0"/>
              <w:spacing w:after="0" w:line="240" w:lineRule="auto"/>
              <w:jc w:val="center"/>
              <w:rPr>
                <w:rFonts w:ascii="Arial Narrow" w:hAnsi="Arial Narrow" w:cs="Calibri"/>
                <w:sz w:val="20"/>
                <w:szCs w:val="20"/>
              </w:rPr>
            </w:pPr>
            <w:r w:rsidRPr="006467DC">
              <w:rPr>
                <w:rFonts w:ascii="Arial Narrow" w:hAnsi="Arial Narrow" w:cs="Calibri"/>
                <w:sz w:val="20"/>
                <w:szCs w:val="20"/>
              </w:rPr>
              <w:t>NR</w:t>
            </w:r>
          </w:p>
        </w:tc>
        <w:tc>
          <w:tcPr>
            <w:tcW w:w="1842" w:type="dxa"/>
            <w:tcBorders>
              <w:top w:val="single" w:sz="4" w:space="0" w:color="000000"/>
              <w:left w:val="single" w:sz="4" w:space="0" w:color="000000"/>
              <w:bottom w:val="single" w:sz="4" w:space="0" w:color="000000"/>
              <w:right w:val="single" w:sz="4" w:space="0" w:color="000000"/>
            </w:tcBorders>
          </w:tcPr>
          <w:p w14:paraId="7E97E972"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z w:val="20"/>
                <w:szCs w:val="20"/>
              </w:rPr>
            </w:pPr>
          </w:p>
          <w:p w14:paraId="24E3B4A0"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p>
          <w:p w14:paraId="4E951B7E" w14:textId="77777777" w:rsidR="00FA2B14" w:rsidRPr="006467DC" w:rsidRDefault="00FA2B14" w:rsidP="00FA2B14">
            <w:pPr>
              <w:kinsoku w:val="0"/>
              <w:overflowPunct w:val="0"/>
              <w:autoSpaceDE w:val="0"/>
              <w:autoSpaceDN w:val="0"/>
              <w:adjustRightInd w:val="0"/>
              <w:spacing w:after="0" w:line="240" w:lineRule="auto"/>
              <w:ind w:left="222"/>
              <w:jc w:val="center"/>
              <w:rPr>
                <w:rFonts w:ascii="Arial Narrow" w:hAnsi="Arial Narrow" w:cs="Calibri"/>
                <w:sz w:val="20"/>
                <w:szCs w:val="20"/>
              </w:rPr>
            </w:pPr>
            <w:r w:rsidRPr="006467DC">
              <w:rPr>
                <w:rFonts w:ascii="Arial Narrow" w:hAnsi="Arial Narrow" w:cs="Calibri"/>
                <w:sz w:val="20"/>
                <w:szCs w:val="20"/>
              </w:rPr>
              <w:t>5.1 (0.7)</w:t>
            </w:r>
          </w:p>
        </w:tc>
        <w:tc>
          <w:tcPr>
            <w:tcW w:w="1842" w:type="dxa"/>
            <w:tcBorders>
              <w:top w:val="single" w:sz="4" w:space="0" w:color="000000"/>
              <w:left w:val="single" w:sz="4" w:space="0" w:color="000000"/>
              <w:bottom w:val="single" w:sz="4" w:space="0" w:color="000000"/>
              <w:right w:val="single" w:sz="4" w:space="0" w:color="000000"/>
            </w:tcBorders>
          </w:tcPr>
          <w:p w14:paraId="494C818C"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z w:val="20"/>
                <w:szCs w:val="20"/>
              </w:rPr>
            </w:pPr>
          </w:p>
          <w:p w14:paraId="1712AA5C"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z w:val="20"/>
                <w:szCs w:val="20"/>
              </w:rPr>
              <w:t>6.2 (0.7)</w:t>
            </w:r>
          </w:p>
          <w:p w14:paraId="421E3E60"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z w:val="20"/>
                <w:szCs w:val="20"/>
              </w:rPr>
              <w:t>8.0 (1.0)</w:t>
            </w:r>
          </w:p>
          <w:p w14:paraId="1D4BB022" w14:textId="77777777" w:rsidR="00FA2B14" w:rsidRPr="006467DC" w:rsidRDefault="00FA2B14" w:rsidP="00FA2B14">
            <w:pPr>
              <w:kinsoku w:val="0"/>
              <w:overflowPunct w:val="0"/>
              <w:autoSpaceDE w:val="0"/>
              <w:autoSpaceDN w:val="0"/>
              <w:adjustRightInd w:val="0"/>
              <w:spacing w:after="0" w:line="240" w:lineRule="auto"/>
              <w:ind w:left="191"/>
              <w:jc w:val="center"/>
              <w:rPr>
                <w:rFonts w:ascii="Arial Narrow" w:hAnsi="Arial Narrow" w:cs="Calibri"/>
                <w:sz w:val="20"/>
                <w:szCs w:val="20"/>
              </w:rPr>
            </w:pPr>
            <w:r w:rsidRPr="006467DC">
              <w:rPr>
                <w:rFonts w:ascii="Arial Narrow" w:hAnsi="Arial Narrow" w:cs="Calibri"/>
                <w:sz w:val="20"/>
                <w:szCs w:val="20"/>
              </w:rPr>
              <w:t>7.4 (1.1)</w:t>
            </w:r>
          </w:p>
        </w:tc>
        <w:tc>
          <w:tcPr>
            <w:tcW w:w="1986" w:type="dxa"/>
            <w:tcBorders>
              <w:top w:val="single" w:sz="4" w:space="0" w:color="000000"/>
              <w:left w:val="single" w:sz="4" w:space="0" w:color="000000"/>
              <w:bottom w:val="single" w:sz="4" w:space="0" w:color="000000"/>
              <w:right w:val="single" w:sz="4" w:space="0" w:color="000000"/>
            </w:tcBorders>
          </w:tcPr>
          <w:p w14:paraId="7BB0D839" w14:textId="77777777" w:rsidR="00FA2B14" w:rsidRPr="006467DC" w:rsidRDefault="00FA2B14" w:rsidP="00FA2B14">
            <w:pPr>
              <w:kinsoku w:val="0"/>
              <w:overflowPunct w:val="0"/>
              <w:autoSpaceDE w:val="0"/>
              <w:autoSpaceDN w:val="0"/>
              <w:adjustRightInd w:val="0"/>
              <w:spacing w:after="0" w:line="240" w:lineRule="auto"/>
              <w:rPr>
                <w:rFonts w:ascii="Arial Narrow" w:hAnsi="Arial Narrow" w:cs="Calibri"/>
                <w:sz w:val="20"/>
                <w:szCs w:val="20"/>
              </w:rPr>
            </w:pPr>
          </w:p>
          <w:p w14:paraId="4A63F4AC"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NR</w:t>
            </w:r>
          </w:p>
          <w:p w14:paraId="77AE4EF6"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NR</w:t>
            </w:r>
          </w:p>
          <w:p w14:paraId="75182375" w14:textId="77777777" w:rsidR="00FA2B14" w:rsidRPr="006467DC" w:rsidRDefault="00FA2B14" w:rsidP="00FA2B14">
            <w:pPr>
              <w:kinsoku w:val="0"/>
              <w:overflowPunct w:val="0"/>
              <w:autoSpaceDE w:val="0"/>
              <w:autoSpaceDN w:val="0"/>
              <w:adjustRightInd w:val="0"/>
              <w:spacing w:after="0" w:line="240" w:lineRule="auto"/>
              <w:ind w:left="142"/>
              <w:jc w:val="center"/>
              <w:rPr>
                <w:rFonts w:ascii="Arial Narrow" w:hAnsi="Arial Narrow" w:cs="Calibri"/>
                <w:sz w:val="20"/>
                <w:szCs w:val="20"/>
              </w:rPr>
            </w:pPr>
            <w:r w:rsidRPr="006467DC">
              <w:rPr>
                <w:rFonts w:ascii="Arial Narrow" w:hAnsi="Arial Narrow" w:cs="Calibri"/>
                <w:sz w:val="20"/>
                <w:szCs w:val="20"/>
              </w:rPr>
              <w:t>NR</w:t>
            </w:r>
          </w:p>
        </w:tc>
      </w:tr>
    </w:tbl>
    <w:p w14:paraId="730EE763" w14:textId="77777777" w:rsidR="00460F8E" w:rsidRPr="005234EB" w:rsidRDefault="00460F8E" w:rsidP="00460F8E">
      <w:pPr>
        <w:spacing w:after="0" w:line="240" w:lineRule="auto"/>
        <w:ind w:left="-425"/>
        <w:rPr>
          <w:rFonts w:ascii="Arial Narrow" w:hAnsi="Arial Narrow"/>
          <w:sz w:val="16"/>
          <w:szCs w:val="16"/>
          <w:lang w:eastAsia="en-AU"/>
        </w:rPr>
      </w:pPr>
      <w:r w:rsidRPr="00F51165">
        <w:rPr>
          <w:rFonts w:ascii="Arial Narrow" w:hAnsi="Arial Narrow"/>
          <w:sz w:val="16"/>
          <w:szCs w:val="16"/>
          <w:lang w:eastAsia="en-AU"/>
        </w:rPr>
        <w:t xml:space="preserve">Superscripts: </w:t>
      </w:r>
      <w:r w:rsidRPr="00F51165">
        <w:rPr>
          <w:rFonts w:ascii="Arial Narrow" w:hAnsi="Arial Narrow" w:cs="Calibri"/>
          <w:spacing w:val="-1"/>
          <w:sz w:val="16"/>
          <w:szCs w:val="16"/>
        </w:rPr>
        <w:t>1 first-line treatment RCT; 2 second-line treatment RCT;</w:t>
      </w:r>
      <w:r w:rsidRPr="00F51165">
        <w:rPr>
          <w:rFonts w:ascii="Arial Narrow" w:hAnsi="Arial Narrow" w:hint="eastAsia"/>
          <w:sz w:val="16"/>
          <w:szCs w:val="16"/>
          <w:lang w:eastAsia="en-AU"/>
        </w:rPr>
        <w:t xml:space="preserve"> #Data pooled for common doses of ezetimibe simvastatin at weeks 18 and 24</w:t>
      </w:r>
      <w:r w:rsidRPr="00F51165">
        <w:rPr>
          <w:rFonts w:ascii="Arial Narrow" w:hAnsi="Arial Narrow"/>
          <w:sz w:val="16"/>
          <w:szCs w:val="16"/>
          <w:lang w:eastAsia="en-AU"/>
        </w:rPr>
        <w:t xml:space="preserve">; </w:t>
      </w:r>
      <w:r w:rsidRPr="00F51165">
        <w:rPr>
          <w:rFonts w:ascii="Arial Narrow" w:hAnsi="Arial Narrow" w:hint="eastAsia"/>
          <w:sz w:val="16"/>
          <w:szCs w:val="16"/>
          <w:lang w:eastAsia="en-AU"/>
        </w:rPr>
        <w:t>#</w:t>
      </w:r>
      <w:r>
        <w:rPr>
          <w:rFonts w:ascii="Arial Narrow" w:hAnsi="Arial Narrow"/>
          <w:sz w:val="16"/>
          <w:szCs w:val="16"/>
          <w:lang w:eastAsia="en-AU"/>
        </w:rPr>
        <w:t>#</w:t>
      </w:r>
      <w:r w:rsidRPr="00F51165">
        <w:rPr>
          <w:rFonts w:ascii="Arial Narrow" w:hAnsi="Arial Narrow" w:hint="eastAsia"/>
          <w:sz w:val="16"/>
          <w:szCs w:val="16"/>
          <w:lang w:eastAsia="en-AU"/>
        </w:rPr>
        <w:t xml:space="preserve">Data pooled </w:t>
      </w:r>
      <w:r>
        <w:rPr>
          <w:rFonts w:ascii="Arial Narrow" w:hAnsi="Arial Narrow"/>
          <w:sz w:val="16"/>
          <w:szCs w:val="16"/>
          <w:lang w:eastAsia="en-AU"/>
        </w:rPr>
        <w:t>across the rosuvastatin</w:t>
      </w:r>
      <w:r w:rsidRPr="00F51165">
        <w:rPr>
          <w:rFonts w:ascii="Arial Narrow" w:hAnsi="Arial Narrow" w:hint="eastAsia"/>
          <w:sz w:val="16"/>
          <w:szCs w:val="16"/>
          <w:lang w:eastAsia="en-AU"/>
        </w:rPr>
        <w:t xml:space="preserve"> doses</w:t>
      </w:r>
      <w:r w:rsidRPr="00F51165">
        <w:rPr>
          <w:rFonts w:ascii="Arial Narrow" w:hAnsi="Arial Narrow"/>
          <w:sz w:val="16"/>
          <w:szCs w:val="16"/>
          <w:lang w:eastAsia="en-AU"/>
        </w:rPr>
        <w:t xml:space="preserve"> ^ number of randomised patients ≠ the number included in the analysis (e.g. modified ITT</w:t>
      </w:r>
      <w:r w:rsidRPr="00F51165">
        <w:rPr>
          <w:rFonts w:ascii="Arial Narrow" w:hAnsi="Arial Narrow" w:cs="Calibri"/>
          <w:spacing w:val="-1"/>
          <w:sz w:val="16"/>
          <w:szCs w:val="16"/>
        </w:rPr>
        <w:t xml:space="preserve"> population</w:t>
      </w:r>
      <w:r w:rsidRPr="00F51165">
        <w:rPr>
          <w:rFonts w:ascii="Arial Narrow" w:hAnsi="Arial Narrow"/>
          <w:sz w:val="16"/>
          <w:szCs w:val="16"/>
          <w:lang w:eastAsia="en-AU"/>
        </w:rPr>
        <w:t xml:space="preserve">); </w:t>
      </w:r>
      <w:r w:rsidRPr="005234EB">
        <w:rPr>
          <w:rFonts w:ascii="Arial Narrow" w:hAnsi="Arial Narrow"/>
          <w:sz w:val="16"/>
          <w:szCs w:val="16"/>
          <w:vertAlign w:val="superscript"/>
          <w:lang w:eastAsia="en-AU"/>
        </w:rPr>
        <w:t>$</w:t>
      </w:r>
      <w:r>
        <w:rPr>
          <w:rFonts w:ascii="Arial Narrow" w:hAnsi="Arial Narrow"/>
          <w:sz w:val="16"/>
          <w:szCs w:val="16"/>
          <w:lang w:eastAsia="en-AU"/>
        </w:rPr>
        <w:t xml:space="preserve">Least Squares Estimate </w:t>
      </w:r>
      <w:r w:rsidRPr="005234EB">
        <w:rPr>
          <w:rFonts w:ascii="Arial Narrow" w:hAnsi="Arial Narrow"/>
          <w:sz w:val="16"/>
          <w:szCs w:val="16"/>
          <w:lang w:eastAsia="en-AU"/>
        </w:rPr>
        <w:t>Difference in M</w:t>
      </w:r>
      <w:r>
        <w:rPr>
          <w:rFonts w:ascii="Arial Narrow" w:hAnsi="Arial Narrow"/>
          <w:sz w:val="16"/>
          <w:szCs w:val="16"/>
          <w:lang w:eastAsia="en-AU"/>
        </w:rPr>
        <w:t xml:space="preserve">eans </w:t>
      </w:r>
      <w:r w:rsidRPr="005234EB">
        <w:rPr>
          <w:rFonts w:ascii="Arial Narrow" w:hAnsi="Arial Narrow"/>
          <w:sz w:val="16"/>
          <w:szCs w:val="16"/>
          <w:lang w:eastAsia="en-AU"/>
        </w:rPr>
        <w:t>at 1 year</w:t>
      </w:r>
      <w:r>
        <w:rPr>
          <w:rFonts w:ascii="Arial Narrow" w:hAnsi="Arial Narrow"/>
          <w:sz w:val="16"/>
          <w:szCs w:val="16"/>
          <w:lang w:eastAsia="en-AU"/>
        </w:rPr>
        <w:t xml:space="preserve"> (mg/dL)</w:t>
      </w:r>
    </w:p>
    <w:p w14:paraId="1DCFBCD3" w14:textId="77777777" w:rsidR="00460F8E" w:rsidRDefault="00460F8E" w:rsidP="00460F8E">
      <w:pPr>
        <w:spacing w:line="240" w:lineRule="auto"/>
        <w:ind w:left="-426"/>
        <w:sectPr w:rsidR="00460F8E" w:rsidSect="00C02FC1">
          <w:endnotePr>
            <w:numFmt w:val="decimal"/>
          </w:endnotePr>
          <w:pgSz w:w="16838" w:h="11906" w:orient="landscape"/>
          <w:pgMar w:top="1440" w:right="962" w:bottom="1134" w:left="1440" w:header="709" w:footer="709" w:gutter="0"/>
          <w:cols w:space="708"/>
          <w:docGrid w:linePitch="360"/>
        </w:sectPr>
      </w:pPr>
      <w:r w:rsidRPr="00F51165">
        <w:rPr>
          <w:rFonts w:ascii="Arial Narrow" w:hAnsi="Arial Narrow" w:cs="Calibri"/>
          <w:spacing w:val="-1"/>
          <w:sz w:val="16"/>
          <w:szCs w:val="16"/>
        </w:rPr>
        <w:t xml:space="preserve">* statistically significant p≤0.05; **statistically significant p≤0.01; *** statistically significant p≤0.001; </w:t>
      </w:r>
      <w:r w:rsidRPr="00F51165">
        <w:rPr>
          <w:rFonts w:ascii="Times New Roman" w:hAnsi="Times New Roman" w:cs="Times New Roman"/>
          <w:sz w:val="20"/>
          <w:szCs w:val="20"/>
          <w:vertAlign w:val="superscript"/>
        </w:rPr>
        <w:t>ǂ</w:t>
      </w:r>
      <w:r w:rsidRPr="00F51165">
        <w:rPr>
          <w:rFonts w:ascii="Arial Narrow" w:hAnsi="Arial Narrow"/>
          <w:sz w:val="16"/>
          <w:szCs w:val="16"/>
          <w:lang w:eastAsia="en-AU"/>
        </w:rPr>
        <w:t>p-value not reported;</w:t>
      </w:r>
    </w:p>
    <w:p w14:paraId="12E49725" w14:textId="2CA1C55B" w:rsidR="00A85A70" w:rsidRDefault="00A85A70" w:rsidP="00D80325">
      <w:pPr>
        <w:spacing w:after="0" w:line="240" w:lineRule="auto"/>
        <w:jc w:val="both"/>
        <w:rPr>
          <w:rFonts w:eastAsiaTheme="minorHAnsi"/>
          <w:highlight w:val="yellow"/>
          <w:lang w:eastAsia="en-US"/>
        </w:rPr>
      </w:pPr>
    </w:p>
    <w:p w14:paraId="63C15FF0" w14:textId="3AC5A51E" w:rsidR="00E17E97" w:rsidRDefault="00E17E97" w:rsidP="00D80325">
      <w:pPr>
        <w:pStyle w:val="Heading2"/>
        <w:spacing w:before="0" w:line="240" w:lineRule="auto"/>
      </w:pPr>
      <w:bookmarkStart w:id="66" w:name="_Toc467857763"/>
      <w:r>
        <w:t xml:space="preserve">2.5.3 </w:t>
      </w:r>
      <w:r w:rsidR="00AE0D8F">
        <w:t>Narrative summary of r</w:t>
      </w:r>
      <w:r>
        <w:t>esults of RCTs of ezetimibe in combination with a statin</w:t>
      </w:r>
      <w:bookmarkEnd w:id="66"/>
    </w:p>
    <w:p w14:paraId="00F2168D" w14:textId="77777777" w:rsidR="00901580" w:rsidRDefault="00901580" w:rsidP="00D80325">
      <w:pPr>
        <w:spacing w:after="0" w:line="240" w:lineRule="auto"/>
      </w:pPr>
    </w:p>
    <w:p w14:paraId="5E7D0BB9" w14:textId="5129C92C" w:rsidR="00901580" w:rsidRDefault="00B5058F" w:rsidP="00D80325">
      <w:pPr>
        <w:spacing w:after="0" w:line="240" w:lineRule="auto"/>
        <w:jc w:val="both"/>
      </w:pPr>
      <w:r>
        <w:t>For</w:t>
      </w:r>
      <w:r w:rsidR="00901580">
        <w:t xml:space="preserve"> each category of patients</w:t>
      </w:r>
      <w:r>
        <w:t xml:space="preserve"> (i.e. primary, secondary or mixed prevention category) and for </w:t>
      </w:r>
      <w:r w:rsidR="00901580">
        <w:t>the first or the second line therapy the following analyses were carried out:</w:t>
      </w:r>
    </w:p>
    <w:p w14:paraId="7E37B15D" w14:textId="77777777" w:rsidR="00901580" w:rsidRDefault="00901580" w:rsidP="00D80325">
      <w:pPr>
        <w:spacing w:after="0" w:line="240" w:lineRule="auto"/>
        <w:jc w:val="both"/>
      </w:pPr>
    </w:p>
    <w:p w14:paraId="0E37A0D4" w14:textId="50887477" w:rsidR="004E4584" w:rsidRDefault="004E4584" w:rsidP="00A87026">
      <w:pPr>
        <w:pStyle w:val="ListParagraph"/>
        <w:numPr>
          <w:ilvl w:val="0"/>
          <w:numId w:val="5"/>
        </w:numPr>
        <w:spacing w:after="0"/>
      </w:pPr>
      <w:r>
        <w:t xml:space="preserve">Comparison 1: </w:t>
      </w:r>
      <w:r w:rsidRPr="00554A3C">
        <w:t>up-titrating statin dose</w:t>
      </w:r>
      <w:r>
        <w:t xml:space="preserve"> while maintaining </w:t>
      </w:r>
      <w:r w:rsidRPr="00554A3C">
        <w:t>ezetimibe</w:t>
      </w:r>
      <w:r>
        <w:t xml:space="preserve"> dose in the intervention arm</w:t>
      </w:r>
      <w:r w:rsidRPr="00554A3C">
        <w:t xml:space="preserve"> versus up-titrating statin</w:t>
      </w:r>
      <w:r w:rsidR="00A87026">
        <w:t xml:space="preserve"> (</w:t>
      </w:r>
      <w:r w:rsidR="00A87026" w:rsidRPr="00A87026">
        <w:t>either in dose or potency</w:t>
      </w:r>
      <w:r w:rsidR="00A87026">
        <w:t>)</w:t>
      </w:r>
      <w:r w:rsidRPr="00554A3C">
        <w:t xml:space="preserve"> </w:t>
      </w:r>
      <w:r>
        <w:t>in the comparator arm</w:t>
      </w:r>
      <w:r w:rsidRPr="00554A3C">
        <w:t xml:space="preserve"> </w:t>
      </w:r>
    </w:p>
    <w:p w14:paraId="3835FA98" w14:textId="77777777" w:rsidR="00901580" w:rsidRDefault="00901580" w:rsidP="00140129">
      <w:pPr>
        <w:pStyle w:val="ListParagraph"/>
        <w:numPr>
          <w:ilvl w:val="0"/>
          <w:numId w:val="5"/>
        </w:numPr>
        <w:spacing w:after="0"/>
      </w:pPr>
      <w:r>
        <w:t>Comparison 2</w:t>
      </w:r>
      <w:r w:rsidRPr="00554A3C">
        <w:t xml:space="preserve">: </w:t>
      </w:r>
      <w:r>
        <w:t>maintaining</w:t>
      </w:r>
      <w:r w:rsidRPr="00554A3C">
        <w:t xml:space="preserve"> </w:t>
      </w:r>
      <w:r>
        <w:t xml:space="preserve">a </w:t>
      </w:r>
      <w:r w:rsidRPr="00554A3C">
        <w:t>dose</w:t>
      </w:r>
      <w:r>
        <w:t xml:space="preserve"> of both </w:t>
      </w:r>
      <w:r w:rsidRPr="00554A3C">
        <w:t xml:space="preserve">statin </w:t>
      </w:r>
      <w:r>
        <w:t xml:space="preserve">and </w:t>
      </w:r>
      <w:r w:rsidRPr="00554A3C">
        <w:t>ezetimibe</w:t>
      </w:r>
      <w:r>
        <w:t xml:space="preserve"> in the intervention arm</w:t>
      </w:r>
      <w:r w:rsidRPr="00554A3C">
        <w:t xml:space="preserve"> versus up-titrating statin dose</w:t>
      </w:r>
      <w:r>
        <w:t xml:space="preserve">  or using a more potent statin in the comparator arm</w:t>
      </w:r>
    </w:p>
    <w:p w14:paraId="45597D5A" w14:textId="5A9223DC" w:rsidR="00B5058F" w:rsidRDefault="00B5058F" w:rsidP="00B5058F">
      <w:pPr>
        <w:pStyle w:val="ListParagraph"/>
        <w:numPr>
          <w:ilvl w:val="0"/>
          <w:numId w:val="5"/>
        </w:numPr>
        <w:spacing w:after="0"/>
      </w:pPr>
      <w:r w:rsidRPr="00554A3C">
        <w:t>Comparis</w:t>
      </w:r>
      <w:r w:rsidR="00594392">
        <w:t>on 3</w:t>
      </w:r>
      <w:r w:rsidRPr="00554A3C">
        <w:t xml:space="preserve">: </w:t>
      </w:r>
      <w:r>
        <w:t>maintaining</w:t>
      </w:r>
      <w:r w:rsidRPr="00554A3C">
        <w:t xml:space="preserve"> </w:t>
      </w:r>
      <w:r>
        <w:t xml:space="preserve">a </w:t>
      </w:r>
      <w:r w:rsidRPr="00554A3C">
        <w:t>dose</w:t>
      </w:r>
      <w:r>
        <w:t xml:space="preserve"> of both </w:t>
      </w:r>
      <w:r w:rsidRPr="00554A3C">
        <w:t xml:space="preserve">statin </w:t>
      </w:r>
      <w:r>
        <w:t xml:space="preserve">and </w:t>
      </w:r>
      <w:r w:rsidRPr="00554A3C">
        <w:t>ezetimibe</w:t>
      </w:r>
      <w:r>
        <w:t xml:space="preserve"> in the intervention arm</w:t>
      </w:r>
      <w:r w:rsidRPr="00554A3C">
        <w:t xml:space="preserve"> versus </w:t>
      </w:r>
      <w:r>
        <w:t xml:space="preserve">the matching </w:t>
      </w:r>
      <w:r w:rsidRPr="00554A3C">
        <w:t>statin dose</w:t>
      </w:r>
      <w:r>
        <w:t xml:space="preserve"> in the comparato</w:t>
      </w:r>
      <w:r w:rsidR="00A46C91">
        <w:t>r arm</w:t>
      </w:r>
    </w:p>
    <w:p w14:paraId="1DE8E641" w14:textId="77777777" w:rsidR="00A87026" w:rsidRDefault="00A87026" w:rsidP="00594392">
      <w:pPr>
        <w:jc w:val="both"/>
        <w:rPr>
          <w:rFonts w:eastAsiaTheme="minorHAnsi"/>
          <w:lang w:eastAsia="en-US"/>
        </w:rPr>
      </w:pPr>
    </w:p>
    <w:p w14:paraId="36B1D3F1" w14:textId="1BDA88AC" w:rsidR="005F48D9" w:rsidRDefault="004E4584" w:rsidP="005F48D9">
      <w:pPr>
        <w:jc w:val="both"/>
      </w:pPr>
      <w:r w:rsidRPr="004E4584">
        <w:rPr>
          <w:rFonts w:eastAsiaTheme="minorHAnsi"/>
          <w:lang w:eastAsia="en-US"/>
        </w:rPr>
        <w:t xml:space="preserve">For </w:t>
      </w:r>
      <w:r w:rsidR="000A09FE">
        <w:rPr>
          <w:rFonts w:eastAsiaTheme="minorHAnsi"/>
          <w:lang w:eastAsia="en-US"/>
        </w:rPr>
        <w:t xml:space="preserve">most of the </w:t>
      </w:r>
      <w:r w:rsidR="00567A57">
        <w:rPr>
          <w:rFonts w:eastAsiaTheme="minorHAnsi"/>
          <w:lang w:eastAsia="en-US"/>
        </w:rPr>
        <w:t>comparisons</w:t>
      </w:r>
      <w:r w:rsidRPr="004E4584">
        <w:rPr>
          <w:rFonts w:eastAsiaTheme="minorHAnsi"/>
          <w:lang w:eastAsia="en-US"/>
        </w:rPr>
        <w:t xml:space="preserve"> only a descriptive synthesis of data was conducted (i.e. individual mean differences with 95% CIs for individual studies grouped by prevention category population and the line of therapy). The pooled estimates of the mean difference (MD) in </w:t>
      </w:r>
      <w:r w:rsidR="00272D7D">
        <w:rPr>
          <w:rFonts w:eastAsiaTheme="minorHAnsi"/>
          <w:lang w:eastAsia="en-US"/>
        </w:rPr>
        <w:t xml:space="preserve">per cent </w:t>
      </w:r>
      <w:r w:rsidRPr="004E4584">
        <w:rPr>
          <w:rFonts w:eastAsiaTheme="minorHAnsi"/>
          <w:lang w:eastAsia="en-US"/>
        </w:rPr>
        <w:t xml:space="preserve">reduction </w:t>
      </w:r>
      <w:r w:rsidR="00272D7D" w:rsidRPr="004E4584">
        <w:rPr>
          <w:rFonts w:eastAsiaTheme="minorHAnsi"/>
          <w:lang w:eastAsia="en-US"/>
        </w:rPr>
        <w:t xml:space="preserve">from the baseline </w:t>
      </w:r>
      <w:r w:rsidRPr="004E4584">
        <w:rPr>
          <w:rFonts w:eastAsiaTheme="minorHAnsi"/>
          <w:lang w:eastAsia="en-US"/>
        </w:rPr>
        <w:t>in the surrogate outcomes was not ca</w:t>
      </w:r>
      <w:r w:rsidR="0021149C">
        <w:rPr>
          <w:rFonts w:eastAsiaTheme="minorHAnsi"/>
          <w:lang w:eastAsia="en-US"/>
        </w:rPr>
        <w:t>lculated given the small number</w:t>
      </w:r>
      <w:r w:rsidRPr="004E4584">
        <w:rPr>
          <w:rFonts w:eastAsiaTheme="minorHAnsi"/>
          <w:lang w:eastAsia="en-US"/>
        </w:rPr>
        <w:t xml:space="preserve"> of heterogeneous trials</w:t>
      </w:r>
      <w:r w:rsidR="0021149C">
        <w:rPr>
          <w:rFonts w:eastAsiaTheme="minorHAnsi"/>
          <w:lang w:eastAsia="en-US"/>
        </w:rPr>
        <w:t xml:space="preserve"> in some of the </w:t>
      </w:r>
      <w:r w:rsidR="006E048B">
        <w:rPr>
          <w:rFonts w:eastAsiaTheme="minorHAnsi"/>
          <w:lang w:eastAsia="en-US"/>
        </w:rPr>
        <w:t xml:space="preserve">subgroups </w:t>
      </w:r>
      <w:r w:rsidR="0021149C">
        <w:rPr>
          <w:rFonts w:eastAsiaTheme="minorHAnsi"/>
          <w:lang w:eastAsia="en-US"/>
        </w:rPr>
        <w:t>(as little as two RCTs)</w:t>
      </w:r>
      <w:r w:rsidRPr="004E4584">
        <w:rPr>
          <w:rFonts w:eastAsiaTheme="minorHAnsi"/>
          <w:lang w:eastAsia="en-US"/>
        </w:rPr>
        <w:t>.</w:t>
      </w:r>
      <w:r w:rsidR="00594392">
        <w:t xml:space="preserve"> </w:t>
      </w:r>
    </w:p>
    <w:p w14:paraId="59A97F46" w14:textId="27C00063" w:rsidR="005F48D9" w:rsidRDefault="005F48D9" w:rsidP="00594392">
      <w:pPr>
        <w:jc w:val="both"/>
      </w:pPr>
      <w:r>
        <w:t>Data analyses included lipid measurements at baseline and at least one post-baseline lipid measurement. Pooled-effect estimates for continuous efficacy data were obtained by comparing the least squares mean (SD) and were expressed as the weighted mean difference (WMD) between the treatment groups. When SD was unavailable, it was computed from the 95% confidence intervals [</w:t>
      </w:r>
      <w:r w:rsidRPr="00915EF9">
        <w:t>SD=(U</w:t>
      </w:r>
      <w:r>
        <w:t xml:space="preserve">pper </w:t>
      </w:r>
      <w:r w:rsidRPr="00915EF9">
        <w:t>C</w:t>
      </w:r>
      <w:r>
        <w:t xml:space="preserve">onfidence </w:t>
      </w:r>
      <w:r w:rsidRPr="00915EF9">
        <w:t>L</w:t>
      </w:r>
      <w:r>
        <w:t>imit</w:t>
      </w:r>
      <w:r w:rsidRPr="00915EF9">
        <w:t>-L</w:t>
      </w:r>
      <w:r>
        <w:t xml:space="preserve">ower </w:t>
      </w:r>
      <w:r w:rsidRPr="00915EF9">
        <w:t>C</w:t>
      </w:r>
      <w:r>
        <w:t xml:space="preserve">onfidence </w:t>
      </w:r>
      <w:r w:rsidRPr="00915EF9">
        <w:t>L</w:t>
      </w:r>
      <w:r>
        <w:t>imit</w:t>
      </w:r>
      <w:r w:rsidRPr="00915EF9">
        <w:t>)/3.92x(SQRT(N))]. If the CI was not presented, then the SD was calculated from the standard error estimates if available [SD=SE</w:t>
      </w:r>
      <w:r w:rsidRPr="00CB6518">
        <w:t xml:space="preserve"> </w:t>
      </w:r>
      <w:r w:rsidRPr="00915EF9">
        <w:t xml:space="preserve">x SQRT(N)]. </w:t>
      </w:r>
      <w:r>
        <w:t xml:space="preserve">The primary efficacy analyses were based on the Intention-to-Treat (ITT) population in each study (where applicable), including all patients received at least one dose of randomised treatment. Meta-analyses were performed using the Mantel-Haenszel fixed effects model unless there was evidence of substantial heterogeneity in the treatment effect among studies. </w:t>
      </w:r>
      <w:r w:rsidRPr="007D3202">
        <w:t>Statistical heterogeneity between trial results was assessed using the chi-squared test and I</w:t>
      </w:r>
      <w:r w:rsidRPr="007D3202">
        <w:rPr>
          <w:vertAlign w:val="superscript"/>
        </w:rPr>
        <w:t>2</w:t>
      </w:r>
      <w:r w:rsidRPr="007D3202">
        <w:t>-measure. The chi-squared test measures the amount of variation in a set of trials. As this test has low power to detect heterogeneity when the number of included studies have small sample sizes or few in number, a P-value &lt;0.1 was considered significant. The I</w:t>
      </w:r>
      <w:r w:rsidRPr="007D3202">
        <w:rPr>
          <w:vertAlign w:val="superscript"/>
        </w:rPr>
        <w:t>2</w:t>
      </w:r>
      <w:r w:rsidRPr="007D3202">
        <w:t>-measure is the proportion of variation that is due to heterogeneity rather than sampling error (chance);</w:t>
      </w:r>
      <w:r>
        <w:t xml:space="preserve"> Where </w:t>
      </w:r>
      <w:r w:rsidRPr="007D3202">
        <w:t>I</w:t>
      </w:r>
      <w:r w:rsidRPr="007D3202">
        <w:rPr>
          <w:vertAlign w:val="superscript"/>
        </w:rPr>
        <w:t>2</w:t>
      </w:r>
      <w:r>
        <w:t xml:space="preserve"> &gt;50%, an inverse variance random effect model was applied in the meta-analysis. Pooled-effect estimates and their 95%CI are presented for all meta-analyses. </w:t>
      </w:r>
      <w:r w:rsidRPr="007D3202">
        <w:t xml:space="preserve">The Z-statistic was used to assess overall effect and a P-value of &lt;0.05 was considered significant. </w:t>
      </w:r>
      <w:r>
        <w:t>All the analysis was performed using Review Manager (Revman) 5.3 (</w:t>
      </w:r>
      <w:r w:rsidRPr="00E50060">
        <w:t>Copenhagen: The Nordic Cochrane Centre, T</w:t>
      </w:r>
      <w:r>
        <w:t xml:space="preserve">he </w:t>
      </w:r>
      <w:r w:rsidR="009C5205">
        <w:t xml:space="preserve">Cochrane Collaboration, 2014). </w:t>
      </w:r>
    </w:p>
    <w:p w14:paraId="43CA9C79" w14:textId="6CE5FA4A" w:rsidR="00B5058F" w:rsidRDefault="00B5058F" w:rsidP="00594392">
      <w:pPr>
        <w:jc w:val="both"/>
      </w:pPr>
      <w:r w:rsidRPr="000A09FE">
        <w:t xml:space="preserve">Figures </w:t>
      </w:r>
      <w:r w:rsidR="007551F7">
        <w:t>2.5.3.1 – 2.5.3.4</w:t>
      </w:r>
      <w:r>
        <w:t xml:space="preserve"> show the forest plots with weighted mean difference (WMD) for each study</w:t>
      </w:r>
      <w:r w:rsidR="00594392">
        <w:t>.</w:t>
      </w:r>
      <w:r>
        <w:t xml:space="preserve"> </w:t>
      </w:r>
      <w:r w:rsidR="004E4584">
        <w:t>The WMD w</w:t>
      </w:r>
      <w:r w:rsidR="006E048B">
        <w:t>as</w:t>
      </w:r>
      <w:r w:rsidR="004E4584">
        <w:t xml:space="preserve"> calculated with respect to each surrogate outcome within the scope of the review (LDL-C; HDL-C and TC). However, only </w:t>
      </w:r>
      <w:r w:rsidR="007551F7">
        <w:t>selected</w:t>
      </w:r>
      <w:r w:rsidR="004E4584">
        <w:t xml:space="preserve"> forest plots</w:t>
      </w:r>
      <w:r w:rsidR="007551F7">
        <w:t>, mainly for the</w:t>
      </w:r>
      <w:r w:rsidR="004E4584">
        <w:t xml:space="preserve"> </w:t>
      </w:r>
      <w:r w:rsidR="006E048B">
        <w:t>LDL-C reduction</w:t>
      </w:r>
      <w:r w:rsidR="007551F7">
        <w:t>,</w:t>
      </w:r>
      <w:r w:rsidR="006E048B">
        <w:t xml:space="preserve"> </w:t>
      </w:r>
      <w:r w:rsidR="004E4584">
        <w:t xml:space="preserve">are reproduced here. For the results of the analysis of the mean % change in HDL-C and TC refer to Figures </w:t>
      </w:r>
      <w:r w:rsidR="007551F7">
        <w:t>A5.2-A5.6</w:t>
      </w:r>
      <w:r w:rsidR="004E4584" w:rsidRPr="000A09FE">
        <w:t xml:space="preserve"> </w:t>
      </w:r>
      <w:r w:rsidR="004E4584">
        <w:t>in the Appendix.</w:t>
      </w:r>
    </w:p>
    <w:p w14:paraId="0BDBAE02" w14:textId="77777777" w:rsidR="009C5205" w:rsidRDefault="009C5205" w:rsidP="00594392">
      <w:pPr>
        <w:jc w:val="both"/>
      </w:pPr>
    </w:p>
    <w:p w14:paraId="4EE198F6" w14:textId="548DA0E4" w:rsidR="00B5058F" w:rsidRDefault="00594392" w:rsidP="00594392">
      <w:pPr>
        <w:pStyle w:val="Heading4"/>
        <w:spacing w:before="0"/>
        <w:rPr>
          <w:lang w:eastAsia="en-US"/>
        </w:rPr>
      </w:pPr>
      <w:r>
        <w:rPr>
          <w:lang w:eastAsia="en-US"/>
        </w:rPr>
        <w:t xml:space="preserve">Comparison 1: </w:t>
      </w:r>
      <w:r w:rsidRPr="00CE52C7">
        <w:rPr>
          <w:lang w:eastAsia="en-US"/>
        </w:rPr>
        <w:t>Up-titrati</w:t>
      </w:r>
      <w:r w:rsidR="00A87026">
        <w:rPr>
          <w:lang w:eastAsia="en-US"/>
        </w:rPr>
        <w:t>on of</w:t>
      </w:r>
      <w:r w:rsidRPr="00CE52C7">
        <w:rPr>
          <w:lang w:eastAsia="en-US"/>
        </w:rPr>
        <w:t xml:space="preserve"> statin dose+ ez</w:t>
      </w:r>
      <w:r>
        <w:rPr>
          <w:lang w:eastAsia="en-US"/>
        </w:rPr>
        <w:t>etimibe vs up-titrati</w:t>
      </w:r>
      <w:r w:rsidR="00A87026">
        <w:rPr>
          <w:lang w:eastAsia="en-US"/>
        </w:rPr>
        <w:t>on</w:t>
      </w:r>
      <w:r>
        <w:rPr>
          <w:lang w:eastAsia="en-US"/>
        </w:rPr>
        <w:t xml:space="preserve"> </w:t>
      </w:r>
      <w:r w:rsidR="00A87026">
        <w:rPr>
          <w:lang w:eastAsia="en-US"/>
        </w:rPr>
        <w:t xml:space="preserve">of </w:t>
      </w:r>
      <w:r>
        <w:rPr>
          <w:lang w:eastAsia="en-US"/>
        </w:rPr>
        <w:t>statin</w:t>
      </w:r>
      <w:r w:rsidR="00A87026">
        <w:rPr>
          <w:lang w:eastAsia="en-US"/>
        </w:rPr>
        <w:t xml:space="preserve"> (either in dose or potency</w:t>
      </w:r>
      <w:r>
        <w:rPr>
          <w:lang w:eastAsia="en-US"/>
        </w:rPr>
        <w:t xml:space="preserve"> (LDL-C outcomes)</w:t>
      </w:r>
    </w:p>
    <w:p w14:paraId="6CC59EDC" w14:textId="77777777" w:rsidR="00A87026" w:rsidRPr="00A87026" w:rsidRDefault="00A87026" w:rsidP="00A87026">
      <w:pPr>
        <w:rPr>
          <w:lang w:eastAsia="en-US"/>
        </w:rPr>
      </w:pPr>
    </w:p>
    <w:p w14:paraId="1D3390B0" w14:textId="65C9A026" w:rsidR="00594392" w:rsidRPr="00593044" w:rsidRDefault="00A87026" w:rsidP="00593044">
      <w:pPr>
        <w:rPr>
          <w:b/>
        </w:rPr>
      </w:pPr>
      <w:r>
        <w:rPr>
          <w:b/>
        </w:rPr>
        <w:t>Figure 2.5.3</w:t>
      </w:r>
      <w:r w:rsidRPr="00DE4571">
        <w:rPr>
          <w:b/>
        </w:rPr>
        <w:t xml:space="preserve">.1 </w:t>
      </w:r>
      <w:r w:rsidR="002420B8">
        <w:rPr>
          <w:b/>
        </w:rPr>
        <w:t xml:space="preserve">Comparison 1: </w:t>
      </w:r>
      <w:r w:rsidR="00DE4571" w:rsidRPr="00DE4571">
        <w:rPr>
          <w:b/>
        </w:rPr>
        <w:t>Mean percentage change in LDL</w:t>
      </w:r>
      <w:r w:rsidR="002420B8">
        <w:rPr>
          <w:b/>
        </w:rPr>
        <w:t>-C</w:t>
      </w:r>
      <w:r w:rsidR="00DE4571" w:rsidRPr="00DE4571">
        <w:rPr>
          <w:b/>
        </w:rPr>
        <w:t xml:space="preserve"> concentrations from baseline </w:t>
      </w:r>
    </w:p>
    <w:p w14:paraId="5796CEDD" w14:textId="134F9B39" w:rsidR="00594392" w:rsidRDefault="00594392" w:rsidP="00B5058F">
      <w:pPr>
        <w:spacing w:after="0"/>
        <w:jc w:val="both"/>
      </w:pPr>
      <w:r w:rsidRPr="005359BA">
        <w:rPr>
          <w:noProof/>
          <w:lang w:eastAsia="en-AU"/>
        </w:rPr>
        <w:drawing>
          <wp:inline distT="0" distB="0" distL="0" distR="0" wp14:anchorId="700285D6" wp14:editId="350508E9">
            <wp:extent cx="5731510" cy="1541145"/>
            <wp:effectExtent l="0" t="0" r="2540" b="1905"/>
            <wp:docPr id="14356" name="Picture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1541145"/>
                    </a:xfrm>
                    <a:prstGeom prst="rect">
                      <a:avLst/>
                    </a:prstGeom>
                  </pic:spPr>
                </pic:pic>
              </a:graphicData>
            </a:graphic>
          </wp:inline>
        </w:drawing>
      </w:r>
    </w:p>
    <w:p w14:paraId="72DFDDDD" w14:textId="77777777" w:rsidR="00DE4571" w:rsidRPr="00DE4571" w:rsidRDefault="00A65B6D" w:rsidP="00A65B6D">
      <w:pPr>
        <w:rPr>
          <w:sz w:val="16"/>
          <w:szCs w:val="16"/>
        </w:rPr>
      </w:pPr>
      <w:r w:rsidRPr="00DE4571">
        <w:rPr>
          <w:sz w:val="16"/>
          <w:szCs w:val="16"/>
        </w:rPr>
        <w:t>CI=</w:t>
      </w:r>
      <w:r w:rsidR="00DE4571" w:rsidRPr="00DE4571">
        <w:rPr>
          <w:sz w:val="16"/>
          <w:szCs w:val="16"/>
        </w:rPr>
        <w:t>confidence</w:t>
      </w:r>
      <w:r w:rsidRPr="00DE4571">
        <w:rPr>
          <w:sz w:val="16"/>
          <w:szCs w:val="16"/>
        </w:rPr>
        <w:t xml:space="preserve"> </w:t>
      </w:r>
      <w:r w:rsidR="00DE4571" w:rsidRPr="00DE4571">
        <w:rPr>
          <w:sz w:val="16"/>
          <w:szCs w:val="16"/>
        </w:rPr>
        <w:t>interval; df</w:t>
      </w:r>
      <w:r w:rsidRPr="00DE4571">
        <w:rPr>
          <w:sz w:val="16"/>
          <w:szCs w:val="16"/>
        </w:rPr>
        <w:t>=</w:t>
      </w:r>
      <w:r w:rsidR="00DE4571" w:rsidRPr="00DE4571">
        <w:rPr>
          <w:sz w:val="16"/>
          <w:szCs w:val="16"/>
        </w:rPr>
        <w:t>degrees of freedom; N</w:t>
      </w:r>
      <w:r w:rsidRPr="00DE4571">
        <w:rPr>
          <w:sz w:val="16"/>
          <w:szCs w:val="16"/>
        </w:rPr>
        <w:t>=</w:t>
      </w:r>
      <w:r w:rsidR="00DE4571" w:rsidRPr="00DE4571">
        <w:rPr>
          <w:sz w:val="16"/>
          <w:szCs w:val="16"/>
        </w:rPr>
        <w:t>total number of patients; SD</w:t>
      </w:r>
      <w:r w:rsidRPr="00DE4571">
        <w:rPr>
          <w:sz w:val="16"/>
          <w:szCs w:val="16"/>
        </w:rPr>
        <w:t>=</w:t>
      </w:r>
      <w:r w:rsidR="00DE4571" w:rsidRPr="00DE4571">
        <w:rPr>
          <w:sz w:val="16"/>
          <w:szCs w:val="16"/>
        </w:rPr>
        <w:t>standard deviation; WMD</w:t>
      </w:r>
      <w:r w:rsidRPr="00DE4571">
        <w:rPr>
          <w:sz w:val="16"/>
          <w:szCs w:val="16"/>
        </w:rPr>
        <w:t>=</w:t>
      </w:r>
      <w:r w:rsidR="00DE4571" w:rsidRPr="00DE4571">
        <w:rPr>
          <w:sz w:val="16"/>
          <w:szCs w:val="16"/>
        </w:rPr>
        <w:t>weighted mean difference</w:t>
      </w:r>
    </w:p>
    <w:p w14:paraId="4F40AF2B" w14:textId="00E579EC" w:rsidR="00391AFB" w:rsidRDefault="00593044" w:rsidP="00926EA8">
      <w:pPr>
        <w:spacing w:before="120" w:after="120"/>
        <w:jc w:val="both"/>
        <w:rPr>
          <w:rFonts w:eastAsiaTheme="minorHAnsi"/>
          <w:lang w:eastAsia="en-US"/>
        </w:rPr>
      </w:pPr>
      <w:r>
        <w:rPr>
          <w:rFonts w:eastAsiaTheme="minorHAnsi"/>
          <w:lang w:eastAsia="en-US"/>
        </w:rPr>
        <w:t xml:space="preserve">Comparison 1 </w:t>
      </w:r>
      <w:r w:rsidR="00A935BD">
        <w:rPr>
          <w:rFonts w:eastAsiaTheme="minorHAnsi"/>
          <w:lang w:eastAsia="en-US"/>
        </w:rPr>
        <w:t>(</w:t>
      </w:r>
      <w:r w:rsidR="00A935BD" w:rsidRPr="00A935BD">
        <w:t>Figure 2.5.3.</w:t>
      </w:r>
      <w:r w:rsidR="00A935BD">
        <w:t>1</w:t>
      </w:r>
      <w:r w:rsidR="00A935BD" w:rsidRPr="00A935BD">
        <w:t>)</w:t>
      </w:r>
      <w:r w:rsidR="00A935BD">
        <w:t xml:space="preserve"> </w:t>
      </w:r>
      <w:r>
        <w:rPr>
          <w:rFonts w:eastAsiaTheme="minorHAnsi"/>
          <w:lang w:eastAsia="en-US"/>
        </w:rPr>
        <w:t xml:space="preserve">includes three RCTs </w:t>
      </w:r>
      <w:r w:rsidR="003C7CB4">
        <w:rPr>
          <w:rFonts w:eastAsiaTheme="minorHAnsi"/>
          <w:lang w:eastAsia="en-US"/>
        </w:rPr>
        <w:t xml:space="preserve">by </w:t>
      </w:r>
      <w:r w:rsidR="00862CFE">
        <w:rPr>
          <w:rFonts w:eastAsiaTheme="minorHAnsi"/>
          <w:lang w:eastAsia="en-US"/>
        </w:rPr>
        <w:t>Ballantyne (2004)</w:t>
      </w:r>
      <w:r w:rsidR="003C7CB4">
        <w:rPr>
          <w:rFonts w:eastAsiaTheme="minorHAnsi"/>
          <w:lang w:eastAsia="en-US"/>
        </w:rPr>
        <w:t>,</w:t>
      </w:r>
      <w:r w:rsidR="00862CFE">
        <w:rPr>
          <w:rFonts w:eastAsiaTheme="minorHAnsi"/>
          <w:lang w:eastAsia="en-US"/>
        </w:rPr>
        <w:t xml:space="preserve"> Stein (2004)</w:t>
      </w:r>
      <w:r w:rsidR="003C7CB4">
        <w:rPr>
          <w:rFonts w:eastAsiaTheme="minorHAnsi"/>
          <w:lang w:eastAsia="en-US"/>
        </w:rPr>
        <w:t xml:space="preserve"> and </w:t>
      </w:r>
      <w:r w:rsidR="003C7CB4">
        <w:t xml:space="preserve">McKenney (2007) that enrolled </w:t>
      </w:r>
      <w:r w:rsidR="00862CFE">
        <w:rPr>
          <w:rFonts w:eastAsiaTheme="minorHAnsi"/>
          <w:lang w:eastAsia="en-US"/>
        </w:rPr>
        <w:t xml:space="preserve">mixed </w:t>
      </w:r>
      <w:r>
        <w:rPr>
          <w:rFonts w:eastAsiaTheme="minorHAnsi"/>
          <w:lang w:eastAsia="en-US"/>
        </w:rPr>
        <w:t>population</w:t>
      </w:r>
      <w:r w:rsidR="00A935BD">
        <w:rPr>
          <w:rFonts w:eastAsiaTheme="minorHAnsi"/>
          <w:lang w:eastAsia="en-US"/>
        </w:rPr>
        <w:t xml:space="preserve"> of primary and secondary prevention patients</w:t>
      </w:r>
      <w:r w:rsidR="003C7CB4">
        <w:rPr>
          <w:rFonts w:eastAsiaTheme="minorHAnsi"/>
          <w:lang w:eastAsia="en-US"/>
        </w:rPr>
        <w:t>. T</w:t>
      </w:r>
      <w:r>
        <w:rPr>
          <w:rFonts w:eastAsiaTheme="minorHAnsi"/>
          <w:lang w:eastAsia="en-US"/>
        </w:rPr>
        <w:t>he duration of the RCTs varied from 4 to 24 weeks.</w:t>
      </w:r>
      <w:r w:rsidR="00C93FC3">
        <w:rPr>
          <w:rFonts w:eastAsiaTheme="minorHAnsi"/>
          <w:lang w:eastAsia="en-US"/>
        </w:rPr>
        <w:t xml:space="preserve"> </w:t>
      </w:r>
      <w:r w:rsidR="00391AFB">
        <w:rPr>
          <w:rFonts w:eastAsiaTheme="minorHAnsi"/>
          <w:lang w:eastAsia="en-US"/>
        </w:rPr>
        <w:t>The baseline lipid results in the eligible p</w:t>
      </w:r>
      <w:r w:rsidR="00DD644D">
        <w:rPr>
          <w:rFonts w:eastAsiaTheme="minorHAnsi"/>
          <w:lang w:eastAsia="en-US"/>
        </w:rPr>
        <w:t xml:space="preserve">atients </w:t>
      </w:r>
      <w:r w:rsidR="00391AFB">
        <w:rPr>
          <w:rFonts w:eastAsiaTheme="minorHAnsi"/>
          <w:lang w:eastAsia="en-US"/>
        </w:rPr>
        <w:t>were above</w:t>
      </w:r>
      <w:r w:rsidR="00DD644D">
        <w:rPr>
          <w:rFonts w:eastAsiaTheme="minorHAnsi"/>
          <w:lang w:eastAsia="en-US"/>
        </w:rPr>
        <w:t xml:space="preserve"> the NCEP ATP III lipid goals</w:t>
      </w:r>
      <w:r w:rsidR="00391AFB">
        <w:rPr>
          <w:rFonts w:eastAsiaTheme="minorHAnsi"/>
          <w:lang w:eastAsia="en-US"/>
        </w:rPr>
        <w:t>.  At the</w:t>
      </w:r>
      <w:r w:rsidR="00DD644D">
        <w:rPr>
          <w:rFonts w:eastAsiaTheme="minorHAnsi"/>
          <w:lang w:eastAsia="en-US"/>
        </w:rPr>
        <w:t xml:space="preserve"> subsequent follow-up appointments every 6 or 4 week</w:t>
      </w:r>
      <w:r w:rsidR="00701CC7">
        <w:rPr>
          <w:rFonts w:eastAsiaTheme="minorHAnsi"/>
          <w:lang w:eastAsia="en-US"/>
        </w:rPr>
        <w:t>s</w:t>
      </w:r>
      <w:r w:rsidR="00DD644D">
        <w:rPr>
          <w:rFonts w:eastAsiaTheme="minorHAnsi"/>
          <w:lang w:eastAsia="en-US"/>
        </w:rPr>
        <w:t xml:space="preserve">, </w:t>
      </w:r>
      <w:r w:rsidR="00391AFB">
        <w:rPr>
          <w:rFonts w:eastAsiaTheme="minorHAnsi"/>
          <w:lang w:eastAsia="en-US"/>
        </w:rPr>
        <w:t xml:space="preserve">the </w:t>
      </w:r>
      <w:r w:rsidR="00A948D0">
        <w:rPr>
          <w:rFonts w:eastAsiaTheme="minorHAnsi"/>
          <w:lang w:eastAsia="en-US"/>
        </w:rPr>
        <w:t>patients</w:t>
      </w:r>
      <w:r w:rsidR="00391AFB">
        <w:rPr>
          <w:rFonts w:eastAsiaTheme="minorHAnsi"/>
          <w:lang w:eastAsia="en-US"/>
        </w:rPr>
        <w:t xml:space="preserve"> </w:t>
      </w:r>
      <w:r w:rsidR="00DD644D">
        <w:rPr>
          <w:rFonts w:eastAsiaTheme="minorHAnsi"/>
          <w:lang w:eastAsia="en-US"/>
        </w:rPr>
        <w:t xml:space="preserve">were assigned a double </w:t>
      </w:r>
      <w:r w:rsidR="00391AFB">
        <w:rPr>
          <w:rFonts w:eastAsiaTheme="minorHAnsi"/>
          <w:lang w:eastAsia="en-US"/>
        </w:rPr>
        <w:t xml:space="preserve">dose of simvastatin. </w:t>
      </w:r>
      <w:r w:rsidR="00DD644D">
        <w:rPr>
          <w:rFonts w:eastAsiaTheme="minorHAnsi"/>
          <w:lang w:eastAsia="en-US"/>
        </w:rPr>
        <w:t>Up-titration was forceful in the stud</w:t>
      </w:r>
      <w:r w:rsidR="00701CC7">
        <w:rPr>
          <w:rFonts w:eastAsiaTheme="minorHAnsi"/>
          <w:lang w:eastAsia="en-US"/>
        </w:rPr>
        <w:t>ies</w:t>
      </w:r>
      <w:r w:rsidR="00DD644D">
        <w:rPr>
          <w:rFonts w:eastAsiaTheme="minorHAnsi"/>
          <w:lang w:eastAsia="en-US"/>
        </w:rPr>
        <w:t xml:space="preserve"> by Ballantyne (2004</w:t>
      </w:r>
      <w:r w:rsidR="00701CC7">
        <w:rPr>
          <w:rFonts w:eastAsiaTheme="minorHAnsi"/>
          <w:lang w:eastAsia="en-US"/>
        </w:rPr>
        <w:t xml:space="preserve">) and (McKenny 2007) </w:t>
      </w:r>
      <w:r w:rsidR="00C93FC3">
        <w:rPr>
          <w:rFonts w:eastAsiaTheme="minorHAnsi"/>
          <w:lang w:eastAsia="en-US"/>
        </w:rPr>
        <w:t xml:space="preserve">and depended on </w:t>
      </w:r>
      <w:r w:rsidR="00984468">
        <w:rPr>
          <w:rFonts w:eastAsiaTheme="minorHAnsi"/>
          <w:lang w:eastAsia="en-US"/>
        </w:rPr>
        <w:t xml:space="preserve">the </w:t>
      </w:r>
      <w:r w:rsidR="00C93FC3">
        <w:rPr>
          <w:rFonts w:eastAsiaTheme="minorHAnsi"/>
          <w:lang w:eastAsia="en-US"/>
        </w:rPr>
        <w:t xml:space="preserve">dose response in Stein (2004) study. </w:t>
      </w:r>
      <w:r w:rsidR="00A935BD" w:rsidRPr="00A948D0">
        <w:rPr>
          <w:rFonts w:eastAsiaTheme="minorHAnsi"/>
          <w:lang w:eastAsia="en-US"/>
        </w:rPr>
        <w:t>However, o</w:t>
      </w:r>
      <w:r w:rsidRPr="00A948D0">
        <w:rPr>
          <w:rFonts w:eastAsiaTheme="minorHAnsi"/>
          <w:lang w:eastAsia="en-US"/>
        </w:rPr>
        <w:t xml:space="preserve">nly one study (Stein 2004) enrolled the population that was </w:t>
      </w:r>
      <w:r w:rsidR="001D6E32" w:rsidRPr="00A948D0">
        <w:rPr>
          <w:rFonts w:eastAsiaTheme="minorHAnsi"/>
          <w:lang w:eastAsia="en-US"/>
        </w:rPr>
        <w:t xml:space="preserve">not adequately controlled with </w:t>
      </w:r>
      <w:r w:rsidRPr="00A948D0">
        <w:rPr>
          <w:rFonts w:eastAsiaTheme="minorHAnsi"/>
          <w:lang w:eastAsia="en-US"/>
        </w:rPr>
        <w:t>atorvastatin 10 mg</w:t>
      </w:r>
      <w:r w:rsidR="00C93FC3" w:rsidRPr="00A948D0">
        <w:rPr>
          <w:rFonts w:eastAsiaTheme="minorHAnsi"/>
          <w:lang w:eastAsia="en-US"/>
        </w:rPr>
        <w:t xml:space="preserve"> after a run-in period</w:t>
      </w:r>
      <w:r w:rsidR="00A935BD" w:rsidRPr="00A948D0">
        <w:rPr>
          <w:rFonts w:eastAsiaTheme="minorHAnsi"/>
          <w:lang w:eastAsia="en-US"/>
        </w:rPr>
        <w:t>.</w:t>
      </w:r>
      <w:r w:rsidR="00C93FC3" w:rsidRPr="00A948D0">
        <w:rPr>
          <w:rFonts w:eastAsiaTheme="minorHAnsi"/>
          <w:lang w:eastAsia="en-US"/>
        </w:rPr>
        <w:t xml:space="preserve"> </w:t>
      </w:r>
      <w:r w:rsidR="00984468" w:rsidRPr="00A948D0">
        <w:rPr>
          <w:rFonts w:eastAsiaTheme="minorHAnsi"/>
          <w:lang w:eastAsia="en-US"/>
        </w:rPr>
        <w:t xml:space="preserve">In Ballantyne (2004) </w:t>
      </w:r>
      <w:r w:rsidR="00701CC7" w:rsidRPr="00A948D0">
        <w:rPr>
          <w:rFonts w:eastAsiaTheme="minorHAnsi"/>
          <w:lang w:eastAsia="en-US"/>
        </w:rPr>
        <w:t>and (McKenn</w:t>
      </w:r>
      <w:r w:rsidR="000F6FC4" w:rsidRPr="00A948D0">
        <w:rPr>
          <w:rFonts w:eastAsiaTheme="minorHAnsi"/>
          <w:lang w:eastAsia="en-US"/>
        </w:rPr>
        <w:t>e</w:t>
      </w:r>
      <w:r w:rsidR="00701CC7" w:rsidRPr="00A948D0">
        <w:rPr>
          <w:rFonts w:eastAsiaTheme="minorHAnsi"/>
          <w:lang w:eastAsia="en-US"/>
        </w:rPr>
        <w:t xml:space="preserve">y 2007) </w:t>
      </w:r>
      <w:r w:rsidR="00984468" w:rsidRPr="00A948D0">
        <w:rPr>
          <w:rFonts w:eastAsiaTheme="minorHAnsi"/>
          <w:lang w:eastAsia="en-US"/>
        </w:rPr>
        <w:t>trial</w:t>
      </w:r>
      <w:r w:rsidR="00701CC7" w:rsidRPr="00A948D0">
        <w:rPr>
          <w:rFonts w:eastAsiaTheme="minorHAnsi"/>
          <w:lang w:eastAsia="en-US"/>
        </w:rPr>
        <w:t>s</w:t>
      </w:r>
      <w:r w:rsidR="00984468" w:rsidRPr="00A948D0">
        <w:rPr>
          <w:rFonts w:eastAsiaTheme="minorHAnsi"/>
          <w:lang w:eastAsia="en-US"/>
        </w:rPr>
        <w:t xml:space="preserve"> e</w:t>
      </w:r>
      <w:r w:rsidR="00C93FC3" w:rsidRPr="00A948D0">
        <w:rPr>
          <w:rFonts w:eastAsiaTheme="minorHAnsi"/>
          <w:lang w:eastAsia="en-US"/>
        </w:rPr>
        <w:t xml:space="preserve">zetimibe in combination with simvastatin was administered as the first line therapy. At </w:t>
      </w:r>
      <w:r w:rsidR="00391AFB" w:rsidRPr="00A948D0">
        <w:rPr>
          <w:rFonts w:eastAsiaTheme="minorHAnsi"/>
          <w:lang w:eastAsia="en-US"/>
        </w:rPr>
        <w:t>each</w:t>
      </w:r>
      <w:r w:rsidR="00A935BD" w:rsidRPr="00A948D0">
        <w:rPr>
          <w:rFonts w:eastAsiaTheme="minorHAnsi"/>
          <w:lang w:eastAsia="en-US"/>
        </w:rPr>
        <w:t xml:space="preserve"> </w:t>
      </w:r>
      <w:r w:rsidR="00C93FC3" w:rsidRPr="00A948D0">
        <w:rPr>
          <w:rFonts w:eastAsiaTheme="minorHAnsi"/>
          <w:lang w:eastAsia="en-US"/>
        </w:rPr>
        <w:t>follow up</w:t>
      </w:r>
      <w:r w:rsidR="000F6FC4" w:rsidRPr="00A948D0">
        <w:rPr>
          <w:rFonts w:eastAsiaTheme="minorHAnsi"/>
          <w:lang w:eastAsia="en-US"/>
        </w:rPr>
        <w:t xml:space="preserve"> appointment</w:t>
      </w:r>
      <w:r w:rsidR="00701CC7" w:rsidRPr="00A948D0">
        <w:rPr>
          <w:rFonts w:eastAsiaTheme="minorHAnsi"/>
          <w:lang w:eastAsia="en-US"/>
        </w:rPr>
        <w:t xml:space="preserve"> </w:t>
      </w:r>
      <w:r w:rsidR="00A935BD" w:rsidRPr="00A948D0">
        <w:rPr>
          <w:rFonts w:eastAsiaTheme="minorHAnsi"/>
          <w:lang w:eastAsia="en-US"/>
        </w:rPr>
        <w:t xml:space="preserve">patients </w:t>
      </w:r>
      <w:r w:rsidR="00C93FC3" w:rsidRPr="00A948D0">
        <w:rPr>
          <w:rFonts w:eastAsiaTheme="minorHAnsi"/>
          <w:lang w:eastAsia="en-US"/>
        </w:rPr>
        <w:t>receiving</w:t>
      </w:r>
      <w:r w:rsidR="00A935BD" w:rsidRPr="00A948D0">
        <w:rPr>
          <w:rFonts w:eastAsiaTheme="minorHAnsi"/>
          <w:lang w:eastAsia="en-US"/>
        </w:rPr>
        <w:t xml:space="preserve"> </w:t>
      </w:r>
      <w:r w:rsidR="00391AFB" w:rsidRPr="00A948D0">
        <w:rPr>
          <w:rFonts w:eastAsiaTheme="minorHAnsi"/>
          <w:lang w:eastAsia="en-US"/>
        </w:rPr>
        <w:t>EZ+SIM (Ballantyne 2004</w:t>
      </w:r>
      <w:r w:rsidR="000F6FC4" w:rsidRPr="00A948D0">
        <w:rPr>
          <w:rFonts w:eastAsiaTheme="minorHAnsi"/>
          <w:lang w:eastAsia="en-US"/>
        </w:rPr>
        <w:t>,</w:t>
      </w:r>
      <w:r w:rsidR="000F6FC4">
        <w:rPr>
          <w:rFonts w:eastAsiaTheme="minorHAnsi"/>
          <w:lang w:eastAsia="en-US"/>
        </w:rPr>
        <w:t xml:space="preserve"> McKenney 2007</w:t>
      </w:r>
      <w:r w:rsidR="00391AFB">
        <w:rPr>
          <w:rFonts w:eastAsiaTheme="minorHAnsi"/>
          <w:lang w:eastAsia="en-US"/>
        </w:rPr>
        <w:t xml:space="preserve">) or </w:t>
      </w:r>
      <w:r w:rsidR="00A935BD">
        <w:rPr>
          <w:rFonts w:eastAsiaTheme="minorHAnsi"/>
          <w:lang w:eastAsia="en-US"/>
        </w:rPr>
        <w:t>EZ</w:t>
      </w:r>
      <w:r w:rsidR="00A65B6D">
        <w:rPr>
          <w:rFonts w:eastAsiaTheme="minorHAnsi"/>
          <w:lang w:eastAsia="en-US"/>
        </w:rPr>
        <w:t>+ATOR</w:t>
      </w:r>
      <w:r w:rsidR="00A935BD">
        <w:rPr>
          <w:rFonts w:eastAsiaTheme="minorHAnsi"/>
          <w:lang w:eastAsia="en-US"/>
        </w:rPr>
        <w:t xml:space="preserve"> </w:t>
      </w:r>
      <w:r w:rsidR="00391AFB">
        <w:rPr>
          <w:rFonts w:eastAsiaTheme="minorHAnsi"/>
          <w:lang w:eastAsia="en-US"/>
        </w:rPr>
        <w:t xml:space="preserve">(Stein 2004) </w:t>
      </w:r>
      <w:r w:rsidR="00A935BD">
        <w:rPr>
          <w:rFonts w:eastAsiaTheme="minorHAnsi"/>
          <w:lang w:eastAsia="en-US"/>
        </w:rPr>
        <w:t xml:space="preserve">combination therapy achieved a </w:t>
      </w:r>
      <w:r w:rsidR="00A65B6D">
        <w:rPr>
          <w:rFonts w:eastAsiaTheme="minorHAnsi"/>
          <w:lang w:eastAsia="en-US"/>
        </w:rPr>
        <w:t xml:space="preserve">greater %LDL-C reduction </w:t>
      </w:r>
      <w:r w:rsidR="00A935BD">
        <w:rPr>
          <w:rFonts w:eastAsiaTheme="minorHAnsi"/>
          <w:lang w:eastAsia="en-US"/>
        </w:rPr>
        <w:t xml:space="preserve">compared to patients </w:t>
      </w:r>
      <w:r w:rsidR="00984468">
        <w:rPr>
          <w:rFonts w:eastAsiaTheme="minorHAnsi"/>
          <w:lang w:eastAsia="en-US"/>
        </w:rPr>
        <w:t>receiving ATOR monotherapy</w:t>
      </w:r>
      <w:r w:rsidR="00A935BD">
        <w:rPr>
          <w:rFonts w:eastAsiaTheme="minorHAnsi"/>
          <w:lang w:eastAsia="en-US"/>
        </w:rPr>
        <w:t xml:space="preserve">. </w:t>
      </w:r>
      <w:r w:rsidR="000F6FC4">
        <w:rPr>
          <w:rFonts w:eastAsiaTheme="minorHAnsi"/>
          <w:lang w:eastAsia="en-US"/>
        </w:rPr>
        <w:t>However the difference was not statistically significant in</w:t>
      </w:r>
      <w:r w:rsidR="000F6FC4" w:rsidRPr="000F6FC4">
        <w:rPr>
          <w:rFonts w:eastAsiaTheme="minorHAnsi"/>
          <w:lang w:eastAsia="en-US"/>
        </w:rPr>
        <w:t xml:space="preserve"> </w:t>
      </w:r>
      <w:r w:rsidR="000F6FC4">
        <w:rPr>
          <w:rFonts w:eastAsiaTheme="minorHAnsi"/>
          <w:lang w:eastAsia="en-US"/>
        </w:rPr>
        <w:t>the trial by McKenney (2007)</w:t>
      </w:r>
      <w:r w:rsidR="000F6FC4" w:rsidRPr="000F6FC4">
        <w:rPr>
          <w:rFonts w:eastAsiaTheme="minorHAnsi"/>
          <w:lang w:eastAsia="en-US"/>
        </w:rPr>
        <w:t xml:space="preserve"> </w:t>
      </w:r>
      <w:r w:rsidR="000F6FC4">
        <w:rPr>
          <w:rFonts w:eastAsiaTheme="minorHAnsi"/>
          <w:lang w:eastAsia="en-US"/>
        </w:rPr>
        <w:t>that compared ezetimibe co-administered with simvastatin vs rosuvastatin.</w:t>
      </w:r>
    </w:p>
    <w:p w14:paraId="38801F1B" w14:textId="35816D73" w:rsidR="00926EA8" w:rsidRPr="00926EA8" w:rsidRDefault="00926EA8" w:rsidP="00926EA8">
      <w:pPr>
        <w:spacing w:before="120" w:after="120"/>
        <w:jc w:val="both"/>
        <w:rPr>
          <w:rFonts w:eastAsiaTheme="minorHAnsi"/>
          <w:lang w:eastAsia="en-US"/>
        </w:rPr>
      </w:pPr>
      <w:r>
        <w:rPr>
          <w:rFonts w:eastAsiaTheme="minorHAnsi"/>
          <w:lang w:eastAsia="en-US"/>
        </w:rPr>
        <w:t>R</w:t>
      </w:r>
      <w:r w:rsidR="00A65B6D">
        <w:rPr>
          <w:rFonts w:eastAsiaTheme="minorHAnsi"/>
          <w:lang w:eastAsia="en-US"/>
        </w:rPr>
        <w:t xml:space="preserve">esults for </w:t>
      </w:r>
      <w:r>
        <w:rPr>
          <w:rFonts w:eastAsiaTheme="minorHAnsi"/>
          <w:lang w:eastAsia="en-US"/>
        </w:rPr>
        <w:t xml:space="preserve">the </w:t>
      </w:r>
      <w:r w:rsidR="00CA029F">
        <w:rPr>
          <w:rFonts w:eastAsiaTheme="minorHAnsi"/>
          <w:lang w:eastAsia="en-US"/>
        </w:rPr>
        <w:t xml:space="preserve">TC and </w:t>
      </w:r>
      <w:r w:rsidR="00A65B6D">
        <w:rPr>
          <w:rFonts w:eastAsiaTheme="minorHAnsi"/>
          <w:lang w:eastAsia="en-US"/>
        </w:rPr>
        <w:t>HDL-C endpoint</w:t>
      </w:r>
      <w:r w:rsidR="00CA029F">
        <w:rPr>
          <w:rFonts w:eastAsiaTheme="minorHAnsi"/>
          <w:lang w:eastAsia="en-US"/>
        </w:rPr>
        <w:t>s</w:t>
      </w:r>
      <w:r w:rsidR="00A65B6D">
        <w:rPr>
          <w:rFonts w:eastAsiaTheme="minorHAnsi"/>
          <w:lang w:eastAsia="en-US"/>
        </w:rPr>
        <w:t xml:space="preserve"> are presented </w:t>
      </w:r>
      <w:r w:rsidR="005B409D">
        <w:rPr>
          <w:rFonts w:eastAsiaTheme="minorHAnsi"/>
          <w:lang w:eastAsia="en-US"/>
        </w:rPr>
        <w:t>in Appendix (Figures A5.2 – A5.5</w:t>
      </w:r>
      <w:r w:rsidR="00A65B6D">
        <w:rPr>
          <w:rFonts w:eastAsiaTheme="minorHAnsi"/>
          <w:lang w:eastAsia="en-US"/>
        </w:rPr>
        <w:t>).</w:t>
      </w:r>
      <w:r w:rsidR="00D87006">
        <w:rPr>
          <w:rFonts w:eastAsiaTheme="minorHAnsi"/>
          <w:lang w:eastAsia="en-US"/>
        </w:rPr>
        <w:t xml:space="preserve"> </w:t>
      </w:r>
      <w:r>
        <w:rPr>
          <w:rFonts w:eastAsiaTheme="minorHAnsi"/>
          <w:lang w:eastAsia="en-US"/>
        </w:rPr>
        <w:t>R</w:t>
      </w:r>
      <w:r w:rsidR="00CA029F">
        <w:rPr>
          <w:rFonts w:eastAsiaTheme="minorHAnsi"/>
          <w:lang w:eastAsia="en-US"/>
        </w:rPr>
        <w:t xml:space="preserve">esults for </w:t>
      </w:r>
      <w:r>
        <w:rPr>
          <w:rFonts w:eastAsiaTheme="minorHAnsi"/>
          <w:lang w:eastAsia="en-US"/>
        </w:rPr>
        <w:t xml:space="preserve">the </w:t>
      </w:r>
      <w:r w:rsidR="00CA029F">
        <w:rPr>
          <w:rFonts w:eastAsiaTheme="minorHAnsi"/>
          <w:lang w:eastAsia="en-US"/>
        </w:rPr>
        <w:t xml:space="preserve">total cholesterol </w:t>
      </w:r>
      <w:r w:rsidR="00FE57E0">
        <w:rPr>
          <w:rFonts w:eastAsiaTheme="minorHAnsi"/>
          <w:lang w:eastAsia="en-US"/>
        </w:rPr>
        <w:t>endpoints</w:t>
      </w:r>
      <w:r w:rsidR="00CA029F">
        <w:rPr>
          <w:rFonts w:eastAsiaTheme="minorHAnsi"/>
          <w:lang w:eastAsia="en-US"/>
        </w:rPr>
        <w:t xml:space="preserve"> are consistent with LDL-C results. </w:t>
      </w:r>
      <w:r w:rsidR="0021149C">
        <w:rPr>
          <w:rFonts w:eastAsiaTheme="minorHAnsi"/>
          <w:lang w:eastAsia="en-US"/>
        </w:rPr>
        <w:t xml:space="preserve">The HDL-C results </w:t>
      </w:r>
      <w:r w:rsidR="00C93FC3">
        <w:rPr>
          <w:rFonts w:eastAsiaTheme="minorHAnsi"/>
          <w:lang w:eastAsia="en-US"/>
        </w:rPr>
        <w:t xml:space="preserve">also </w:t>
      </w:r>
      <w:r w:rsidR="0021149C">
        <w:rPr>
          <w:rFonts w:eastAsiaTheme="minorHAnsi"/>
          <w:lang w:eastAsia="en-US"/>
        </w:rPr>
        <w:t>generally favour ezetimibe in combination with statin. However, a</w:t>
      </w:r>
      <w:r w:rsidR="00D87006">
        <w:rPr>
          <w:rFonts w:eastAsiaTheme="minorHAnsi"/>
          <w:lang w:eastAsia="en-US"/>
        </w:rPr>
        <w:t>lthough</w:t>
      </w:r>
      <w:r w:rsidR="0021149C">
        <w:rPr>
          <w:rFonts w:eastAsiaTheme="minorHAnsi"/>
          <w:lang w:eastAsia="en-US"/>
        </w:rPr>
        <w:t xml:space="preserve"> </w:t>
      </w:r>
      <w:r w:rsidR="00CA029F">
        <w:rPr>
          <w:rFonts w:eastAsiaTheme="minorHAnsi"/>
          <w:lang w:eastAsia="en-US"/>
        </w:rPr>
        <w:t xml:space="preserve">at the end of the 12 week trial by McKenny (2007) </w:t>
      </w:r>
      <w:r w:rsidR="00D87006">
        <w:rPr>
          <w:rFonts w:eastAsiaTheme="minorHAnsi"/>
          <w:lang w:eastAsia="en-US"/>
        </w:rPr>
        <w:t xml:space="preserve">the patients receiving EZ 10+SIM40 </w:t>
      </w:r>
      <w:r w:rsidR="00CA029F">
        <w:rPr>
          <w:rFonts w:eastAsiaTheme="minorHAnsi"/>
          <w:lang w:eastAsia="en-US"/>
        </w:rPr>
        <w:t xml:space="preserve">as the first line therapy </w:t>
      </w:r>
      <w:r w:rsidR="00D87006">
        <w:rPr>
          <w:rFonts w:eastAsiaTheme="minorHAnsi"/>
          <w:lang w:eastAsia="en-US"/>
        </w:rPr>
        <w:t>achieved</w:t>
      </w:r>
      <w:r w:rsidR="00CA029F">
        <w:rPr>
          <w:rFonts w:eastAsiaTheme="minorHAnsi"/>
          <w:lang w:eastAsia="en-US"/>
        </w:rPr>
        <w:t xml:space="preserve"> the</w:t>
      </w:r>
      <w:r w:rsidR="00D87006">
        <w:rPr>
          <w:rFonts w:eastAsiaTheme="minorHAnsi"/>
          <w:lang w:eastAsia="en-US"/>
        </w:rPr>
        <w:t xml:space="preserve"> higher </w:t>
      </w:r>
      <w:r w:rsidR="00CA029F">
        <w:rPr>
          <w:rFonts w:eastAsiaTheme="minorHAnsi"/>
          <w:lang w:eastAsia="en-US"/>
        </w:rPr>
        <w:t>%</w:t>
      </w:r>
      <w:r w:rsidR="00D87006">
        <w:rPr>
          <w:rFonts w:eastAsiaTheme="minorHAnsi"/>
          <w:lang w:eastAsia="en-US"/>
        </w:rPr>
        <w:t>HDL-C</w:t>
      </w:r>
      <w:r w:rsidR="00CA029F">
        <w:rPr>
          <w:rFonts w:eastAsiaTheme="minorHAnsi"/>
          <w:lang w:eastAsia="en-US"/>
        </w:rPr>
        <w:t xml:space="preserve"> raise</w:t>
      </w:r>
      <w:r w:rsidR="00D87006">
        <w:rPr>
          <w:rFonts w:eastAsiaTheme="minorHAnsi"/>
          <w:lang w:eastAsia="en-US"/>
        </w:rPr>
        <w:t xml:space="preserve"> </w:t>
      </w:r>
      <w:r w:rsidR="00CA029F">
        <w:rPr>
          <w:rFonts w:eastAsiaTheme="minorHAnsi"/>
          <w:lang w:eastAsia="en-US"/>
        </w:rPr>
        <w:t xml:space="preserve">(by 3% on average) </w:t>
      </w:r>
      <w:r w:rsidR="00D87006">
        <w:rPr>
          <w:rFonts w:eastAsiaTheme="minorHAnsi"/>
          <w:lang w:eastAsia="en-US"/>
        </w:rPr>
        <w:t>than the patients receiving ROSUV 40</w:t>
      </w:r>
      <w:r w:rsidR="00CA029F">
        <w:rPr>
          <w:rFonts w:eastAsiaTheme="minorHAnsi"/>
          <w:lang w:eastAsia="en-US"/>
        </w:rPr>
        <w:t>, t</w:t>
      </w:r>
      <w:r w:rsidR="00D87006">
        <w:rPr>
          <w:rFonts w:eastAsiaTheme="minorHAnsi"/>
          <w:lang w:eastAsia="en-US"/>
        </w:rPr>
        <w:t>he difference was not statistically significant.</w:t>
      </w:r>
      <w:r w:rsidR="00CA029F">
        <w:rPr>
          <w:rFonts w:eastAsiaTheme="minorHAnsi"/>
          <w:lang w:eastAsia="en-US"/>
        </w:rPr>
        <w:t xml:space="preserve"> The same </w:t>
      </w:r>
      <w:r w:rsidR="0021149C">
        <w:rPr>
          <w:rFonts w:eastAsiaTheme="minorHAnsi"/>
          <w:lang w:eastAsia="en-US"/>
        </w:rPr>
        <w:t>was</w:t>
      </w:r>
      <w:r w:rsidR="00CA029F">
        <w:rPr>
          <w:rFonts w:eastAsiaTheme="minorHAnsi"/>
          <w:lang w:eastAsia="en-US"/>
        </w:rPr>
        <w:t xml:space="preserve"> also true with respect to the HDL-C outcomes observed </w:t>
      </w:r>
      <w:r w:rsidR="00972507">
        <w:rPr>
          <w:rFonts w:eastAsiaTheme="minorHAnsi"/>
          <w:lang w:eastAsia="en-US"/>
        </w:rPr>
        <w:t>in</w:t>
      </w:r>
      <w:r w:rsidR="00CA029F">
        <w:rPr>
          <w:rFonts w:eastAsiaTheme="minorHAnsi"/>
          <w:lang w:eastAsia="en-US"/>
        </w:rPr>
        <w:t xml:space="preserve"> week 4 in the trial by Stein (2004).</w:t>
      </w:r>
    </w:p>
    <w:p w14:paraId="3EE8FC84" w14:textId="55554EA3" w:rsidR="00862CFE" w:rsidRDefault="00F62830" w:rsidP="00862CFE">
      <w:pPr>
        <w:spacing w:after="0"/>
        <w:jc w:val="both"/>
        <w:rPr>
          <w:rFonts w:eastAsiaTheme="minorHAnsi"/>
          <w:b/>
          <w:lang w:eastAsia="en-US"/>
        </w:rPr>
      </w:pPr>
      <w:r w:rsidRPr="00F62830">
        <w:rPr>
          <w:rFonts w:eastAsiaTheme="minorHAnsi"/>
          <w:b/>
          <w:lang w:eastAsia="en-US"/>
        </w:rPr>
        <w:t xml:space="preserve">Three studies that </w:t>
      </w:r>
      <w:r w:rsidR="000F6FC4">
        <w:rPr>
          <w:rFonts w:eastAsiaTheme="minorHAnsi"/>
          <w:b/>
          <w:lang w:eastAsia="en-US"/>
        </w:rPr>
        <w:t>“parallel-</w:t>
      </w:r>
      <w:r w:rsidRPr="00F62830">
        <w:rPr>
          <w:rFonts w:eastAsiaTheme="minorHAnsi"/>
          <w:b/>
          <w:lang w:eastAsia="en-US"/>
        </w:rPr>
        <w:t>titrated</w:t>
      </w:r>
      <w:r w:rsidR="000F6FC4">
        <w:rPr>
          <w:rFonts w:eastAsiaTheme="minorHAnsi"/>
          <w:b/>
          <w:lang w:eastAsia="en-US"/>
        </w:rPr>
        <w:t>”</w:t>
      </w:r>
      <w:r w:rsidRPr="00F62830">
        <w:rPr>
          <w:rFonts w:eastAsiaTheme="minorHAnsi"/>
          <w:b/>
          <w:lang w:eastAsia="en-US"/>
        </w:rPr>
        <w:t xml:space="preserve"> (either forced or depending on patients’ response) the </w:t>
      </w:r>
      <w:r w:rsidR="00984468">
        <w:rPr>
          <w:rFonts w:eastAsiaTheme="minorHAnsi"/>
          <w:b/>
          <w:lang w:eastAsia="en-US"/>
        </w:rPr>
        <w:t>simvastatin and atorvastatin</w:t>
      </w:r>
      <w:r w:rsidRPr="00F62830">
        <w:rPr>
          <w:rFonts w:eastAsiaTheme="minorHAnsi"/>
          <w:b/>
          <w:lang w:eastAsia="en-US"/>
        </w:rPr>
        <w:t xml:space="preserve"> doses </w:t>
      </w:r>
      <w:r w:rsidR="000A09FE">
        <w:rPr>
          <w:rFonts w:eastAsiaTheme="minorHAnsi"/>
          <w:b/>
          <w:lang w:eastAsia="en-US"/>
        </w:rPr>
        <w:t>to LDL-C</w:t>
      </w:r>
      <w:r w:rsidR="00984468" w:rsidRPr="00F62830">
        <w:rPr>
          <w:rFonts w:eastAsiaTheme="minorHAnsi"/>
          <w:b/>
          <w:lang w:eastAsia="en-US"/>
        </w:rPr>
        <w:t xml:space="preserve"> targets </w:t>
      </w:r>
      <w:r w:rsidRPr="00F62830">
        <w:rPr>
          <w:rFonts w:eastAsiaTheme="minorHAnsi"/>
          <w:b/>
          <w:lang w:eastAsia="en-US"/>
        </w:rPr>
        <w:t xml:space="preserve">demonstrated that ezetimibe </w:t>
      </w:r>
      <w:r w:rsidR="003A7F47">
        <w:rPr>
          <w:rFonts w:eastAsiaTheme="minorHAnsi"/>
          <w:b/>
          <w:lang w:eastAsia="en-US"/>
        </w:rPr>
        <w:t>in combination with simvastatin or atorvastatin</w:t>
      </w:r>
      <w:r w:rsidR="003A7F47" w:rsidRPr="00F62830">
        <w:rPr>
          <w:rFonts w:eastAsiaTheme="minorHAnsi"/>
          <w:b/>
          <w:lang w:eastAsia="en-US"/>
        </w:rPr>
        <w:t xml:space="preserve"> </w:t>
      </w:r>
      <w:r w:rsidRPr="00F62830">
        <w:rPr>
          <w:rFonts w:eastAsiaTheme="minorHAnsi"/>
          <w:b/>
          <w:lang w:eastAsia="en-US"/>
        </w:rPr>
        <w:t xml:space="preserve">was more effective in reducing </w:t>
      </w:r>
      <w:r w:rsidR="000F6FC4">
        <w:rPr>
          <w:rFonts w:eastAsiaTheme="minorHAnsi"/>
          <w:b/>
          <w:lang w:eastAsia="en-US"/>
        </w:rPr>
        <w:t>LDL-C</w:t>
      </w:r>
      <w:r w:rsidRPr="00F62830">
        <w:rPr>
          <w:rFonts w:eastAsiaTheme="minorHAnsi"/>
          <w:b/>
          <w:lang w:eastAsia="en-US"/>
        </w:rPr>
        <w:t xml:space="preserve"> concentrations than </w:t>
      </w:r>
      <w:r w:rsidR="00A948D0">
        <w:rPr>
          <w:rFonts w:eastAsiaTheme="minorHAnsi"/>
          <w:b/>
          <w:lang w:eastAsia="en-US"/>
        </w:rPr>
        <w:t>simvastatin or atorvastatin</w:t>
      </w:r>
      <w:r w:rsidR="00A948D0" w:rsidRPr="00F62830">
        <w:rPr>
          <w:rFonts w:eastAsiaTheme="minorHAnsi"/>
          <w:b/>
          <w:lang w:eastAsia="en-US"/>
        </w:rPr>
        <w:t xml:space="preserve"> </w:t>
      </w:r>
      <w:r w:rsidRPr="00F62830">
        <w:rPr>
          <w:rFonts w:eastAsiaTheme="minorHAnsi"/>
          <w:b/>
          <w:lang w:eastAsia="en-US"/>
        </w:rPr>
        <w:t>monotherap</w:t>
      </w:r>
      <w:r w:rsidR="003A7F47">
        <w:rPr>
          <w:rFonts w:eastAsiaTheme="minorHAnsi"/>
          <w:b/>
          <w:lang w:eastAsia="en-US"/>
        </w:rPr>
        <w:t>ies</w:t>
      </w:r>
      <w:r w:rsidR="00984468">
        <w:rPr>
          <w:rFonts w:eastAsiaTheme="minorHAnsi"/>
          <w:b/>
          <w:lang w:eastAsia="en-US"/>
        </w:rPr>
        <w:t xml:space="preserve"> </w:t>
      </w:r>
      <w:r w:rsidRPr="00F62830">
        <w:rPr>
          <w:rFonts w:eastAsiaTheme="minorHAnsi"/>
          <w:b/>
          <w:lang w:eastAsia="en-US"/>
        </w:rPr>
        <w:t>(</w:t>
      </w:r>
      <w:r w:rsidR="000A09FE">
        <w:rPr>
          <w:rFonts w:eastAsiaTheme="minorHAnsi"/>
          <w:b/>
          <w:lang w:eastAsia="en-US"/>
        </w:rPr>
        <w:t xml:space="preserve">statistically </w:t>
      </w:r>
      <w:r w:rsidR="007551F7">
        <w:rPr>
          <w:rFonts w:eastAsiaTheme="minorHAnsi"/>
          <w:b/>
          <w:lang w:eastAsia="en-US"/>
        </w:rPr>
        <w:t xml:space="preserve">significant </w:t>
      </w:r>
      <w:r w:rsidR="000A09FE">
        <w:rPr>
          <w:rFonts w:eastAsiaTheme="minorHAnsi"/>
          <w:b/>
          <w:lang w:eastAsia="en-US"/>
        </w:rPr>
        <w:t xml:space="preserve">for </w:t>
      </w:r>
      <w:r w:rsidRPr="00F62830">
        <w:rPr>
          <w:rFonts w:eastAsiaTheme="minorHAnsi"/>
          <w:b/>
          <w:lang w:eastAsia="en-US"/>
        </w:rPr>
        <w:t>all studies).</w:t>
      </w:r>
      <w:r w:rsidR="003A7F47">
        <w:rPr>
          <w:rFonts w:eastAsiaTheme="minorHAnsi"/>
          <w:b/>
          <w:lang w:eastAsia="en-US"/>
        </w:rPr>
        <w:t xml:space="preserve"> </w:t>
      </w:r>
      <w:r w:rsidR="0078544E">
        <w:rPr>
          <w:rFonts w:eastAsiaTheme="minorHAnsi"/>
          <w:b/>
          <w:lang w:eastAsia="en-US"/>
        </w:rPr>
        <w:t xml:space="preserve">However, this effect was not observed when </w:t>
      </w:r>
      <w:r w:rsidR="0078544E" w:rsidRPr="00F62830">
        <w:rPr>
          <w:rFonts w:eastAsiaTheme="minorHAnsi"/>
          <w:b/>
          <w:lang w:eastAsia="en-US"/>
        </w:rPr>
        <w:t xml:space="preserve">ezetimibe </w:t>
      </w:r>
      <w:r w:rsidR="0078544E">
        <w:rPr>
          <w:rFonts w:eastAsiaTheme="minorHAnsi"/>
          <w:b/>
          <w:lang w:eastAsia="en-US"/>
        </w:rPr>
        <w:t>in combination with simvastatin was compared with the more potent rosuvastatin.</w:t>
      </w:r>
    </w:p>
    <w:p w14:paraId="713F9DF2" w14:textId="77777777" w:rsidR="0078544E" w:rsidRDefault="0078544E" w:rsidP="00862CFE">
      <w:pPr>
        <w:spacing w:after="0"/>
        <w:jc w:val="both"/>
        <w:rPr>
          <w:rFonts w:eastAsiaTheme="minorHAnsi"/>
          <w:b/>
          <w:lang w:eastAsia="en-US"/>
        </w:rPr>
      </w:pPr>
    </w:p>
    <w:p w14:paraId="1B705607" w14:textId="356ACDF2" w:rsidR="003A7F47" w:rsidRPr="00A948D0" w:rsidRDefault="0078544E" w:rsidP="00A948D0">
      <w:pPr>
        <w:spacing w:after="0"/>
        <w:jc w:val="both"/>
      </w:pPr>
      <w:r w:rsidRPr="005D3FEB">
        <w:rPr>
          <w:i/>
        </w:rPr>
        <w:t>The PBAC previously accepted the submission’s claim that EZ+SIM 20 is superior in terms of effect on LDL compared with simvastatin 40 mg, atorvastatin 20 mg and atorvastatin 40 mg and equi-effective compared with rosuvastatin 20 mg daily</w:t>
      </w:r>
      <w:r w:rsidR="00E01E08" w:rsidRPr="005D3FEB">
        <w:rPr>
          <w:i/>
        </w:rPr>
        <w:t xml:space="preserve"> (PBAC March 2009 minutes)</w:t>
      </w:r>
      <w:r w:rsidRPr="005D3FEB">
        <w:rPr>
          <w:i/>
        </w:rPr>
        <w:t xml:space="preserve">. </w:t>
      </w:r>
      <w:r w:rsidR="005D3FEB" w:rsidRPr="005D3FEB">
        <w:rPr>
          <w:i/>
        </w:rPr>
        <w:t>However at that time no data was presented to support the conclusion that the same comparative effectiveness would be demonstrated in the second-line setting</w:t>
      </w:r>
      <w:r w:rsidR="005D3FEB">
        <w:t>.</w:t>
      </w:r>
    </w:p>
    <w:p w14:paraId="0B296748" w14:textId="09690AF7" w:rsidR="0021149C" w:rsidRDefault="0021149C" w:rsidP="005D3FEB">
      <w:pPr>
        <w:pStyle w:val="Heading4"/>
        <w:spacing w:before="0"/>
        <w:rPr>
          <w:lang w:eastAsia="en-US"/>
        </w:rPr>
      </w:pPr>
      <w:r>
        <w:rPr>
          <w:lang w:eastAsia="en-US"/>
        </w:rPr>
        <w:t>Comparison 2</w:t>
      </w:r>
      <w:r w:rsidRPr="00554A3C">
        <w:rPr>
          <w:lang w:eastAsia="en-US"/>
        </w:rPr>
        <w:t xml:space="preserve">: </w:t>
      </w:r>
      <w:r>
        <w:rPr>
          <w:lang w:eastAsia="en-US"/>
        </w:rPr>
        <w:t>maintaining</w:t>
      </w:r>
      <w:r w:rsidRPr="00554A3C">
        <w:rPr>
          <w:lang w:eastAsia="en-US"/>
        </w:rPr>
        <w:t xml:space="preserve"> </w:t>
      </w:r>
      <w:r>
        <w:rPr>
          <w:lang w:eastAsia="en-US"/>
        </w:rPr>
        <w:t xml:space="preserve">a </w:t>
      </w:r>
      <w:r w:rsidRPr="00554A3C">
        <w:rPr>
          <w:lang w:eastAsia="en-US"/>
        </w:rPr>
        <w:t>dose</w:t>
      </w:r>
      <w:r>
        <w:rPr>
          <w:lang w:eastAsia="en-US"/>
        </w:rPr>
        <w:t xml:space="preserve"> of both </w:t>
      </w:r>
      <w:r w:rsidRPr="00554A3C">
        <w:rPr>
          <w:lang w:eastAsia="en-US"/>
        </w:rPr>
        <w:t xml:space="preserve">statin </w:t>
      </w:r>
      <w:r>
        <w:rPr>
          <w:lang w:eastAsia="en-US"/>
        </w:rPr>
        <w:t xml:space="preserve">and </w:t>
      </w:r>
      <w:r w:rsidRPr="00554A3C">
        <w:rPr>
          <w:lang w:eastAsia="en-US"/>
        </w:rPr>
        <w:t>ezetimibe</w:t>
      </w:r>
      <w:r>
        <w:rPr>
          <w:lang w:eastAsia="en-US"/>
        </w:rPr>
        <w:t xml:space="preserve"> in the intervention arm</w:t>
      </w:r>
      <w:r w:rsidRPr="00554A3C">
        <w:rPr>
          <w:lang w:eastAsia="en-US"/>
        </w:rPr>
        <w:t xml:space="preserve"> versus up-titrating statin dose</w:t>
      </w:r>
      <w:r>
        <w:rPr>
          <w:lang w:eastAsia="en-US"/>
        </w:rPr>
        <w:t xml:space="preserve"> or using a more potent statin in the comparator arm</w:t>
      </w:r>
    </w:p>
    <w:p w14:paraId="3037BBF7" w14:textId="77777777" w:rsidR="00A935BD" w:rsidRDefault="00A935BD" w:rsidP="005D3FEB">
      <w:pPr>
        <w:spacing w:after="0"/>
        <w:jc w:val="both"/>
        <w:rPr>
          <w:rFonts w:eastAsiaTheme="minorHAnsi"/>
          <w:lang w:eastAsia="en-US"/>
        </w:rPr>
      </w:pPr>
    </w:p>
    <w:p w14:paraId="1DD65AEF" w14:textId="783E1FB9" w:rsidR="0021149C" w:rsidRDefault="0021149C" w:rsidP="005D3FEB">
      <w:pPr>
        <w:spacing w:after="0"/>
        <w:jc w:val="both"/>
        <w:rPr>
          <w:rFonts w:eastAsiaTheme="minorHAnsi"/>
          <w:lang w:eastAsia="en-US"/>
        </w:rPr>
      </w:pPr>
      <w:r>
        <w:rPr>
          <w:rFonts w:eastAsiaTheme="minorHAnsi"/>
          <w:lang w:eastAsia="en-US"/>
        </w:rPr>
        <w:t>This comparison involved the largest number of identified RCTs that enrolled primary, secondary and mixed prevention population, however in some of the subgroups there were only two studies.</w:t>
      </w:r>
    </w:p>
    <w:p w14:paraId="02DB3BFA" w14:textId="2EADD386" w:rsidR="0021149C" w:rsidRDefault="002420B8" w:rsidP="00926EA8">
      <w:pPr>
        <w:spacing w:before="120" w:after="120"/>
        <w:jc w:val="both"/>
      </w:pPr>
      <w:r>
        <w:t>Figure</w:t>
      </w:r>
      <w:r w:rsidRPr="00DE4571">
        <w:t xml:space="preserve"> 2</w:t>
      </w:r>
      <w:r>
        <w:t>.5.3.2 shows mean %LDL-C reduction in ezetimibe in combination with statin</w:t>
      </w:r>
      <w:r w:rsidR="007551F7">
        <w:t xml:space="preserve"> vs statin monotherapy</w:t>
      </w:r>
      <w:r>
        <w:t xml:space="preserve"> </w:t>
      </w:r>
    </w:p>
    <w:p w14:paraId="26360DFA" w14:textId="77777777" w:rsidR="00926EA8" w:rsidRDefault="00926EA8" w:rsidP="00926EA8">
      <w:pPr>
        <w:spacing w:before="120" w:after="120"/>
        <w:jc w:val="both"/>
      </w:pPr>
    </w:p>
    <w:p w14:paraId="32742941" w14:textId="1EB9C6C4" w:rsidR="002420B8" w:rsidRPr="002420B8" w:rsidRDefault="002420B8" w:rsidP="00926EA8">
      <w:pPr>
        <w:keepNext/>
        <w:keepLines/>
        <w:rPr>
          <w:b/>
        </w:rPr>
      </w:pPr>
      <w:r>
        <w:rPr>
          <w:b/>
        </w:rPr>
        <w:t>Figure 2.5.3.2</w:t>
      </w:r>
      <w:r w:rsidRPr="00DE4571">
        <w:rPr>
          <w:b/>
        </w:rPr>
        <w:t xml:space="preserve"> </w:t>
      </w:r>
      <w:r>
        <w:rPr>
          <w:b/>
        </w:rPr>
        <w:t xml:space="preserve">Comparison 2: </w:t>
      </w:r>
      <w:r w:rsidR="00DE4571" w:rsidRPr="00DE4571">
        <w:rPr>
          <w:b/>
        </w:rPr>
        <w:t>Mean percentage change in LDL</w:t>
      </w:r>
      <w:r>
        <w:rPr>
          <w:b/>
        </w:rPr>
        <w:t>-C</w:t>
      </w:r>
      <w:r w:rsidR="00DE4571" w:rsidRPr="00DE4571">
        <w:rPr>
          <w:b/>
        </w:rPr>
        <w:t xml:space="preserve"> concentrations from baseline </w:t>
      </w:r>
    </w:p>
    <w:p w14:paraId="2D5F79D5" w14:textId="2307168B" w:rsidR="002420B8" w:rsidRDefault="002420B8" w:rsidP="00926EA8">
      <w:pPr>
        <w:keepNext/>
        <w:keepLines/>
        <w:jc w:val="both"/>
        <w:rPr>
          <w:rFonts w:eastAsiaTheme="minorHAnsi"/>
          <w:lang w:eastAsia="en-US"/>
        </w:rPr>
      </w:pPr>
      <w:r w:rsidRPr="00EF2DC2">
        <w:rPr>
          <w:noProof/>
          <w:lang w:eastAsia="en-AU"/>
        </w:rPr>
        <w:drawing>
          <wp:inline distT="0" distB="0" distL="0" distR="0" wp14:anchorId="61F8940E" wp14:editId="0BDF075C">
            <wp:extent cx="5731510" cy="4565650"/>
            <wp:effectExtent l="0" t="0" r="2540" b="6350"/>
            <wp:docPr id="14357" name="Picture 1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4565650"/>
                    </a:xfrm>
                    <a:prstGeom prst="rect">
                      <a:avLst/>
                    </a:prstGeom>
                  </pic:spPr>
                </pic:pic>
              </a:graphicData>
            </a:graphic>
          </wp:inline>
        </w:drawing>
      </w:r>
    </w:p>
    <w:p w14:paraId="17B02EAA" w14:textId="77777777" w:rsidR="00926EA8" w:rsidRPr="00DE4571" w:rsidRDefault="00926EA8" w:rsidP="00926EA8">
      <w:pPr>
        <w:keepNext/>
        <w:keepLines/>
        <w:rPr>
          <w:sz w:val="16"/>
          <w:szCs w:val="16"/>
        </w:rPr>
      </w:pPr>
      <w:r w:rsidRPr="00DE4571">
        <w:rPr>
          <w:sz w:val="16"/>
          <w:szCs w:val="16"/>
        </w:rPr>
        <w:t>CI=confidence interval; df=degrees of freedom; N=total number of patients; SD=standard deviation; WMD=weighted mean difference</w:t>
      </w:r>
    </w:p>
    <w:p w14:paraId="0A4BC423" w14:textId="77777777" w:rsidR="00926EA8" w:rsidRDefault="00926EA8" w:rsidP="00A85A70">
      <w:pPr>
        <w:jc w:val="both"/>
        <w:rPr>
          <w:rFonts w:eastAsiaTheme="minorHAnsi"/>
          <w:lang w:eastAsia="en-US"/>
        </w:rPr>
      </w:pPr>
    </w:p>
    <w:p w14:paraId="2736DEA8" w14:textId="4F8276EB" w:rsidR="00615D4F" w:rsidRDefault="002420B8" w:rsidP="00615D4F">
      <w:pPr>
        <w:jc w:val="both"/>
        <w:rPr>
          <w:rFonts w:eastAsiaTheme="minorHAnsi"/>
          <w:lang w:eastAsia="en-US"/>
        </w:rPr>
      </w:pPr>
      <w:r>
        <w:rPr>
          <w:rFonts w:eastAsiaTheme="minorHAnsi"/>
          <w:lang w:eastAsia="en-US"/>
        </w:rPr>
        <w:t xml:space="preserve">The earlier studies </w:t>
      </w:r>
      <w:r w:rsidR="00046058">
        <w:rPr>
          <w:rFonts w:eastAsiaTheme="minorHAnsi"/>
          <w:lang w:eastAsia="en-US"/>
        </w:rPr>
        <w:t xml:space="preserve">in mixed population </w:t>
      </w:r>
      <w:r>
        <w:rPr>
          <w:rFonts w:eastAsiaTheme="minorHAnsi"/>
          <w:lang w:eastAsia="en-US"/>
        </w:rPr>
        <w:t>compar</w:t>
      </w:r>
      <w:r w:rsidR="00046058">
        <w:rPr>
          <w:rFonts w:eastAsiaTheme="minorHAnsi"/>
          <w:lang w:eastAsia="en-US"/>
        </w:rPr>
        <w:t>ed</w:t>
      </w:r>
      <w:r>
        <w:rPr>
          <w:rFonts w:eastAsiaTheme="minorHAnsi"/>
          <w:lang w:eastAsia="en-US"/>
        </w:rPr>
        <w:t xml:space="preserve"> different doses of EZ+SIM </w:t>
      </w:r>
      <w:r w:rsidR="00046058">
        <w:rPr>
          <w:rFonts w:eastAsiaTheme="minorHAnsi"/>
          <w:lang w:eastAsia="en-US"/>
        </w:rPr>
        <w:t>with the</w:t>
      </w:r>
      <w:r>
        <w:rPr>
          <w:rFonts w:eastAsiaTheme="minorHAnsi"/>
          <w:lang w:eastAsia="en-US"/>
        </w:rPr>
        <w:t xml:space="preserve"> </w:t>
      </w:r>
      <w:r w:rsidR="0050127F">
        <w:rPr>
          <w:rFonts w:eastAsiaTheme="minorHAnsi"/>
          <w:lang w:eastAsia="en-US"/>
        </w:rPr>
        <w:t>matching</w:t>
      </w:r>
      <w:r w:rsidR="00396A6A">
        <w:rPr>
          <w:rFonts w:eastAsiaTheme="minorHAnsi"/>
          <w:lang w:eastAsia="en-US"/>
        </w:rPr>
        <w:t xml:space="preserve"> (mg per mg)</w:t>
      </w:r>
      <w:r w:rsidR="0050127F">
        <w:rPr>
          <w:rFonts w:eastAsiaTheme="minorHAnsi"/>
          <w:lang w:eastAsia="en-US"/>
        </w:rPr>
        <w:t xml:space="preserve"> doses of ATOR</w:t>
      </w:r>
      <w:r w:rsidR="00521FC6">
        <w:rPr>
          <w:rFonts w:eastAsiaTheme="minorHAnsi"/>
          <w:lang w:eastAsia="en-US"/>
        </w:rPr>
        <w:t xml:space="preserve"> </w:t>
      </w:r>
      <w:r>
        <w:rPr>
          <w:rFonts w:eastAsiaTheme="minorHAnsi"/>
          <w:lang w:eastAsia="en-US"/>
        </w:rPr>
        <w:t>(</w:t>
      </w:r>
      <w:r w:rsidR="0050127F">
        <w:rPr>
          <w:rFonts w:eastAsiaTheme="minorHAnsi"/>
          <w:lang w:eastAsia="en-US"/>
        </w:rPr>
        <w:t>Feldman 2004; Ballantyne 2005</w:t>
      </w:r>
      <w:r w:rsidR="00521FC6">
        <w:rPr>
          <w:rFonts w:eastAsiaTheme="minorHAnsi"/>
          <w:lang w:eastAsia="en-US"/>
        </w:rPr>
        <w:t>;</w:t>
      </w:r>
      <w:r w:rsidR="0050127F">
        <w:rPr>
          <w:rFonts w:eastAsiaTheme="minorHAnsi"/>
          <w:lang w:eastAsia="en-US"/>
        </w:rPr>
        <w:t xml:space="preserve"> Goldberg 2006) </w:t>
      </w:r>
      <w:r w:rsidR="00046058">
        <w:rPr>
          <w:rFonts w:eastAsiaTheme="minorHAnsi"/>
          <w:lang w:eastAsia="en-US"/>
        </w:rPr>
        <w:t>or with the higher doses of simvastatin</w:t>
      </w:r>
      <w:r w:rsidR="00521FC6">
        <w:rPr>
          <w:rFonts w:eastAsiaTheme="minorHAnsi"/>
          <w:lang w:eastAsia="en-US"/>
        </w:rPr>
        <w:t xml:space="preserve"> Dobs (2003)</w:t>
      </w:r>
      <w:r w:rsidR="00046058">
        <w:rPr>
          <w:rFonts w:eastAsiaTheme="minorHAnsi"/>
          <w:lang w:eastAsia="en-US"/>
        </w:rPr>
        <w:t xml:space="preserve">. These studies </w:t>
      </w:r>
      <w:r w:rsidR="0050127F">
        <w:rPr>
          <w:rFonts w:eastAsiaTheme="minorHAnsi"/>
          <w:lang w:eastAsia="en-US"/>
        </w:rPr>
        <w:t xml:space="preserve">required a sufficient wash-out period to ensure that the treatment is received as the first line. Each of these trials showed a statistically significant additional </w:t>
      </w:r>
      <w:r w:rsidR="00A948D0">
        <w:rPr>
          <w:rFonts w:eastAsiaTheme="minorHAnsi"/>
          <w:lang w:eastAsia="en-US"/>
        </w:rPr>
        <w:t xml:space="preserve">percentage mean </w:t>
      </w:r>
      <w:r w:rsidR="0050127F">
        <w:rPr>
          <w:rFonts w:eastAsiaTheme="minorHAnsi"/>
          <w:lang w:eastAsia="en-US"/>
        </w:rPr>
        <w:t>reduction in LDL-C associated with ezetimibe combination therapy. The difference ranged from -5.7% in EZ+</w:t>
      </w:r>
      <w:r w:rsidR="00521FC6">
        <w:rPr>
          <w:rFonts w:eastAsiaTheme="minorHAnsi"/>
          <w:lang w:eastAsia="en-US"/>
        </w:rPr>
        <w:t>SIM</w:t>
      </w:r>
      <w:r w:rsidR="0050127F">
        <w:rPr>
          <w:rFonts w:eastAsiaTheme="minorHAnsi"/>
          <w:lang w:eastAsia="en-US"/>
        </w:rPr>
        <w:t xml:space="preserve"> 80 vs ATOR 80 in Ballantyne (2005) trial to -15.3% in EZ+SIM20 vs ATOR 10 in Goldberg (2006)</w:t>
      </w:r>
      <w:r w:rsidR="004C4F00">
        <w:rPr>
          <w:rFonts w:eastAsiaTheme="minorHAnsi"/>
          <w:lang w:eastAsia="en-US"/>
        </w:rPr>
        <w:t>.</w:t>
      </w:r>
      <w:r w:rsidR="0050127F">
        <w:rPr>
          <w:rFonts w:eastAsiaTheme="minorHAnsi"/>
          <w:lang w:eastAsia="en-US"/>
        </w:rPr>
        <w:t xml:space="preserve"> </w:t>
      </w:r>
      <w:r w:rsidR="00046058">
        <w:rPr>
          <w:rFonts w:eastAsiaTheme="minorHAnsi"/>
          <w:lang w:eastAsia="en-US"/>
        </w:rPr>
        <w:t xml:space="preserve">The only large </w:t>
      </w:r>
      <w:r w:rsidR="002129B4">
        <w:rPr>
          <w:rFonts w:eastAsiaTheme="minorHAnsi"/>
          <w:lang w:eastAsia="en-US"/>
        </w:rPr>
        <w:t xml:space="preserve">first line therapy trial </w:t>
      </w:r>
      <w:r w:rsidR="00046058">
        <w:rPr>
          <w:rFonts w:eastAsiaTheme="minorHAnsi"/>
          <w:lang w:eastAsia="en-US"/>
        </w:rPr>
        <w:t>conducted in the primary prevention population (Catapano 2007) assessed the effectiveness of e</w:t>
      </w:r>
      <w:r w:rsidR="004C4F00">
        <w:rPr>
          <w:rFonts w:eastAsiaTheme="minorHAnsi"/>
          <w:lang w:eastAsia="en-US"/>
        </w:rPr>
        <w:t xml:space="preserve">zetimibe in combination with </w:t>
      </w:r>
      <w:r w:rsidR="00BC4DD1">
        <w:rPr>
          <w:rFonts w:eastAsiaTheme="minorHAnsi"/>
          <w:lang w:eastAsia="en-US"/>
        </w:rPr>
        <w:t xml:space="preserve">every </w:t>
      </w:r>
      <w:r w:rsidR="002129B4">
        <w:rPr>
          <w:rFonts w:eastAsiaTheme="minorHAnsi"/>
          <w:lang w:eastAsia="en-US"/>
        </w:rPr>
        <w:t xml:space="preserve">dose of </w:t>
      </w:r>
      <w:r w:rsidR="00981615">
        <w:rPr>
          <w:rFonts w:eastAsiaTheme="minorHAnsi"/>
          <w:lang w:eastAsia="en-US"/>
        </w:rPr>
        <w:t>simvastatin (SIM 20 40</w:t>
      </w:r>
      <w:r w:rsidR="004C4F00">
        <w:rPr>
          <w:rFonts w:eastAsiaTheme="minorHAnsi"/>
          <w:lang w:eastAsia="en-US"/>
        </w:rPr>
        <w:t xml:space="preserve"> 80) </w:t>
      </w:r>
      <w:r w:rsidR="00046058">
        <w:rPr>
          <w:rFonts w:eastAsiaTheme="minorHAnsi"/>
          <w:lang w:eastAsia="en-US"/>
        </w:rPr>
        <w:t xml:space="preserve">vs </w:t>
      </w:r>
      <w:r w:rsidR="00981615">
        <w:rPr>
          <w:rFonts w:eastAsiaTheme="minorHAnsi"/>
          <w:lang w:eastAsia="en-US"/>
        </w:rPr>
        <w:t xml:space="preserve">the corresponding </w:t>
      </w:r>
      <w:r w:rsidR="00046058">
        <w:rPr>
          <w:rFonts w:eastAsiaTheme="minorHAnsi"/>
          <w:lang w:eastAsia="en-US"/>
        </w:rPr>
        <w:t>doses of rosuvastatin (</w:t>
      </w:r>
      <w:r w:rsidR="004C4F00">
        <w:rPr>
          <w:rFonts w:eastAsiaTheme="minorHAnsi"/>
          <w:lang w:eastAsia="en-US"/>
        </w:rPr>
        <w:t xml:space="preserve">ROSUV 10 20 40) </w:t>
      </w:r>
      <w:r w:rsidR="002129B4">
        <w:rPr>
          <w:rFonts w:eastAsiaTheme="minorHAnsi"/>
          <w:lang w:eastAsia="en-US"/>
        </w:rPr>
        <w:t xml:space="preserve">monotherapy. </w:t>
      </w:r>
      <w:r w:rsidR="00160B63">
        <w:rPr>
          <w:rFonts w:eastAsiaTheme="minorHAnsi"/>
          <w:lang w:eastAsia="en-US"/>
        </w:rPr>
        <w:t>For each individual comparison e</w:t>
      </w:r>
      <w:r w:rsidR="002129B4" w:rsidRPr="002129B4">
        <w:rPr>
          <w:rFonts w:eastAsiaTheme="minorHAnsi"/>
          <w:lang w:eastAsia="en-US"/>
        </w:rPr>
        <w:t>zetimibe</w:t>
      </w:r>
      <w:r w:rsidR="00160B63">
        <w:rPr>
          <w:rFonts w:eastAsiaTheme="minorHAnsi"/>
          <w:lang w:eastAsia="en-US"/>
        </w:rPr>
        <w:t xml:space="preserve"> </w:t>
      </w:r>
      <w:r w:rsidR="002129B4">
        <w:rPr>
          <w:rFonts w:eastAsiaTheme="minorHAnsi"/>
          <w:lang w:eastAsia="en-US"/>
        </w:rPr>
        <w:t>+</w:t>
      </w:r>
      <w:r w:rsidR="00160B63">
        <w:rPr>
          <w:rFonts w:eastAsiaTheme="minorHAnsi"/>
          <w:lang w:eastAsia="en-US"/>
        </w:rPr>
        <w:t xml:space="preserve"> </w:t>
      </w:r>
      <w:r w:rsidR="002129B4" w:rsidRPr="002129B4">
        <w:rPr>
          <w:rFonts w:eastAsiaTheme="minorHAnsi"/>
          <w:lang w:eastAsia="en-US"/>
        </w:rPr>
        <w:t xml:space="preserve">statin was significantly more effective in reducing LDL-c than statin monotherapy </w:t>
      </w:r>
      <w:r w:rsidR="00BC4DD1">
        <w:rPr>
          <w:rFonts w:eastAsiaTheme="minorHAnsi"/>
          <w:lang w:eastAsia="en-US"/>
        </w:rPr>
        <w:t xml:space="preserve">however </w:t>
      </w:r>
      <w:r w:rsidR="004C4F00">
        <w:rPr>
          <w:rFonts w:eastAsiaTheme="minorHAnsi"/>
          <w:lang w:eastAsia="en-US"/>
        </w:rPr>
        <w:t>the effect size</w:t>
      </w:r>
      <w:r w:rsidR="00521FC6">
        <w:rPr>
          <w:rFonts w:eastAsiaTheme="minorHAnsi"/>
          <w:lang w:eastAsia="en-US"/>
        </w:rPr>
        <w:t xml:space="preserve"> was considerably smaller across all arms </w:t>
      </w:r>
      <w:r w:rsidR="004C4F00">
        <w:rPr>
          <w:rFonts w:eastAsiaTheme="minorHAnsi"/>
          <w:lang w:eastAsia="en-US"/>
        </w:rPr>
        <w:t>of</w:t>
      </w:r>
      <w:r w:rsidR="00396A6A">
        <w:rPr>
          <w:rFonts w:eastAsiaTheme="minorHAnsi"/>
          <w:lang w:eastAsia="en-US"/>
        </w:rPr>
        <w:t xml:space="preserve"> th</w:t>
      </w:r>
      <w:r w:rsidR="00BC4DD1">
        <w:rPr>
          <w:rFonts w:eastAsiaTheme="minorHAnsi"/>
          <w:lang w:eastAsia="en-US"/>
        </w:rPr>
        <w:t>is</w:t>
      </w:r>
      <w:r w:rsidR="00396A6A">
        <w:rPr>
          <w:rFonts w:eastAsiaTheme="minorHAnsi"/>
          <w:lang w:eastAsia="en-US"/>
        </w:rPr>
        <w:t xml:space="preserve"> trial </w:t>
      </w:r>
      <w:r w:rsidR="004C4F00">
        <w:rPr>
          <w:rFonts w:eastAsiaTheme="minorHAnsi"/>
          <w:lang w:eastAsia="en-US"/>
        </w:rPr>
        <w:t>(ranging from -2.5% to -5.7%)</w:t>
      </w:r>
      <w:r w:rsidR="000C68AC">
        <w:rPr>
          <w:rFonts w:eastAsiaTheme="minorHAnsi"/>
          <w:lang w:eastAsia="en-US"/>
        </w:rPr>
        <w:t xml:space="preserve">. </w:t>
      </w:r>
    </w:p>
    <w:p w14:paraId="25443A3B" w14:textId="409900BE" w:rsidR="00BC4DD1" w:rsidRPr="00160B63" w:rsidRDefault="00E94434" w:rsidP="00A85A70">
      <w:pPr>
        <w:jc w:val="both"/>
        <w:rPr>
          <w:rFonts w:eastAsiaTheme="minorHAnsi"/>
          <w:lang w:eastAsia="en-US"/>
        </w:rPr>
      </w:pPr>
      <w:r w:rsidRPr="00160B63">
        <w:rPr>
          <w:rFonts w:eastAsiaTheme="minorHAnsi"/>
          <w:lang w:eastAsia="en-US"/>
        </w:rPr>
        <w:t>R</w:t>
      </w:r>
      <w:r w:rsidR="00615D4F" w:rsidRPr="00160B63">
        <w:rPr>
          <w:rFonts w:eastAsiaTheme="minorHAnsi"/>
          <w:lang w:eastAsia="en-US"/>
        </w:rPr>
        <w:t xml:space="preserve">esults of four large RCTs </w:t>
      </w:r>
      <w:r w:rsidR="00160B63" w:rsidRPr="00160B63">
        <w:rPr>
          <w:rFonts w:eastAsiaTheme="minorHAnsi"/>
          <w:lang w:eastAsia="en-US"/>
        </w:rPr>
        <w:t>are consistent with</w:t>
      </w:r>
      <w:r w:rsidR="00615D4F" w:rsidRPr="00160B63">
        <w:rPr>
          <w:rFonts w:eastAsiaTheme="minorHAnsi"/>
          <w:lang w:eastAsia="en-US"/>
        </w:rPr>
        <w:t xml:space="preserve"> the conclusion of the AHRQ 2014 systematic review (section 2.2.3) that ezetimibe administered as the first line therapy in combination with simvastatin of any potency more effectively lowers LDL-C than the statin monotherapy of </w:t>
      </w:r>
      <w:r w:rsidRPr="00160B63">
        <w:rPr>
          <w:rFonts w:eastAsiaTheme="minorHAnsi"/>
          <w:lang w:eastAsia="en-US"/>
        </w:rPr>
        <w:t xml:space="preserve">the </w:t>
      </w:r>
      <w:r w:rsidR="00615D4F" w:rsidRPr="00160B63">
        <w:rPr>
          <w:rFonts w:eastAsiaTheme="minorHAnsi"/>
          <w:lang w:eastAsia="en-US"/>
        </w:rPr>
        <w:t xml:space="preserve">equivalent or </w:t>
      </w:r>
      <w:r w:rsidRPr="00160B63">
        <w:rPr>
          <w:rFonts w:eastAsiaTheme="minorHAnsi"/>
          <w:lang w:eastAsia="en-US"/>
        </w:rPr>
        <w:t xml:space="preserve">a </w:t>
      </w:r>
      <w:r w:rsidR="00615D4F" w:rsidRPr="00160B63">
        <w:rPr>
          <w:rFonts w:eastAsiaTheme="minorHAnsi"/>
          <w:lang w:eastAsia="en-US"/>
        </w:rPr>
        <w:t xml:space="preserve">higher potency. The size of the clinical gain decreases with the increase </w:t>
      </w:r>
      <w:r w:rsidR="00221EDD" w:rsidRPr="00160B63">
        <w:rPr>
          <w:rFonts w:eastAsiaTheme="minorHAnsi"/>
          <w:lang w:eastAsia="en-US"/>
        </w:rPr>
        <w:t>in</w:t>
      </w:r>
      <w:r w:rsidR="00615D4F" w:rsidRPr="00160B63">
        <w:rPr>
          <w:rFonts w:eastAsiaTheme="minorHAnsi"/>
          <w:lang w:eastAsia="en-US"/>
        </w:rPr>
        <w:t xml:space="preserve"> the dose or potency of the comparator statin</w:t>
      </w:r>
      <w:r w:rsidR="00221EDD" w:rsidRPr="00160B63">
        <w:rPr>
          <w:rFonts w:eastAsiaTheme="minorHAnsi"/>
          <w:lang w:eastAsia="en-US"/>
        </w:rPr>
        <w:t xml:space="preserve"> suggesting the existence of equi-effective doses between ezetimibe co-administered wit</w:t>
      </w:r>
      <w:r w:rsidR="00160B63" w:rsidRPr="00160B63">
        <w:rPr>
          <w:rFonts w:eastAsiaTheme="minorHAnsi"/>
          <w:lang w:eastAsia="en-US"/>
        </w:rPr>
        <w:t>h statin and statin monotherapy</w:t>
      </w:r>
      <w:r w:rsidR="00615D4F" w:rsidRPr="00160B63">
        <w:rPr>
          <w:rFonts w:eastAsiaTheme="minorHAnsi"/>
          <w:lang w:eastAsia="en-US"/>
        </w:rPr>
        <w:t>.</w:t>
      </w:r>
      <w:r w:rsidR="00160B63">
        <w:rPr>
          <w:rFonts w:eastAsiaTheme="minorHAnsi"/>
          <w:lang w:eastAsia="en-US"/>
        </w:rPr>
        <w:t xml:space="preserve"> </w:t>
      </w:r>
      <w:r w:rsidR="00160B63" w:rsidRPr="00160B63">
        <w:rPr>
          <w:rFonts w:eastAsiaTheme="minorHAnsi"/>
          <w:i/>
          <w:lang w:eastAsia="en-US"/>
        </w:rPr>
        <w:t>However the large degree of heterogeneity observed in the meta-analysis conducted for the present Review and the AHRQ 2014 systematic review suggest that there is a considerable uncertainty associated with the reported results</w:t>
      </w:r>
      <w:r w:rsidR="00160B63">
        <w:rPr>
          <w:rFonts w:eastAsiaTheme="minorHAnsi"/>
          <w:lang w:eastAsia="en-US"/>
        </w:rPr>
        <w:t>.</w:t>
      </w:r>
    </w:p>
    <w:p w14:paraId="61AC2433" w14:textId="424D2C87" w:rsidR="002129B4" w:rsidRDefault="008C6132" w:rsidP="002129B4">
      <w:pPr>
        <w:jc w:val="both"/>
        <w:rPr>
          <w:rFonts w:eastAsiaTheme="minorHAnsi"/>
          <w:b/>
          <w:lang w:eastAsia="en-US"/>
        </w:rPr>
      </w:pPr>
      <w:r>
        <w:rPr>
          <w:rFonts w:eastAsiaTheme="minorHAnsi"/>
          <w:lang w:eastAsia="en-US"/>
        </w:rPr>
        <w:t xml:space="preserve">The results </w:t>
      </w:r>
      <w:r w:rsidR="002129B4">
        <w:rPr>
          <w:rFonts w:eastAsiaTheme="minorHAnsi"/>
          <w:lang w:eastAsia="en-US"/>
        </w:rPr>
        <w:t>of ezetimibe</w:t>
      </w:r>
      <w:r w:rsidR="0077178B">
        <w:rPr>
          <w:rFonts w:eastAsiaTheme="minorHAnsi"/>
          <w:lang w:eastAsia="en-US"/>
        </w:rPr>
        <w:t xml:space="preserve"> </w:t>
      </w:r>
      <w:r w:rsidR="00615D4F">
        <w:rPr>
          <w:rFonts w:eastAsiaTheme="minorHAnsi"/>
          <w:lang w:eastAsia="en-US"/>
        </w:rPr>
        <w:t>+</w:t>
      </w:r>
      <w:r w:rsidR="0077178B">
        <w:rPr>
          <w:rFonts w:eastAsiaTheme="minorHAnsi"/>
          <w:lang w:eastAsia="en-US"/>
        </w:rPr>
        <w:t xml:space="preserve"> </w:t>
      </w:r>
      <w:r w:rsidR="00615D4F">
        <w:rPr>
          <w:rFonts w:eastAsiaTheme="minorHAnsi"/>
          <w:lang w:eastAsia="en-US"/>
        </w:rPr>
        <w:t>simvastatin</w:t>
      </w:r>
      <w:r w:rsidR="002129B4">
        <w:rPr>
          <w:rFonts w:eastAsiaTheme="minorHAnsi"/>
          <w:lang w:eastAsia="en-US"/>
        </w:rPr>
        <w:t xml:space="preserve"> combination administered as the second line </w:t>
      </w:r>
      <w:r w:rsidR="000A09FE">
        <w:rPr>
          <w:rFonts w:eastAsiaTheme="minorHAnsi"/>
          <w:lang w:eastAsia="en-US"/>
        </w:rPr>
        <w:t xml:space="preserve">treatment </w:t>
      </w:r>
      <w:r>
        <w:rPr>
          <w:rFonts w:eastAsiaTheme="minorHAnsi"/>
          <w:lang w:eastAsia="en-US"/>
        </w:rPr>
        <w:t xml:space="preserve">in </w:t>
      </w:r>
      <w:r w:rsidR="00692AE3">
        <w:rPr>
          <w:rFonts w:eastAsiaTheme="minorHAnsi"/>
          <w:lang w:eastAsia="en-US"/>
        </w:rPr>
        <w:t>mixed</w:t>
      </w:r>
      <w:r w:rsidR="00A75CC6">
        <w:rPr>
          <w:rFonts w:eastAsiaTheme="minorHAnsi"/>
          <w:lang w:eastAsia="en-US"/>
        </w:rPr>
        <w:t xml:space="preserve"> population (Constance 2007, Farnier 2009, Gaudiani 2005, McCormack 2010) or the secondary prevention population</w:t>
      </w:r>
      <w:r w:rsidR="00926EA8">
        <w:rPr>
          <w:rFonts w:eastAsiaTheme="minorHAnsi"/>
          <w:lang w:eastAsia="en-US"/>
        </w:rPr>
        <w:t xml:space="preserve"> </w:t>
      </w:r>
      <w:r w:rsidR="00615D4F">
        <w:rPr>
          <w:rFonts w:eastAsiaTheme="minorHAnsi"/>
          <w:lang w:eastAsia="en-US"/>
        </w:rPr>
        <w:t>(Barrios 2005</w:t>
      </w:r>
      <w:r w:rsidR="00926EA8">
        <w:rPr>
          <w:rFonts w:eastAsiaTheme="minorHAnsi"/>
          <w:lang w:eastAsia="en-US"/>
        </w:rPr>
        <w:t xml:space="preserve">) </w:t>
      </w:r>
      <w:r w:rsidR="00437BBF">
        <w:rPr>
          <w:rFonts w:eastAsiaTheme="minorHAnsi"/>
          <w:lang w:eastAsia="en-US"/>
        </w:rPr>
        <w:t xml:space="preserve">also showed a statistically significant additional percentage mean reduction in LDL-C compared to </w:t>
      </w:r>
      <w:r w:rsidR="002129B4">
        <w:rPr>
          <w:rFonts w:eastAsiaTheme="minorHAnsi"/>
          <w:lang w:eastAsia="en-US"/>
        </w:rPr>
        <w:t>statin monotherapy</w:t>
      </w:r>
      <w:r w:rsidR="00437BBF">
        <w:rPr>
          <w:rFonts w:eastAsiaTheme="minorHAnsi"/>
          <w:lang w:eastAsia="en-US"/>
        </w:rPr>
        <w:t>. The</w:t>
      </w:r>
      <w:r w:rsidR="000A09FE">
        <w:rPr>
          <w:rFonts w:eastAsiaTheme="minorHAnsi"/>
          <w:lang w:eastAsia="en-US"/>
        </w:rPr>
        <w:t xml:space="preserve"> only exception is the</w:t>
      </w:r>
      <w:r w:rsidR="00437BBF">
        <w:rPr>
          <w:rFonts w:eastAsiaTheme="minorHAnsi"/>
          <w:lang w:eastAsia="en-US"/>
        </w:rPr>
        <w:t xml:space="preserve"> underpowered RCTs by Pesaro (2013) </w:t>
      </w:r>
      <w:r w:rsidR="000A09FE">
        <w:rPr>
          <w:rFonts w:eastAsiaTheme="minorHAnsi"/>
          <w:lang w:eastAsia="en-US"/>
        </w:rPr>
        <w:t xml:space="preserve">that </w:t>
      </w:r>
      <w:r w:rsidR="00437BBF">
        <w:rPr>
          <w:rFonts w:eastAsiaTheme="minorHAnsi"/>
          <w:lang w:eastAsia="en-US"/>
        </w:rPr>
        <w:t>failed to demonstrate the statistical significance of the difference in %LDL-C reduction (see section 2.5.1. for description of the de</w:t>
      </w:r>
      <w:r w:rsidR="00D53C50">
        <w:rPr>
          <w:rFonts w:eastAsiaTheme="minorHAnsi"/>
          <w:lang w:eastAsia="en-US"/>
        </w:rPr>
        <w:t xml:space="preserve">ficiencies of this and other </w:t>
      </w:r>
      <w:r w:rsidR="00437BBF">
        <w:rPr>
          <w:rFonts w:eastAsiaTheme="minorHAnsi"/>
          <w:lang w:eastAsia="en-US"/>
        </w:rPr>
        <w:t>sm</w:t>
      </w:r>
      <w:r w:rsidR="00D53C50">
        <w:rPr>
          <w:rFonts w:eastAsiaTheme="minorHAnsi"/>
          <w:lang w:eastAsia="en-US"/>
        </w:rPr>
        <w:t>all size tria</w:t>
      </w:r>
      <w:r w:rsidR="00437BBF">
        <w:rPr>
          <w:rFonts w:eastAsiaTheme="minorHAnsi"/>
          <w:lang w:eastAsia="en-US"/>
        </w:rPr>
        <w:t xml:space="preserve">ls included in the review). </w:t>
      </w:r>
      <w:r w:rsidR="00F902BB">
        <w:rPr>
          <w:rFonts w:eastAsiaTheme="minorHAnsi"/>
          <w:lang w:eastAsia="en-US"/>
        </w:rPr>
        <w:t xml:space="preserve">There were no trial that compared </w:t>
      </w:r>
      <w:r w:rsidR="00A75CC6">
        <w:rPr>
          <w:rFonts w:eastAsiaTheme="minorHAnsi"/>
          <w:lang w:eastAsia="en-US"/>
        </w:rPr>
        <w:t>the</w:t>
      </w:r>
      <w:r w:rsidR="00F902BB">
        <w:rPr>
          <w:rFonts w:eastAsiaTheme="minorHAnsi"/>
          <w:lang w:eastAsia="en-US"/>
        </w:rPr>
        <w:t xml:space="preserve"> second line EZ+SIM combination with a higher dose of simvastatin or a more potent statin in the primary prevention population. However in </w:t>
      </w:r>
      <w:r w:rsidR="006E048B">
        <w:rPr>
          <w:rFonts w:eastAsiaTheme="minorHAnsi"/>
          <w:lang w:eastAsia="en-US"/>
        </w:rPr>
        <w:t xml:space="preserve">the </w:t>
      </w:r>
      <w:r w:rsidR="00615D4F">
        <w:rPr>
          <w:rFonts w:eastAsiaTheme="minorHAnsi"/>
          <w:lang w:eastAsia="en-US"/>
        </w:rPr>
        <w:t xml:space="preserve">mixed and </w:t>
      </w:r>
      <w:r w:rsidR="005C68A5">
        <w:rPr>
          <w:rFonts w:eastAsiaTheme="minorHAnsi"/>
          <w:lang w:eastAsia="en-US"/>
        </w:rPr>
        <w:t>primary prevention population</w:t>
      </w:r>
      <w:r w:rsidR="00F902BB">
        <w:rPr>
          <w:rFonts w:eastAsiaTheme="minorHAnsi"/>
          <w:lang w:eastAsia="en-US"/>
        </w:rPr>
        <w:t xml:space="preserve"> the combination of EZ+ATOR </w:t>
      </w:r>
      <w:r w:rsidR="005C68A5">
        <w:rPr>
          <w:rFonts w:eastAsiaTheme="minorHAnsi"/>
          <w:lang w:eastAsia="en-US"/>
        </w:rPr>
        <w:t xml:space="preserve">as </w:t>
      </w:r>
      <w:r w:rsidR="000A09FE">
        <w:rPr>
          <w:rFonts w:eastAsiaTheme="minorHAnsi"/>
          <w:lang w:eastAsia="en-US"/>
        </w:rPr>
        <w:t>the</w:t>
      </w:r>
      <w:r w:rsidR="005C68A5">
        <w:rPr>
          <w:rFonts w:eastAsiaTheme="minorHAnsi"/>
          <w:lang w:eastAsia="en-US"/>
        </w:rPr>
        <w:t xml:space="preserve"> second line therapy </w:t>
      </w:r>
      <w:r w:rsidR="005C68A5" w:rsidRPr="005C68A5">
        <w:rPr>
          <w:rFonts w:eastAsiaTheme="minorHAnsi"/>
          <w:lang w:eastAsia="en-US"/>
        </w:rPr>
        <w:t xml:space="preserve">more effectively lowers LDL-C than the higher </w:t>
      </w:r>
      <w:r w:rsidR="005C68A5">
        <w:rPr>
          <w:rFonts w:eastAsiaTheme="minorHAnsi"/>
          <w:lang w:eastAsia="en-US"/>
        </w:rPr>
        <w:t>dose of ATOR</w:t>
      </w:r>
      <w:r w:rsidR="005C68A5" w:rsidRPr="005C68A5">
        <w:rPr>
          <w:rFonts w:eastAsiaTheme="minorHAnsi"/>
          <w:lang w:eastAsia="en-US"/>
        </w:rPr>
        <w:t xml:space="preserve"> monotherapy</w:t>
      </w:r>
      <w:r w:rsidR="005C68A5">
        <w:rPr>
          <w:rFonts w:eastAsiaTheme="minorHAnsi"/>
          <w:lang w:eastAsia="en-US"/>
        </w:rPr>
        <w:t xml:space="preserve"> (Conard 2008, Leiter 2008, Zieve 2010)</w:t>
      </w:r>
      <w:r w:rsidR="00A75CC6">
        <w:rPr>
          <w:rFonts w:eastAsiaTheme="minorHAnsi"/>
          <w:lang w:eastAsia="en-US"/>
        </w:rPr>
        <w:t>.</w:t>
      </w:r>
      <w:r w:rsidR="002129B4" w:rsidRPr="002129B4">
        <w:rPr>
          <w:rFonts w:eastAsiaTheme="minorHAnsi"/>
          <w:b/>
          <w:lang w:eastAsia="en-US"/>
        </w:rPr>
        <w:t xml:space="preserve"> </w:t>
      </w:r>
    </w:p>
    <w:p w14:paraId="1BFC9489" w14:textId="3B8D2521" w:rsidR="00F902BB" w:rsidRPr="0077178B" w:rsidRDefault="00E94434" w:rsidP="00A85A70">
      <w:pPr>
        <w:jc w:val="both"/>
        <w:rPr>
          <w:rFonts w:eastAsiaTheme="minorHAnsi"/>
          <w:lang w:eastAsia="en-US"/>
        </w:rPr>
      </w:pPr>
      <w:r w:rsidRPr="0077178B">
        <w:rPr>
          <w:rFonts w:eastAsiaTheme="minorHAnsi"/>
          <w:lang w:eastAsia="en-US"/>
        </w:rPr>
        <w:t>Results of five large RCTs also seem to confirm the conclusion that ezetimibe administered as the second line therapy in combination with simvastatin of any potency more effectively lowers LDL-C than the statin monotherapy of the equivalent or a higher potency. The size of the clinical gain in terms of percentage mean reduction in LDL-C appears to be larger than the clinical gain achieved if ezetimibe+ simvastatin is administered as the first line therapy.</w:t>
      </w:r>
      <w:r w:rsidR="0077178B">
        <w:rPr>
          <w:rFonts w:eastAsiaTheme="minorHAnsi"/>
          <w:lang w:eastAsia="en-US"/>
        </w:rPr>
        <w:t xml:space="preserve"> </w:t>
      </w:r>
      <w:r w:rsidR="0077178B" w:rsidRPr="00160B63">
        <w:rPr>
          <w:rFonts w:eastAsiaTheme="minorHAnsi"/>
          <w:i/>
          <w:lang w:eastAsia="en-US"/>
        </w:rPr>
        <w:t>However the large degree of heterogeneity</w:t>
      </w:r>
      <w:r w:rsidR="0077178B">
        <w:rPr>
          <w:rFonts w:eastAsiaTheme="minorHAnsi"/>
          <w:i/>
          <w:lang w:eastAsia="en-US"/>
        </w:rPr>
        <w:t xml:space="preserve"> prevented the quantitative assessment and highlights the</w:t>
      </w:r>
      <w:r w:rsidR="00DF6260">
        <w:rPr>
          <w:rFonts w:eastAsiaTheme="minorHAnsi"/>
          <w:i/>
          <w:lang w:eastAsia="en-US"/>
        </w:rPr>
        <w:t xml:space="preserve"> uncertainty of the results.</w:t>
      </w:r>
      <w:r w:rsidR="0077178B">
        <w:rPr>
          <w:rFonts w:eastAsiaTheme="minorHAnsi"/>
          <w:i/>
          <w:lang w:eastAsia="en-US"/>
        </w:rPr>
        <w:t xml:space="preserve"> </w:t>
      </w:r>
    </w:p>
    <w:p w14:paraId="2BD5E349" w14:textId="0DFBB2CC" w:rsidR="00A75CC6" w:rsidRDefault="00926EA8" w:rsidP="00A85A70">
      <w:pPr>
        <w:jc w:val="both"/>
        <w:rPr>
          <w:rFonts w:eastAsiaTheme="minorHAnsi"/>
          <w:lang w:eastAsia="en-US"/>
        </w:rPr>
      </w:pPr>
      <w:r>
        <w:rPr>
          <w:rFonts w:eastAsiaTheme="minorHAnsi"/>
          <w:lang w:eastAsia="en-US"/>
        </w:rPr>
        <w:t xml:space="preserve">Results for TC and HDL-C endpoints are presented in Appendix (Figures A5.4 – A5.5). Results for the total cholesterol </w:t>
      </w:r>
      <w:r w:rsidR="00FE57E0">
        <w:rPr>
          <w:rFonts w:eastAsiaTheme="minorHAnsi"/>
          <w:lang w:eastAsia="en-US"/>
        </w:rPr>
        <w:t>endpoints</w:t>
      </w:r>
      <w:r>
        <w:rPr>
          <w:rFonts w:eastAsiaTheme="minorHAnsi"/>
          <w:lang w:eastAsia="en-US"/>
        </w:rPr>
        <w:t xml:space="preserve"> are consistent with </w:t>
      </w:r>
      <w:r w:rsidR="005518F6">
        <w:rPr>
          <w:rFonts w:eastAsiaTheme="minorHAnsi"/>
          <w:lang w:eastAsia="en-US"/>
        </w:rPr>
        <w:t xml:space="preserve">the </w:t>
      </w:r>
      <w:r>
        <w:rPr>
          <w:rFonts w:eastAsiaTheme="minorHAnsi"/>
          <w:lang w:eastAsia="en-US"/>
        </w:rPr>
        <w:t>LDL-C results</w:t>
      </w:r>
      <w:r w:rsidR="00BC4DD1">
        <w:rPr>
          <w:rFonts w:eastAsiaTheme="minorHAnsi"/>
          <w:lang w:eastAsia="en-US"/>
        </w:rPr>
        <w:t>.</w:t>
      </w:r>
      <w:r w:rsidR="005518F6">
        <w:rPr>
          <w:rFonts w:eastAsiaTheme="minorHAnsi"/>
          <w:lang w:eastAsia="en-US"/>
        </w:rPr>
        <w:t xml:space="preserve"> </w:t>
      </w:r>
      <w:r w:rsidR="00A46C91">
        <w:rPr>
          <w:rFonts w:eastAsiaTheme="minorHAnsi"/>
          <w:lang w:eastAsia="en-US"/>
        </w:rPr>
        <w:t>T</w:t>
      </w:r>
      <w:r w:rsidR="005518F6">
        <w:rPr>
          <w:rFonts w:eastAsiaTheme="minorHAnsi"/>
          <w:lang w:eastAsia="en-US"/>
        </w:rPr>
        <w:t xml:space="preserve">here is no </w:t>
      </w:r>
      <w:r w:rsidR="00972507">
        <w:rPr>
          <w:rFonts w:eastAsiaTheme="minorHAnsi"/>
          <w:lang w:eastAsia="en-US"/>
        </w:rPr>
        <w:t xml:space="preserve">apparent </w:t>
      </w:r>
      <w:r w:rsidR="005518F6">
        <w:rPr>
          <w:rFonts w:eastAsiaTheme="minorHAnsi"/>
          <w:lang w:eastAsia="en-US"/>
        </w:rPr>
        <w:t>evidence to suggest a statistically significant difference in</w:t>
      </w:r>
      <w:r w:rsidR="00FE57E0">
        <w:rPr>
          <w:rFonts w:eastAsiaTheme="minorHAnsi"/>
          <w:lang w:eastAsia="en-US"/>
        </w:rPr>
        <w:t xml:space="preserve"> the </w:t>
      </w:r>
      <w:r w:rsidR="005518F6">
        <w:rPr>
          <w:rFonts w:eastAsiaTheme="minorHAnsi"/>
          <w:lang w:eastAsia="en-US"/>
        </w:rPr>
        <w:t xml:space="preserve">percentage </w:t>
      </w:r>
      <w:r w:rsidR="00FE57E0">
        <w:rPr>
          <w:rFonts w:eastAsiaTheme="minorHAnsi"/>
          <w:lang w:eastAsia="en-US"/>
        </w:rPr>
        <w:t xml:space="preserve">mean </w:t>
      </w:r>
      <w:r w:rsidR="00972507">
        <w:rPr>
          <w:rFonts w:eastAsiaTheme="minorHAnsi"/>
          <w:lang w:eastAsia="en-US"/>
        </w:rPr>
        <w:t>change</w:t>
      </w:r>
      <w:r w:rsidR="005518F6">
        <w:rPr>
          <w:rFonts w:eastAsiaTheme="minorHAnsi"/>
          <w:lang w:eastAsia="en-US"/>
        </w:rPr>
        <w:t xml:space="preserve"> in </w:t>
      </w:r>
      <w:r w:rsidR="00FE57E0">
        <w:rPr>
          <w:rFonts w:eastAsiaTheme="minorHAnsi"/>
          <w:lang w:eastAsia="en-US"/>
        </w:rPr>
        <w:t xml:space="preserve">HDL-C </w:t>
      </w:r>
      <w:r w:rsidR="005518F6">
        <w:rPr>
          <w:rFonts w:eastAsiaTheme="minorHAnsi"/>
          <w:lang w:eastAsia="en-US"/>
        </w:rPr>
        <w:t xml:space="preserve">observed in ezetimibe + statin arms vs statin monotherapy arms. </w:t>
      </w:r>
      <w:r w:rsidR="005518F6" w:rsidRPr="00DF6260">
        <w:rPr>
          <w:rFonts w:eastAsiaTheme="minorHAnsi"/>
          <w:i/>
          <w:lang w:eastAsia="en-US"/>
        </w:rPr>
        <w:t xml:space="preserve">The direction of the mean difference is inconsistent </w:t>
      </w:r>
      <w:r w:rsidR="00A46C91" w:rsidRPr="00DF6260">
        <w:rPr>
          <w:rFonts w:eastAsiaTheme="minorHAnsi"/>
          <w:i/>
          <w:lang w:eastAsia="en-US"/>
        </w:rPr>
        <w:t>a</w:t>
      </w:r>
      <w:r w:rsidR="005518F6" w:rsidRPr="00DF6260">
        <w:rPr>
          <w:rFonts w:eastAsiaTheme="minorHAnsi"/>
          <w:i/>
          <w:lang w:eastAsia="en-US"/>
        </w:rPr>
        <w:t>cross the studies included in this dataset</w:t>
      </w:r>
      <w:r w:rsidR="00972507" w:rsidRPr="00DF6260">
        <w:rPr>
          <w:rFonts w:eastAsiaTheme="minorHAnsi"/>
          <w:i/>
          <w:lang w:eastAsia="en-US"/>
        </w:rPr>
        <w:t xml:space="preserve"> and the high degree of heterogeneity in the selected RCTs prevents the pooling of the individual mean differences</w:t>
      </w:r>
      <w:r w:rsidR="00972507">
        <w:rPr>
          <w:rFonts w:eastAsiaTheme="minorHAnsi"/>
          <w:lang w:eastAsia="en-US"/>
        </w:rPr>
        <w:t>.</w:t>
      </w:r>
    </w:p>
    <w:p w14:paraId="2984FCB4" w14:textId="77777777" w:rsidR="00BC4DD1" w:rsidRDefault="00BC4DD1" w:rsidP="00A85A70">
      <w:pPr>
        <w:jc w:val="both"/>
        <w:rPr>
          <w:rFonts w:eastAsiaTheme="minorHAnsi"/>
          <w:lang w:eastAsia="en-US"/>
        </w:rPr>
      </w:pPr>
    </w:p>
    <w:p w14:paraId="7763984C" w14:textId="14CC6A2C" w:rsidR="00A46C91" w:rsidRDefault="00A46C91" w:rsidP="00A46C91">
      <w:pPr>
        <w:pStyle w:val="Heading4"/>
        <w:spacing w:before="0"/>
        <w:rPr>
          <w:lang w:eastAsia="en-US"/>
        </w:rPr>
      </w:pPr>
      <w:r>
        <w:rPr>
          <w:lang w:eastAsia="en-US"/>
        </w:rPr>
        <w:t>Comparison 3</w:t>
      </w:r>
      <w:r w:rsidRPr="00554A3C">
        <w:rPr>
          <w:lang w:eastAsia="en-US"/>
        </w:rPr>
        <w:t xml:space="preserve">: </w:t>
      </w:r>
      <w:r w:rsidRPr="00A46C91">
        <w:rPr>
          <w:lang w:eastAsia="en-US"/>
        </w:rPr>
        <w:t>maintaining a dose of both statin and ezetimibe in the intervention arm versus the matching statin dose in the comparator arm</w:t>
      </w:r>
    </w:p>
    <w:p w14:paraId="42D68D93" w14:textId="77777777" w:rsidR="00A46C91" w:rsidRDefault="00A46C91" w:rsidP="00A46C91">
      <w:pPr>
        <w:spacing w:after="0"/>
        <w:jc w:val="both"/>
        <w:rPr>
          <w:rFonts w:eastAsiaTheme="minorHAnsi"/>
          <w:lang w:eastAsia="en-US"/>
        </w:rPr>
      </w:pPr>
    </w:p>
    <w:p w14:paraId="2BF0BC25" w14:textId="1DF56836" w:rsidR="00BC4DD1" w:rsidRDefault="00A46C91" w:rsidP="00A85A70">
      <w:pPr>
        <w:jc w:val="both"/>
        <w:rPr>
          <w:rFonts w:eastAsiaTheme="minorHAnsi"/>
          <w:lang w:eastAsia="en-US"/>
        </w:rPr>
      </w:pPr>
      <w:r>
        <w:rPr>
          <w:rFonts w:eastAsiaTheme="minorHAnsi"/>
          <w:lang w:eastAsia="en-US"/>
        </w:rPr>
        <w:t xml:space="preserve">This comparison involved seven RCTs (including four multiple arm trials) </w:t>
      </w:r>
      <w:r w:rsidR="00D7165E">
        <w:rPr>
          <w:rFonts w:eastAsiaTheme="minorHAnsi"/>
          <w:lang w:eastAsia="en-US"/>
        </w:rPr>
        <w:t xml:space="preserve">assessing clinical effectiveness of </w:t>
      </w:r>
      <w:r>
        <w:rPr>
          <w:rFonts w:eastAsiaTheme="minorHAnsi"/>
          <w:lang w:eastAsia="en-US"/>
        </w:rPr>
        <w:t xml:space="preserve">EZ+SIM combination </w:t>
      </w:r>
      <w:r w:rsidR="00D7165E">
        <w:rPr>
          <w:rFonts w:eastAsiaTheme="minorHAnsi"/>
          <w:lang w:eastAsia="en-US"/>
        </w:rPr>
        <w:t xml:space="preserve">therapy </w:t>
      </w:r>
      <w:r>
        <w:rPr>
          <w:rFonts w:eastAsiaTheme="minorHAnsi"/>
          <w:lang w:eastAsia="en-US"/>
        </w:rPr>
        <w:t xml:space="preserve">with the matching dose of SIM monotherapy. Only one </w:t>
      </w:r>
      <w:r w:rsidR="00D7165E">
        <w:rPr>
          <w:rFonts w:eastAsiaTheme="minorHAnsi"/>
          <w:lang w:eastAsia="en-US"/>
        </w:rPr>
        <w:t xml:space="preserve">multiple arm </w:t>
      </w:r>
      <w:r>
        <w:rPr>
          <w:rFonts w:eastAsiaTheme="minorHAnsi"/>
          <w:lang w:eastAsia="en-US"/>
        </w:rPr>
        <w:t>trial by Ballantyne (2003)</w:t>
      </w:r>
      <w:r w:rsidR="00D7165E">
        <w:rPr>
          <w:rFonts w:eastAsiaTheme="minorHAnsi"/>
          <w:lang w:eastAsia="en-US"/>
        </w:rPr>
        <w:t xml:space="preserve"> compared EZ+ATOR with ATOR monotherapy. With exception of the trial by Feldman (2004) that enrolled the secondary prevention population, all trials recruited primary prevention patients without a diagnosed CHD. There was no significant heterogeneity in this set of trials, allowing for the pooled analysis of mean differences to be carried out. </w:t>
      </w:r>
    </w:p>
    <w:p w14:paraId="2D819C9D" w14:textId="4A44062D" w:rsidR="00D7165E" w:rsidRDefault="00D7165E" w:rsidP="00D7165E">
      <w:pPr>
        <w:spacing w:before="120" w:after="120"/>
        <w:jc w:val="both"/>
      </w:pPr>
      <w:r>
        <w:t>Figure</w:t>
      </w:r>
      <w:r w:rsidRPr="00DE4571">
        <w:t xml:space="preserve"> 2</w:t>
      </w:r>
      <w:r>
        <w:t xml:space="preserve">.5.3.3 shows mean %LDL-C reduction in ezetimibe in combination with statin </w:t>
      </w:r>
      <w:r w:rsidR="007551F7">
        <w:t>vs statin monotherapy.</w:t>
      </w:r>
    </w:p>
    <w:p w14:paraId="6061F01A" w14:textId="77777777" w:rsidR="00D7165E" w:rsidRDefault="00D7165E" w:rsidP="00D7165E">
      <w:pPr>
        <w:spacing w:before="120" w:after="120"/>
        <w:jc w:val="both"/>
      </w:pPr>
    </w:p>
    <w:p w14:paraId="0BCACF76" w14:textId="3773F343" w:rsidR="0021149C" w:rsidRPr="00D7165E" w:rsidRDefault="00D7165E" w:rsidP="00D7165E">
      <w:pPr>
        <w:keepNext/>
        <w:keepLines/>
        <w:rPr>
          <w:b/>
        </w:rPr>
      </w:pPr>
      <w:r>
        <w:rPr>
          <w:b/>
        </w:rPr>
        <w:t>Figure 2.5.3.3</w:t>
      </w:r>
      <w:r w:rsidRPr="00DE4571">
        <w:rPr>
          <w:b/>
        </w:rPr>
        <w:t xml:space="preserve"> </w:t>
      </w:r>
      <w:r>
        <w:rPr>
          <w:b/>
        </w:rPr>
        <w:t xml:space="preserve">Comparison 3: </w:t>
      </w:r>
      <w:r w:rsidRPr="00DE4571">
        <w:rPr>
          <w:b/>
        </w:rPr>
        <w:t>Mean percentage change in LDL</w:t>
      </w:r>
      <w:r>
        <w:rPr>
          <w:b/>
        </w:rPr>
        <w:t>-C</w:t>
      </w:r>
      <w:r w:rsidRPr="00DE4571">
        <w:rPr>
          <w:b/>
        </w:rPr>
        <w:t xml:space="preserve"> concentrations from baseline </w:t>
      </w:r>
    </w:p>
    <w:p w14:paraId="242452E5" w14:textId="0A039674" w:rsidR="008F7A2A" w:rsidRDefault="008F7A2A" w:rsidP="00A85A70">
      <w:pPr>
        <w:jc w:val="both"/>
        <w:rPr>
          <w:rFonts w:eastAsiaTheme="minorHAnsi"/>
          <w:lang w:eastAsia="en-US"/>
        </w:rPr>
      </w:pPr>
      <w:r w:rsidRPr="008F7A2A">
        <w:rPr>
          <w:rFonts w:eastAsiaTheme="minorHAnsi"/>
          <w:noProof/>
          <w:lang w:eastAsia="en-AU"/>
        </w:rPr>
        <w:drawing>
          <wp:inline distT="0" distB="0" distL="0" distR="0" wp14:anchorId="46AF83BB" wp14:editId="0F9E0A77">
            <wp:extent cx="5731510" cy="2860675"/>
            <wp:effectExtent l="0" t="0" r="2540" b="0"/>
            <wp:docPr id="14358" name="Picture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2860675"/>
                    </a:xfrm>
                    <a:prstGeom prst="rect">
                      <a:avLst/>
                    </a:prstGeom>
                  </pic:spPr>
                </pic:pic>
              </a:graphicData>
            </a:graphic>
          </wp:inline>
        </w:drawing>
      </w:r>
    </w:p>
    <w:p w14:paraId="4682B9DA" w14:textId="77777777" w:rsidR="00D7165E" w:rsidRPr="00DE4571" w:rsidRDefault="00D7165E" w:rsidP="00D7165E">
      <w:pPr>
        <w:keepNext/>
        <w:keepLines/>
        <w:rPr>
          <w:sz w:val="16"/>
          <w:szCs w:val="16"/>
        </w:rPr>
      </w:pPr>
      <w:r w:rsidRPr="00DE4571">
        <w:rPr>
          <w:sz w:val="16"/>
          <w:szCs w:val="16"/>
        </w:rPr>
        <w:t>CI=confidence interval; df=degrees of freedom; N=total number of patients; SD=standard deviation; WMD=weighted mean difference</w:t>
      </w:r>
    </w:p>
    <w:p w14:paraId="2E9184D4" w14:textId="30A89F19" w:rsidR="0091598D" w:rsidRPr="00972507" w:rsidRDefault="00972507" w:rsidP="00972507">
      <w:pPr>
        <w:spacing w:before="120" w:after="120"/>
        <w:jc w:val="both"/>
      </w:pPr>
      <w:r>
        <w:t>Figure</w:t>
      </w:r>
      <w:r w:rsidRPr="00DE4571">
        <w:t xml:space="preserve"> 2</w:t>
      </w:r>
      <w:r>
        <w:t>.5.3.4 shows mean %HDL-C change in ezetimibe in combination with statin vs statin monotherapy.</w:t>
      </w:r>
    </w:p>
    <w:p w14:paraId="67AD1A41" w14:textId="2855EA00" w:rsidR="00972507" w:rsidRPr="00D7165E" w:rsidRDefault="00972507" w:rsidP="00972507">
      <w:pPr>
        <w:keepNext/>
        <w:keepLines/>
        <w:spacing w:after="0" w:line="240" w:lineRule="auto"/>
        <w:rPr>
          <w:b/>
        </w:rPr>
      </w:pPr>
      <w:r>
        <w:rPr>
          <w:b/>
        </w:rPr>
        <w:t>Figure 2.5.3.3</w:t>
      </w:r>
      <w:r w:rsidRPr="00DE4571">
        <w:rPr>
          <w:b/>
        </w:rPr>
        <w:t xml:space="preserve"> </w:t>
      </w:r>
      <w:r>
        <w:rPr>
          <w:b/>
        </w:rPr>
        <w:t>Comparison 3: Mean percentage change in H</w:t>
      </w:r>
      <w:r w:rsidRPr="00DE4571">
        <w:rPr>
          <w:b/>
        </w:rPr>
        <w:t>DL</w:t>
      </w:r>
      <w:r>
        <w:rPr>
          <w:b/>
        </w:rPr>
        <w:t>-C</w:t>
      </w:r>
      <w:r w:rsidRPr="00DE4571">
        <w:rPr>
          <w:b/>
        </w:rPr>
        <w:t xml:space="preserve"> concentrations from baseline </w:t>
      </w:r>
    </w:p>
    <w:p w14:paraId="2D42CEC1" w14:textId="4DB7392A" w:rsidR="007551F7" w:rsidRDefault="007551F7" w:rsidP="00972507">
      <w:pPr>
        <w:spacing w:after="0" w:line="240" w:lineRule="auto"/>
        <w:jc w:val="both"/>
        <w:rPr>
          <w:rFonts w:eastAsiaTheme="minorHAnsi"/>
          <w:lang w:eastAsia="en-US"/>
        </w:rPr>
      </w:pPr>
      <w:r w:rsidRPr="007551F7">
        <w:rPr>
          <w:rFonts w:eastAsiaTheme="minorHAnsi"/>
          <w:noProof/>
          <w:lang w:eastAsia="en-AU"/>
        </w:rPr>
        <w:drawing>
          <wp:inline distT="0" distB="0" distL="0" distR="0" wp14:anchorId="0918DADA" wp14:editId="7746D5CB">
            <wp:extent cx="5731510" cy="3368040"/>
            <wp:effectExtent l="0" t="0" r="2540" b="3810"/>
            <wp:docPr id="14360" name="Picture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3368040"/>
                    </a:xfrm>
                    <a:prstGeom prst="rect">
                      <a:avLst/>
                    </a:prstGeom>
                  </pic:spPr>
                </pic:pic>
              </a:graphicData>
            </a:graphic>
          </wp:inline>
        </w:drawing>
      </w:r>
    </w:p>
    <w:p w14:paraId="25B5B1AD" w14:textId="77777777" w:rsidR="00972507" w:rsidRDefault="00972507" w:rsidP="00972507">
      <w:pPr>
        <w:keepNext/>
        <w:keepLines/>
        <w:spacing w:after="0" w:line="240" w:lineRule="auto"/>
        <w:rPr>
          <w:sz w:val="16"/>
          <w:szCs w:val="16"/>
        </w:rPr>
      </w:pPr>
    </w:p>
    <w:p w14:paraId="3AD20279" w14:textId="77777777" w:rsidR="00972507" w:rsidRPr="00DE4571" w:rsidRDefault="00972507" w:rsidP="00972507">
      <w:pPr>
        <w:keepNext/>
        <w:keepLines/>
        <w:spacing w:after="0" w:line="240" w:lineRule="auto"/>
        <w:rPr>
          <w:sz w:val="16"/>
          <w:szCs w:val="16"/>
        </w:rPr>
      </w:pPr>
      <w:r w:rsidRPr="00DE4571">
        <w:rPr>
          <w:sz w:val="16"/>
          <w:szCs w:val="16"/>
        </w:rPr>
        <w:t>CI=confidence interval; df=degrees of freedom; N=total number of patients; SD=standard deviation; WMD=weighted mean difference</w:t>
      </w:r>
    </w:p>
    <w:p w14:paraId="5AEC6E51" w14:textId="77777777" w:rsidR="00972507" w:rsidRDefault="00972507" w:rsidP="004B3EE1">
      <w:pPr>
        <w:jc w:val="both"/>
        <w:rPr>
          <w:rFonts w:eastAsiaTheme="minorHAnsi"/>
          <w:b/>
          <w:lang w:eastAsia="en-US"/>
        </w:rPr>
      </w:pPr>
    </w:p>
    <w:p w14:paraId="30B42CF2" w14:textId="3148CDD9" w:rsidR="0091598D" w:rsidRPr="0091598D" w:rsidRDefault="0091598D" w:rsidP="004B3EE1">
      <w:pPr>
        <w:jc w:val="both"/>
        <w:rPr>
          <w:rFonts w:eastAsiaTheme="minorHAnsi"/>
          <w:lang w:eastAsia="en-US"/>
        </w:rPr>
      </w:pPr>
      <w:r w:rsidRPr="0092020E">
        <w:rPr>
          <w:rFonts w:eastAsiaTheme="minorHAnsi"/>
          <w:b/>
          <w:lang w:eastAsia="en-US"/>
        </w:rPr>
        <w:t xml:space="preserve">A </w:t>
      </w:r>
      <w:r w:rsidR="00F06AF8">
        <w:rPr>
          <w:rFonts w:eastAsiaTheme="minorHAnsi"/>
          <w:b/>
          <w:lang w:eastAsia="en-US"/>
        </w:rPr>
        <w:t>meta-analyse</w:t>
      </w:r>
      <w:r w:rsidR="001D6E32" w:rsidRPr="0092020E">
        <w:rPr>
          <w:rFonts w:eastAsiaTheme="minorHAnsi"/>
          <w:b/>
          <w:lang w:eastAsia="en-US"/>
        </w:rPr>
        <w:t xml:space="preserve">s of </w:t>
      </w:r>
      <w:r w:rsidRPr="0092020E">
        <w:rPr>
          <w:rFonts w:eastAsiaTheme="minorHAnsi"/>
          <w:b/>
          <w:lang w:eastAsia="en-US"/>
        </w:rPr>
        <w:t>eight</w:t>
      </w:r>
      <w:r w:rsidR="001D6E32" w:rsidRPr="0092020E">
        <w:rPr>
          <w:rFonts w:eastAsiaTheme="minorHAnsi"/>
          <w:b/>
          <w:lang w:eastAsia="en-US"/>
        </w:rPr>
        <w:t xml:space="preserve"> studies </w:t>
      </w:r>
      <w:r w:rsidRPr="0092020E">
        <w:rPr>
          <w:rFonts w:eastAsiaTheme="minorHAnsi"/>
          <w:b/>
          <w:lang w:eastAsia="en-US"/>
        </w:rPr>
        <w:t xml:space="preserve">included in Comparison 3 </w:t>
      </w:r>
      <w:r w:rsidR="007551F7">
        <w:rPr>
          <w:rFonts w:eastAsiaTheme="minorHAnsi"/>
          <w:b/>
          <w:lang w:eastAsia="en-US"/>
        </w:rPr>
        <w:t>show</w:t>
      </w:r>
      <w:r w:rsidR="00891038">
        <w:rPr>
          <w:rFonts w:eastAsiaTheme="minorHAnsi"/>
          <w:b/>
          <w:lang w:eastAsia="en-US"/>
        </w:rPr>
        <w:t>s</w:t>
      </w:r>
      <w:r w:rsidR="001D6E32" w:rsidRPr="0092020E">
        <w:rPr>
          <w:rFonts w:eastAsiaTheme="minorHAnsi"/>
          <w:b/>
          <w:lang w:eastAsia="en-US"/>
        </w:rPr>
        <w:t xml:space="preserve"> that combination of ezetimibe</w:t>
      </w:r>
      <w:r w:rsidRPr="0092020E">
        <w:rPr>
          <w:rFonts w:eastAsiaTheme="minorHAnsi"/>
          <w:b/>
          <w:lang w:eastAsia="en-US"/>
        </w:rPr>
        <w:t xml:space="preserve"> with </w:t>
      </w:r>
      <w:r w:rsidR="001D6E32" w:rsidRPr="0092020E">
        <w:rPr>
          <w:rFonts w:eastAsiaTheme="minorHAnsi"/>
          <w:b/>
          <w:lang w:eastAsia="en-US"/>
        </w:rPr>
        <w:t>statin</w:t>
      </w:r>
      <w:r w:rsidRPr="0092020E">
        <w:rPr>
          <w:rFonts w:eastAsiaTheme="minorHAnsi"/>
          <w:b/>
          <w:lang w:eastAsia="en-US"/>
        </w:rPr>
        <w:t xml:space="preserve"> significantly reduced LDL-C by -14.58%</w:t>
      </w:r>
      <w:r w:rsidR="0092020E" w:rsidRPr="0092020E">
        <w:rPr>
          <w:rFonts w:eastAsiaTheme="minorHAnsi"/>
          <w:b/>
          <w:lang w:eastAsia="en-US"/>
        </w:rPr>
        <w:t xml:space="preserve"> </w:t>
      </w:r>
      <w:r w:rsidRPr="0092020E">
        <w:rPr>
          <w:rFonts w:eastAsiaTheme="minorHAnsi"/>
          <w:b/>
          <w:lang w:eastAsia="en-US"/>
        </w:rPr>
        <w:t>(95% CI: -17.83 to -12.17)  (P &lt; 0.00001)</w:t>
      </w:r>
      <w:r w:rsidR="00972507">
        <w:rPr>
          <w:rFonts w:eastAsiaTheme="minorHAnsi"/>
          <w:b/>
          <w:lang w:eastAsia="en-US"/>
        </w:rPr>
        <w:t xml:space="preserve"> and significantly increases H</w:t>
      </w:r>
      <w:r w:rsidR="00972507" w:rsidRPr="0092020E">
        <w:rPr>
          <w:rFonts w:eastAsiaTheme="minorHAnsi"/>
          <w:b/>
          <w:lang w:eastAsia="en-US"/>
        </w:rPr>
        <w:t xml:space="preserve">DL-C by </w:t>
      </w:r>
      <w:r w:rsidR="00972507">
        <w:rPr>
          <w:rFonts w:eastAsiaTheme="minorHAnsi"/>
          <w:b/>
          <w:lang w:eastAsia="en-US"/>
        </w:rPr>
        <w:t>1.88</w:t>
      </w:r>
      <w:r w:rsidR="00972507" w:rsidRPr="0092020E">
        <w:rPr>
          <w:rFonts w:eastAsiaTheme="minorHAnsi"/>
          <w:b/>
          <w:lang w:eastAsia="en-US"/>
        </w:rPr>
        <w:t xml:space="preserve">% (95% CI: </w:t>
      </w:r>
      <w:r w:rsidR="00972507">
        <w:rPr>
          <w:rFonts w:eastAsiaTheme="minorHAnsi"/>
          <w:b/>
          <w:lang w:eastAsia="en-US"/>
        </w:rPr>
        <w:t>1.00</w:t>
      </w:r>
      <w:r w:rsidR="00972507" w:rsidRPr="0092020E">
        <w:rPr>
          <w:rFonts w:eastAsiaTheme="minorHAnsi"/>
          <w:b/>
          <w:lang w:eastAsia="en-US"/>
        </w:rPr>
        <w:t xml:space="preserve"> to </w:t>
      </w:r>
      <w:r w:rsidR="00972507">
        <w:rPr>
          <w:rFonts w:eastAsiaTheme="minorHAnsi"/>
          <w:b/>
          <w:lang w:eastAsia="en-US"/>
        </w:rPr>
        <w:t>2.77</w:t>
      </w:r>
      <w:r w:rsidR="00972507" w:rsidRPr="0092020E">
        <w:rPr>
          <w:rFonts w:eastAsiaTheme="minorHAnsi"/>
          <w:b/>
          <w:lang w:eastAsia="en-US"/>
        </w:rPr>
        <w:t>)  (P &lt; 0.00001)</w:t>
      </w:r>
      <w:r w:rsidR="004B3EE1" w:rsidRPr="0092020E">
        <w:rPr>
          <w:rFonts w:eastAsiaTheme="minorHAnsi"/>
          <w:b/>
          <w:lang w:eastAsia="en-US"/>
        </w:rPr>
        <w:t>.</w:t>
      </w:r>
      <w:r w:rsidR="004B3EE1">
        <w:rPr>
          <w:rFonts w:eastAsiaTheme="minorHAnsi"/>
          <w:lang w:eastAsia="en-US"/>
        </w:rPr>
        <w:t xml:space="preserve"> </w:t>
      </w:r>
      <w:r w:rsidR="004B3EE1" w:rsidRPr="004B3EE1">
        <w:rPr>
          <w:rFonts w:eastAsiaTheme="minorHAnsi"/>
          <w:lang w:eastAsia="en-US"/>
        </w:rPr>
        <w:t xml:space="preserve">The test for heterogeneity </w:t>
      </w:r>
      <w:r w:rsidR="00972507">
        <w:rPr>
          <w:rFonts w:eastAsiaTheme="minorHAnsi"/>
          <w:lang w:eastAsia="en-US"/>
        </w:rPr>
        <w:t xml:space="preserve">did not </w:t>
      </w:r>
      <w:r w:rsidR="00F06AF8">
        <w:rPr>
          <w:rFonts w:eastAsiaTheme="minorHAnsi"/>
          <w:lang w:eastAsia="en-US"/>
        </w:rPr>
        <w:t xml:space="preserve">reach </w:t>
      </w:r>
      <w:r w:rsidR="00972507" w:rsidRPr="004B3EE1">
        <w:rPr>
          <w:rFonts w:eastAsiaTheme="minorHAnsi"/>
          <w:lang w:eastAsia="en-US"/>
        </w:rPr>
        <w:t xml:space="preserve">statistical </w:t>
      </w:r>
      <w:r w:rsidR="00F06AF8">
        <w:rPr>
          <w:rFonts w:eastAsiaTheme="minorHAnsi"/>
          <w:lang w:eastAsia="en-US"/>
        </w:rPr>
        <w:t>significance</w:t>
      </w:r>
      <w:r w:rsidR="004B3EE1" w:rsidRPr="004B3EE1">
        <w:rPr>
          <w:rFonts w:eastAsiaTheme="minorHAnsi"/>
          <w:lang w:eastAsia="en-US"/>
        </w:rPr>
        <w:t xml:space="preserve"> (</w:t>
      </w:r>
      <w:r w:rsidR="004B3EE1">
        <w:rPr>
          <w:rFonts w:eastAsiaTheme="minorHAnsi"/>
          <w:lang w:eastAsia="en-US"/>
        </w:rPr>
        <w:t>Chi</w:t>
      </w:r>
      <w:r w:rsidR="004B3EE1" w:rsidRPr="004B3EE1">
        <w:rPr>
          <w:rFonts w:eastAsiaTheme="minorHAnsi"/>
          <w:vertAlign w:val="superscript"/>
          <w:lang w:eastAsia="en-US"/>
        </w:rPr>
        <w:t>2</w:t>
      </w:r>
      <w:r w:rsidR="004B3EE1">
        <w:rPr>
          <w:rFonts w:eastAsiaTheme="minorHAnsi"/>
          <w:lang w:eastAsia="en-US"/>
        </w:rPr>
        <w:t xml:space="preserve"> =28.18 df=19; P= 0.08; I</w:t>
      </w:r>
      <w:r w:rsidR="004B3EE1" w:rsidRPr="004B3EE1">
        <w:rPr>
          <w:rFonts w:eastAsiaTheme="minorHAnsi"/>
          <w:vertAlign w:val="superscript"/>
          <w:lang w:eastAsia="en-US"/>
        </w:rPr>
        <w:t>2</w:t>
      </w:r>
      <w:r w:rsidR="004B3EE1">
        <w:rPr>
          <w:rFonts w:eastAsiaTheme="minorHAnsi"/>
          <w:lang w:eastAsia="en-US"/>
        </w:rPr>
        <w:t>=33%</w:t>
      </w:r>
      <w:r w:rsidR="00972507">
        <w:rPr>
          <w:rFonts w:eastAsiaTheme="minorHAnsi"/>
          <w:lang w:eastAsia="en-US"/>
        </w:rPr>
        <w:t xml:space="preserve"> in LDL-C analysis and Chi</w:t>
      </w:r>
      <w:r w:rsidR="00972507" w:rsidRPr="004B3EE1">
        <w:rPr>
          <w:rFonts w:eastAsiaTheme="minorHAnsi"/>
          <w:vertAlign w:val="superscript"/>
          <w:lang w:eastAsia="en-US"/>
        </w:rPr>
        <w:t>2</w:t>
      </w:r>
      <w:r w:rsidR="00F06AF8">
        <w:rPr>
          <w:rFonts w:eastAsiaTheme="minorHAnsi"/>
          <w:lang w:eastAsia="en-US"/>
        </w:rPr>
        <w:t xml:space="preserve"> =20.02 df=14</w:t>
      </w:r>
      <w:r w:rsidR="00972507">
        <w:rPr>
          <w:rFonts w:eastAsiaTheme="minorHAnsi"/>
          <w:lang w:eastAsia="en-US"/>
        </w:rPr>
        <w:t>; P= 0.</w:t>
      </w:r>
      <w:r w:rsidR="00F06AF8">
        <w:rPr>
          <w:rFonts w:eastAsiaTheme="minorHAnsi"/>
          <w:lang w:eastAsia="en-US"/>
        </w:rPr>
        <w:t>13</w:t>
      </w:r>
      <w:r w:rsidR="00972507">
        <w:rPr>
          <w:rFonts w:eastAsiaTheme="minorHAnsi"/>
          <w:lang w:eastAsia="en-US"/>
        </w:rPr>
        <w:t>; I</w:t>
      </w:r>
      <w:r w:rsidR="00972507" w:rsidRPr="004B3EE1">
        <w:rPr>
          <w:rFonts w:eastAsiaTheme="minorHAnsi"/>
          <w:vertAlign w:val="superscript"/>
          <w:lang w:eastAsia="en-US"/>
        </w:rPr>
        <w:t>2</w:t>
      </w:r>
      <w:r w:rsidR="00F06AF8">
        <w:rPr>
          <w:rFonts w:eastAsiaTheme="minorHAnsi"/>
          <w:lang w:eastAsia="en-US"/>
        </w:rPr>
        <w:t>=30</w:t>
      </w:r>
      <w:r w:rsidR="00C12DBD">
        <w:rPr>
          <w:rFonts w:eastAsiaTheme="minorHAnsi"/>
          <w:lang w:eastAsia="en-US"/>
        </w:rPr>
        <w:t>%</w:t>
      </w:r>
      <w:r w:rsidR="004B3EE1" w:rsidRPr="004B3EE1">
        <w:rPr>
          <w:rFonts w:eastAsiaTheme="minorHAnsi"/>
          <w:lang w:eastAsia="en-US"/>
        </w:rPr>
        <w:t>).</w:t>
      </w:r>
      <w:r w:rsidR="00CF43C7" w:rsidRPr="00CF43C7">
        <w:rPr>
          <w:rFonts w:eastAsiaTheme="minorHAnsi"/>
          <w:lang w:eastAsia="en-US"/>
        </w:rPr>
        <w:t xml:space="preserve"> </w:t>
      </w:r>
      <w:r w:rsidR="0092020E" w:rsidRPr="0092020E">
        <w:rPr>
          <w:rFonts w:eastAsiaTheme="minorHAnsi"/>
          <w:i/>
          <w:lang w:eastAsia="en-US"/>
        </w:rPr>
        <w:t xml:space="preserve">The results were observed in the population </w:t>
      </w:r>
      <w:r w:rsidR="0092020E">
        <w:rPr>
          <w:rFonts w:eastAsiaTheme="minorHAnsi"/>
          <w:i/>
          <w:lang w:eastAsia="en-US"/>
        </w:rPr>
        <w:t xml:space="preserve">predominately </w:t>
      </w:r>
      <w:r w:rsidR="0092020E" w:rsidRPr="0092020E">
        <w:rPr>
          <w:rFonts w:eastAsiaTheme="minorHAnsi"/>
          <w:i/>
          <w:lang w:eastAsia="en-US"/>
        </w:rPr>
        <w:t>without the history of CHD</w:t>
      </w:r>
      <w:r w:rsidR="0092020E">
        <w:rPr>
          <w:rFonts w:eastAsiaTheme="minorHAnsi"/>
          <w:i/>
          <w:lang w:eastAsia="en-US"/>
        </w:rPr>
        <w:t xml:space="preserve"> </w:t>
      </w:r>
      <w:r w:rsidR="007551F7">
        <w:rPr>
          <w:rFonts w:eastAsiaTheme="minorHAnsi"/>
          <w:i/>
          <w:lang w:eastAsia="en-US"/>
        </w:rPr>
        <w:t>who were administered</w:t>
      </w:r>
      <w:r w:rsidR="0092020E">
        <w:rPr>
          <w:rFonts w:eastAsiaTheme="minorHAnsi"/>
          <w:i/>
          <w:lang w:eastAsia="en-US"/>
        </w:rPr>
        <w:t xml:space="preserve"> </w:t>
      </w:r>
      <w:r w:rsidR="007551F7">
        <w:rPr>
          <w:rFonts w:eastAsiaTheme="minorHAnsi"/>
          <w:i/>
          <w:lang w:eastAsia="en-US"/>
        </w:rPr>
        <w:t>ezetimibe</w:t>
      </w:r>
      <w:r w:rsidR="0092020E">
        <w:rPr>
          <w:rFonts w:eastAsiaTheme="minorHAnsi"/>
          <w:i/>
          <w:lang w:eastAsia="en-US"/>
        </w:rPr>
        <w:t xml:space="preserve"> + statin as the first line therapy.</w:t>
      </w:r>
      <w:r w:rsidR="0092020E" w:rsidRPr="0092020E">
        <w:rPr>
          <w:rFonts w:eastAsiaTheme="minorHAnsi"/>
          <w:i/>
          <w:lang w:eastAsia="en-US"/>
        </w:rPr>
        <w:t xml:space="preserve"> </w:t>
      </w:r>
      <w:r w:rsidR="0092020E">
        <w:rPr>
          <w:rFonts w:eastAsiaTheme="minorHAnsi"/>
          <w:i/>
          <w:lang w:eastAsia="en-US"/>
        </w:rPr>
        <w:t>E</w:t>
      </w:r>
      <w:r w:rsidR="0092020E" w:rsidRPr="0092020E">
        <w:rPr>
          <w:rFonts w:eastAsiaTheme="minorHAnsi"/>
          <w:i/>
          <w:lang w:eastAsia="en-US"/>
        </w:rPr>
        <w:t>xclusion of the study in mixed prevention population (Feldman 2004) did not alter the</w:t>
      </w:r>
      <w:r w:rsidR="0092020E">
        <w:rPr>
          <w:rFonts w:eastAsiaTheme="minorHAnsi"/>
          <w:i/>
          <w:lang w:eastAsia="en-US"/>
        </w:rPr>
        <w:t xml:space="preserve"> estimated</w:t>
      </w:r>
      <w:r w:rsidR="0092020E" w:rsidRPr="0092020E">
        <w:rPr>
          <w:rFonts w:eastAsiaTheme="minorHAnsi"/>
          <w:i/>
          <w:lang w:eastAsia="en-US"/>
        </w:rPr>
        <w:t xml:space="preserve"> </w:t>
      </w:r>
      <w:r w:rsidR="0092020E">
        <w:rPr>
          <w:rFonts w:eastAsiaTheme="minorHAnsi"/>
          <w:i/>
          <w:lang w:eastAsia="en-US"/>
        </w:rPr>
        <w:t>WMD. The results</w:t>
      </w:r>
      <w:r w:rsidR="00CF43C7" w:rsidRPr="0092020E">
        <w:rPr>
          <w:rFonts w:eastAsiaTheme="minorHAnsi"/>
          <w:i/>
          <w:lang w:eastAsia="en-US"/>
        </w:rPr>
        <w:t xml:space="preserve"> may not be generalizable to the secondary prevention population or the population </w:t>
      </w:r>
      <w:r w:rsidR="0092020E" w:rsidRPr="0092020E">
        <w:rPr>
          <w:rFonts w:eastAsiaTheme="minorHAnsi"/>
          <w:i/>
          <w:lang w:eastAsia="en-US"/>
        </w:rPr>
        <w:t xml:space="preserve">who did not achieve the recommended lipid targets on </w:t>
      </w:r>
      <w:r w:rsidR="007551F7">
        <w:rPr>
          <w:rFonts w:eastAsiaTheme="minorHAnsi"/>
          <w:i/>
          <w:lang w:eastAsia="en-US"/>
        </w:rPr>
        <w:t xml:space="preserve">the maximum tolerated dose of </w:t>
      </w:r>
      <w:r w:rsidR="0092020E" w:rsidRPr="0092020E">
        <w:rPr>
          <w:rFonts w:eastAsiaTheme="minorHAnsi"/>
          <w:i/>
          <w:lang w:eastAsia="en-US"/>
        </w:rPr>
        <w:t>statin monotherapy</w:t>
      </w:r>
      <w:r w:rsidR="00CF43C7">
        <w:rPr>
          <w:rFonts w:eastAsiaTheme="minorHAnsi"/>
          <w:lang w:eastAsia="en-US"/>
        </w:rPr>
        <w:t>.</w:t>
      </w:r>
    </w:p>
    <w:p w14:paraId="708AC6B6" w14:textId="27BCED9C" w:rsidR="00891038" w:rsidRDefault="00891038" w:rsidP="0092020E">
      <w:pPr>
        <w:jc w:val="both"/>
      </w:pPr>
      <w:r>
        <w:rPr>
          <w:rFonts w:eastAsiaTheme="minorHAnsi"/>
          <w:lang w:eastAsia="en-US"/>
        </w:rPr>
        <w:t xml:space="preserve">Results for </w:t>
      </w:r>
      <w:r w:rsidR="00C12DBD">
        <w:rPr>
          <w:rFonts w:eastAsiaTheme="minorHAnsi"/>
          <w:lang w:eastAsia="en-US"/>
        </w:rPr>
        <w:t>mean %</w:t>
      </w:r>
      <w:r>
        <w:rPr>
          <w:rFonts w:eastAsiaTheme="minorHAnsi"/>
          <w:lang w:eastAsia="en-US"/>
        </w:rPr>
        <w:t>TC</w:t>
      </w:r>
      <w:r w:rsidR="00C12DBD">
        <w:rPr>
          <w:rFonts w:eastAsiaTheme="minorHAnsi"/>
          <w:lang w:eastAsia="en-US"/>
        </w:rPr>
        <w:t xml:space="preserve"> reduction </w:t>
      </w:r>
      <w:r>
        <w:rPr>
          <w:rFonts w:eastAsiaTheme="minorHAnsi"/>
          <w:lang w:eastAsia="en-US"/>
        </w:rPr>
        <w:t>ar</w:t>
      </w:r>
      <w:r w:rsidR="00DF6260">
        <w:rPr>
          <w:rFonts w:eastAsiaTheme="minorHAnsi"/>
          <w:lang w:eastAsia="en-US"/>
        </w:rPr>
        <w:t>e presented in Appendix (Figure</w:t>
      </w:r>
      <w:r>
        <w:rPr>
          <w:rFonts w:eastAsiaTheme="minorHAnsi"/>
          <w:lang w:eastAsia="en-US"/>
        </w:rPr>
        <w:t xml:space="preserve"> A5.6). Results for the total cholesterol endpoints are consistent with the LDL-C results</w:t>
      </w:r>
      <w:r w:rsidR="00C12DBD">
        <w:rPr>
          <w:rFonts w:eastAsiaTheme="minorHAnsi"/>
          <w:lang w:eastAsia="en-US"/>
        </w:rPr>
        <w:t>.</w:t>
      </w:r>
    </w:p>
    <w:p w14:paraId="78D2BED4" w14:textId="762DD8F3" w:rsidR="0092020E" w:rsidRDefault="00C12DBD" w:rsidP="0092020E">
      <w:pPr>
        <w:jc w:val="both"/>
      </w:pPr>
      <w:r w:rsidRPr="00C22E0D">
        <w:rPr>
          <w:b/>
        </w:rPr>
        <w:t>T</w:t>
      </w:r>
      <w:r w:rsidR="0092020E" w:rsidRPr="00C22E0D">
        <w:rPr>
          <w:b/>
        </w:rPr>
        <w:t>he</w:t>
      </w:r>
      <w:r w:rsidRPr="00C22E0D">
        <w:rPr>
          <w:b/>
        </w:rPr>
        <w:t xml:space="preserve"> PBAC previously commented that the</w:t>
      </w:r>
      <w:r w:rsidR="0092020E" w:rsidRPr="00C22E0D">
        <w:rPr>
          <w:b/>
        </w:rPr>
        <w:t xml:space="preserve">re </w:t>
      </w:r>
      <w:r w:rsidRPr="00C22E0D">
        <w:rPr>
          <w:b/>
        </w:rPr>
        <w:t xml:space="preserve">is </w:t>
      </w:r>
      <w:r w:rsidR="0092020E" w:rsidRPr="00C22E0D">
        <w:rPr>
          <w:b/>
        </w:rPr>
        <w:t>uncertainty about whether the results of the trials are representative of the true likely effect of e</w:t>
      </w:r>
      <w:r w:rsidR="00C22E0D" w:rsidRPr="00C22E0D">
        <w:rPr>
          <w:b/>
        </w:rPr>
        <w:t>zetimibe 10 mg added to either atorvastatin</w:t>
      </w:r>
      <w:r w:rsidR="0092020E" w:rsidRPr="00C22E0D">
        <w:rPr>
          <w:b/>
        </w:rPr>
        <w:t xml:space="preserve"> or </w:t>
      </w:r>
      <w:r w:rsidR="00C22E0D" w:rsidRPr="00C22E0D">
        <w:rPr>
          <w:b/>
        </w:rPr>
        <w:t>rosuvastatin</w:t>
      </w:r>
      <w:r w:rsidR="0092020E" w:rsidRPr="00C22E0D">
        <w:rPr>
          <w:b/>
        </w:rPr>
        <w:t xml:space="preserve"> compared with up-titration in patients’ whose cholesterol is inadequately controlled as defined by the </w:t>
      </w:r>
      <w:r w:rsidR="00C22E0D" w:rsidRPr="00C22E0D">
        <w:rPr>
          <w:b/>
        </w:rPr>
        <w:t>current</w:t>
      </w:r>
      <w:r w:rsidR="00C22E0D">
        <w:rPr>
          <w:b/>
        </w:rPr>
        <w:t xml:space="preserve"> restriction</w:t>
      </w:r>
      <w:r w:rsidR="0092020E" w:rsidRPr="00BD6A22">
        <w:t xml:space="preserve"> </w:t>
      </w:r>
      <w:r w:rsidR="00C22E0D">
        <w:t>(PBAC November 2010</w:t>
      </w:r>
      <w:r w:rsidR="00C22E0D" w:rsidRPr="00BD6A22">
        <w:t>)</w:t>
      </w:r>
      <w:r w:rsidR="00C22E0D">
        <w:t xml:space="preserve">. </w:t>
      </w:r>
      <w:r w:rsidR="0092020E" w:rsidRPr="00C22E0D">
        <w:rPr>
          <w:i/>
        </w:rPr>
        <w:t xml:space="preserve">For example, although the results of percentage reductions in LDL-C indicate superiority of ezetimibe over up-titrated statin, </w:t>
      </w:r>
      <w:r w:rsidR="00C22E0D" w:rsidRPr="00C22E0D">
        <w:rPr>
          <w:i/>
        </w:rPr>
        <w:t xml:space="preserve">the </w:t>
      </w:r>
      <w:r w:rsidR="0092020E" w:rsidRPr="00C22E0D">
        <w:rPr>
          <w:i/>
        </w:rPr>
        <w:t xml:space="preserve">patients </w:t>
      </w:r>
      <w:r w:rsidR="00C22E0D" w:rsidRPr="00C22E0D">
        <w:rPr>
          <w:i/>
        </w:rPr>
        <w:t xml:space="preserve">were not necessarily receiving the maximum tolerated dose of statin during the stabilisation period prior to randomisation. </w:t>
      </w:r>
      <w:r w:rsidR="0092020E" w:rsidRPr="00C22E0D">
        <w:rPr>
          <w:i/>
        </w:rPr>
        <w:t xml:space="preserve"> </w:t>
      </w:r>
      <w:r w:rsidR="00C22E0D" w:rsidRPr="00C22E0D">
        <w:rPr>
          <w:i/>
        </w:rPr>
        <w:t xml:space="preserve">In all but one trial by McCormack (2010) </w:t>
      </w:r>
      <w:r w:rsidR="00C22E0D">
        <w:rPr>
          <w:i/>
        </w:rPr>
        <w:t xml:space="preserve">where the patients were assessed over 12 weeks prior to </w:t>
      </w:r>
      <w:r w:rsidR="00D8723C">
        <w:rPr>
          <w:i/>
        </w:rPr>
        <w:t>randomisation</w:t>
      </w:r>
      <w:r w:rsidR="00C22E0D">
        <w:rPr>
          <w:i/>
        </w:rPr>
        <w:t xml:space="preserve">, </w:t>
      </w:r>
      <w:r w:rsidR="00C22E0D" w:rsidRPr="00C22E0D">
        <w:rPr>
          <w:i/>
        </w:rPr>
        <w:t xml:space="preserve">the stabilisation period was less than </w:t>
      </w:r>
      <w:r w:rsidR="0092020E" w:rsidRPr="00C22E0D">
        <w:rPr>
          <w:i/>
        </w:rPr>
        <w:t xml:space="preserve">the duration required by the </w:t>
      </w:r>
      <w:r w:rsidR="00C22E0D" w:rsidRPr="00C22E0D">
        <w:rPr>
          <w:i/>
        </w:rPr>
        <w:t>current restriction</w:t>
      </w:r>
      <w:r w:rsidR="0092020E" w:rsidRPr="00C22E0D">
        <w:rPr>
          <w:i/>
        </w:rPr>
        <w:t xml:space="preserve"> to determine adequate response to lipid lowering therapy</w:t>
      </w:r>
      <w:r w:rsidR="0092020E" w:rsidRPr="00BD6A22">
        <w:t xml:space="preserve">. </w:t>
      </w:r>
    </w:p>
    <w:p w14:paraId="3D06A58F" w14:textId="77777777" w:rsidR="0092020E" w:rsidRDefault="0092020E" w:rsidP="005B78E5">
      <w:pPr>
        <w:pStyle w:val="Heading2"/>
        <w:spacing w:before="0"/>
      </w:pPr>
    </w:p>
    <w:p w14:paraId="0C1A4353" w14:textId="1D6B5241" w:rsidR="006C41DE" w:rsidRDefault="006C41DE" w:rsidP="005B78E5">
      <w:pPr>
        <w:pStyle w:val="Heading2"/>
        <w:spacing w:before="0"/>
      </w:pPr>
      <w:bookmarkStart w:id="67" w:name="_Toc467857764"/>
      <w:r>
        <w:t>2.5.</w:t>
      </w:r>
      <w:r w:rsidR="00B5058F">
        <w:t>4</w:t>
      </w:r>
      <w:r>
        <w:t xml:space="preserve"> </w:t>
      </w:r>
      <w:r w:rsidR="00AE0D8F">
        <w:t xml:space="preserve">Pooled </w:t>
      </w:r>
      <w:r>
        <w:t>results of ezetimibe as monotherapy</w:t>
      </w:r>
      <w:bookmarkEnd w:id="67"/>
    </w:p>
    <w:p w14:paraId="29299C47" w14:textId="77777777" w:rsidR="00EB7238" w:rsidRDefault="00EB7238" w:rsidP="005B78E5">
      <w:pPr>
        <w:spacing w:after="0"/>
      </w:pPr>
    </w:p>
    <w:p w14:paraId="183727E9" w14:textId="334EB4DC" w:rsidR="007C3B7B" w:rsidRDefault="002E30F5" w:rsidP="007E7E68">
      <w:pPr>
        <w:autoSpaceDE w:val="0"/>
        <w:autoSpaceDN w:val="0"/>
        <w:adjustRightInd w:val="0"/>
        <w:spacing w:line="240" w:lineRule="auto"/>
        <w:jc w:val="both"/>
      </w:pPr>
      <w:r>
        <w:t xml:space="preserve">No RCT in the population of patients with intolerance or contraindication to statins was identified. </w:t>
      </w:r>
      <w:r w:rsidR="005B1E88">
        <w:t>In this review t</w:t>
      </w:r>
      <w:r>
        <w:t xml:space="preserve">he body of clinical evidence for the first line therapy with ezetimibe as monotherapy </w:t>
      </w:r>
      <w:r w:rsidR="007C3B7B">
        <w:t>consists of the</w:t>
      </w:r>
      <w:r>
        <w:t xml:space="preserve"> </w:t>
      </w:r>
      <w:r w:rsidR="000B7ADD">
        <w:t xml:space="preserve">trials listed in </w:t>
      </w:r>
      <w:r w:rsidR="000B7ADD" w:rsidRPr="00AD696F">
        <w:t>Table 2.2.4.3.</w:t>
      </w:r>
      <w:r w:rsidR="000B7ADD">
        <w:t xml:space="preserve"> </w:t>
      </w:r>
      <w:r w:rsidR="007C3B7B">
        <w:t xml:space="preserve">The list of ezetimibe monotherapy studies includes nine trials, eight of which </w:t>
      </w:r>
      <w:r w:rsidR="007C3B7B">
        <w:rPr>
          <w:rFonts w:eastAsiaTheme="minorHAnsi"/>
          <w:lang w:eastAsia="en-US"/>
        </w:rPr>
        <w:t>(</w:t>
      </w:r>
      <w:r w:rsidR="007C3B7B" w:rsidRPr="00912F4E">
        <w:rPr>
          <w:rFonts w:eastAsiaTheme="minorHAnsi"/>
          <w:lang w:eastAsia="en-US"/>
        </w:rPr>
        <w:t>Ballantyne 2003</w:t>
      </w:r>
      <w:r w:rsidR="007C3B7B">
        <w:rPr>
          <w:rFonts w:eastAsiaTheme="minorHAnsi"/>
          <w:lang w:eastAsia="en-US"/>
        </w:rPr>
        <w:fldChar w:fldCharType="begin"/>
      </w:r>
      <w:r w:rsidR="007C3B7B">
        <w:rPr>
          <w:rFonts w:eastAsiaTheme="minorHAnsi"/>
          <w:lang w:eastAsia="en-US"/>
        </w:rPr>
        <w:instrText xml:space="preserve"> NOTEREF _Ref460673206 \f \h  \* MERGEFORMAT </w:instrText>
      </w:r>
      <w:r w:rsidR="007C3B7B">
        <w:rPr>
          <w:rFonts w:eastAsiaTheme="minorHAnsi"/>
          <w:lang w:eastAsia="en-US"/>
        </w:rPr>
      </w:r>
      <w:r w:rsidR="007C3B7B">
        <w:rPr>
          <w:rFonts w:eastAsiaTheme="minorHAnsi"/>
          <w:lang w:eastAsia="en-US"/>
        </w:rPr>
        <w:fldChar w:fldCharType="separate"/>
      </w:r>
      <w:r w:rsidR="00CA6F76" w:rsidRPr="00CA6F76">
        <w:rPr>
          <w:rStyle w:val="EndnoteReference"/>
        </w:rPr>
        <w:t>5</w:t>
      </w:r>
      <w:r w:rsidR="007C3B7B">
        <w:rPr>
          <w:rFonts w:eastAsiaTheme="minorHAnsi"/>
          <w:lang w:eastAsia="en-US"/>
        </w:rPr>
        <w:fldChar w:fldCharType="end"/>
      </w:r>
      <w:r w:rsidR="007C3B7B" w:rsidRPr="001704FF">
        <w:rPr>
          <w:rFonts w:eastAsiaTheme="minorHAnsi"/>
          <w:lang w:eastAsia="en-US"/>
        </w:rPr>
        <w:t>; Bays</w:t>
      </w:r>
      <w:r w:rsidR="007C3B7B" w:rsidRPr="00912F4E">
        <w:rPr>
          <w:rFonts w:eastAsiaTheme="minorHAnsi"/>
          <w:lang w:eastAsia="en-US"/>
        </w:rPr>
        <w:t xml:space="preserve"> 2004</w:t>
      </w:r>
      <w:r w:rsidR="007C3B7B">
        <w:rPr>
          <w:rFonts w:eastAsiaTheme="minorHAnsi"/>
          <w:lang w:eastAsia="en-US"/>
        </w:rPr>
        <w:fldChar w:fldCharType="begin"/>
      </w:r>
      <w:r w:rsidR="007C3B7B">
        <w:rPr>
          <w:rFonts w:eastAsiaTheme="minorHAnsi"/>
          <w:lang w:eastAsia="en-US"/>
        </w:rPr>
        <w:instrText xml:space="preserve"> NOTEREF _Ref460672386 \f \h  \* MERGEFORMAT </w:instrText>
      </w:r>
      <w:r w:rsidR="007C3B7B">
        <w:rPr>
          <w:rFonts w:eastAsiaTheme="minorHAnsi"/>
          <w:lang w:eastAsia="en-US"/>
        </w:rPr>
      </w:r>
      <w:r w:rsidR="007C3B7B">
        <w:rPr>
          <w:rFonts w:eastAsiaTheme="minorHAnsi"/>
          <w:lang w:eastAsia="en-US"/>
        </w:rPr>
        <w:fldChar w:fldCharType="separate"/>
      </w:r>
      <w:r w:rsidR="00CA6F76" w:rsidRPr="00CA6F76">
        <w:rPr>
          <w:rStyle w:val="EndnoteReference"/>
        </w:rPr>
        <w:t>19</w:t>
      </w:r>
      <w:r w:rsidR="007C3B7B">
        <w:rPr>
          <w:rFonts w:eastAsiaTheme="minorHAnsi"/>
          <w:lang w:eastAsia="en-US"/>
        </w:rPr>
        <w:fldChar w:fldCharType="end"/>
      </w:r>
      <w:r w:rsidR="007C3B7B" w:rsidRPr="00912F4E">
        <w:rPr>
          <w:rFonts w:eastAsiaTheme="minorHAnsi"/>
          <w:lang w:eastAsia="en-US"/>
        </w:rPr>
        <w:t>; Davidson 2002</w:t>
      </w:r>
      <w:r w:rsidR="007C3B7B">
        <w:rPr>
          <w:rFonts w:eastAsiaTheme="minorHAnsi"/>
          <w:lang w:eastAsia="en-US"/>
        </w:rPr>
        <w:fldChar w:fldCharType="begin"/>
      </w:r>
      <w:r w:rsidR="007C3B7B">
        <w:rPr>
          <w:rFonts w:eastAsiaTheme="minorHAnsi"/>
          <w:lang w:eastAsia="en-US"/>
        </w:rPr>
        <w:instrText xml:space="preserve"> NOTEREF _Ref460672395 \f \h  \* MERGEFORMAT </w:instrText>
      </w:r>
      <w:r w:rsidR="007C3B7B">
        <w:rPr>
          <w:rFonts w:eastAsiaTheme="minorHAnsi"/>
          <w:lang w:eastAsia="en-US"/>
        </w:rPr>
      </w:r>
      <w:r w:rsidR="007C3B7B">
        <w:rPr>
          <w:rFonts w:eastAsiaTheme="minorHAnsi"/>
          <w:lang w:eastAsia="en-US"/>
        </w:rPr>
        <w:fldChar w:fldCharType="separate"/>
      </w:r>
      <w:r w:rsidR="00CA6F76" w:rsidRPr="00CA6F76">
        <w:rPr>
          <w:rStyle w:val="EndnoteReference"/>
        </w:rPr>
        <w:t>4</w:t>
      </w:r>
      <w:r w:rsidR="007C3B7B">
        <w:rPr>
          <w:rFonts w:eastAsiaTheme="minorHAnsi"/>
          <w:lang w:eastAsia="en-US"/>
        </w:rPr>
        <w:fldChar w:fldCharType="end"/>
      </w:r>
      <w:r w:rsidR="007C3B7B" w:rsidRPr="00912F4E">
        <w:rPr>
          <w:rFonts w:eastAsiaTheme="minorHAnsi"/>
          <w:lang w:eastAsia="en-US"/>
        </w:rPr>
        <w:t>; Dujovne 2002</w:t>
      </w:r>
      <w:r w:rsidR="007C3B7B">
        <w:rPr>
          <w:rFonts w:eastAsiaTheme="minorHAnsi"/>
          <w:lang w:eastAsia="en-US"/>
        </w:rPr>
        <w:fldChar w:fldCharType="begin"/>
      </w:r>
      <w:r w:rsidR="007C3B7B">
        <w:rPr>
          <w:rFonts w:eastAsiaTheme="minorHAnsi"/>
          <w:lang w:eastAsia="en-US"/>
        </w:rPr>
        <w:instrText xml:space="preserve"> NOTEREF _Ref460662442 \f \h  \* MERGEFORMAT </w:instrText>
      </w:r>
      <w:r w:rsidR="007C3B7B">
        <w:rPr>
          <w:rFonts w:eastAsiaTheme="minorHAnsi"/>
          <w:lang w:eastAsia="en-US"/>
        </w:rPr>
      </w:r>
      <w:r w:rsidR="007C3B7B">
        <w:rPr>
          <w:rFonts w:eastAsiaTheme="minorHAnsi"/>
          <w:lang w:eastAsia="en-US"/>
        </w:rPr>
        <w:fldChar w:fldCharType="separate"/>
      </w:r>
      <w:r w:rsidR="00CA6F76" w:rsidRPr="00CA6F76">
        <w:rPr>
          <w:rStyle w:val="EndnoteReference"/>
        </w:rPr>
        <w:t>2</w:t>
      </w:r>
      <w:r w:rsidR="007C3B7B">
        <w:rPr>
          <w:rFonts w:eastAsiaTheme="minorHAnsi"/>
          <w:lang w:eastAsia="en-US"/>
        </w:rPr>
        <w:fldChar w:fldCharType="end"/>
      </w:r>
      <w:r w:rsidR="007C3B7B" w:rsidRPr="00912F4E">
        <w:rPr>
          <w:rFonts w:eastAsiaTheme="minorHAnsi"/>
          <w:lang w:eastAsia="en-US"/>
        </w:rPr>
        <w:t>; Goldberg 2004; Melani 2003</w:t>
      </w:r>
      <w:r w:rsidR="007C3B7B">
        <w:rPr>
          <w:rFonts w:eastAsiaTheme="minorHAnsi"/>
          <w:lang w:eastAsia="en-US"/>
        </w:rPr>
        <w:fldChar w:fldCharType="begin"/>
      </w:r>
      <w:r w:rsidR="007C3B7B">
        <w:rPr>
          <w:rFonts w:eastAsiaTheme="minorHAnsi"/>
          <w:lang w:eastAsia="en-US"/>
        </w:rPr>
        <w:instrText xml:space="preserve"> NOTEREF _Ref460680055 \f \h  \* MERGEFORMAT </w:instrText>
      </w:r>
      <w:r w:rsidR="007C3B7B">
        <w:rPr>
          <w:rFonts w:eastAsiaTheme="minorHAnsi"/>
          <w:lang w:eastAsia="en-US"/>
        </w:rPr>
      </w:r>
      <w:r w:rsidR="007C3B7B">
        <w:rPr>
          <w:rFonts w:eastAsiaTheme="minorHAnsi"/>
          <w:lang w:eastAsia="en-US"/>
        </w:rPr>
        <w:fldChar w:fldCharType="separate"/>
      </w:r>
      <w:r w:rsidR="00CA6F76" w:rsidRPr="00CA6F76">
        <w:rPr>
          <w:rStyle w:val="EndnoteReference"/>
        </w:rPr>
        <w:t>73</w:t>
      </w:r>
      <w:r w:rsidR="007C3B7B">
        <w:rPr>
          <w:rFonts w:eastAsiaTheme="minorHAnsi"/>
          <w:lang w:eastAsia="en-US"/>
        </w:rPr>
        <w:fldChar w:fldCharType="end"/>
      </w:r>
      <w:r w:rsidR="007C3B7B" w:rsidRPr="00912F4E">
        <w:rPr>
          <w:rFonts w:eastAsiaTheme="minorHAnsi"/>
          <w:lang w:eastAsia="en-US"/>
        </w:rPr>
        <w:t>; Kerzner 2003</w:t>
      </w:r>
      <w:r w:rsidR="007C3B7B">
        <w:rPr>
          <w:rFonts w:eastAsiaTheme="minorHAnsi"/>
          <w:lang w:eastAsia="en-US"/>
        </w:rPr>
        <w:fldChar w:fldCharType="begin"/>
      </w:r>
      <w:r w:rsidR="007C3B7B">
        <w:rPr>
          <w:rFonts w:eastAsiaTheme="minorHAnsi"/>
          <w:lang w:eastAsia="en-US"/>
        </w:rPr>
        <w:instrText xml:space="preserve"> NOTEREF _Ref460679746 \f \h  \* MERGEFORMAT </w:instrText>
      </w:r>
      <w:r w:rsidR="007C3B7B">
        <w:rPr>
          <w:rFonts w:eastAsiaTheme="minorHAnsi"/>
          <w:lang w:eastAsia="en-US"/>
        </w:rPr>
      </w:r>
      <w:r w:rsidR="007C3B7B">
        <w:rPr>
          <w:rFonts w:eastAsiaTheme="minorHAnsi"/>
          <w:lang w:eastAsia="en-US"/>
        </w:rPr>
        <w:fldChar w:fldCharType="separate"/>
      </w:r>
      <w:r w:rsidR="00CA6F76" w:rsidRPr="00CA6F76">
        <w:rPr>
          <w:rStyle w:val="EndnoteReference"/>
        </w:rPr>
        <w:t>65</w:t>
      </w:r>
      <w:r w:rsidR="007C3B7B">
        <w:rPr>
          <w:rFonts w:eastAsiaTheme="minorHAnsi"/>
          <w:lang w:eastAsia="en-US"/>
        </w:rPr>
        <w:fldChar w:fldCharType="end"/>
      </w:r>
      <w:r w:rsidR="007C3B7B" w:rsidRPr="00912F4E">
        <w:rPr>
          <w:rFonts w:eastAsiaTheme="minorHAnsi"/>
          <w:lang w:eastAsia="en-US"/>
        </w:rPr>
        <w:t>;  Knopp 2003</w:t>
      </w:r>
      <w:r w:rsidR="007C3B7B">
        <w:rPr>
          <w:rFonts w:eastAsiaTheme="minorHAnsi"/>
          <w:lang w:eastAsia="en-US"/>
        </w:rPr>
        <w:fldChar w:fldCharType="begin"/>
      </w:r>
      <w:r w:rsidR="007C3B7B">
        <w:rPr>
          <w:rFonts w:eastAsiaTheme="minorHAnsi"/>
          <w:lang w:eastAsia="en-US"/>
        </w:rPr>
        <w:instrText xml:space="preserve"> NOTEREF _Ref460662452 \f \h  \* MERGEFORMAT </w:instrText>
      </w:r>
      <w:r w:rsidR="007C3B7B">
        <w:rPr>
          <w:rFonts w:eastAsiaTheme="minorHAnsi"/>
          <w:lang w:eastAsia="en-US"/>
        </w:rPr>
      </w:r>
      <w:r w:rsidR="007C3B7B">
        <w:rPr>
          <w:rFonts w:eastAsiaTheme="minorHAnsi"/>
          <w:lang w:eastAsia="en-US"/>
        </w:rPr>
        <w:fldChar w:fldCharType="separate"/>
      </w:r>
      <w:r w:rsidR="00CA6F76" w:rsidRPr="00CA6F76">
        <w:rPr>
          <w:rStyle w:val="EndnoteReference"/>
        </w:rPr>
        <w:t>3</w:t>
      </w:r>
      <w:r w:rsidR="007C3B7B">
        <w:rPr>
          <w:rFonts w:eastAsiaTheme="minorHAnsi"/>
          <w:lang w:eastAsia="en-US"/>
        </w:rPr>
        <w:fldChar w:fldCharType="end"/>
      </w:r>
      <w:r w:rsidR="007C3B7B">
        <w:rPr>
          <w:rFonts w:eastAsiaTheme="minorHAnsi"/>
          <w:lang w:eastAsia="en-US"/>
        </w:rPr>
        <w:t xml:space="preserve">) </w:t>
      </w:r>
      <w:r w:rsidR="007C3B7B">
        <w:t>were included in the comprehensive high quality systematic review and meta-analysis by Pandor (2009)</w:t>
      </w:r>
      <w:r w:rsidR="007C3B7B">
        <w:fldChar w:fldCharType="begin"/>
      </w:r>
      <w:r w:rsidR="007C3B7B">
        <w:instrText xml:space="preserve"> NOTEREF _Ref460681521 \f \h  \* MERGEFORMAT </w:instrText>
      </w:r>
      <w:r w:rsidR="007C3B7B">
        <w:fldChar w:fldCharType="separate"/>
      </w:r>
      <w:r w:rsidR="00CA6F76" w:rsidRPr="00CA6F76">
        <w:rPr>
          <w:rStyle w:val="EndnoteReference"/>
        </w:rPr>
        <w:t>35</w:t>
      </w:r>
      <w:r w:rsidR="007C3B7B">
        <w:fldChar w:fldCharType="end"/>
      </w:r>
      <w:r w:rsidR="005B1E88">
        <w:t xml:space="preserve"> described in </w:t>
      </w:r>
      <w:r w:rsidR="005B1E88" w:rsidRPr="002C731B">
        <w:t xml:space="preserve">section </w:t>
      </w:r>
      <w:r w:rsidR="005B1E88">
        <w:t xml:space="preserve">2.2.3. The results of meta-analysis of the mean % LDL-C reduction from the baseline reported by Pandor (2009) are reproduced in Table 2.2.3.3. </w:t>
      </w:r>
      <w:r w:rsidR="007C3B7B">
        <w:t>We have identified one a</w:t>
      </w:r>
      <w:r w:rsidR="00AB5F87">
        <w:t>dditional study by Farnier (2005</w:t>
      </w:r>
      <w:r w:rsidR="007C3B7B">
        <w:t>)</w:t>
      </w:r>
      <w:r w:rsidR="007C3B7B">
        <w:fldChar w:fldCharType="begin"/>
      </w:r>
      <w:r w:rsidR="007C3B7B">
        <w:instrText xml:space="preserve"> NOTEREF _Ref460686402 \f \h  \* MERGEFORMAT </w:instrText>
      </w:r>
      <w:r w:rsidR="007C3B7B">
        <w:fldChar w:fldCharType="separate"/>
      </w:r>
      <w:r w:rsidR="00CA6F76" w:rsidRPr="00CA6F76">
        <w:rPr>
          <w:rStyle w:val="EndnoteReference"/>
        </w:rPr>
        <w:t>82</w:t>
      </w:r>
      <w:r w:rsidR="007C3B7B">
        <w:fldChar w:fldCharType="end"/>
      </w:r>
      <w:r w:rsidR="007C3B7B">
        <w:t xml:space="preserve"> that </w:t>
      </w:r>
      <w:r w:rsidR="00AB5F87">
        <w:t>met the selection criteria</w:t>
      </w:r>
      <w:r w:rsidR="005B1E88">
        <w:t>,</w:t>
      </w:r>
      <w:r w:rsidR="007C3B7B" w:rsidRPr="009A77F6">
        <w:t xml:space="preserve"> </w:t>
      </w:r>
      <w:r w:rsidR="005B1E88">
        <w:t>and updated the published meta-analysis results</w:t>
      </w:r>
      <w:r w:rsidR="007C3B7B">
        <w:t>.  Characteristics of the trials are presented in Table 2.4.2.</w:t>
      </w:r>
      <w:r w:rsidR="007C3B7B" w:rsidRPr="007C3B7B">
        <w:t xml:space="preserve"> </w:t>
      </w:r>
    </w:p>
    <w:p w14:paraId="2906AB33" w14:textId="77777777" w:rsidR="00D80325" w:rsidRDefault="00D80325" w:rsidP="007C3B7B">
      <w:pPr>
        <w:autoSpaceDE w:val="0"/>
        <w:autoSpaceDN w:val="0"/>
        <w:adjustRightInd w:val="0"/>
        <w:spacing w:after="0" w:line="240" w:lineRule="auto"/>
        <w:jc w:val="both"/>
      </w:pPr>
    </w:p>
    <w:p w14:paraId="477CBACE" w14:textId="2C6E1054" w:rsidR="009F25AB" w:rsidRDefault="00D80325" w:rsidP="009B065A">
      <w:pPr>
        <w:spacing w:after="0"/>
        <w:jc w:val="both"/>
      </w:pPr>
      <w:r w:rsidRPr="00D90395">
        <w:t xml:space="preserve">Table </w:t>
      </w:r>
      <w:r w:rsidR="009B065A">
        <w:t>A5.2</w:t>
      </w:r>
      <w:r w:rsidRPr="00D90395">
        <w:t xml:space="preserve"> </w:t>
      </w:r>
      <w:r w:rsidR="009B065A">
        <w:t xml:space="preserve">in Appendix </w:t>
      </w:r>
      <w:r w:rsidRPr="00D90395">
        <w:t>shows</w:t>
      </w:r>
      <w:r>
        <w:t xml:space="preserve"> the percentage reduction in LDL-c level from the baseline in </w:t>
      </w:r>
      <w:r w:rsidR="009B065A">
        <w:t xml:space="preserve">nine </w:t>
      </w:r>
      <w:r>
        <w:t xml:space="preserve">ezetimibe </w:t>
      </w:r>
      <w:r w:rsidRPr="00EB7238">
        <w:t>monotherapy trials.</w:t>
      </w:r>
      <w:r>
        <w:t xml:space="preserve"> Additi</w:t>
      </w:r>
      <w:r w:rsidR="00AB5F87">
        <w:t>on of the study by Farnier (2005</w:t>
      </w:r>
      <w:r>
        <w:t>) did not alter the conclusions reported by Pandor (2009).</w:t>
      </w:r>
      <w:r w:rsidR="009B065A">
        <w:t xml:space="preserve"> </w:t>
      </w:r>
      <w:r w:rsidR="00847C3A" w:rsidRPr="00DE4571">
        <w:t>Figures 2</w:t>
      </w:r>
      <w:r w:rsidR="00DE4571">
        <w:t>.5.</w:t>
      </w:r>
      <w:r w:rsidR="00B5058F">
        <w:t>4</w:t>
      </w:r>
      <w:r w:rsidR="00DE4571">
        <w:t>.1 – 2.5.</w:t>
      </w:r>
      <w:r w:rsidR="00B5058F">
        <w:t>4</w:t>
      </w:r>
      <w:r w:rsidR="00DE4571">
        <w:t>.</w:t>
      </w:r>
      <w:r w:rsidR="009B065A">
        <w:t>3</w:t>
      </w:r>
      <w:r w:rsidR="00847C3A">
        <w:t xml:space="preserve"> show the forest plots with weighted mean difference for each study and for the pooled data. </w:t>
      </w:r>
      <w:r w:rsidR="005C5678">
        <w:t>Figure</w:t>
      </w:r>
      <w:r w:rsidR="009B065A">
        <w:t>s</w:t>
      </w:r>
      <w:r w:rsidR="005C5678">
        <w:t xml:space="preserve"> 2</w:t>
      </w:r>
      <w:r w:rsidR="00B5058F">
        <w:t>.5.4</w:t>
      </w:r>
      <w:r w:rsidR="005C5678">
        <w:t>.1</w:t>
      </w:r>
      <w:r w:rsidR="009B065A">
        <w:t xml:space="preserve"> and 2.5.</w:t>
      </w:r>
      <w:r w:rsidR="00B5058F">
        <w:t>4</w:t>
      </w:r>
      <w:r w:rsidR="009B065A">
        <w:t>.3</w:t>
      </w:r>
      <w:r w:rsidR="005C5678">
        <w:t xml:space="preserve"> </w:t>
      </w:r>
      <w:r w:rsidR="009B065A">
        <w:t>replicate</w:t>
      </w:r>
      <w:r w:rsidR="001970D8">
        <w:t>d</w:t>
      </w:r>
      <w:r w:rsidR="005C5678">
        <w:t xml:space="preserve"> the meta-</w:t>
      </w:r>
      <w:r w:rsidR="009B065A">
        <w:t>analyse</w:t>
      </w:r>
      <w:r w:rsidR="005C5678">
        <w:t xml:space="preserve">s reported in the systematic review by Pandor (2009). </w:t>
      </w:r>
      <w:r w:rsidR="009B065A">
        <w:t>R</w:t>
      </w:r>
      <w:r w:rsidR="005C5678">
        <w:t xml:space="preserve">esults reported in Farnier (2005) were not included </w:t>
      </w:r>
      <w:r w:rsidR="001970D8">
        <w:t>in the</w:t>
      </w:r>
      <w:r w:rsidR="009B065A">
        <w:t>s</w:t>
      </w:r>
      <w:r w:rsidR="001970D8">
        <w:t>e</w:t>
      </w:r>
      <w:r w:rsidR="009B065A">
        <w:t xml:space="preserve"> analyse</w:t>
      </w:r>
      <w:r w:rsidR="00376086">
        <w:t xml:space="preserve">s </w:t>
      </w:r>
      <w:r w:rsidR="009B065A">
        <w:t>as no</w:t>
      </w:r>
      <w:r w:rsidR="005C5678">
        <w:t xml:space="preserve"> measure of variation around LDL-C </w:t>
      </w:r>
      <w:r w:rsidR="009B065A">
        <w:t xml:space="preserve">or TC </w:t>
      </w:r>
      <w:r w:rsidR="005C5678">
        <w:t>endpoint</w:t>
      </w:r>
      <w:r w:rsidR="009B065A">
        <w:t>s</w:t>
      </w:r>
      <w:r w:rsidR="005C5678">
        <w:t xml:space="preserve"> w</w:t>
      </w:r>
      <w:r w:rsidR="001970D8">
        <w:t>as</w:t>
      </w:r>
      <w:r w:rsidR="005C5678">
        <w:t xml:space="preserve"> reported in this study. </w:t>
      </w:r>
      <w:r w:rsidR="001970D8">
        <w:t>Figure</w:t>
      </w:r>
      <w:r w:rsidR="009B065A" w:rsidRPr="00DE4571">
        <w:t xml:space="preserve"> 2</w:t>
      </w:r>
      <w:r w:rsidR="009B065A">
        <w:t>.5.</w:t>
      </w:r>
      <w:r w:rsidR="00B5058F">
        <w:t>4</w:t>
      </w:r>
      <w:r w:rsidR="009B065A">
        <w:t>.1 shows that e</w:t>
      </w:r>
      <w:r w:rsidR="00847C3A">
        <w:t>zetimibe monotherapy signific</w:t>
      </w:r>
      <w:r w:rsidR="00FE77D5">
        <w:t>antly reduced LDL-C concentrations by -18.57</w:t>
      </w:r>
      <w:r w:rsidR="00847C3A">
        <w:t>% (95% CI: -19.</w:t>
      </w:r>
      <w:r w:rsidR="00FE77D5">
        <w:t>70</w:t>
      </w:r>
      <w:r w:rsidR="00847C3A">
        <w:t xml:space="preserve"> to -17.4</w:t>
      </w:r>
      <w:r w:rsidR="00FE77D5">
        <w:t>5</w:t>
      </w:r>
      <w:r w:rsidR="00847C3A">
        <w:t>) compared with placebo</w:t>
      </w:r>
      <w:r w:rsidR="00376086">
        <w:t xml:space="preserve"> (P &lt; 0.00001)</w:t>
      </w:r>
      <w:r w:rsidR="00847C3A">
        <w:t xml:space="preserve">. </w:t>
      </w:r>
      <w:r w:rsidR="00376086">
        <w:t>Note: the degree of heterogeneity (assessed in Chi-square and I</w:t>
      </w:r>
      <w:r w:rsidR="00376086" w:rsidRPr="00376086">
        <w:rPr>
          <w:vertAlign w:val="superscript"/>
        </w:rPr>
        <w:t>2</w:t>
      </w:r>
      <w:r w:rsidR="00376086">
        <w:t xml:space="preserve"> are borderline significant).</w:t>
      </w:r>
    </w:p>
    <w:p w14:paraId="6728B741" w14:textId="77777777" w:rsidR="000717E8" w:rsidRDefault="000717E8" w:rsidP="00D80325">
      <w:pPr>
        <w:autoSpaceDE w:val="0"/>
        <w:autoSpaceDN w:val="0"/>
        <w:adjustRightInd w:val="0"/>
        <w:spacing w:after="0" w:line="240" w:lineRule="auto"/>
        <w:jc w:val="both"/>
        <w:rPr>
          <w:b/>
          <w:color w:val="FF0000"/>
        </w:rPr>
      </w:pPr>
    </w:p>
    <w:p w14:paraId="7B1F0BC2" w14:textId="4BC49C44" w:rsidR="00DE4571" w:rsidRPr="00DE4571" w:rsidRDefault="00B5058F" w:rsidP="0021149C">
      <w:pPr>
        <w:keepNext/>
        <w:keepLines/>
        <w:rPr>
          <w:b/>
        </w:rPr>
      </w:pPr>
      <w:r>
        <w:rPr>
          <w:b/>
        </w:rPr>
        <w:t>Figure 2.5.4</w:t>
      </w:r>
      <w:r w:rsidR="00DE4571" w:rsidRPr="00DE4571">
        <w:rPr>
          <w:b/>
        </w:rPr>
        <w:t xml:space="preserve">.1 Mean percentage change in LDL cholesterol concentrations from baseline </w:t>
      </w:r>
    </w:p>
    <w:p w14:paraId="71131426" w14:textId="77777777" w:rsidR="00DE4571" w:rsidRPr="00DE4571" w:rsidRDefault="00DE4571" w:rsidP="0021149C">
      <w:pPr>
        <w:keepNext/>
        <w:keepLines/>
      </w:pPr>
      <w:r w:rsidRPr="00DE4571">
        <w:rPr>
          <w:noProof/>
          <w:lang w:eastAsia="en-AU"/>
        </w:rPr>
        <w:drawing>
          <wp:inline distT="0" distB="0" distL="0" distR="0" wp14:anchorId="0DBCD895" wp14:editId="20CD7FE8">
            <wp:extent cx="5731510" cy="2023745"/>
            <wp:effectExtent l="0" t="0" r="2540" b="0"/>
            <wp:docPr id="14348" name="Picture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2023745"/>
                    </a:xfrm>
                    <a:prstGeom prst="rect">
                      <a:avLst/>
                    </a:prstGeom>
                  </pic:spPr>
                </pic:pic>
              </a:graphicData>
            </a:graphic>
          </wp:inline>
        </w:drawing>
      </w:r>
    </w:p>
    <w:p w14:paraId="03F8ED9E" w14:textId="77777777" w:rsidR="00DE4571" w:rsidRPr="00DE4571" w:rsidRDefault="00DE4571" w:rsidP="0021149C">
      <w:pPr>
        <w:keepNext/>
        <w:keepLines/>
        <w:rPr>
          <w:sz w:val="16"/>
          <w:szCs w:val="16"/>
        </w:rPr>
      </w:pPr>
      <w:r w:rsidRPr="00DE4571">
        <w:rPr>
          <w:sz w:val="16"/>
          <w:szCs w:val="16"/>
        </w:rPr>
        <w:t>CI=confidence interval; df=degrees of freedom; N=total number of patients; SD=standard deviation; WMD=weighted mean difference</w:t>
      </w:r>
    </w:p>
    <w:p w14:paraId="476CC796" w14:textId="77777777" w:rsidR="00EE76AA" w:rsidRDefault="0092020E" w:rsidP="0092020E">
      <w:pPr>
        <w:jc w:val="both"/>
      </w:pPr>
      <w:r>
        <w:t xml:space="preserve">Farnier (2005) reported a measure of variation only around HDL-C endpoints, </w:t>
      </w:r>
      <w:r w:rsidR="00376086">
        <w:t>which allowed us to add these results to the results reported by Pandor (2009)</w:t>
      </w:r>
      <w:r w:rsidR="000A36CD">
        <w:t>, although the pooled weighted mean difference changed very little</w:t>
      </w:r>
      <w:r w:rsidR="00EE76AA">
        <w:t xml:space="preserve">. </w:t>
      </w:r>
    </w:p>
    <w:p w14:paraId="7F72715D" w14:textId="33318E66" w:rsidR="008D51F0" w:rsidRPr="00DE4571" w:rsidRDefault="001970D8" w:rsidP="0092020E">
      <w:pPr>
        <w:jc w:val="both"/>
      </w:pPr>
      <w:r w:rsidRPr="00DE4571">
        <w:t>Figures 2</w:t>
      </w:r>
      <w:r>
        <w:t>.5.</w:t>
      </w:r>
      <w:r w:rsidR="00B5058F">
        <w:t>4</w:t>
      </w:r>
      <w:r>
        <w:t>.2 shows that e</w:t>
      </w:r>
      <w:r w:rsidR="008D51F0">
        <w:t>zetimibe monotherapy significantly raised HDL-C concentrations by 2.9% (95% CI: 2.00 to 3.84) compared with placebo (P &lt; 0.00001).</w:t>
      </w:r>
      <w:r w:rsidR="000A36CD">
        <w:t xml:space="preserve"> The test for heterogeneity </w:t>
      </w:r>
      <w:r w:rsidR="003822CB">
        <w:t>produced a</w:t>
      </w:r>
      <w:r w:rsidR="000A36CD">
        <w:t xml:space="preserve"> non-significant </w:t>
      </w:r>
      <w:r w:rsidR="003822CB">
        <w:t xml:space="preserve">value </w:t>
      </w:r>
      <w:r w:rsidR="000A36CD">
        <w:t>(I</w:t>
      </w:r>
      <w:r w:rsidR="000A36CD" w:rsidRPr="00376086">
        <w:rPr>
          <w:vertAlign w:val="superscript"/>
        </w:rPr>
        <w:t>2</w:t>
      </w:r>
      <w:r w:rsidR="000A36CD">
        <w:t>=0%).</w:t>
      </w:r>
    </w:p>
    <w:p w14:paraId="4D4D927C" w14:textId="3CF9EB19" w:rsidR="00DE4571" w:rsidRDefault="00B5058F" w:rsidP="0021149C">
      <w:pPr>
        <w:keepNext/>
        <w:keepLines/>
        <w:rPr>
          <w:b/>
        </w:rPr>
      </w:pPr>
      <w:r>
        <w:rPr>
          <w:b/>
        </w:rPr>
        <w:t>Figure 2.5.4</w:t>
      </w:r>
      <w:r w:rsidR="00DE4571" w:rsidRPr="00DE4571">
        <w:rPr>
          <w:b/>
        </w:rPr>
        <w:t xml:space="preserve">.2 </w:t>
      </w:r>
      <w:r w:rsidR="005C5678">
        <w:rPr>
          <w:b/>
        </w:rPr>
        <w:t>Mean percentage change in H</w:t>
      </w:r>
      <w:r w:rsidR="00DE4571" w:rsidRPr="00DE4571">
        <w:rPr>
          <w:b/>
        </w:rPr>
        <w:t xml:space="preserve">DL cholesterol concentrations from baseline </w:t>
      </w:r>
    </w:p>
    <w:p w14:paraId="798741B0" w14:textId="6E9CB843" w:rsidR="00197799" w:rsidRPr="00DE4571" w:rsidRDefault="008C12AD" w:rsidP="0021149C">
      <w:pPr>
        <w:keepNext/>
        <w:keepLines/>
        <w:rPr>
          <w:b/>
        </w:rPr>
      </w:pPr>
      <w:r w:rsidRPr="008C12AD">
        <w:rPr>
          <w:b/>
          <w:noProof/>
          <w:lang w:eastAsia="en-AU"/>
        </w:rPr>
        <w:drawing>
          <wp:inline distT="0" distB="0" distL="0" distR="0" wp14:anchorId="0D55DE59" wp14:editId="409562B8">
            <wp:extent cx="5731510" cy="2485390"/>
            <wp:effectExtent l="0" t="0" r="2540" b="0"/>
            <wp:docPr id="14351" name="Picture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2485390"/>
                    </a:xfrm>
                    <a:prstGeom prst="rect">
                      <a:avLst/>
                    </a:prstGeom>
                  </pic:spPr>
                </pic:pic>
              </a:graphicData>
            </a:graphic>
          </wp:inline>
        </w:drawing>
      </w:r>
    </w:p>
    <w:p w14:paraId="6F2CE152" w14:textId="77777777" w:rsidR="008D51F0" w:rsidRPr="00DE4571" w:rsidRDefault="008D51F0" w:rsidP="0021149C">
      <w:pPr>
        <w:keepNext/>
        <w:keepLines/>
        <w:rPr>
          <w:sz w:val="16"/>
          <w:szCs w:val="16"/>
        </w:rPr>
      </w:pPr>
      <w:r w:rsidRPr="00DE4571">
        <w:rPr>
          <w:sz w:val="16"/>
          <w:szCs w:val="16"/>
        </w:rPr>
        <w:t>CI=</w:t>
      </w:r>
      <w:r w:rsidR="00DE4571" w:rsidRPr="00DE4571">
        <w:rPr>
          <w:sz w:val="16"/>
          <w:szCs w:val="16"/>
        </w:rPr>
        <w:t>confidence</w:t>
      </w:r>
      <w:r w:rsidRPr="00DE4571">
        <w:rPr>
          <w:sz w:val="16"/>
          <w:szCs w:val="16"/>
        </w:rPr>
        <w:t xml:space="preserve"> </w:t>
      </w:r>
      <w:r w:rsidR="00DE4571" w:rsidRPr="00DE4571">
        <w:rPr>
          <w:sz w:val="16"/>
          <w:szCs w:val="16"/>
        </w:rPr>
        <w:t>interval; df</w:t>
      </w:r>
      <w:r w:rsidRPr="00DE4571">
        <w:rPr>
          <w:sz w:val="16"/>
          <w:szCs w:val="16"/>
        </w:rPr>
        <w:t>=</w:t>
      </w:r>
      <w:r w:rsidR="00DE4571" w:rsidRPr="00DE4571">
        <w:rPr>
          <w:sz w:val="16"/>
          <w:szCs w:val="16"/>
        </w:rPr>
        <w:t>degrees of freedom; N</w:t>
      </w:r>
      <w:r w:rsidRPr="00DE4571">
        <w:rPr>
          <w:sz w:val="16"/>
          <w:szCs w:val="16"/>
        </w:rPr>
        <w:t>=</w:t>
      </w:r>
      <w:r w:rsidR="00DE4571" w:rsidRPr="00DE4571">
        <w:rPr>
          <w:sz w:val="16"/>
          <w:szCs w:val="16"/>
        </w:rPr>
        <w:t>total number of patients; SD</w:t>
      </w:r>
      <w:r w:rsidRPr="00DE4571">
        <w:rPr>
          <w:sz w:val="16"/>
          <w:szCs w:val="16"/>
        </w:rPr>
        <w:t>=</w:t>
      </w:r>
      <w:r w:rsidR="00DE4571" w:rsidRPr="00DE4571">
        <w:rPr>
          <w:sz w:val="16"/>
          <w:szCs w:val="16"/>
        </w:rPr>
        <w:t>standard deviation; WMD</w:t>
      </w:r>
      <w:r w:rsidRPr="00DE4571">
        <w:rPr>
          <w:sz w:val="16"/>
          <w:szCs w:val="16"/>
        </w:rPr>
        <w:t>=</w:t>
      </w:r>
      <w:r w:rsidR="00DE4571" w:rsidRPr="00DE4571">
        <w:rPr>
          <w:sz w:val="16"/>
          <w:szCs w:val="16"/>
        </w:rPr>
        <w:t>weighted mean difference</w:t>
      </w:r>
    </w:p>
    <w:p w14:paraId="7B51B8BF" w14:textId="77777777" w:rsidR="000A36CD" w:rsidRDefault="000A36CD" w:rsidP="000717E8">
      <w:pPr>
        <w:jc w:val="both"/>
        <w:rPr>
          <w:b/>
        </w:rPr>
      </w:pPr>
    </w:p>
    <w:p w14:paraId="0D25380A" w14:textId="4939D7C6" w:rsidR="000A36CD" w:rsidRDefault="000A36CD" w:rsidP="000A36CD">
      <w:r>
        <w:t>Systematic review by Pandor (2009) found that e</w:t>
      </w:r>
      <w:r w:rsidRPr="000A36CD">
        <w:t xml:space="preserve">zetimibe monotherapy also significantly </w:t>
      </w:r>
      <w:r>
        <w:t xml:space="preserve">improved </w:t>
      </w:r>
      <w:r w:rsidR="003822CB">
        <w:t>total cholesterol</w:t>
      </w:r>
      <w:r>
        <w:t xml:space="preserve"> (-</w:t>
      </w:r>
      <w:r w:rsidRPr="000A36CD">
        <w:t>13.46%, 95%</w:t>
      </w:r>
      <w:r>
        <w:t xml:space="preserve"> CI: -14.22 to -</w:t>
      </w:r>
      <w:r w:rsidRPr="000A36CD">
        <w:t>12.70), (P &lt;</w:t>
      </w:r>
      <w:r>
        <w:t xml:space="preserve"> </w:t>
      </w:r>
      <w:r w:rsidRPr="000A36CD">
        <w:t>0.00001)</w:t>
      </w:r>
      <w:r w:rsidR="001970D8">
        <w:t xml:space="preserve"> (Figure</w:t>
      </w:r>
      <w:r w:rsidR="001970D8" w:rsidRPr="00DE4571">
        <w:t xml:space="preserve"> </w:t>
      </w:r>
      <w:r w:rsidR="001970D8">
        <w:t>2.5.</w:t>
      </w:r>
      <w:r w:rsidR="00B5058F">
        <w:t>4</w:t>
      </w:r>
      <w:r w:rsidR="001970D8">
        <w:t>.3).</w:t>
      </w:r>
    </w:p>
    <w:p w14:paraId="714580F6" w14:textId="64B334E9" w:rsidR="001970D8" w:rsidRDefault="00B5058F" w:rsidP="001970D8">
      <w:pPr>
        <w:keepNext/>
        <w:keepLines/>
        <w:spacing w:after="0" w:line="240" w:lineRule="auto"/>
        <w:rPr>
          <w:b/>
        </w:rPr>
      </w:pPr>
      <w:r>
        <w:rPr>
          <w:b/>
        </w:rPr>
        <w:t>Figure 2.5.4</w:t>
      </w:r>
      <w:r w:rsidR="001970D8">
        <w:rPr>
          <w:b/>
        </w:rPr>
        <w:t>.3</w:t>
      </w:r>
      <w:r w:rsidR="001970D8" w:rsidRPr="00DE4571">
        <w:rPr>
          <w:b/>
        </w:rPr>
        <w:t xml:space="preserve"> </w:t>
      </w:r>
      <w:r w:rsidR="001970D8">
        <w:rPr>
          <w:b/>
        </w:rPr>
        <w:t xml:space="preserve">Mean percentage change in total </w:t>
      </w:r>
      <w:r w:rsidR="00DE4571" w:rsidRPr="00DE4571">
        <w:rPr>
          <w:b/>
        </w:rPr>
        <w:t>cholesterol concentrations from baseline</w:t>
      </w:r>
      <w:r w:rsidR="001970D8" w:rsidRPr="00DE4571">
        <w:rPr>
          <w:b/>
        </w:rPr>
        <w:t xml:space="preserve"> </w:t>
      </w:r>
    </w:p>
    <w:p w14:paraId="206F84C7" w14:textId="77777777" w:rsidR="001970D8" w:rsidRDefault="001970D8" w:rsidP="001970D8">
      <w:pPr>
        <w:keepNext/>
        <w:keepLines/>
        <w:spacing w:after="0" w:line="240" w:lineRule="auto"/>
      </w:pPr>
    </w:p>
    <w:p w14:paraId="2F66F1BF" w14:textId="151C7431" w:rsidR="001970D8" w:rsidRDefault="001970D8" w:rsidP="001970D8">
      <w:pPr>
        <w:keepNext/>
        <w:keepLines/>
        <w:spacing w:after="0" w:line="240" w:lineRule="auto"/>
      </w:pPr>
      <w:r w:rsidRPr="001970D8">
        <w:rPr>
          <w:noProof/>
          <w:lang w:eastAsia="en-AU"/>
        </w:rPr>
        <w:drawing>
          <wp:inline distT="0" distB="0" distL="0" distR="0" wp14:anchorId="7FA23F4F" wp14:editId="539681A0">
            <wp:extent cx="5731510" cy="2338705"/>
            <wp:effectExtent l="0" t="0" r="2540" b="4445"/>
            <wp:docPr id="14355" name="Picture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2338705"/>
                    </a:xfrm>
                    <a:prstGeom prst="rect">
                      <a:avLst/>
                    </a:prstGeom>
                  </pic:spPr>
                </pic:pic>
              </a:graphicData>
            </a:graphic>
          </wp:inline>
        </w:drawing>
      </w:r>
    </w:p>
    <w:p w14:paraId="321AC95B" w14:textId="77777777" w:rsidR="001970D8" w:rsidRPr="00DE4571" w:rsidRDefault="001970D8" w:rsidP="001970D8">
      <w:pPr>
        <w:keepNext/>
        <w:keepLines/>
        <w:spacing w:after="0" w:line="240" w:lineRule="auto"/>
        <w:rPr>
          <w:sz w:val="16"/>
          <w:szCs w:val="16"/>
        </w:rPr>
      </w:pPr>
      <w:r w:rsidRPr="00DE4571">
        <w:rPr>
          <w:sz w:val="16"/>
          <w:szCs w:val="16"/>
        </w:rPr>
        <w:t>CI=</w:t>
      </w:r>
      <w:r w:rsidR="00DE4571" w:rsidRPr="00DE4571">
        <w:rPr>
          <w:sz w:val="16"/>
          <w:szCs w:val="16"/>
        </w:rPr>
        <w:t>confidence</w:t>
      </w:r>
      <w:r w:rsidRPr="00DE4571">
        <w:rPr>
          <w:sz w:val="16"/>
          <w:szCs w:val="16"/>
        </w:rPr>
        <w:t xml:space="preserve"> </w:t>
      </w:r>
      <w:r w:rsidR="00DE4571" w:rsidRPr="00DE4571">
        <w:rPr>
          <w:sz w:val="16"/>
          <w:szCs w:val="16"/>
        </w:rPr>
        <w:t>interval; df</w:t>
      </w:r>
      <w:r w:rsidRPr="00DE4571">
        <w:rPr>
          <w:sz w:val="16"/>
          <w:szCs w:val="16"/>
        </w:rPr>
        <w:t>=</w:t>
      </w:r>
      <w:r w:rsidR="00DE4571" w:rsidRPr="00DE4571">
        <w:rPr>
          <w:sz w:val="16"/>
          <w:szCs w:val="16"/>
        </w:rPr>
        <w:t>degrees of freedom; N</w:t>
      </w:r>
      <w:r w:rsidRPr="00DE4571">
        <w:rPr>
          <w:sz w:val="16"/>
          <w:szCs w:val="16"/>
        </w:rPr>
        <w:t>=</w:t>
      </w:r>
      <w:r w:rsidR="00DE4571" w:rsidRPr="00DE4571">
        <w:rPr>
          <w:sz w:val="16"/>
          <w:szCs w:val="16"/>
        </w:rPr>
        <w:t>total number of patients; SD</w:t>
      </w:r>
      <w:r w:rsidRPr="00DE4571">
        <w:rPr>
          <w:sz w:val="16"/>
          <w:szCs w:val="16"/>
        </w:rPr>
        <w:t>=</w:t>
      </w:r>
      <w:r w:rsidR="00DE4571" w:rsidRPr="00DE4571">
        <w:rPr>
          <w:sz w:val="16"/>
          <w:szCs w:val="16"/>
        </w:rPr>
        <w:t>standard deviation; WMD</w:t>
      </w:r>
      <w:r w:rsidRPr="00DE4571">
        <w:rPr>
          <w:sz w:val="16"/>
          <w:szCs w:val="16"/>
        </w:rPr>
        <w:t>=</w:t>
      </w:r>
      <w:r w:rsidR="00DE4571" w:rsidRPr="00DE4571">
        <w:rPr>
          <w:sz w:val="16"/>
          <w:szCs w:val="16"/>
        </w:rPr>
        <w:t>weighted mean difference</w:t>
      </w:r>
    </w:p>
    <w:p w14:paraId="12F73E39" w14:textId="77777777" w:rsidR="001970D8" w:rsidRDefault="001970D8" w:rsidP="000717E8">
      <w:pPr>
        <w:jc w:val="both"/>
        <w:rPr>
          <w:b/>
        </w:rPr>
      </w:pPr>
    </w:p>
    <w:p w14:paraId="25A7B426" w14:textId="0791577C" w:rsidR="000717E8" w:rsidRDefault="001970D8" w:rsidP="000717E8">
      <w:pPr>
        <w:jc w:val="both"/>
        <w:rPr>
          <w:b/>
        </w:rPr>
      </w:pPr>
      <w:r>
        <w:rPr>
          <w:b/>
        </w:rPr>
        <w:t>Results of the</w:t>
      </w:r>
      <w:r w:rsidR="000717E8" w:rsidRPr="000717E8">
        <w:rPr>
          <w:b/>
        </w:rPr>
        <w:t xml:space="preserve"> meta-analys</w:t>
      </w:r>
      <w:r w:rsidR="00DE4571">
        <w:rPr>
          <w:b/>
        </w:rPr>
        <w:t>e</w:t>
      </w:r>
      <w:r w:rsidR="000717E8" w:rsidRPr="000717E8">
        <w:rPr>
          <w:b/>
        </w:rPr>
        <w:t xml:space="preserve">s of </w:t>
      </w:r>
      <w:r w:rsidR="000A36CD">
        <w:rPr>
          <w:b/>
        </w:rPr>
        <w:t xml:space="preserve">eight </w:t>
      </w:r>
      <w:r w:rsidR="000A36CD" w:rsidRPr="000717E8">
        <w:rPr>
          <w:b/>
        </w:rPr>
        <w:t xml:space="preserve">RCTs </w:t>
      </w:r>
      <w:r w:rsidR="000A36CD">
        <w:rPr>
          <w:b/>
        </w:rPr>
        <w:t>(</w:t>
      </w:r>
      <w:r w:rsidR="000717E8" w:rsidRPr="000717E8">
        <w:rPr>
          <w:b/>
        </w:rPr>
        <w:t>nine</w:t>
      </w:r>
      <w:r w:rsidR="000A36CD">
        <w:rPr>
          <w:b/>
        </w:rPr>
        <w:t xml:space="preserve"> for HDL-C results)</w:t>
      </w:r>
      <w:r w:rsidR="000717E8" w:rsidRPr="000717E8">
        <w:rPr>
          <w:b/>
        </w:rPr>
        <w:t xml:space="preserve"> </w:t>
      </w:r>
      <w:r>
        <w:rPr>
          <w:b/>
        </w:rPr>
        <w:t>reported in</w:t>
      </w:r>
      <w:r w:rsidR="000717E8" w:rsidRPr="000717E8">
        <w:rPr>
          <w:b/>
        </w:rPr>
        <w:t xml:space="preserve"> </w:t>
      </w:r>
      <w:r w:rsidR="000A36CD">
        <w:rPr>
          <w:b/>
        </w:rPr>
        <w:t xml:space="preserve">the systematic review by Pandor </w:t>
      </w:r>
      <w:r w:rsidR="000717E8" w:rsidRPr="000717E8">
        <w:rPr>
          <w:b/>
        </w:rPr>
        <w:t>(2009)</w:t>
      </w:r>
      <w:r>
        <w:rPr>
          <w:b/>
        </w:rPr>
        <w:t>, and confirmed by the independent assessment conducted for this review, indicated</w:t>
      </w:r>
      <w:r w:rsidR="000717E8" w:rsidRPr="000717E8">
        <w:rPr>
          <w:b/>
        </w:rPr>
        <w:t xml:space="preserve"> that ezetimibe monotherapy significantly reduced LDL cholesterol concentrations compared with placebo. Significant potentially favourable changes were also observed in </w:t>
      </w:r>
      <w:r w:rsidR="000717E8" w:rsidRPr="000A36CD">
        <w:rPr>
          <w:b/>
        </w:rPr>
        <w:t>total cholesterol and HDL cholesterol</w:t>
      </w:r>
      <w:r w:rsidR="00B803FD" w:rsidRPr="000A36CD">
        <w:rPr>
          <w:b/>
        </w:rPr>
        <w:t>.</w:t>
      </w:r>
      <w:r>
        <w:rPr>
          <w:b/>
        </w:rPr>
        <w:t xml:space="preserve"> However none of the trials included in the meta-analyses enrolled the patients with confirmed statin intolerance of contraindication to statin therapy. Therefore results of the </w:t>
      </w:r>
      <w:r w:rsidRPr="000717E8">
        <w:rPr>
          <w:b/>
        </w:rPr>
        <w:t>meta-analys</w:t>
      </w:r>
      <w:r>
        <w:rPr>
          <w:b/>
        </w:rPr>
        <w:t>e</w:t>
      </w:r>
      <w:r w:rsidRPr="000717E8">
        <w:rPr>
          <w:b/>
        </w:rPr>
        <w:t>s</w:t>
      </w:r>
      <w:r>
        <w:rPr>
          <w:b/>
        </w:rPr>
        <w:t xml:space="preserve"> my not be fully generalizable to the target population.</w:t>
      </w:r>
    </w:p>
    <w:p w14:paraId="41F0ED8E" w14:textId="77777777" w:rsidR="00DE4571" w:rsidRPr="000717E8" w:rsidRDefault="00DE4571" w:rsidP="000717E8">
      <w:pPr>
        <w:jc w:val="both"/>
        <w:rPr>
          <w:b/>
        </w:rPr>
      </w:pPr>
    </w:p>
    <w:p w14:paraId="62187824" w14:textId="6CC4DD94" w:rsidR="0080731E" w:rsidRDefault="0049737B" w:rsidP="00DE4571">
      <w:pPr>
        <w:pStyle w:val="Heading1"/>
        <w:spacing w:before="0"/>
      </w:pPr>
      <w:bookmarkStart w:id="68" w:name="_Toc467857765"/>
      <w:r>
        <w:t>2.6</w:t>
      </w:r>
      <w:r w:rsidR="002F3D06">
        <w:t xml:space="preserve"> </w:t>
      </w:r>
      <w:r w:rsidR="0080731E">
        <w:t>Safety</w:t>
      </w:r>
      <w:bookmarkEnd w:id="68"/>
    </w:p>
    <w:p w14:paraId="56387832" w14:textId="77777777" w:rsidR="00F0611F" w:rsidRPr="003C4B8C" w:rsidRDefault="00F0611F" w:rsidP="00DE4571">
      <w:pPr>
        <w:spacing w:after="0"/>
      </w:pPr>
    </w:p>
    <w:p w14:paraId="153500DB" w14:textId="7B860FEC" w:rsidR="003C4B8C" w:rsidRDefault="0049737B" w:rsidP="00DE4571">
      <w:pPr>
        <w:pStyle w:val="Heading2"/>
        <w:spacing w:before="0"/>
      </w:pPr>
      <w:bookmarkStart w:id="69" w:name="_Toc467857766"/>
      <w:r>
        <w:t>2.6.</w:t>
      </w:r>
      <w:r w:rsidR="003C4B8C">
        <w:t xml:space="preserve">1 </w:t>
      </w:r>
      <w:r w:rsidR="003C4B8C" w:rsidRPr="003C4B8C">
        <w:t xml:space="preserve">Ezetimibe </w:t>
      </w:r>
      <w:r w:rsidR="003C4B8C">
        <w:t xml:space="preserve">administered </w:t>
      </w:r>
      <w:r w:rsidR="003C4B8C" w:rsidRPr="003C4B8C">
        <w:t xml:space="preserve">in combination </w:t>
      </w:r>
      <w:r w:rsidR="003C4B8C">
        <w:t>with statin</w:t>
      </w:r>
      <w:bookmarkEnd w:id="69"/>
    </w:p>
    <w:p w14:paraId="3FBCEA4A" w14:textId="77777777" w:rsidR="007E7E68" w:rsidRDefault="007E7E68" w:rsidP="00DE4571">
      <w:pPr>
        <w:spacing w:after="0"/>
        <w:jc w:val="both"/>
      </w:pPr>
    </w:p>
    <w:p w14:paraId="6A979188" w14:textId="675EED27" w:rsidR="00D80325" w:rsidRPr="00D80325" w:rsidRDefault="00036D3A" w:rsidP="00DE4571">
      <w:pPr>
        <w:spacing w:after="0"/>
        <w:jc w:val="both"/>
      </w:pPr>
      <w:r>
        <w:t>In November 2006 t</w:t>
      </w:r>
      <w:r w:rsidRPr="00036D3A">
        <w:t>he PBAC considered that it was reasonable to conclude that ezetimibe had a slightly different adverse effects profile to that of the statins and so could be co-administered with a statin without any increase in toxicity compared to up-titration of the statin dose</w:t>
      </w:r>
      <w:r>
        <w:t xml:space="preserve"> (PBAC minute 5.2.7)</w:t>
      </w:r>
      <w:r w:rsidRPr="00036D3A">
        <w:t>.</w:t>
      </w:r>
    </w:p>
    <w:p w14:paraId="2814FA02" w14:textId="03497C2A" w:rsidR="00BB53E1" w:rsidRDefault="00BB53E1" w:rsidP="00DE4571">
      <w:pPr>
        <w:spacing w:after="0"/>
        <w:jc w:val="both"/>
      </w:pPr>
      <w:r>
        <w:t xml:space="preserve">In its submission to NICE in 2015, the </w:t>
      </w:r>
      <w:r w:rsidR="005C78D8">
        <w:t>sponsor</w:t>
      </w:r>
      <w:r>
        <w:t xml:space="preserve"> </w:t>
      </w:r>
      <w:r w:rsidR="00511D54">
        <w:t xml:space="preserve">identified 15 studies of ezetimibe compared to placebo and 14 studies of ezetimibe+ simvastatin compared to a statin. </w:t>
      </w:r>
      <w:r>
        <w:t>Therapy with ezetimibe co-administered with a statin was found to have a similar adverse event profile to that of statin therapy alone. The most commonly reported adverse events were gastrointestinal (2–18%) and musculoskeletal disorders (2–17%). It was found that treatment-related adverse events ranged from 7% to 23% in the ezetimibe plus statin arm and from 13% to 19% in the statin-only arm. The number of people that discontinued treatment because of treatment-related adverse events was similar across both treatment groups (2% to 4% in the ezetimibe plus statin arm and 1% to 4% in the statin-only arm).</w:t>
      </w:r>
    </w:p>
    <w:p w14:paraId="4D822203" w14:textId="77777777" w:rsidR="00DE4571" w:rsidRDefault="00DE4571" w:rsidP="00036D3A">
      <w:pPr>
        <w:jc w:val="both"/>
      </w:pPr>
    </w:p>
    <w:p w14:paraId="50159813" w14:textId="15F43F82" w:rsidR="00036D3A" w:rsidRPr="00F0611F" w:rsidRDefault="00F0611F" w:rsidP="00036D3A">
      <w:pPr>
        <w:jc w:val="both"/>
      </w:pPr>
      <w:r>
        <w:t>A summary of adverse events (including any adverse event, any serious adverse event, withdrawals from treatment due to adverse events, hospitalisations and deaths)</w:t>
      </w:r>
      <w:r w:rsidR="00DF6260">
        <w:t xml:space="preserve"> </w:t>
      </w:r>
      <w:r w:rsidR="00BB53E1">
        <w:t>reported in the trial identified in this review</w:t>
      </w:r>
      <w:r>
        <w:t xml:space="preserve"> is provided in Table </w:t>
      </w:r>
      <w:r w:rsidR="002427C7">
        <w:t>A6.1 in Attachment 6</w:t>
      </w:r>
      <w:r>
        <w:t xml:space="preserve">. </w:t>
      </w:r>
      <w:r w:rsidR="00BB53E1" w:rsidRPr="00036D3A">
        <w:rPr>
          <w:i/>
        </w:rPr>
        <w:t xml:space="preserve">A formal meta-analysis of the adverse events </w:t>
      </w:r>
      <w:r w:rsidR="00BB53E1">
        <w:rPr>
          <w:i/>
        </w:rPr>
        <w:t xml:space="preserve">reported in the identified trials </w:t>
      </w:r>
      <w:r w:rsidR="00BB53E1" w:rsidRPr="00036D3A">
        <w:rPr>
          <w:i/>
        </w:rPr>
        <w:t>would be inappropriate due to the inconsistency</w:t>
      </w:r>
      <w:r w:rsidR="00BB53E1">
        <w:rPr>
          <w:i/>
        </w:rPr>
        <w:t xml:space="preserve"> in reporting adverse events across trials</w:t>
      </w:r>
      <w:r w:rsidR="00BB53E1" w:rsidRPr="00036D3A">
        <w:rPr>
          <w:i/>
        </w:rPr>
        <w:t xml:space="preserve">, differences in the methods of assessment of </w:t>
      </w:r>
      <w:r w:rsidR="00BB53E1" w:rsidRPr="00713C43">
        <w:rPr>
          <w:i/>
        </w:rPr>
        <w:t>clinical and laboratory adverse event</w:t>
      </w:r>
      <w:r w:rsidR="00BB53E1">
        <w:rPr>
          <w:i/>
        </w:rPr>
        <w:t>s</w:t>
      </w:r>
      <w:r w:rsidR="00BB53E1" w:rsidRPr="00713C43">
        <w:rPr>
          <w:i/>
        </w:rPr>
        <w:t xml:space="preserve"> </w:t>
      </w:r>
      <w:r w:rsidR="00BB53E1" w:rsidRPr="00036D3A">
        <w:rPr>
          <w:i/>
        </w:rPr>
        <w:t>and different duration of the trials that affect their capacity to detect the rare events.</w:t>
      </w:r>
      <w:r w:rsidR="00BB53E1">
        <w:t xml:space="preserve"> </w:t>
      </w:r>
      <w:r w:rsidRPr="002427C7">
        <w:t xml:space="preserve">Incidences of any adverse event, any serious adverse event and withdrawals from treatment due the adverse events are comparable between </w:t>
      </w:r>
      <w:r w:rsidR="00757439" w:rsidRPr="002427C7">
        <w:t>ezetimibe+statin arms</w:t>
      </w:r>
      <w:r w:rsidRPr="002427C7">
        <w:t xml:space="preserve"> and the respective comparators in each of the trials. </w:t>
      </w:r>
      <w:r w:rsidR="002427C7" w:rsidRPr="002427C7">
        <w:t xml:space="preserve">The investigators of the trials where </w:t>
      </w:r>
      <w:r w:rsidRPr="002427C7">
        <w:t>hospitalisations</w:t>
      </w:r>
      <w:r w:rsidR="002427C7" w:rsidRPr="002427C7">
        <w:t xml:space="preserve"> and deaths</w:t>
      </w:r>
      <w:r w:rsidRPr="002427C7">
        <w:t xml:space="preserve"> were reported</w:t>
      </w:r>
      <w:r w:rsidR="002427C7" w:rsidRPr="002427C7">
        <w:t xml:space="preserve"> did not attribute </w:t>
      </w:r>
      <w:r w:rsidRPr="002427C7">
        <w:t>any</w:t>
      </w:r>
      <w:r w:rsidR="002427C7" w:rsidRPr="002427C7">
        <w:t xml:space="preserve"> of such events to</w:t>
      </w:r>
      <w:r w:rsidRPr="002427C7">
        <w:t xml:space="preserve"> study drug therapy.</w:t>
      </w:r>
      <w:r w:rsidR="00BB53E1">
        <w:t xml:space="preserve"> </w:t>
      </w:r>
    </w:p>
    <w:p w14:paraId="4F67E6F0" w14:textId="4E5AB0DF" w:rsidR="00F0611F" w:rsidRDefault="00F0611F" w:rsidP="00F0611F">
      <w:r>
        <w:t>It is acknowledged that</w:t>
      </w:r>
      <w:r w:rsidR="002427C7">
        <w:t>, with exception of IMPROVE-IT trails (see below),</w:t>
      </w:r>
      <w:r>
        <w:t xml:space="preserve"> the trials </w:t>
      </w:r>
      <w:r w:rsidR="008D76D2">
        <w:t xml:space="preserve">identified for the review </w:t>
      </w:r>
      <w:r>
        <w:t>are unlikely to be adequately powered to detect significant differences between therapies in terms of safety outcomes.</w:t>
      </w:r>
    </w:p>
    <w:p w14:paraId="5C87F2EB" w14:textId="0B18EF2D" w:rsidR="008D720C" w:rsidRDefault="008D720C" w:rsidP="008D76D2">
      <w:pPr>
        <w:jc w:val="both"/>
      </w:pPr>
      <w:r>
        <w:t xml:space="preserve">A systematic review (section 2.2.3) conducted for NICE (UK) in 2008 (Ara, 2008) assessed the safety profile of ezetimibe in combination with a statin versus statin monotherapy. On the basis of adverse </w:t>
      </w:r>
      <w:r w:rsidR="005B520F">
        <w:t>e</w:t>
      </w:r>
      <w:r>
        <w:t>vents reported in the RCTs that met the selection criteria (Bays 2004, Davidson 2002, Goldberg 2004, Rodney 2006</w:t>
      </w:r>
      <w:r w:rsidR="005B520F">
        <w:t>, Ballantyne 2003, Melani 2003,Stein 2004, Ballantyne 2004a,b, Masana 2005) e</w:t>
      </w:r>
      <w:r>
        <w:t xml:space="preserve">zetimibe plus statin </w:t>
      </w:r>
      <w:r w:rsidR="005B520F">
        <w:t xml:space="preserve">appeared to be well tolerated, </w:t>
      </w:r>
      <w:r>
        <w:t>having a similar ov</w:t>
      </w:r>
      <w:r w:rsidR="005B520F">
        <w:t xml:space="preserve">erall safety profile to that of </w:t>
      </w:r>
      <w:r>
        <w:t>statin alone</w:t>
      </w:r>
      <w:r w:rsidR="005B520F">
        <w:t xml:space="preserve">. Some 63% </w:t>
      </w:r>
      <w:r>
        <w:t>and 65% of partic</w:t>
      </w:r>
      <w:r w:rsidR="005B520F">
        <w:t xml:space="preserve">ipants reported having adverse </w:t>
      </w:r>
      <w:r>
        <w:t>effects in com</w:t>
      </w:r>
      <w:r w:rsidR="005B520F">
        <w:t xml:space="preserve">bination and statin alone arms, </w:t>
      </w:r>
      <w:r>
        <w:t xml:space="preserve">respectively. Of </w:t>
      </w:r>
      <w:r w:rsidR="005B520F">
        <w:t xml:space="preserve">these, 17.5% of patients in the </w:t>
      </w:r>
      <w:r>
        <w:t xml:space="preserve">pooled statin arm </w:t>
      </w:r>
      <w:r w:rsidR="005B520F">
        <w:t xml:space="preserve">and 18.5% in the ezetimibe plus </w:t>
      </w:r>
      <w:r>
        <w:t>statin arm we</w:t>
      </w:r>
      <w:r w:rsidR="005B520F">
        <w:t xml:space="preserve">re considered treatment-related </w:t>
      </w:r>
      <w:r>
        <w:t>adverse events. Serious treatment-r</w:t>
      </w:r>
      <w:r w:rsidR="005B520F">
        <w:t xml:space="preserve">elated adverse </w:t>
      </w:r>
      <w:r>
        <w:t>events were not statis</w:t>
      </w:r>
      <w:r w:rsidR="005B520F">
        <w:t xml:space="preserve">tically significant between the </w:t>
      </w:r>
      <w:r>
        <w:t>statin group and the combination group. The</w:t>
      </w:r>
      <w:r w:rsidR="005B520F">
        <w:t xml:space="preserve"> </w:t>
      </w:r>
      <w:r>
        <w:t>numbers of patients discontinuing because of</w:t>
      </w:r>
      <w:r w:rsidR="005B520F">
        <w:t xml:space="preserve"> </w:t>
      </w:r>
      <w:r>
        <w:t>these adverse events were similar across the</w:t>
      </w:r>
      <w:r w:rsidR="005B520F">
        <w:t xml:space="preserve"> </w:t>
      </w:r>
      <w:r>
        <w:t>treatment groups (4.9 and 5.9%, respectively). A</w:t>
      </w:r>
      <w:r w:rsidR="005B520F">
        <w:t xml:space="preserve"> </w:t>
      </w:r>
      <w:r>
        <w:t>total of four deat</w:t>
      </w:r>
      <w:r w:rsidR="005B520F">
        <w:t xml:space="preserve">hs were reported. The causes of </w:t>
      </w:r>
      <w:r>
        <w:t xml:space="preserve">death were CV </w:t>
      </w:r>
      <w:r w:rsidR="005B520F">
        <w:t xml:space="preserve">incidences (n = 2), respiratory </w:t>
      </w:r>
      <w:r>
        <w:t xml:space="preserve">failure (n = 1) and </w:t>
      </w:r>
      <w:r w:rsidR="005B520F">
        <w:t xml:space="preserve">an accident (n = 1). All deaths </w:t>
      </w:r>
      <w:r>
        <w:t>were considered by investigators not to be related</w:t>
      </w:r>
      <w:r w:rsidR="005B520F">
        <w:t xml:space="preserve"> to the treatments. The total incidence of musculoskeletal adverse events was similar in both combination and monotherapy groups (9 and 10%, respectively). No cases of rhabdomyolysis were reported. Consecutive and presumed consecutive elevations in </w:t>
      </w:r>
      <w:r w:rsidR="00FB3C06">
        <w:t>alanine aminotransferase levels (</w:t>
      </w:r>
      <w:r w:rsidR="005B520F">
        <w:t>ALT</w:t>
      </w:r>
      <w:r w:rsidR="00FB3C06">
        <w:t>)</w:t>
      </w:r>
      <w:r w:rsidR="005B520F">
        <w:t xml:space="preserve"> and/or AST level more than three times the upper limit of normal (ULN) were uncommon apart from the study by Ballantyne (2004b) which reported 2.3 versus 2.4% for ALT and 1.2 versus 0.8% for AST in the ezetimibe plus statin versus statin monotherapy arms, respectively. Creatine kinase (CK) values more than 10 times the ULN were reported by &lt;1% of patients across all trials and had a similar incidence in the combination and monotherapy arms. Overall, the majority of the adverse events were considered to be of mild or moderate intensity. Specific clinical syndromes such as myopathy defined by the presence of myalgia in conjunction with CK elevations more than 10 times the ULN and liver function tests showed no pattern of relationship with respect to ezetimibe, administered either alone or with statins. No particular trend was found for any adverse event category in either treatment group. There were no clinically meaningful differences in the ezetimibe combination and monotherapy groups for the incidence of adverse events or in the number of discontinuations because of the adverse events. However the authors acknowledged that </w:t>
      </w:r>
      <w:r w:rsidR="00713C43">
        <w:t>t</w:t>
      </w:r>
      <w:r w:rsidR="005B520F">
        <w:t>he low frequency of adverse events observed in the current review may be explained by the relatively short duration of the RCTs.</w:t>
      </w:r>
    </w:p>
    <w:p w14:paraId="3E5CFCF9" w14:textId="5C8E42B3" w:rsidR="00790BF6" w:rsidRPr="00A6596F" w:rsidRDefault="00790BF6" w:rsidP="00A6596F">
      <w:pPr>
        <w:jc w:val="both"/>
      </w:pPr>
      <w:r>
        <w:t>In the discussion section Pandor and colleagues (2009) commented on the fact that results from the (SEAS) trial (Rossebo 2008</w:t>
      </w:r>
      <w:r>
        <w:rPr>
          <w:rStyle w:val="EndnoteReference"/>
        </w:rPr>
        <w:endnoteReference w:id="90"/>
      </w:r>
      <w:r>
        <w:t>) of ezetimibe (10 mg per day) + simvastatin (40 mg per day) led to controversy about the safety of ezetimibe</w:t>
      </w:r>
      <w:r w:rsidR="005F4D83" w:rsidRPr="0080731E">
        <w:t>.</w:t>
      </w:r>
      <w:r>
        <w:t xml:space="preserve"> This randomized, double-blind trial involving 1873 patients with mild to moderate, asymptomatic aortic stenosis found that after a mean follow-up of approximately 4 years, </w:t>
      </w:r>
      <w:r w:rsidR="00713C43" w:rsidRPr="0080731E">
        <w:t xml:space="preserve">new onset of cancer was higher </w:t>
      </w:r>
      <w:r>
        <w:t>in simvastatin+ ezetimibe arm compared with placebo (105 cases vs. 70</w:t>
      </w:r>
      <w:r w:rsidRPr="00FA1F9C">
        <w:t xml:space="preserve"> </w:t>
      </w:r>
      <w:r>
        <w:t xml:space="preserve">respectively, P = </w:t>
      </w:r>
      <w:r w:rsidR="00713C43" w:rsidRPr="0080731E">
        <w:t>0.006</w:t>
      </w:r>
      <w:r>
        <w:t xml:space="preserve">). To address the concerns a preliminary hypothesis-testing analysis of interim cancer data from two large ongoing trials – the study of heart and renal protection (SHARP trial) in which simvastatin plus ezetimibe is compared with placebo (9264 patients with mean follow-up of 2.7 years), and the </w:t>
      </w:r>
      <w:r w:rsidR="008D76D2">
        <w:t>IMPROVE-IT trial</w:t>
      </w:r>
      <w:r>
        <w:t xml:space="preserve"> in which simvastatin plus ezetimibe is compared with simvastatin plus placebo (11353 patients with mean follow-up of 1.0 years </w:t>
      </w:r>
      <w:r w:rsidRPr="00FA1F9C">
        <w:rPr>
          <w:i/>
        </w:rPr>
        <w:t>at the time of the analysis</w:t>
      </w:r>
      <w:r>
        <w:t>) – was undertaken by Peto (2008</w:t>
      </w:r>
      <w:r>
        <w:rPr>
          <w:rStyle w:val="EndnoteReference"/>
        </w:rPr>
        <w:endnoteReference w:id="91"/>
      </w:r>
      <w:r>
        <w:t>). In this combined analysis there was no significant excess of cancer, either overall (313 active-treatment vs. 326 control, P = 0.61) or at any particular site and there was no suggestion of an emerging trend with longer treatment and follow-up periods. This analysis suggest that the findings of the SEAS trial were a chance effect as was once seen with statins (Wierzbicki 2006</w:t>
      </w:r>
      <w:r>
        <w:rPr>
          <w:rStyle w:val="EndnoteReference"/>
        </w:rPr>
        <w:endnoteReference w:id="92"/>
      </w:r>
      <w:r>
        <w:t>).</w:t>
      </w:r>
    </w:p>
    <w:p w14:paraId="6A667ABD" w14:textId="0CDDAF75" w:rsidR="00F0611F" w:rsidRDefault="007518E0" w:rsidP="00F0611F">
      <w:pPr>
        <w:jc w:val="both"/>
      </w:pPr>
      <w:r>
        <w:t>The</w:t>
      </w:r>
      <w:r w:rsidR="00A6596F">
        <w:t xml:space="preserve"> </w:t>
      </w:r>
      <w:r w:rsidR="00DF6260">
        <w:t xml:space="preserve">comments from </w:t>
      </w:r>
      <w:r w:rsidR="005F4D83">
        <w:t>NICE to the TA385 ezetimi</w:t>
      </w:r>
      <w:r w:rsidR="00DF6260">
        <w:t>be guidance (see Comparison of G</w:t>
      </w:r>
      <w:r w:rsidR="005F4D83">
        <w:t>uidelines report) (</w:t>
      </w:r>
      <w:hyperlink r:id="rId32" w:history="1">
        <w:r w:rsidR="00A6596F" w:rsidRPr="000E4A43">
          <w:rPr>
            <w:rStyle w:val="Hyperlink"/>
          </w:rPr>
          <w:t>https://www.nice.org.uk/guidance/TA385/documents/committee-papers</w:t>
        </w:r>
      </w:hyperlink>
      <w:r w:rsidR="005F4D83">
        <w:t>)</w:t>
      </w:r>
      <w:r w:rsidR="00A6596F">
        <w:t xml:space="preserve"> </w:t>
      </w:r>
      <w:r w:rsidR="005F4D83">
        <w:t>stated that t</w:t>
      </w:r>
      <w:r w:rsidR="00F0611F" w:rsidRPr="00F0611F">
        <w:t>here is no known association between ezetimibe and new onset diabetes, and historically RCTs have not evaluated this outcome. However, because of an apparent association between statins and new onset diabetes, such an analysis was performed using the IMPROVE-IT trial database. For the purpose of this assessment, new onset of diabetes was defined at the individual level as any individual with no recorded prior history of diabetes who had a diabetes-related adverse event reported during IMPROVE-IT and/or received antidiabetic medication post-randomisation when such medication was not reported at baseline. Overall, approximately 7.2% of individuals were either reported or deduced to have developed diabetes over the course of the trial. No clinically meaningful differences between treatment groups were noted; there were 650 (7.2%) individuals with New Onset Diabetes in the ezetimibe/simvastatin group and 659 (7.3%) in the simvastatin group.</w:t>
      </w:r>
    </w:p>
    <w:p w14:paraId="1A9D7C0B" w14:textId="27CCFA1D" w:rsidR="00FB3C06" w:rsidRDefault="008D76D2" w:rsidP="00FB3C06">
      <w:pPr>
        <w:jc w:val="both"/>
      </w:pPr>
      <w:r>
        <w:t>Pre</w:t>
      </w:r>
      <w:r w:rsidR="00FB3C06">
        <w:t>-</w:t>
      </w:r>
      <w:r>
        <w:t>specified safety variables in the IMPROVE-IT</w:t>
      </w:r>
      <w:r w:rsidR="00FB3C06">
        <w:t xml:space="preserve"> </w:t>
      </w:r>
      <w:r>
        <w:t xml:space="preserve">trial </w:t>
      </w:r>
      <w:r w:rsidR="0093102D">
        <w:t xml:space="preserve">(Cannon, 2015) </w:t>
      </w:r>
      <w:r>
        <w:t xml:space="preserve">included liver enzyme levels and creatine kinase levels, episodes of myopathy or rhabdomyolysis, gallbladder related adverse events and cancer. </w:t>
      </w:r>
      <w:r w:rsidR="00FB3C06">
        <w:t>No significant between-group differences were seen in the percentage of patients who had elevations in alanine aminotransferase levels that exceeded three times the upper limit of the normal range or in the rates of gallbladder-related adverse events, cholecystectomy, muscle-related adverse events, or new, relapsing, or worsening cancer. Discontinuation of study medication owing to an adverse event occurred in 10.1% of the patients in the simvastatin-monotherapy group and in 10.6% of those in the simvastatin–ezetimibe group</w:t>
      </w:r>
      <w:r w:rsidR="0093102D">
        <w:t xml:space="preserve"> (Figure 2.6.1)</w:t>
      </w:r>
    </w:p>
    <w:p w14:paraId="68A89E47" w14:textId="5CE57A95" w:rsidR="0093102D" w:rsidRPr="0083333B" w:rsidRDefault="0093102D" w:rsidP="0093102D">
      <w:pPr>
        <w:pStyle w:val="Caption"/>
        <w:keepLines/>
        <w:ind w:left="0"/>
        <w:rPr>
          <w:sz w:val="22"/>
          <w:szCs w:val="22"/>
        </w:rPr>
      </w:pPr>
      <w:r w:rsidRPr="0083333B">
        <w:rPr>
          <w:sz w:val="22"/>
          <w:szCs w:val="22"/>
        </w:rPr>
        <w:t xml:space="preserve">    Figure 2.6.1 Safety end point reported in the IMPROVE-IT trial</w:t>
      </w:r>
    </w:p>
    <w:p w14:paraId="5AABBB57" w14:textId="070B4AA8" w:rsidR="0093102D" w:rsidRDefault="0093102D" w:rsidP="0093102D">
      <w:pPr>
        <w:keepNext/>
        <w:keepLines/>
        <w:jc w:val="both"/>
        <w:rPr>
          <w:i/>
        </w:rPr>
      </w:pPr>
      <w:r>
        <w:rPr>
          <w:noProof/>
          <w:lang w:eastAsia="en-AU"/>
        </w:rPr>
        <w:drawing>
          <wp:inline distT="0" distB="0" distL="0" distR="0" wp14:anchorId="573BBD1C" wp14:editId="659C4D5F">
            <wp:extent cx="5814060" cy="3963142"/>
            <wp:effectExtent l="0" t="0" r="0" b="0"/>
            <wp:docPr id="14343" name="Picture 1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7967" t="19067" r="6537" b="5492"/>
                    <a:stretch/>
                  </pic:blipFill>
                  <pic:spPr bwMode="auto">
                    <a:xfrm>
                      <a:off x="0" y="0"/>
                      <a:ext cx="5814060" cy="3963142"/>
                    </a:xfrm>
                    <a:prstGeom prst="rect">
                      <a:avLst/>
                    </a:prstGeom>
                    <a:ln>
                      <a:noFill/>
                    </a:ln>
                    <a:extLst>
                      <a:ext uri="{53640926-AAD7-44D8-BBD7-CCE9431645EC}">
                        <a14:shadowObscured xmlns:a14="http://schemas.microsoft.com/office/drawing/2010/main"/>
                      </a:ext>
                    </a:extLst>
                  </pic:spPr>
                </pic:pic>
              </a:graphicData>
            </a:graphic>
          </wp:inline>
        </w:drawing>
      </w:r>
    </w:p>
    <w:p w14:paraId="0840BA0E" w14:textId="2B4A3FDD" w:rsidR="00FB3C06" w:rsidRPr="009C7538" w:rsidRDefault="0093102D" w:rsidP="009C7538">
      <w:pPr>
        <w:keepNext/>
        <w:keepLines/>
        <w:jc w:val="both"/>
      </w:pPr>
      <w:r w:rsidRPr="0083333B">
        <w:t>Source: Table 3, Cannon 2015</w:t>
      </w:r>
    </w:p>
    <w:p w14:paraId="616E4CD6" w14:textId="2FA0D5E0" w:rsidR="00713C43" w:rsidRPr="00FB3C06" w:rsidRDefault="009C7538" w:rsidP="00FB3C06">
      <w:pPr>
        <w:jc w:val="both"/>
      </w:pPr>
      <w:r>
        <w:rPr>
          <w:b/>
        </w:rPr>
        <w:t xml:space="preserve">From the results of </w:t>
      </w:r>
      <w:r w:rsidR="00221EDD">
        <w:rPr>
          <w:b/>
        </w:rPr>
        <w:t xml:space="preserve">the </w:t>
      </w:r>
      <w:r>
        <w:rPr>
          <w:b/>
        </w:rPr>
        <w:t xml:space="preserve">published systematic reviews in side-effects of ezetimibe treatment, analysis of adverse events presented in the 2015 company submission to NICE and </w:t>
      </w:r>
      <w:r w:rsidR="00713C43" w:rsidRPr="00036D3A">
        <w:rPr>
          <w:b/>
        </w:rPr>
        <w:t xml:space="preserve">the </w:t>
      </w:r>
      <w:r>
        <w:rPr>
          <w:b/>
        </w:rPr>
        <w:t xml:space="preserve">rates of serious adverse events reported in the </w:t>
      </w:r>
      <w:r w:rsidR="00713C43" w:rsidRPr="00036D3A">
        <w:rPr>
          <w:b/>
        </w:rPr>
        <w:t>randomised trials</w:t>
      </w:r>
      <w:r w:rsidR="00713C43">
        <w:rPr>
          <w:b/>
        </w:rPr>
        <w:t xml:space="preserve"> </w:t>
      </w:r>
      <w:r>
        <w:rPr>
          <w:b/>
        </w:rPr>
        <w:t xml:space="preserve">identified for this review, </w:t>
      </w:r>
      <w:r w:rsidR="00713C43">
        <w:rPr>
          <w:b/>
        </w:rPr>
        <w:t xml:space="preserve">it </w:t>
      </w:r>
      <w:r w:rsidR="00713C43" w:rsidRPr="00036D3A">
        <w:rPr>
          <w:b/>
        </w:rPr>
        <w:t>appears that ezetimibe</w:t>
      </w:r>
      <w:r w:rsidR="00713C43">
        <w:rPr>
          <w:b/>
        </w:rPr>
        <w:t xml:space="preserve"> in combination with a statin has a similar</w:t>
      </w:r>
      <w:r w:rsidR="00713C43" w:rsidRPr="00036D3A">
        <w:rPr>
          <w:b/>
        </w:rPr>
        <w:t xml:space="preserve"> safety profile </w:t>
      </w:r>
      <w:r w:rsidR="00713C43">
        <w:rPr>
          <w:b/>
        </w:rPr>
        <w:t xml:space="preserve">to </w:t>
      </w:r>
      <w:r w:rsidR="00DF6260">
        <w:rPr>
          <w:b/>
        </w:rPr>
        <w:t xml:space="preserve">a </w:t>
      </w:r>
      <w:r w:rsidR="00713C43">
        <w:rPr>
          <w:b/>
        </w:rPr>
        <w:t>statin monotherapy</w:t>
      </w:r>
      <w:r w:rsidR="00713C43" w:rsidRPr="00036D3A">
        <w:rPr>
          <w:b/>
        </w:rPr>
        <w:t>.</w:t>
      </w:r>
    </w:p>
    <w:p w14:paraId="0DF506ED" w14:textId="77777777" w:rsidR="00713C43" w:rsidRDefault="00713C43" w:rsidP="00D80325">
      <w:pPr>
        <w:pStyle w:val="Heading2"/>
      </w:pPr>
    </w:p>
    <w:p w14:paraId="2D9E59E8" w14:textId="2EF84A0B" w:rsidR="00D80325" w:rsidRPr="003C4B8C" w:rsidRDefault="0049737B" w:rsidP="00D80325">
      <w:pPr>
        <w:pStyle w:val="Heading2"/>
      </w:pPr>
      <w:bookmarkStart w:id="70" w:name="_Toc467857767"/>
      <w:r>
        <w:t>2.6.2</w:t>
      </w:r>
      <w:r w:rsidR="00D80325">
        <w:t xml:space="preserve"> </w:t>
      </w:r>
      <w:r w:rsidR="00D80325" w:rsidRPr="003C4B8C">
        <w:t xml:space="preserve">Ezetimibe </w:t>
      </w:r>
      <w:r w:rsidR="00D80325">
        <w:t>administered as monotherapy</w:t>
      </w:r>
      <w:bookmarkEnd w:id="70"/>
    </w:p>
    <w:p w14:paraId="53860B51" w14:textId="77777777" w:rsidR="00D80325" w:rsidRDefault="00D80325" w:rsidP="00D80325">
      <w:pPr>
        <w:autoSpaceDE w:val="0"/>
        <w:autoSpaceDN w:val="0"/>
        <w:adjustRightInd w:val="0"/>
        <w:spacing w:after="0" w:line="240" w:lineRule="auto"/>
        <w:jc w:val="both"/>
      </w:pPr>
    </w:p>
    <w:p w14:paraId="32DB2DAE" w14:textId="22AA6D98" w:rsidR="00D67086" w:rsidRPr="00D67086" w:rsidRDefault="009D02DC" w:rsidP="00D67086">
      <w:pPr>
        <w:autoSpaceDE w:val="0"/>
        <w:autoSpaceDN w:val="0"/>
        <w:adjustRightInd w:val="0"/>
        <w:spacing w:after="0" w:line="240" w:lineRule="auto"/>
        <w:jc w:val="both"/>
      </w:pPr>
      <w:r>
        <w:t xml:space="preserve">A systematic review </w:t>
      </w:r>
      <w:r w:rsidR="00D67086">
        <w:t xml:space="preserve">(section 2.2.3) </w:t>
      </w:r>
      <w:r>
        <w:t>conducted for NICE (UK) in 2008</w:t>
      </w:r>
      <w:r w:rsidR="00D67086">
        <w:t xml:space="preserve"> (Ara, 2008) assessed the safety profile of ezetimibe monotherapy and concluded that ezetimibe alone (compared with placebo) was well tolerated. Overall adverse event profiles across 7 trials </w:t>
      </w:r>
      <w:r w:rsidR="00D67086">
        <w:rPr>
          <w:rFonts w:eastAsiaTheme="minorHAnsi"/>
          <w:lang w:eastAsia="en-US"/>
        </w:rPr>
        <w:t>seven trials (2,577 patients) (</w:t>
      </w:r>
      <w:r w:rsidR="00D67086" w:rsidRPr="008F55A0">
        <w:rPr>
          <w:rFonts w:eastAsiaTheme="minorHAnsi"/>
          <w:lang w:eastAsia="en-US"/>
        </w:rPr>
        <w:t>Ballantyne 2003</w:t>
      </w:r>
      <w:r w:rsidR="00D67086" w:rsidRPr="008F55A0">
        <w:rPr>
          <w:rFonts w:eastAsiaTheme="minorHAnsi"/>
          <w:lang w:eastAsia="en-US"/>
        </w:rPr>
        <w:fldChar w:fldCharType="begin"/>
      </w:r>
      <w:r w:rsidR="00D67086" w:rsidRPr="008F55A0">
        <w:rPr>
          <w:rFonts w:eastAsiaTheme="minorHAnsi"/>
          <w:lang w:eastAsia="en-US"/>
        </w:rPr>
        <w:instrText xml:space="preserve"> NOTEREF _Ref460673206 \f \h  \* MERGEFORMAT </w:instrText>
      </w:r>
      <w:r w:rsidR="00D67086" w:rsidRPr="008F55A0">
        <w:rPr>
          <w:rFonts w:eastAsiaTheme="minorHAnsi"/>
          <w:lang w:eastAsia="en-US"/>
        </w:rPr>
      </w:r>
      <w:r w:rsidR="00D67086" w:rsidRPr="008F55A0">
        <w:rPr>
          <w:rFonts w:eastAsiaTheme="minorHAnsi"/>
          <w:lang w:eastAsia="en-US"/>
        </w:rPr>
        <w:fldChar w:fldCharType="separate"/>
      </w:r>
      <w:r w:rsidR="00CA6F76" w:rsidRPr="00CA6F76">
        <w:rPr>
          <w:rStyle w:val="EndnoteReference"/>
        </w:rPr>
        <w:t>5</w:t>
      </w:r>
      <w:r w:rsidR="00D67086" w:rsidRPr="008F55A0">
        <w:rPr>
          <w:rFonts w:eastAsiaTheme="minorHAnsi"/>
          <w:lang w:eastAsia="en-US"/>
        </w:rPr>
        <w:fldChar w:fldCharType="end"/>
      </w:r>
      <w:r w:rsidR="00D67086" w:rsidRPr="008F55A0">
        <w:rPr>
          <w:rFonts w:eastAsiaTheme="minorHAnsi"/>
          <w:lang w:eastAsia="en-US"/>
        </w:rPr>
        <w:t>; Bays 2004</w:t>
      </w:r>
      <w:r w:rsidR="00D67086" w:rsidRPr="008F55A0">
        <w:rPr>
          <w:rFonts w:eastAsiaTheme="minorHAnsi"/>
          <w:lang w:eastAsia="en-US"/>
        </w:rPr>
        <w:fldChar w:fldCharType="begin"/>
      </w:r>
      <w:r w:rsidR="00D67086" w:rsidRPr="008F55A0">
        <w:rPr>
          <w:rFonts w:eastAsiaTheme="minorHAnsi"/>
          <w:lang w:eastAsia="en-US"/>
        </w:rPr>
        <w:instrText xml:space="preserve"> NOTEREF _Ref460672386 \f \h  \* MERGEFORMAT </w:instrText>
      </w:r>
      <w:r w:rsidR="00D67086" w:rsidRPr="008F55A0">
        <w:rPr>
          <w:rFonts w:eastAsiaTheme="minorHAnsi"/>
          <w:lang w:eastAsia="en-US"/>
        </w:rPr>
      </w:r>
      <w:r w:rsidR="00D67086" w:rsidRPr="008F55A0">
        <w:rPr>
          <w:rFonts w:eastAsiaTheme="minorHAnsi"/>
          <w:lang w:eastAsia="en-US"/>
        </w:rPr>
        <w:fldChar w:fldCharType="separate"/>
      </w:r>
      <w:r w:rsidR="00CA6F76" w:rsidRPr="00CA6F76">
        <w:rPr>
          <w:rStyle w:val="EndnoteReference"/>
        </w:rPr>
        <w:t>19</w:t>
      </w:r>
      <w:r w:rsidR="00D67086" w:rsidRPr="008F55A0">
        <w:rPr>
          <w:rFonts w:eastAsiaTheme="minorHAnsi"/>
          <w:lang w:eastAsia="en-US"/>
        </w:rPr>
        <w:fldChar w:fldCharType="end"/>
      </w:r>
      <w:r w:rsidR="00D67086" w:rsidRPr="008F55A0">
        <w:rPr>
          <w:rFonts w:eastAsiaTheme="minorHAnsi"/>
          <w:lang w:eastAsia="en-US"/>
        </w:rPr>
        <w:t>;  Davidson 2002</w:t>
      </w:r>
      <w:r w:rsidR="00D67086" w:rsidRPr="008F55A0">
        <w:rPr>
          <w:rFonts w:eastAsiaTheme="minorHAnsi"/>
          <w:lang w:eastAsia="en-US"/>
        </w:rPr>
        <w:fldChar w:fldCharType="begin"/>
      </w:r>
      <w:r w:rsidR="00D67086" w:rsidRPr="008F55A0">
        <w:rPr>
          <w:rFonts w:eastAsiaTheme="minorHAnsi"/>
          <w:lang w:eastAsia="en-US"/>
        </w:rPr>
        <w:instrText xml:space="preserve"> NOTEREF _Ref460672395 \f \h  \* MERGEFORMAT </w:instrText>
      </w:r>
      <w:r w:rsidR="00D67086" w:rsidRPr="008F55A0">
        <w:rPr>
          <w:rFonts w:eastAsiaTheme="minorHAnsi"/>
          <w:lang w:eastAsia="en-US"/>
        </w:rPr>
      </w:r>
      <w:r w:rsidR="00D67086" w:rsidRPr="008F55A0">
        <w:rPr>
          <w:rFonts w:eastAsiaTheme="minorHAnsi"/>
          <w:lang w:eastAsia="en-US"/>
        </w:rPr>
        <w:fldChar w:fldCharType="separate"/>
      </w:r>
      <w:r w:rsidR="00CA6F76" w:rsidRPr="00CA6F76">
        <w:rPr>
          <w:rStyle w:val="EndnoteReference"/>
        </w:rPr>
        <w:t>4</w:t>
      </w:r>
      <w:r w:rsidR="00D67086" w:rsidRPr="008F55A0">
        <w:rPr>
          <w:rFonts w:eastAsiaTheme="minorHAnsi"/>
          <w:lang w:eastAsia="en-US"/>
        </w:rPr>
        <w:fldChar w:fldCharType="end"/>
      </w:r>
      <w:r w:rsidR="00D67086" w:rsidRPr="008F55A0">
        <w:rPr>
          <w:rFonts w:eastAsiaTheme="minorHAnsi"/>
          <w:lang w:eastAsia="en-US"/>
        </w:rPr>
        <w:t>; Dujovne 2002</w:t>
      </w:r>
      <w:r w:rsidR="00D67086" w:rsidRPr="008F55A0">
        <w:rPr>
          <w:rFonts w:eastAsiaTheme="minorHAnsi"/>
          <w:lang w:eastAsia="en-US"/>
        </w:rPr>
        <w:fldChar w:fldCharType="begin"/>
      </w:r>
      <w:r w:rsidR="00D67086" w:rsidRPr="008F55A0">
        <w:rPr>
          <w:rFonts w:eastAsiaTheme="minorHAnsi"/>
          <w:lang w:eastAsia="en-US"/>
        </w:rPr>
        <w:instrText xml:space="preserve"> NOTEREF _Ref460662442 \f \h  \* MERGEFORMAT </w:instrText>
      </w:r>
      <w:r w:rsidR="00D67086" w:rsidRPr="008F55A0">
        <w:rPr>
          <w:rFonts w:eastAsiaTheme="minorHAnsi"/>
          <w:lang w:eastAsia="en-US"/>
        </w:rPr>
      </w:r>
      <w:r w:rsidR="00D67086" w:rsidRPr="008F55A0">
        <w:rPr>
          <w:rFonts w:eastAsiaTheme="minorHAnsi"/>
          <w:lang w:eastAsia="en-US"/>
        </w:rPr>
        <w:fldChar w:fldCharType="separate"/>
      </w:r>
      <w:r w:rsidR="00CA6F76" w:rsidRPr="00CA6F76">
        <w:rPr>
          <w:rStyle w:val="EndnoteReference"/>
        </w:rPr>
        <w:t>2</w:t>
      </w:r>
      <w:r w:rsidR="00D67086" w:rsidRPr="008F55A0">
        <w:rPr>
          <w:rFonts w:eastAsiaTheme="minorHAnsi"/>
          <w:lang w:eastAsia="en-US"/>
        </w:rPr>
        <w:fldChar w:fldCharType="end"/>
      </w:r>
      <w:r w:rsidR="00D67086" w:rsidRPr="008F55A0">
        <w:rPr>
          <w:rFonts w:eastAsiaTheme="minorHAnsi"/>
          <w:lang w:eastAsia="en-US"/>
        </w:rPr>
        <w:t>; Goldberg 2004</w:t>
      </w:r>
      <w:r w:rsidR="00D67086" w:rsidRPr="008F55A0">
        <w:rPr>
          <w:rFonts w:eastAsiaTheme="minorHAnsi"/>
          <w:lang w:eastAsia="en-US"/>
        </w:rPr>
        <w:fldChar w:fldCharType="begin"/>
      </w:r>
      <w:r w:rsidR="00D67086" w:rsidRPr="008F55A0">
        <w:rPr>
          <w:rFonts w:eastAsiaTheme="minorHAnsi"/>
          <w:lang w:eastAsia="en-US"/>
        </w:rPr>
        <w:instrText xml:space="preserve"> NOTEREF _Ref460672845 \f \h  \* MERGEFORMAT </w:instrText>
      </w:r>
      <w:r w:rsidR="00D67086" w:rsidRPr="008F55A0">
        <w:rPr>
          <w:rFonts w:eastAsiaTheme="minorHAnsi"/>
          <w:lang w:eastAsia="en-US"/>
        </w:rPr>
      </w:r>
      <w:r w:rsidR="00D67086" w:rsidRPr="008F55A0">
        <w:rPr>
          <w:rFonts w:eastAsiaTheme="minorHAnsi"/>
          <w:lang w:eastAsia="en-US"/>
        </w:rPr>
        <w:fldChar w:fldCharType="separate"/>
      </w:r>
      <w:r w:rsidR="00CA6F76" w:rsidRPr="00CA6F76">
        <w:rPr>
          <w:rStyle w:val="EndnoteReference"/>
        </w:rPr>
        <w:t>38</w:t>
      </w:r>
      <w:r w:rsidR="00D67086" w:rsidRPr="008F55A0">
        <w:rPr>
          <w:rFonts w:eastAsiaTheme="minorHAnsi"/>
          <w:lang w:eastAsia="en-US"/>
        </w:rPr>
        <w:fldChar w:fldCharType="end"/>
      </w:r>
      <w:r w:rsidR="00D67086" w:rsidRPr="008F55A0">
        <w:rPr>
          <w:rFonts w:eastAsiaTheme="minorHAnsi"/>
          <w:lang w:eastAsia="en-US"/>
        </w:rPr>
        <w:t>; Melani 2003</w:t>
      </w:r>
      <w:r w:rsidR="00790BF6">
        <w:rPr>
          <w:rFonts w:eastAsiaTheme="minorHAnsi"/>
          <w:lang w:eastAsia="en-US"/>
        </w:rPr>
        <w:fldChar w:fldCharType="begin"/>
      </w:r>
      <w:r w:rsidR="00790BF6">
        <w:rPr>
          <w:rFonts w:eastAsiaTheme="minorHAnsi"/>
          <w:lang w:eastAsia="en-US"/>
        </w:rPr>
        <w:instrText xml:space="preserve"> NOTEREF _Ref460680055 \f \h </w:instrText>
      </w:r>
      <w:r w:rsidR="00790BF6">
        <w:rPr>
          <w:rFonts w:eastAsiaTheme="minorHAnsi"/>
          <w:lang w:eastAsia="en-US"/>
        </w:rPr>
      </w:r>
      <w:r w:rsidR="00790BF6">
        <w:rPr>
          <w:rFonts w:eastAsiaTheme="minorHAnsi"/>
          <w:lang w:eastAsia="en-US"/>
        </w:rPr>
        <w:fldChar w:fldCharType="separate"/>
      </w:r>
      <w:r w:rsidR="00CA6F76" w:rsidRPr="00CA6F76">
        <w:rPr>
          <w:rStyle w:val="EndnoteReference"/>
        </w:rPr>
        <w:t>73</w:t>
      </w:r>
      <w:r w:rsidR="00790BF6">
        <w:rPr>
          <w:rFonts w:eastAsiaTheme="minorHAnsi"/>
          <w:lang w:eastAsia="en-US"/>
        </w:rPr>
        <w:fldChar w:fldCharType="end"/>
      </w:r>
      <w:r w:rsidR="00D67086" w:rsidRPr="008F55A0">
        <w:rPr>
          <w:rFonts w:eastAsiaTheme="minorHAnsi"/>
          <w:lang w:eastAsia="en-US"/>
        </w:rPr>
        <w:t>; Knopp 2003</w:t>
      </w:r>
      <w:r w:rsidR="00D67086" w:rsidRPr="008F55A0">
        <w:rPr>
          <w:rFonts w:eastAsiaTheme="minorHAnsi"/>
          <w:lang w:eastAsia="en-US"/>
        </w:rPr>
        <w:fldChar w:fldCharType="begin"/>
      </w:r>
      <w:r w:rsidR="00D67086" w:rsidRPr="008F55A0">
        <w:rPr>
          <w:rFonts w:eastAsiaTheme="minorHAnsi"/>
          <w:lang w:eastAsia="en-US"/>
        </w:rPr>
        <w:instrText xml:space="preserve"> NOTEREF _Ref460662452 \f \h  \* MERGEFORMAT </w:instrText>
      </w:r>
      <w:r w:rsidR="00D67086" w:rsidRPr="008F55A0">
        <w:rPr>
          <w:rFonts w:eastAsiaTheme="minorHAnsi"/>
          <w:lang w:eastAsia="en-US"/>
        </w:rPr>
      </w:r>
      <w:r w:rsidR="00D67086" w:rsidRPr="008F55A0">
        <w:rPr>
          <w:rFonts w:eastAsiaTheme="minorHAnsi"/>
          <w:lang w:eastAsia="en-US"/>
        </w:rPr>
        <w:fldChar w:fldCharType="separate"/>
      </w:r>
      <w:r w:rsidR="00CA6F76" w:rsidRPr="00CA6F76">
        <w:rPr>
          <w:rStyle w:val="EndnoteReference"/>
        </w:rPr>
        <w:t>3</w:t>
      </w:r>
      <w:r w:rsidR="00D67086" w:rsidRPr="008F55A0">
        <w:rPr>
          <w:rFonts w:eastAsiaTheme="minorHAnsi"/>
          <w:lang w:eastAsia="en-US"/>
        </w:rPr>
        <w:fldChar w:fldCharType="end"/>
      </w:r>
      <w:r w:rsidR="00D67086">
        <w:rPr>
          <w:rFonts w:eastAsiaTheme="minorHAnsi"/>
          <w:lang w:eastAsia="en-US"/>
        </w:rPr>
        <w:t>)</w:t>
      </w:r>
      <w:r w:rsidR="00D67086" w:rsidRPr="00D67086">
        <w:t xml:space="preserve"> </w:t>
      </w:r>
      <w:r w:rsidR="00D67086">
        <w:t>were similar between the ezetimibe and placebo groups. Approximately 61% of subjects in the placebo group and 63% in the ezetimibe group reported adverse eve</w:t>
      </w:r>
      <w:r w:rsidR="00D32EBA">
        <w:t xml:space="preserve">nts. The most commonly reported </w:t>
      </w:r>
      <w:r w:rsidR="00D67086">
        <w:t xml:space="preserve">adverse events, regardless of relationship to study drug, were musculoskeletal disorders (2–5%) and upper respiratory infections (7–11%). </w:t>
      </w:r>
      <w:r w:rsidR="00D32EBA">
        <w:t xml:space="preserve">Other common adverse </w:t>
      </w:r>
      <w:r w:rsidR="00D67086">
        <w:t>events i</w:t>
      </w:r>
      <w:r w:rsidR="00D32EBA">
        <w:t xml:space="preserve">ncluded headache, back pain and </w:t>
      </w:r>
      <w:r w:rsidR="00D67086">
        <w:t>gastrointestina</w:t>
      </w:r>
      <w:r w:rsidR="00D32EBA">
        <w:t xml:space="preserve">l adverse events. There were no </w:t>
      </w:r>
      <w:r w:rsidR="00D67086">
        <w:t>significant between-</w:t>
      </w:r>
      <w:r w:rsidR="00D32EBA">
        <w:t xml:space="preserve">group differences in laboratory </w:t>
      </w:r>
      <w:r w:rsidR="00D67086">
        <w:t>or clinical par</w:t>
      </w:r>
      <w:r w:rsidR="00D32EBA">
        <w:t xml:space="preserve">ameters. Creatine phosphokinase </w:t>
      </w:r>
      <w:r w:rsidR="00D67086">
        <w:t>(CPK)</w:t>
      </w:r>
      <w:r w:rsidR="00D32EBA">
        <w:t xml:space="preserve"> and liver enzymes [alanine </w:t>
      </w:r>
      <w:r w:rsidR="00D67086">
        <w:t>amino</w:t>
      </w:r>
      <w:r w:rsidR="00D32EBA">
        <w:t xml:space="preserve">transferase (ALT) and aspartate </w:t>
      </w:r>
      <w:r w:rsidR="00D67086">
        <w:t>aminotransferas</w:t>
      </w:r>
      <w:r w:rsidR="00D32EBA">
        <w:t xml:space="preserve">e (AST)] were not influenced by </w:t>
      </w:r>
      <w:r w:rsidR="00D67086">
        <w:t>treatments. T</w:t>
      </w:r>
      <w:r w:rsidR="00D32EBA">
        <w:t xml:space="preserve">reatment-related adverse events </w:t>
      </w:r>
      <w:r w:rsidR="00D67086">
        <w:t xml:space="preserve">ranged from </w:t>
      </w:r>
      <w:r w:rsidR="00D32EBA">
        <w:t xml:space="preserve">9 to 20% of all adverse events. </w:t>
      </w:r>
      <w:r w:rsidR="00D67086">
        <w:t>Serious advers</w:t>
      </w:r>
      <w:r w:rsidR="00D32EBA">
        <w:t xml:space="preserve">e events occurred rarely (up to </w:t>
      </w:r>
      <w:r w:rsidR="00D67086">
        <w:t>1.4%) and all trials reported no serious treatment</w:t>
      </w:r>
      <w:r w:rsidR="00D32EBA">
        <w:t xml:space="preserve"> related </w:t>
      </w:r>
      <w:r w:rsidR="00D67086">
        <w:t>adverse ev</w:t>
      </w:r>
      <w:r w:rsidR="00D32EBA">
        <w:t xml:space="preserve">ents. A death which occurred in </w:t>
      </w:r>
      <w:r w:rsidR="00D67086">
        <w:t xml:space="preserve">the ezetimibe arm </w:t>
      </w:r>
      <w:r w:rsidR="00D32EBA">
        <w:t xml:space="preserve">was considered by investigators </w:t>
      </w:r>
      <w:r w:rsidR="00D67086">
        <w:t>not to be related to study treatment.</w:t>
      </w:r>
    </w:p>
    <w:p w14:paraId="229243D3" w14:textId="77777777" w:rsidR="00D67086" w:rsidRDefault="00D67086" w:rsidP="00D80325">
      <w:pPr>
        <w:autoSpaceDE w:val="0"/>
        <w:autoSpaceDN w:val="0"/>
        <w:adjustRightInd w:val="0"/>
        <w:spacing w:after="0" w:line="240" w:lineRule="auto"/>
        <w:jc w:val="both"/>
      </w:pPr>
    </w:p>
    <w:p w14:paraId="2E5394CD" w14:textId="3D61D00F" w:rsidR="00A110D3" w:rsidRPr="007518E0" w:rsidRDefault="007518E0" w:rsidP="00D80325">
      <w:pPr>
        <w:autoSpaceDE w:val="0"/>
        <w:autoSpaceDN w:val="0"/>
        <w:adjustRightInd w:val="0"/>
        <w:spacing w:after="0" w:line="240" w:lineRule="auto"/>
        <w:jc w:val="both"/>
      </w:pPr>
      <w:r>
        <w:t>Table A6.2</w:t>
      </w:r>
      <w:r w:rsidR="00783ED9" w:rsidRPr="007518E0">
        <w:t xml:space="preserve"> in Appendix</w:t>
      </w:r>
      <w:r>
        <w:t xml:space="preserve"> %</w:t>
      </w:r>
      <w:r w:rsidR="00783ED9">
        <w:t xml:space="preserve"> </w:t>
      </w:r>
      <w:r w:rsidR="00783ED9" w:rsidRPr="007518E0">
        <w:t>(reproduced from Pandor, 2009</w:t>
      </w:r>
      <w:r w:rsidRPr="007518E0">
        <w:t xml:space="preserve"> and complimented with</w:t>
      </w:r>
      <w:r>
        <w:t xml:space="preserve"> results of </w:t>
      </w:r>
      <w:r w:rsidRPr="007518E0">
        <w:t>the study by Farnier</w:t>
      </w:r>
      <w:r>
        <w:t>,</w:t>
      </w:r>
      <w:r w:rsidRPr="007518E0">
        <w:t xml:space="preserve"> 2005</w:t>
      </w:r>
      <w:r w:rsidR="00783ED9" w:rsidRPr="007518E0">
        <w:t xml:space="preserve">) shows adverse events reported in each of the included </w:t>
      </w:r>
      <w:r>
        <w:t>RCTs assessing ezetimibe monotherapy vs placebo.</w:t>
      </w:r>
    </w:p>
    <w:p w14:paraId="03DC1D10" w14:textId="77777777" w:rsidR="00A110D3" w:rsidRDefault="00A110D3" w:rsidP="00D80325">
      <w:pPr>
        <w:autoSpaceDE w:val="0"/>
        <w:autoSpaceDN w:val="0"/>
        <w:adjustRightInd w:val="0"/>
        <w:spacing w:after="0" w:line="240" w:lineRule="auto"/>
        <w:jc w:val="both"/>
      </w:pPr>
    </w:p>
    <w:p w14:paraId="4B6A58C1" w14:textId="1A15F54D" w:rsidR="00D80325" w:rsidRDefault="00D80325" w:rsidP="00D80325">
      <w:pPr>
        <w:autoSpaceDE w:val="0"/>
        <w:autoSpaceDN w:val="0"/>
        <w:adjustRightInd w:val="0"/>
        <w:spacing w:after="0" w:line="240" w:lineRule="auto"/>
        <w:jc w:val="both"/>
      </w:pPr>
      <w:r w:rsidRPr="00BB1EB1">
        <w:t xml:space="preserve">In the nine short-term studies, </w:t>
      </w:r>
      <w:r w:rsidR="00D32EBA" w:rsidRPr="00BB1EB1">
        <w:t xml:space="preserve">identified for this review </w:t>
      </w:r>
      <w:r w:rsidRPr="00BB1EB1">
        <w:t xml:space="preserve">ezetimibe monotherapy was found to have a similar adverse event profile to placebo. Adverse events (any) ranged from </w:t>
      </w:r>
      <w:r w:rsidR="004310DA" w:rsidRPr="00BB1EB1">
        <w:t>45</w:t>
      </w:r>
      <w:r w:rsidRPr="00BB1EB1">
        <w:t xml:space="preserve">–74% in the ezetimibe monotherapy groups and </w:t>
      </w:r>
      <w:r w:rsidR="004310DA" w:rsidRPr="00BB1EB1">
        <w:t>47</w:t>
      </w:r>
      <w:r w:rsidRPr="00BB1EB1">
        <w:t xml:space="preserve">–72% in the placebo groups. Of these, </w:t>
      </w:r>
      <w:r w:rsidR="004310DA" w:rsidRPr="00BB1EB1">
        <w:t>6</w:t>
      </w:r>
      <w:r w:rsidRPr="00BB1EB1">
        <w:t xml:space="preserve">–18% were considered due to treatment in the ezetimibe monotherapy group and </w:t>
      </w:r>
      <w:r w:rsidR="004310DA" w:rsidRPr="00BB1EB1">
        <w:t>8</w:t>
      </w:r>
      <w:r w:rsidRPr="00BB1EB1">
        <w:t>–24% in the placebo group (mainly gastrointestinal</w:t>
      </w:r>
      <w:r w:rsidRPr="00BB1EB1">
        <w:rPr>
          <w:rFonts w:ascii="AdvTT5843c571" w:hAnsi="AdvTT5843c571" w:cs="AdvTT5843c571"/>
          <w:sz w:val="20"/>
          <w:szCs w:val="20"/>
        </w:rPr>
        <w:t xml:space="preserve"> </w:t>
      </w:r>
      <w:r w:rsidRPr="00BB1EB1">
        <w:t>adverse events or musculoskeletal disorders). Clinically</w:t>
      </w:r>
      <w:r w:rsidRPr="00BB1EB1">
        <w:rPr>
          <w:rFonts w:ascii="AdvTT5843c571" w:hAnsi="AdvTT5843c571" w:cs="AdvTT5843c571"/>
          <w:sz w:val="20"/>
          <w:szCs w:val="20"/>
        </w:rPr>
        <w:t xml:space="preserve"> </w:t>
      </w:r>
      <w:r w:rsidRPr="00BB1EB1">
        <w:t>important elevations in creatine phosphokinase (≥10 times upper limit of normal) and liver enzymes (alanine aminotransferase and aspartate aminotransferase ≥3 times upper limit of normal) were not influenced</w:t>
      </w:r>
      <w:r>
        <w:t xml:space="preserve"> </w:t>
      </w:r>
      <w:r w:rsidRPr="002A6B73">
        <w:t xml:space="preserve">by treatment (&lt;1% </w:t>
      </w:r>
      <w:r>
        <w:t xml:space="preserve">in both groups). </w:t>
      </w:r>
      <w:r w:rsidRPr="002A6B73">
        <w:t>Discontinuation rat</w:t>
      </w:r>
      <w:r>
        <w:t xml:space="preserve">es were comparable between both </w:t>
      </w:r>
      <w:r w:rsidRPr="002A6B73">
        <w:t>arms and serio</w:t>
      </w:r>
      <w:r>
        <w:t xml:space="preserve">us adverse events were rare and </w:t>
      </w:r>
      <w:r w:rsidRPr="002A6B73">
        <w:t>occurred with sim</w:t>
      </w:r>
      <w:r>
        <w:t xml:space="preserve">ilar frequency in the ezetimibe </w:t>
      </w:r>
      <w:r w:rsidRPr="002A6B73">
        <w:t>monotherapy and placebo</w:t>
      </w:r>
      <w:r>
        <w:t xml:space="preserve"> groups. No cases of hepatitis, </w:t>
      </w:r>
      <w:r w:rsidRPr="002A6B73">
        <w:t>jaundice, or other clin</w:t>
      </w:r>
      <w:r>
        <w:t xml:space="preserve">ical signs of liver dysfunction </w:t>
      </w:r>
      <w:r w:rsidRPr="002A6B73">
        <w:t xml:space="preserve">were observed in </w:t>
      </w:r>
      <w:r w:rsidR="004310DA">
        <w:t>eight</w:t>
      </w:r>
      <w:r>
        <w:t xml:space="preserve"> of the nine trials </w:t>
      </w:r>
      <w:r>
        <w:rPr>
          <w:rFonts w:eastAsiaTheme="minorHAnsi"/>
          <w:lang w:eastAsia="en-US"/>
        </w:rPr>
        <w:t>(</w:t>
      </w:r>
      <w:r w:rsidRPr="00912F4E">
        <w:rPr>
          <w:rFonts w:eastAsiaTheme="minorHAnsi"/>
          <w:lang w:eastAsia="en-US"/>
        </w:rPr>
        <w:t>Ballantyne 2003</w:t>
      </w:r>
      <w:r>
        <w:rPr>
          <w:rFonts w:eastAsiaTheme="minorHAnsi"/>
          <w:lang w:eastAsia="en-US"/>
        </w:rPr>
        <w:fldChar w:fldCharType="begin"/>
      </w:r>
      <w:r>
        <w:rPr>
          <w:rFonts w:eastAsiaTheme="minorHAnsi"/>
          <w:lang w:eastAsia="en-US"/>
        </w:rPr>
        <w:instrText xml:space="preserve"> NOTEREF _Ref460673206 \f \h  \* MERGEFORMAT </w:instrText>
      </w:r>
      <w:r>
        <w:rPr>
          <w:rFonts w:eastAsiaTheme="minorHAnsi"/>
          <w:lang w:eastAsia="en-US"/>
        </w:rPr>
      </w:r>
      <w:r>
        <w:rPr>
          <w:rFonts w:eastAsiaTheme="minorHAnsi"/>
          <w:lang w:eastAsia="en-US"/>
        </w:rPr>
        <w:fldChar w:fldCharType="separate"/>
      </w:r>
      <w:r w:rsidR="00CA6F76" w:rsidRPr="00CA6F76">
        <w:rPr>
          <w:rStyle w:val="EndnoteReference"/>
        </w:rPr>
        <w:t>5</w:t>
      </w:r>
      <w:r>
        <w:rPr>
          <w:rFonts w:eastAsiaTheme="minorHAnsi"/>
          <w:lang w:eastAsia="en-US"/>
        </w:rPr>
        <w:fldChar w:fldCharType="end"/>
      </w:r>
      <w:r w:rsidRPr="001704FF">
        <w:rPr>
          <w:rFonts w:eastAsiaTheme="minorHAnsi"/>
          <w:lang w:eastAsia="en-US"/>
        </w:rPr>
        <w:t>; Bays</w:t>
      </w:r>
      <w:r w:rsidRPr="00912F4E">
        <w:rPr>
          <w:rFonts w:eastAsiaTheme="minorHAnsi"/>
          <w:lang w:eastAsia="en-US"/>
        </w:rPr>
        <w:t xml:space="preserve"> 2004</w:t>
      </w:r>
      <w:r>
        <w:rPr>
          <w:rFonts w:eastAsiaTheme="minorHAnsi"/>
          <w:lang w:eastAsia="en-US"/>
        </w:rPr>
        <w:fldChar w:fldCharType="begin"/>
      </w:r>
      <w:r>
        <w:rPr>
          <w:rFonts w:eastAsiaTheme="minorHAnsi"/>
          <w:lang w:eastAsia="en-US"/>
        </w:rPr>
        <w:instrText xml:space="preserve"> NOTEREF _Ref460672386 \f \h  \* MERGEFORMAT </w:instrText>
      </w:r>
      <w:r>
        <w:rPr>
          <w:rFonts w:eastAsiaTheme="minorHAnsi"/>
          <w:lang w:eastAsia="en-US"/>
        </w:rPr>
      </w:r>
      <w:r>
        <w:rPr>
          <w:rFonts w:eastAsiaTheme="minorHAnsi"/>
          <w:lang w:eastAsia="en-US"/>
        </w:rPr>
        <w:fldChar w:fldCharType="separate"/>
      </w:r>
      <w:r w:rsidR="00CA6F76" w:rsidRPr="00CA6F76">
        <w:rPr>
          <w:rStyle w:val="EndnoteReference"/>
        </w:rPr>
        <w:t>19</w:t>
      </w:r>
      <w:r>
        <w:rPr>
          <w:rFonts w:eastAsiaTheme="minorHAnsi"/>
          <w:lang w:eastAsia="en-US"/>
        </w:rPr>
        <w:fldChar w:fldCharType="end"/>
      </w:r>
      <w:r w:rsidRPr="00912F4E">
        <w:rPr>
          <w:rFonts w:eastAsiaTheme="minorHAnsi"/>
          <w:lang w:eastAsia="en-US"/>
        </w:rPr>
        <w:t>; Davidson 2002</w:t>
      </w:r>
      <w:r>
        <w:rPr>
          <w:rFonts w:eastAsiaTheme="minorHAnsi"/>
          <w:lang w:eastAsia="en-US"/>
        </w:rPr>
        <w:fldChar w:fldCharType="begin"/>
      </w:r>
      <w:r>
        <w:rPr>
          <w:rFonts w:eastAsiaTheme="minorHAnsi"/>
          <w:lang w:eastAsia="en-US"/>
        </w:rPr>
        <w:instrText xml:space="preserve"> NOTEREF _Ref460672395 \f \h  \* MERGEFORMAT </w:instrText>
      </w:r>
      <w:r>
        <w:rPr>
          <w:rFonts w:eastAsiaTheme="minorHAnsi"/>
          <w:lang w:eastAsia="en-US"/>
        </w:rPr>
      </w:r>
      <w:r>
        <w:rPr>
          <w:rFonts w:eastAsiaTheme="minorHAnsi"/>
          <w:lang w:eastAsia="en-US"/>
        </w:rPr>
        <w:fldChar w:fldCharType="separate"/>
      </w:r>
      <w:r w:rsidR="00CA6F76" w:rsidRPr="00CA6F76">
        <w:rPr>
          <w:rStyle w:val="EndnoteReference"/>
        </w:rPr>
        <w:t>4</w:t>
      </w:r>
      <w:r>
        <w:rPr>
          <w:rFonts w:eastAsiaTheme="minorHAnsi"/>
          <w:lang w:eastAsia="en-US"/>
        </w:rPr>
        <w:fldChar w:fldCharType="end"/>
      </w:r>
      <w:r w:rsidRPr="00912F4E">
        <w:rPr>
          <w:rFonts w:eastAsiaTheme="minorHAnsi"/>
          <w:lang w:eastAsia="en-US"/>
        </w:rPr>
        <w:t>; Goldberg 2004; Melani 2003</w:t>
      </w:r>
      <w:r>
        <w:rPr>
          <w:rFonts w:eastAsiaTheme="minorHAnsi"/>
          <w:lang w:eastAsia="en-US"/>
        </w:rPr>
        <w:fldChar w:fldCharType="begin"/>
      </w:r>
      <w:r>
        <w:rPr>
          <w:rFonts w:eastAsiaTheme="minorHAnsi"/>
          <w:lang w:eastAsia="en-US"/>
        </w:rPr>
        <w:instrText xml:space="preserve"> NOTEREF _Ref460680055 \f \h  \* MERGEFORMAT </w:instrText>
      </w:r>
      <w:r>
        <w:rPr>
          <w:rFonts w:eastAsiaTheme="minorHAnsi"/>
          <w:lang w:eastAsia="en-US"/>
        </w:rPr>
      </w:r>
      <w:r>
        <w:rPr>
          <w:rFonts w:eastAsiaTheme="minorHAnsi"/>
          <w:lang w:eastAsia="en-US"/>
        </w:rPr>
        <w:fldChar w:fldCharType="separate"/>
      </w:r>
      <w:r w:rsidR="00CA6F76" w:rsidRPr="00CA6F76">
        <w:rPr>
          <w:rStyle w:val="EndnoteReference"/>
        </w:rPr>
        <w:t>73</w:t>
      </w:r>
      <w:r>
        <w:rPr>
          <w:rFonts w:eastAsiaTheme="minorHAnsi"/>
          <w:lang w:eastAsia="en-US"/>
        </w:rPr>
        <w:fldChar w:fldCharType="end"/>
      </w:r>
      <w:r w:rsidRPr="00912F4E">
        <w:rPr>
          <w:rFonts w:eastAsiaTheme="minorHAnsi"/>
          <w:lang w:eastAsia="en-US"/>
        </w:rPr>
        <w:t>; Kerzner 2003</w:t>
      </w:r>
      <w:r>
        <w:rPr>
          <w:rFonts w:eastAsiaTheme="minorHAnsi"/>
          <w:lang w:eastAsia="en-US"/>
        </w:rPr>
        <w:fldChar w:fldCharType="begin"/>
      </w:r>
      <w:r>
        <w:rPr>
          <w:rFonts w:eastAsiaTheme="minorHAnsi"/>
          <w:lang w:eastAsia="en-US"/>
        </w:rPr>
        <w:instrText xml:space="preserve"> NOTEREF _Ref460679746 \f \h  \* MERGEFORMAT </w:instrText>
      </w:r>
      <w:r>
        <w:rPr>
          <w:rFonts w:eastAsiaTheme="minorHAnsi"/>
          <w:lang w:eastAsia="en-US"/>
        </w:rPr>
      </w:r>
      <w:r>
        <w:rPr>
          <w:rFonts w:eastAsiaTheme="minorHAnsi"/>
          <w:lang w:eastAsia="en-US"/>
        </w:rPr>
        <w:fldChar w:fldCharType="separate"/>
      </w:r>
      <w:r w:rsidR="00CA6F76" w:rsidRPr="00CA6F76">
        <w:rPr>
          <w:rStyle w:val="EndnoteReference"/>
        </w:rPr>
        <w:t>65</w:t>
      </w:r>
      <w:r>
        <w:rPr>
          <w:rFonts w:eastAsiaTheme="minorHAnsi"/>
          <w:lang w:eastAsia="en-US"/>
        </w:rPr>
        <w:fldChar w:fldCharType="end"/>
      </w:r>
      <w:r w:rsidRPr="00912F4E">
        <w:rPr>
          <w:rFonts w:eastAsiaTheme="minorHAnsi"/>
          <w:lang w:eastAsia="en-US"/>
        </w:rPr>
        <w:t>;  Knopp 2003</w:t>
      </w:r>
      <w:r>
        <w:rPr>
          <w:rFonts w:eastAsiaTheme="minorHAnsi"/>
          <w:lang w:eastAsia="en-US"/>
        </w:rPr>
        <w:fldChar w:fldCharType="begin"/>
      </w:r>
      <w:r>
        <w:rPr>
          <w:rFonts w:eastAsiaTheme="minorHAnsi"/>
          <w:lang w:eastAsia="en-US"/>
        </w:rPr>
        <w:instrText xml:space="preserve"> NOTEREF _Ref460662452 \f \h  \* MERGEFORMAT </w:instrText>
      </w:r>
      <w:r>
        <w:rPr>
          <w:rFonts w:eastAsiaTheme="minorHAnsi"/>
          <w:lang w:eastAsia="en-US"/>
        </w:rPr>
      </w:r>
      <w:r>
        <w:rPr>
          <w:rFonts w:eastAsiaTheme="minorHAnsi"/>
          <w:lang w:eastAsia="en-US"/>
        </w:rPr>
        <w:fldChar w:fldCharType="separate"/>
      </w:r>
      <w:r w:rsidR="00CA6F76" w:rsidRPr="00CA6F76">
        <w:rPr>
          <w:rStyle w:val="EndnoteReference"/>
        </w:rPr>
        <w:t>3</w:t>
      </w:r>
      <w:r>
        <w:rPr>
          <w:rFonts w:eastAsiaTheme="minorHAnsi"/>
          <w:lang w:eastAsia="en-US"/>
        </w:rPr>
        <w:fldChar w:fldCharType="end"/>
      </w:r>
      <w:r w:rsidR="004310DA">
        <w:rPr>
          <w:rFonts w:eastAsiaTheme="minorHAnsi"/>
          <w:lang w:eastAsia="en-US"/>
        </w:rPr>
        <w:t>, Farnier 2005</w:t>
      </w:r>
      <w:r w:rsidR="00AD696F">
        <w:rPr>
          <w:rFonts w:eastAsiaTheme="minorHAnsi"/>
          <w:lang w:eastAsia="en-US"/>
        </w:rPr>
        <w:fldChar w:fldCharType="begin"/>
      </w:r>
      <w:r w:rsidR="00AD696F">
        <w:rPr>
          <w:rFonts w:eastAsiaTheme="minorHAnsi"/>
          <w:lang w:eastAsia="en-US"/>
        </w:rPr>
        <w:instrText xml:space="preserve"> NOTEREF _Ref460686402 \f </w:instrText>
      </w:r>
      <w:r w:rsidR="00AD696F">
        <w:rPr>
          <w:rFonts w:eastAsiaTheme="minorHAnsi"/>
          <w:lang w:eastAsia="en-US"/>
        </w:rPr>
        <w:fldChar w:fldCharType="separate"/>
      </w:r>
      <w:r w:rsidR="00CA6F76" w:rsidRPr="00CA6F76">
        <w:rPr>
          <w:rStyle w:val="EndnoteReference"/>
        </w:rPr>
        <w:t>82</w:t>
      </w:r>
      <w:r w:rsidR="00AD696F">
        <w:rPr>
          <w:rFonts w:eastAsiaTheme="minorHAnsi"/>
          <w:lang w:eastAsia="en-US"/>
        </w:rPr>
        <w:fldChar w:fldCharType="end"/>
      </w:r>
      <w:r>
        <w:rPr>
          <w:rFonts w:eastAsiaTheme="minorHAnsi"/>
          <w:lang w:eastAsia="en-US"/>
        </w:rPr>
        <w:t xml:space="preserve">) </w:t>
      </w:r>
      <w:r w:rsidRPr="002A6B73">
        <w:t>(data not repor</w:t>
      </w:r>
      <w:r>
        <w:t xml:space="preserve">ted by </w:t>
      </w:r>
      <w:r w:rsidRPr="00912F4E">
        <w:rPr>
          <w:rFonts w:eastAsiaTheme="minorHAnsi"/>
          <w:lang w:eastAsia="en-US"/>
        </w:rPr>
        <w:t xml:space="preserve">Dujovne </w:t>
      </w:r>
      <w:r>
        <w:rPr>
          <w:rFonts w:eastAsiaTheme="minorHAnsi"/>
          <w:lang w:eastAsia="en-US"/>
        </w:rPr>
        <w:t>(</w:t>
      </w:r>
      <w:r w:rsidRPr="00912F4E">
        <w:rPr>
          <w:rFonts w:eastAsiaTheme="minorHAnsi"/>
          <w:lang w:eastAsia="en-US"/>
        </w:rPr>
        <w:t>2002</w:t>
      </w:r>
      <w:r>
        <w:rPr>
          <w:rFonts w:eastAsiaTheme="minorHAnsi"/>
          <w:lang w:eastAsia="en-US"/>
        </w:rPr>
        <w:fldChar w:fldCharType="begin"/>
      </w:r>
      <w:r>
        <w:rPr>
          <w:rFonts w:eastAsiaTheme="minorHAnsi"/>
          <w:lang w:eastAsia="en-US"/>
        </w:rPr>
        <w:instrText xml:space="preserve"> NOTEREF _Ref460662442 \f \h  \* MERGEFORMAT </w:instrText>
      </w:r>
      <w:r>
        <w:rPr>
          <w:rFonts w:eastAsiaTheme="minorHAnsi"/>
          <w:lang w:eastAsia="en-US"/>
        </w:rPr>
      </w:r>
      <w:r>
        <w:rPr>
          <w:rFonts w:eastAsiaTheme="minorHAnsi"/>
          <w:lang w:eastAsia="en-US"/>
        </w:rPr>
        <w:fldChar w:fldCharType="separate"/>
      </w:r>
      <w:r w:rsidR="00CA6F76" w:rsidRPr="00CA6F76">
        <w:rPr>
          <w:rStyle w:val="EndnoteReference"/>
        </w:rPr>
        <w:t>2</w:t>
      </w:r>
      <w:r>
        <w:rPr>
          <w:rFonts w:eastAsiaTheme="minorHAnsi"/>
          <w:lang w:eastAsia="en-US"/>
        </w:rPr>
        <w:fldChar w:fldCharType="end"/>
      </w:r>
      <w:r>
        <w:rPr>
          <w:rFonts w:eastAsiaTheme="minorHAnsi"/>
          <w:lang w:eastAsia="en-US"/>
        </w:rPr>
        <w:t>).</w:t>
      </w:r>
      <w:r w:rsidRPr="00912F4E">
        <w:rPr>
          <w:rFonts w:eastAsiaTheme="minorHAnsi"/>
          <w:lang w:eastAsia="en-US"/>
        </w:rPr>
        <w:t xml:space="preserve"> </w:t>
      </w:r>
      <w:r>
        <w:t xml:space="preserve">No </w:t>
      </w:r>
      <w:r w:rsidRPr="002A6B73">
        <w:t>deaths were attributa</w:t>
      </w:r>
      <w:r>
        <w:t xml:space="preserve">ble to ezetimibe monotherapy in </w:t>
      </w:r>
      <w:r w:rsidRPr="002A6B73">
        <w:t>any of the included studies</w:t>
      </w:r>
      <w:r>
        <w:t>.</w:t>
      </w:r>
      <w:r w:rsidRPr="003C4B8C">
        <w:rPr>
          <w:highlight w:val="yellow"/>
        </w:rPr>
        <w:t xml:space="preserve"> </w:t>
      </w:r>
    </w:p>
    <w:p w14:paraId="49599EB5" w14:textId="0E2A6E22" w:rsidR="00C62F7D" w:rsidRDefault="00C62F7D" w:rsidP="00D80325">
      <w:pPr>
        <w:autoSpaceDE w:val="0"/>
        <w:autoSpaceDN w:val="0"/>
        <w:adjustRightInd w:val="0"/>
        <w:spacing w:after="0" w:line="240" w:lineRule="auto"/>
        <w:jc w:val="both"/>
      </w:pPr>
    </w:p>
    <w:p w14:paraId="09FFC8E0" w14:textId="5D3BDE70" w:rsidR="00B803FD" w:rsidRPr="00B803FD" w:rsidRDefault="00B803FD" w:rsidP="00B803FD">
      <w:pPr>
        <w:jc w:val="both"/>
        <w:rPr>
          <w:b/>
        </w:rPr>
      </w:pPr>
      <w:r>
        <w:rPr>
          <w:b/>
        </w:rPr>
        <w:t>E</w:t>
      </w:r>
      <w:r w:rsidRPr="000717E8">
        <w:rPr>
          <w:b/>
        </w:rPr>
        <w:t>zetimibe monotherapy appeared to be well tolerated with a safety profile similar to placebo</w:t>
      </w:r>
      <w:r w:rsidR="00790BF6">
        <w:rPr>
          <w:b/>
        </w:rPr>
        <w:t>.</w:t>
      </w:r>
      <w:r>
        <w:rPr>
          <w:b/>
        </w:rPr>
        <w:t xml:space="preserve"> However</w:t>
      </w:r>
      <w:r w:rsidR="00D67086">
        <w:rPr>
          <w:b/>
        </w:rPr>
        <w:t>,</w:t>
      </w:r>
      <w:r>
        <w:rPr>
          <w:b/>
        </w:rPr>
        <w:t xml:space="preserve"> the evidence base consisting of the limited number of the short-term </w:t>
      </w:r>
      <w:r w:rsidRPr="00B803FD">
        <w:rPr>
          <w:b/>
        </w:rPr>
        <w:t xml:space="preserve">(12 weeks) </w:t>
      </w:r>
      <w:r w:rsidR="00D67086">
        <w:rPr>
          <w:b/>
        </w:rPr>
        <w:t xml:space="preserve">trials </w:t>
      </w:r>
      <w:r>
        <w:rPr>
          <w:b/>
        </w:rPr>
        <w:t xml:space="preserve">included in the </w:t>
      </w:r>
      <w:r w:rsidRPr="00B803FD">
        <w:rPr>
          <w:b/>
        </w:rPr>
        <w:t xml:space="preserve">review </w:t>
      </w:r>
      <w:r w:rsidR="00D67086">
        <w:rPr>
          <w:b/>
        </w:rPr>
        <w:t>is too limited to</w:t>
      </w:r>
      <w:r w:rsidRPr="00B803FD">
        <w:rPr>
          <w:b/>
        </w:rPr>
        <w:t xml:space="preserve"> address th</w:t>
      </w:r>
      <w:r>
        <w:rPr>
          <w:b/>
        </w:rPr>
        <w:t>e long-term safety of ezetimibe monotherapy.</w:t>
      </w:r>
      <w:r w:rsidR="00790BF6">
        <w:rPr>
          <w:b/>
        </w:rPr>
        <w:t xml:space="preserve"> </w:t>
      </w:r>
    </w:p>
    <w:p w14:paraId="2502CFEF" w14:textId="2A9A9473" w:rsidR="00847C3A" w:rsidRDefault="00847C3A" w:rsidP="0049737B">
      <w:pPr>
        <w:pStyle w:val="Heading1"/>
      </w:pPr>
      <w:bookmarkStart w:id="71" w:name="_Toc467857768"/>
      <w:r>
        <w:t>Conclusion</w:t>
      </w:r>
      <w:bookmarkEnd w:id="71"/>
    </w:p>
    <w:p w14:paraId="1D03AB61" w14:textId="77777777" w:rsidR="00DA6A4A" w:rsidRDefault="00DA6A4A" w:rsidP="007C3B7B"/>
    <w:p w14:paraId="4F18378E" w14:textId="1479285D" w:rsidR="00DA6A4A" w:rsidRPr="00DA6A4A" w:rsidRDefault="00DA6A4A" w:rsidP="00DA6A4A">
      <w:pPr>
        <w:keepNext/>
        <w:keepLines/>
        <w:spacing w:before="40" w:after="120"/>
        <w:outlineLvl w:val="2"/>
        <w:rPr>
          <w:rFonts w:ascii="Calibri Light" w:eastAsia="Times New Roman" w:hAnsi="Calibri Light" w:cs="Times New Roman"/>
          <w:color w:val="31479E"/>
          <w:sz w:val="24"/>
          <w:szCs w:val="24"/>
          <w:lang w:eastAsia="en-US"/>
        </w:rPr>
      </w:pPr>
      <w:r w:rsidRPr="00DA6A4A">
        <w:rPr>
          <w:rFonts w:ascii="Calibri Light" w:eastAsia="Times New Roman" w:hAnsi="Calibri Light" w:cs="Times New Roman"/>
          <w:color w:val="31479E"/>
          <w:sz w:val="24"/>
          <w:szCs w:val="24"/>
          <w:lang w:eastAsia="en-US"/>
        </w:rPr>
        <w:t xml:space="preserve">ToR 1 – </w:t>
      </w:r>
      <w:r w:rsidR="003014A8" w:rsidRPr="003014A8">
        <w:rPr>
          <w:rFonts w:ascii="Calibri Light" w:eastAsia="Times New Roman" w:hAnsi="Calibri Light" w:cs="Times New Roman"/>
          <w:color w:val="31479E"/>
          <w:sz w:val="24"/>
          <w:szCs w:val="24"/>
          <w:lang w:eastAsia="en-US"/>
        </w:rPr>
        <w:t>Collate and evaluate any recent clinical studies of ezetimibe that report on long term patient relevant outcomes, and use this data to review the cost-effectiveness of ezetimibe</w:t>
      </w:r>
    </w:p>
    <w:p w14:paraId="6F1818C0" w14:textId="070E3B99" w:rsidR="00DA6A4A" w:rsidRPr="00DA6A4A" w:rsidRDefault="00DA6A4A" w:rsidP="00DA6A4A">
      <w:pPr>
        <w:spacing w:after="0" w:line="264" w:lineRule="auto"/>
        <w:rPr>
          <w:rFonts w:ascii="Calibri" w:eastAsia="Calibri" w:hAnsi="Calibri" w:cs="Times New Roman"/>
          <w:b/>
          <w:lang w:eastAsia="en-US"/>
        </w:rPr>
      </w:pPr>
      <w:r w:rsidRPr="00DA6A4A">
        <w:rPr>
          <w:rFonts w:ascii="Calibri" w:eastAsia="Calibri" w:hAnsi="Calibri" w:cs="Times New Roman"/>
          <w:b/>
          <w:lang w:eastAsia="en-US"/>
        </w:rPr>
        <w:t xml:space="preserve">The research questions that </w:t>
      </w:r>
      <w:r>
        <w:rPr>
          <w:rFonts w:ascii="Calibri" w:eastAsia="Calibri" w:hAnsi="Calibri" w:cs="Times New Roman"/>
          <w:b/>
          <w:lang w:eastAsia="en-US"/>
        </w:rPr>
        <w:t xml:space="preserve">related </w:t>
      </w:r>
      <w:r w:rsidRPr="00DA6A4A">
        <w:rPr>
          <w:rFonts w:ascii="Calibri" w:eastAsia="Calibri" w:hAnsi="Calibri" w:cs="Times New Roman"/>
          <w:b/>
          <w:lang w:eastAsia="en-US"/>
        </w:rPr>
        <w:t xml:space="preserve">to the </w:t>
      </w:r>
      <w:r w:rsidR="003014A8">
        <w:rPr>
          <w:rFonts w:ascii="Calibri" w:eastAsia="Calibri" w:hAnsi="Calibri" w:cs="Times New Roman"/>
          <w:b/>
          <w:lang w:eastAsia="en-US"/>
        </w:rPr>
        <w:t xml:space="preserve">clinical effectiveness task in </w:t>
      </w:r>
      <w:r w:rsidRPr="00DA6A4A">
        <w:rPr>
          <w:rFonts w:ascii="Calibri" w:eastAsia="Calibri" w:hAnsi="Calibri" w:cs="Times New Roman"/>
          <w:b/>
          <w:lang w:eastAsia="en-US"/>
        </w:rPr>
        <w:t>ToR 1 include:</w:t>
      </w:r>
    </w:p>
    <w:p w14:paraId="0A7A799C" w14:textId="77777777" w:rsidR="00DA6A4A" w:rsidRDefault="00DA6A4A" w:rsidP="00DA6A4A">
      <w:pPr>
        <w:spacing w:after="0" w:line="264" w:lineRule="auto"/>
        <w:ind w:left="567" w:hanging="567"/>
        <w:rPr>
          <w:rFonts w:ascii="Calibri" w:eastAsia="Calibri" w:hAnsi="Calibri" w:cs="Times New Roman"/>
          <w:lang w:eastAsia="en-US"/>
        </w:rPr>
      </w:pPr>
      <w:r w:rsidRPr="00DA6A4A">
        <w:rPr>
          <w:rFonts w:ascii="Calibri" w:eastAsia="Calibri" w:hAnsi="Calibri" w:cs="Times New Roman"/>
          <w:b/>
          <w:lang w:eastAsia="en-US"/>
        </w:rPr>
        <w:t>Q1:</w:t>
      </w:r>
      <w:r w:rsidRPr="00DA6A4A">
        <w:rPr>
          <w:rFonts w:ascii="Calibri" w:eastAsia="Calibri" w:hAnsi="Calibri" w:cs="Times New Roman"/>
          <w:lang w:eastAsia="en-US"/>
        </w:rPr>
        <w:tab/>
        <w:t>Is addition of ezetimibe (EZ) to the maximum tolerated dose of statin is associated with superior long-term outcomes of survival, quality- adjusted survival, fatal and non-fatal CVD events in comparison to placebo + maximum tolerated dose of statin?</w:t>
      </w:r>
    </w:p>
    <w:p w14:paraId="48111ED2" w14:textId="0CD65377" w:rsidR="003014A8" w:rsidRDefault="003014A8" w:rsidP="00DA6A4A">
      <w:pPr>
        <w:spacing w:after="0" w:line="264" w:lineRule="auto"/>
        <w:ind w:left="567" w:hanging="567"/>
        <w:rPr>
          <w:rFonts w:ascii="Calibri" w:eastAsia="Calibri" w:hAnsi="Calibri" w:cs="Times New Roman"/>
          <w:b/>
          <w:lang w:eastAsia="en-US"/>
        </w:rPr>
      </w:pPr>
      <w:r>
        <w:rPr>
          <w:rFonts w:ascii="Calibri" w:eastAsia="Calibri" w:hAnsi="Calibri" w:cs="Times New Roman"/>
          <w:b/>
          <w:lang w:eastAsia="en-US"/>
        </w:rPr>
        <w:tab/>
        <w:t>There is insufficient evidence to address this question.</w:t>
      </w:r>
    </w:p>
    <w:p w14:paraId="05B80B02" w14:textId="77777777" w:rsidR="00951A82" w:rsidRPr="00DA6A4A" w:rsidRDefault="00951A82" w:rsidP="00DA6A4A">
      <w:pPr>
        <w:spacing w:after="0" w:line="264" w:lineRule="auto"/>
        <w:ind w:left="567" w:hanging="567"/>
        <w:rPr>
          <w:rFonts w:ascii="Calibri" w:eastAsia="Calibri" w:hAnsi="Calibri" w:cs="Times New Roman"/>
          <w:lang w:eastAsia="en-US"/>
        </w:rPr>
      </w:pPr>
    </w:p>
    <w:p w14:paraId="179812E4" w14:textId="77777777" w:rsidR="00DA6A4A" w:rsidRDefault="00DA6A4A" w:rsidP="00DA6A4A">
      <w:pPr>
        <w:spacing w:after="0" w:line="264" w:lineRule="auto"/>
        <w:ind w:left="567" w:hanging="567"/>
        <w:rPr>
          <w:rFonts w:ascii="Calibri" w:eastAsia="Calibri" w:hAnsi="Calibri" w:cs="Times New Roman"/>
          <w:lang w:eastAsia="en-US"/>
        </w:rPr>
      </w:pPr>
      <w:r w:rsidRPr="00DA6A4A">
        <w:rPr>
          <w:rFonts w:ascii="Calibri" w:eastAsia="Calibri" w:hAnsi="Calibri" w:cs="Times New Roman"/>
          <w:b/>
          <w:lang w:eastAsia="en-US"/>
        </w:rPr>
        <w:t>Q2:</w:t>
      </w:r>
      <w:r w:rsidRPr="00DA6A4A">
        <w:rPr>
          <w:rFonts w:ascii="Calibri" w:eastAsia="Calibri" w:hAnsi="Calibri" w:cs="Times New Roman"/>
          <w:lang w:eastAsia="en-US"/>
        </w:rPr>
        <w:tab/>
        <w:t>Is addition of EZ to the maximum tolerated dose of statin associated with superior surrogate outcomes i.e., lipid endpoints (e.g. Total-C, LDL-C and HDL-C)?</w:t>
      </w:r>
    </w:p>
    <w:p w14:paraId="4C065C08" w14:textId="2B056DA8" w:rsidR="003014A8" w:rsidRDefault="003014A8" w:rsidP="003014A8">
      <w:pPr>
        <w:spacing w:after="0" w:line="264" w:lineRule="auto"/>
        <w:ind w:left="567"/>
        <w:rPr>
          <w:rFonts w:ascii="Calibri" w:eastAsia="Calibri" w:hAnsi="Calibri" w:cs="Times New Roman"/>
          <w:b/>
          <w:lang w:eastAsia="en-US"/>
        </w:rPr>
      </w:pPr>
      <w:r>
        <w:rPr>
          <w:rFonts w:ascii="Calibri" w:eastAsia="Calibri" w:hAnsi="Calibri" w:cs="Times New Roman"/>
          <w:b/>
          <w:lang w:eastAsia="en-US"/>
        </w:rPr>
        <w:t>There is insufficient evidence to address this question.</w:t>
      </w:r>
    </w:p>
    <w:p w14:paraId="008AEEB9" w14:textId="77777777" w:rsidR="00951A82" w:rsidRPr="00DA6A4A" w:rsidRDefault="00951A82" w:rsidP="003014A8">
      <w:pPr>
        <w:spacing w:after="0" w:line="264" w:lineRule="auto"/>
        <w:ind w:left="567"/>
        <w:rPr>
          <w:rFonts w:ascii="Calibri" w:eastAsia="Calibri" w:hAnsi="Calibri" w:cs="Times New Roman"/>
          <w:lang w:eastAsia="en-US"/>
        </w:rPr>
      </w:pPr>
    </w:p>
    <w:p w14:paraId="401977AA" w14:textId="77777777" w:rsidR="00DA6A4A" w:rsidRDefault="00DA6A4A" w:rsidP="00DA6A4A">
      <w:pPr>
        <w:spacing w:after="0" w:line="264" w:lineRule="auto"/>
        <w:ind w:left="567" w:hanging="567"/>
        <w:rPr>
          <w:rFonts w:ascii="Calibri" w:eastAsia="Calibri" w:hAnsi="Calibri" w:cs="Times New Roman"/>
          <w:lang w:eastAsia="en-US"/>
        </w:rPr>
      </w:pPr>
      <w:r w:rsidRPr="00DA6A4A">
        <w:rPr>
          <w:rFonts w:ascii="Calibri" w:eastAsia="Calibri" w:hAnsi="Calibri" w:cs="Times New Roman"/>
          <w:b/>
          <w:lang w:eastAsia="en-US"/>
        </w:rPr>
        <w:t>Q3:</w:t>
      </w:r>
      <w:r w:rsidRPr="00DA6A4A">
        <w:rPr>
          <w:rFonts w:ascii="Calibri" w:eastAsia="Calibri" w:hAnsi="Calibri" w:cs="Times New Roman"/>
          <w:lang w:eastAsia="en-US"/>
        </w:rPr>
        <w:tab/>
        <w:t>Is addition of EZ to various fixed doses of statin associated with superior long-term patient outcomes or surrogate outcomes in comparison to placebo + matching dose of statin?</w:t>
      </w:r>
    </w:p>
    <w:p w14:paraId="5AB106AD" w14:textId="48BD7E6C" w:rsidR="00951A82" w:rsidRPr="00951A82" w:rsidRDefault="00951A82" w:rsidP="00DF6260">
      <w:pPr>
        <w:pStyle w:val="ListParagraph"/>
        <w:numPr>
          <w:ilvl w:val="0"/>
          <w:numId w:val="29"/>
        </w:numPr>
        <w:spacing w:after="0" w:line="264" w:lineRule="auto"/>
        <w:ind w:left="1134" w:hanging="283"/>
        <w:rPr>
          <w:rFonts w:ascii="Calibri" w:eastAsia="Calibri" w:hAnsi="Calibri" w:cs="Times New Roman"/>
          <w:lang w:eastAsia="en-US"/>
        </w:rPr>
      </w:pPr>
      <w:r w:rsidRPr="00951A82">
        <w:rPr>
          <w:rFonts w:ascii="Calibri" w:eastAsia="Calibri" w:hAnsi="Calibri" w:cs="Times New Roman"/>
          <w:b/>
          <w:lang w:eastAsia="en-US"/>
        </w:rPr>
        <w:t>There is insufficient evidence to assess long-term patient outcomes</w:t>
      </w:r>
      <w:r w:rsidR="00846D66">
        <w:rPr>
          <w:rFonts w:ascii="Calibri" w:eastAsia="Calibri" w:hAnsi="Calibri" w:cs="Times New Roman"/>
          <w:b/>
          <w:lang w:eastAsia="en-US"/>
        </w:rPr>
        <w:t>;</w:t>
      </w:r>
    </w:p>
    <w:p w14:paraId="72F9E5C3" w14:textId="2C7EDEA1" w:rsidR="00D97287" w:rsidRPr="008402A4" w:rsidRDefault="003014A8" w:rsidP="00DF6260">
      <w:pPr>
        <w:pStyle w:val="ListParagraph"/>
        <w:numPr>
          <w:ilvl w:val="0"/>
          <w:numId w:val="29"/>
        </w:numPr>
        <w:spacing w:after="0"/>
        <w:ind w:left="1134" w:hanging="283"/>
        <w:jc w:val="both"/>
        <w:rPr>
          <w:rFonts w:eastAsiaTheme="minorHAnsi"/>
          <w:lang w:eastAsia="en-US"/>
        </w:rPr>
      </w:pPr>
      <w:r w:rsidRPr="008402A4">
        <w:rPr>
          <w:rFonts w:eastAsiaTheme="minorHAnsi"/>
          <w:b/>
          <w:lang w:eastAsia="en-US"/>
        </w:rPr>
        <w:t>A meta-analyses of eight studies that compare ezetimibe in combin</w:t>
      </w:r>
      <w:r w:rsidR="00ED12CB" w:rsidRPr="008402A4">
        <w:rPr>
          <w:rFonts w:eastAsiaTheme="minorHAnsi"/>
          <w:b/>
          <w:lang w:eastAsia="en-US"/>
        </w:rPr>
        <w:t>ation with fixed dose of statin vs matching fixed dose of statin</w:t>
      </w:r>
      <w:r w:rsidRPr="008402A4">
        <w:rPr>
          <w:rFonts w:eastAsiaTheme="minorHAnsi"/>
          <w:b/>
          <w:lang w:eastAsia="en-US"/>
        </w:rPr>
        <w:t xml:space="preserve"> shows that ezetimibe </w:t>
      </w:r>
      <w:r w:rsidR="00ED12CB" w:rsidRPr="008402A4">
        <w:rPr>
          <w:rFonts w:eastAsiaTheme="minorHAnsi"/>
          <w:b/>
          <w:lang w:eastAsia="en-US"/>
        </w:rPr>
        <w:t xml:space="preserve">combination </w:t>
      </w:r>
      <w:r w:rsidRPr="008402A4">
        <w:rPr>
          <w:rFonts w:eastAsiaTheme="minorHAnsi"/>
          <w:b/>
          <w:lang w:eastAsia="en-US"/>
        </w:rPr>
        <w:t>with statin significantly reduced LDL-C by -14.58% (95% CI: -17.83 to -12.17)  (P &lt; 0.00001) and significantly increases HDL-C by 1.88% (95% CI: 1.00 to 2.77)  (P &lt; 0.00001).</w:t>
      </w:r>
      <w:r w:rsidR="00951A82" w:rsidRPr="008402A4">
        <w:rPr>
          <w:rFonts w:eastAsiaTheme="minorHAnsi"/>
          <w:b/>
          <w:lang w:eastAsia="en-US"/>
        </w:rPr>
        <w:t xml:space="preserve"> </w:t>
      </w:r>
      <w:r w:rsidR="00951A82" w:rsidRPr="008402A4">
        <w:rPr>
          <w:rFonts w:eastAsiaTheme="minorHAnsi"/>
          <w:lang w:eastAsia="en-US"/>
        </w:rPr>
        <w:t>The results were observed in the population without the history of CHD who were administered ezetimibe + statin as the first line therapy. Results may not be generalizable to the secondary prevention population or the population who did not achieve the recommended lipid targets on the maximum tolerated dose of statin.</w:t>
      </w:r>
      <w:r w:rsidR="008402A4" w:rsidRPr="008402A4">
        <w:rPr>
          <w:rFonts w:eastAsiaTheme="minorHAnsi"/>
          <w:lang w:eastAsia="en-US"/>
        </w:rPr>
        <w:t xml:space="preserve"> </w:t>
      </w:r>
    </w:p>
    <w:p w14:paraId="0A4C9C34" w14:textId="2968FFAC" w:rsidR="003014A8" w:rsidRPr="003014A8" w:rsidRDefault="003014A8" w:rsidP="003014A8">
      <w:pPr>
        <w:pStyle w:val="ListParagraph"/>
        <w:spacing w:after="0" w:line="264" w:lineRule="auto"/>
        <w:ind w:left="924"/>
        <w:rPr>
          <w:rFonts w:ascii="Calibri" w:eastAsia="Calibri" w:hAnsi="Calibri" w:cs="Times New Roman"/>
          <w:lang w:eastAsia="en-US"/>
        </w:rPr>
      </w:pPr>
    </w:p>
    <w:p w14:paraId="2C108F7F" w14:textId="77777777" w:rsidR="00DA6A4A" w:rsidRDefault="00DA6A4A" w:rsidP="00F7292E">
      <w:pPr>
        <w:spacing w:after="0" w:line="240" w:lineRule="auto"/>
        <w:ind w:left="567" w:hanging="567"/>
        <w:rPr>
          <w:rFonts w:ascii="Calibri" w:eastAsia="Calibri" w:hAnsi="Calibri" w:cs="Times New Roman"/>
          <w:lang w:eastAsia="en-US"/>
        </w:rPr>
      </w:pPr>
      <w:r w:rsidRPr="00DA6A4A">
        <w:rPr>
          <w:rFonts w:ascii="Calibri" w:eastAsia="Calibri" w:hAnsi="Calibri" w:cs="Times New Roman"/>
          <w:b/>
          <w:lang w:eastAsia="en-US"/>
        </w:rPr>
        <w:t>Q4:</w:t>
      </w:r>
      <w:r w:rsidRPr="00DA6A4A">
        <w:rPr>
          <w:rFonts w:ascii="Calibri" w:eastAsia="Calibri" w:hAnsi="Calibri" w:cs="Times New Roman"/>
          <w:lang w:eastAsia="en-US"/>
        </w:rPr>
        <w:t xml:space="preserve"> </w:t>
      </w:r>
      <w:r w:rsidRPr="00DA6A4A">
        <w:rPr>
          <w:rFonts w:ascii="Calibri" w:eastAsia="Calibri" w:hAnsi="Calibri" w:cs="Times New Roman"/>
          <w:lang w:eastAsia="en-US"/>
        </w:rPr>
        <w:tab/>
        <w:t>Is addition of EZ to statins associated with superior long-term patient outcomes or surrogate outcomes compared with up-titration of statins (either in terms of dose or potency)?</w:t>
      </w:r>
    </w:p>
    <w:p w14:paraId="1631323C" w14:textId="29B7AD46" w:rsidR="00951A82" w:rsidRDefault="00951A82" w:rsidP="00F7292E">
      <w:pPr>
        <w:pStyle w:val="ListParagraph"/>
        <w:numPr>
          <w:ilvl w:val="0"/>
          <w:numId w:val="31"/>
        </w:numPr>
        <w:spacing w:after="0" w:line="240" w:lineRule="auto"/>
        <w:ind w:left="1134" w:hanging="283"/>
        <w:jc w:val="both"/>
        <w:rPr>
          <w:rFonts w:eastAsiaTheme="minorHAnsi"/>
          <w:lang w:eastAsia="en-US"/>
        </w:rPr>
      </w:pPr>
      <w:r w:rsidRPr="003014A8">
        <w:rPr>
          <w:rFonts w:ascii="Calibri" w:eastAsia="Calibri" w:hAnsi="Calibri" w:cs="Times New Roman"/>
          <w:lang w:eastAsia="en-US"/>
        </w:rPr>
        <w:t xml:space="preserve">Only one RCT with long-term patient outcomes met the selection criteria for the review (IMPROVE-IT, Cannon 2015). </w:t>
      </w:r>
      <w:r w:rsidRPr="003014A8">
        <w:rPr>
          <w:rFonts w:eastAsiaTheme="minorHAnsi"/>
          <w:b/>
          <w:lang w:eastAsia="en-US"/>
        </w:rPr>
        <w:t>Long term patient outcomes reported in the IMPROVE-IT trial may not be fully</w:t>
      </w:r>
      <w:r>
        <w:rPr>
          <w:rFonts w:eastAsiaTheme="minorHAnsi"/>
          <w:b/>
          <w:lang w:eastAsia="en-US"/>
        </w:rPr>
        <w:t xml:space="preserve"> generaliz</w:t>
      </w:r>
      <w:r w:rsidRPr="003014A8">
        <w:rPr>
          <w:rFonts w:eastAsiaTheme="minorHAnsi"/>
          <w:b/>
          <w:lang w:eastAsia="en-US"/>
        </w:rPr>
        <w:t xml:space="preserve">able to the target population </w:t>
      </w:r>
      <w:r>
        <w:rPr>
          <w:rFonts w:eastAsiaTheme="minorHAnsi"/>
          <w:b/>
          <w:lang w:eastAsia="en-US"/>
        </w:rPr>
        <w:t xml:space="preserve">for who ezetimibe is indicated </w:t>
      </w:r>
      <w:r w:rsidRPr="003014A8">
        <w:rPr>
          <w:rFonts w:eastAsiaTheme="minorHAnsi"/>
          <w:b/>
          <w:lang w:eastAsia="en-US"/>
        </w:rPr>
        <w:t xml:space="preserve">due to incompatibility of the trial </w:t>
      </w:r>
      <w:r>
        <w:rPr>
          <w:rFonts w:eastAsiaTheme="minorHAnsi"/>
          <w:b/>
          <w:lang w:eastAsia="en-US"/>
        </w:rPr>
        <w:t>inclusion</w:t>
      </w:r>
      <w:r w:rsidRPr="003014A8">
        <w:rPr>
          <w:rFonts w:eastAsiaTheme="minorHAnsi"/>
          <w:b/>
          <w:lang w:eastAsia="en-US"/>
        </w:rPr>
        <w:t xml:space="preserve"> criteria to the PBS restriction</w:t>
      </w:r>
      <w:r w:rsidR="008402A4">
        <w:rPr>
          <w:rFonts w:eastAsiaTheme="minorHAnsi"/>
          <w:b/>
          <w:lang w:eastAsia="en-US"/>
        </w:rPr>
        <w:t>s</w:t>
      </w:r>
      <w:r w:rsidRPr="003014A8">
        <w:rPr>
          <w:rFonts w:eastAsiaTheme="minorHAnsi"/>
          <w:b/>
          <w:lang w:eastAsia="en-US"/>
        </w:rPr>
        <w:t xml:space="preserve"> </w:t>
      </w:r>
      <w:r w:rsidRPr="003014A8">
        <w:rPr>
          <w:rFonts w:eastAsiaTheme="minorHAnsi"/>
          <w:lang w:eastAsia="en-US"/>
        </w:rPr>
        <w:t xml:space="preserve">(i.e. the low LDL-C entry thresholds; no hypercholesterolaemia diagnosis as a selection criterion; use of ezetimibe as the first line of treatment in a large proportion of enrolled  patients; the unknown response/tolerance </w:t>
      </w:r>
      <w:r w:rsidR="008402A4">
        <w:rPr>
          <w:rFonts w:eastAsiaTheme="minorHAnsi"/>
          <w:lang w:eastAsia="en-US"/>
        </w:rPr>
        <w:t>to</w:t>
      </w:r>
      <w:r w:rsidRPr="003014A8">
        <w:rPr>
          <w:rFonts w:eastAsiaTheme="minorHAnsi"/>
          <w:lang w:eastAsia="en-US"/>
        </w:rPr>
        <w:t xml:space="preserve"> the background statin treatment in patients who received ezetimibe as the second line treatment).</w:t>
      </w:r>
    </w:p>
    <w:p w14:paraId="08A950C3" w14:textId="68255D1D" w:rsidR="00951A82" w:rsidRPr="008402A4" w:rsidRDefault="00951A82" w:rsidP="00F7292E">
      <w:pPr>
        <w:pStyle w:val="ListParagraph"/>
        <w:numPr>
          <w:ilvl w:val="0"/>
          <w:numId w:val="29"/>
        </w:numPr>
        <w:spacing w:after="0" w:line="240" w:lineRule="auto"/>
        <w:ind w:left="1134" w:hanging="283"/>
        <w:jc w:val="both"/>
        <w:rPr>
          <w:rFonts w:eastAsiaTheme="minorHAnsi"/>
          <w:lang w:eastAsia="en-US"/>
        </w:rPr>
      </w:pPr>
      <w:r w:rsidRPr="00951A82">
        <w:rPr>
          <w:b/>
        </w:rPr>
        <w:t xml:space="preserve">Results of the studies that up-titrated the statin doses to achieve LDL-C targets generally showed that the co-administration of ezetimibe and statin was more effective in reducing LDL-C than statin monotherapy. </w:t>
      </w:r>
      <w:r w:rsidRPr="00D97287">
        <w:t>However, the observed high degree of heterogeneity in the identified trials prevented a pooled analysis of the individual mean differences</w:t>
      </w:r>
      <w:r w:rsidRPr="00951A82">
        <w:rPr>
          <w:b/>
        </w:rPr>
        <w:t xml:space="preserve">. </w:t>
      </w:r>
      <w:r w:rsidR="008402A4">
        <w:rPr>
          <w:rFonts w:eastAsiaTheme="minorHAnsi"/>
          <w:lang w:eastAsia="en-US"/>
        </w:rPr>
        <w:t>A</w:t>
      </w:r>
      <w:r w:rsidR="008402A4" w:rsidRPr="008402A4">
        <w:rPr>
          <w:rFonts w:eastAsiaTheme="minorHAnsi"/>
          <w:lang w:eastAsia="en-US"/>
        </w:rPr>
        <w:t xml:space="preserve">lthough the results of percentage reductions in LDL-C indicate superiority of ezetimibe over up-titrated statin, the patients were not necessarily receiving the maximum tolerated dose of statin during the stabilisation period prior to randomisation.  </w:t>
      </w:r>
      <w:r w:rsidR="00D97287" w:rsidRPr="008402A4">
        <w:rPr>
          <w:i/>
        </w:rPr>
        <w:t>The population enrolled in the identified RCTs that formed the basis of evidence is not fully representative of the Australian population for whom ezetimibe is currently indicated according to PBS restrictions.</w:t>
      </w:r>
    </w:p>
    <w:p w14:paraId="36F74BBB" w14:textId="0C40404A" w:rsidR="008402A4" w:rsidRPr="008402A4" w:rsidRDefault="008402A4" w:rsidP="00F7292E">
      <w:pPr>
        <w:pStyle w:val="ListParagraph"/>
        <w:numPr>
          <w:ilvl w:val="0"/>
          <w:numId w:val="31"/>
        </w:numPr>
        <w:spacing w:after="0" w:line="240" w:lineRule="auto"/>
        <w:ind w:left="1134" w:hanging="283"/>
        <w:jc w:val="both"/>
      </w:pPr>
      <w:r w:rsidRPr="008402A4">
        <w:rPr>
          <w:b/>
        </w:rPr>
        <w:t xml:space="preserve">Results of the meta-analyses of eight RCTs (nine for HDL-C results) reported in the systematic review by Pandor (2009), and confirmed by the independent assessment conducted for this review, indicated that ezetimibe monotherapy significantly reduced LDL cholesterol concentrations compared with placebo. Significant potentially favourable changes were also observed in total cholesterol and HDL cholesterol. </w:t>
      </w:r>
      <w:r w:rsidRPr="008402A4">
        <w:t>However none of the trials included in the meta-analyses enrolled the patients with confirmed statin intolerance of contraindication to statin therapy. Therefore results of the meta-analyses my not be fully generalizable to the population</w:t>
      </w:r>
      <w:r>
        <w:t xml:space="preserve"> for whom ezetimibe is indicated</w:t>
      </w:r>
    </w:p>
    <w:p w14:paraId="1EA76097" w14:textId="482117F4" w:rsidR="00951A82" w:rsidRPr="00D97287" w:rsidRDefault="00D97287" w:rsidP="00F7292E">
      <w:pPr>
        <w:pStyle w:val="ListParagraph"/>
        <w:numPr>
          <w:ilvl w:val="0"/>
          <w:numId w:val="31"/>
        </w:numPr>
        <w:spacing w:after="0" w:line="240" w:lineRule="auto"/>
        <w:ind w:left="1134" w:hanging="283"/>
        <w:jc w:val="both"/>
        <w:rPr>
          <w:b/>
        </w:rPr>
      </w:pPr>
      <w:r w:rsidRPr="00D97287">
        <w:rPr>
          <w:b/>
        </w:rPr>
        <w:t xml:space="preserve">Ezetimibe monotherapy appeared to be well tolerated with a safety profile similar to placebo. </w:t>
      </w:r>
      <w:r w:rsidRPr="00D97287">
        <w:t>However, the evidence base consisting of the limited number of the short-term (12 weeks) trials included in the review is too limited to address the long-term safety of ezetimibe monotherapy</w:t>
      </w:r>
      <w:r w:rsidRPr="00D97287">
        <w:rPr>
          <w:b/>
        </w:rPr>
        <w:t xml:space="preserve">. </w:t>
      </w:r>
    </w:p>
    <w:p w14:paraId="4384F7B1" w14:textId="74016DB8" w:rsidR="00951A82" w:rsidRPr="00DA6A4A" w:rsidRDefault="00951A82" w:rsidP="00F7292E">
      <w:pPr>
        <w:spacing w:after="0" w:line="240" w:lineRule="auto"/>
        <w:ind w:left="567" w:hanging="567"/>
        <w:rPr>
          <w:rFonts w:ascii="Calibri" w:eastAsia="Calibri" w:hAnsi="Calibri" w:cs="Times New Roman"/>
          <w:lang w:eastAsia="en-US"/>
        </w:rPr>
      </w:pPr>
    </w:p>
    <w:p w14:paraId="125DD3B4" w14:textId="77777777" w:rsidR="00DA6A4A" w:rsidRDefault="00DA6A4A" w:rsidP="00F7292E">
      <w:pPr>
        <w:spacing w:after="0" w:line="240" w:lineRule="auto"/>
        <w:ind w:left="567" w:hanging="567"/>
        <w:jc w:val="both"/>
        <w:rPr>
          <w:rFonts w:ascii="Calibri" w:eastAsia="Calibri" w:hAnsi="Calibri" w:cs="Times New Roman"/>
          <w:lang w:eastAsia="en-US"/>
        </w:rPr>
      </w:pPr>
      <w:r w:rsidRPr="00DA6A4A">
        <w:rPr>
          <w:rFonts w:ascii="Calibri" w:eastAsia="Calibri" w:hAnsi="Calibri" w:cs="Times New Roman"/>
          <w:b/>
          <w:lang w:eastAsia="en-US"/>
        </w:rPr>
        <w:t>Q5:</w:t>
      </w:r>
      <w:r w:rsidRPr="00DA6A4A">
        <w:rPr>
          <w:rFonts w:ascii="Calibri" w:eastAsia="Calibri" w:hAnsi="Calibri" w:cs="Times New Roman"/>
          <w:lang w:eastAsia="en-US"/>
        </w:rPr>
        <w:tab/>
        <w:t>If it is established, that addition of EZ to statins is associated with superior final or surrogate outcomes, whether the listed price for EZ is justified considering the additional benefits?</w:t>
      </w:r>
    </w:p>
    <w:p w14:paraId="7DC43904" w14:textId="496ABBF7" w:rsidR="003014A8" w:rsidRDefault="003014A8" w:rsidP="00F7292E">
      <w:pPr>
        <w:spacing w:after="0" w:line="240" w:lineRule="auto"/>
        <w:ind w:left="567" w:hanging="567"/>
        <w:jc w:val="both"/>
        <w:rPr>
          <w:rFonts w:ascii="Calibri" w:eastAsia="Calibri" w:hAnsi="Calibri" w:cs="Times New Roman"/>
          <w:b/>
          <w:lang w:eastAsia="en-US"/>
        </w:rPr>
      </w:pPr>
      <w:r>
        <w:rPr>
          <w:rFonts w:ascii="Calibri" w:eastAsia="Calibri" w:hAnsi="Calibri" w:cs="Times New Roman"/>
          <w:b/>
          <w:lang w:eastAsia="en-US"/>
        </w:rPr>
        <w:tab/>
      </w:r>
      <w:r w:rsidR="00F7292E" w:rsidRPr="00F7292E">
        <w:rPr>
          <w:b/>
        </w:rPr>
        <w:t>There is a considerable uncertainty about the cost-effectiveness of ezetimibe in combination with statin versus statin monotherapy</w:t>
      </w:r>
      <w:r w:rsidR="00F7292E">
        <w:rPr>
          <w:b/>
        </w:rPr>
        <w:t xml:space="preserve"> arising from the variability in estimates of clinical efficacy in terms of TC:HDL ratio </w:t>
      </w:r>
      <w:r w:rsidR="00F7292E" w:rsidRPr="00F7292E">
        <w:rPr>
          <w:i/>
        </w:rPr>
        <w:t>(not presented here).</w:t>
      </w:r>
      <w:r w:rsidR="00F7292E" w:rsidRPr="00F7292E">
        <w:rPr>
          <w:b/>
        </w:rPr>
        <w:t xml:space="preserve">  Results of the economic evaluations previously considered by PBAC and the one presented for the post-market Review seem to be overestimating the incremental long-term benefits associated with a combination of ezetimibe and statin</w:t>
      </w:r>
      <w:r w:rsidR="00F7292E" w:rsidRPr="00F7292E">
        <w:t xml:space="preserve"> </w:t>
      </w:r>
      <w:r w:rsidR="00F7292E">
        <w:t>(See S</w:t>
      </w:r>
      <w:r w:rsidR="00F7292E" w:rsidRPr="00F7292E">
        <w:t xml:space="preserve">ection </w:t>
      </w:r>
      <w:r w:rsidR="00F7292E">
        <w:t xml:space="preserve">on critique of </w:t>
      </w:r>
      <w:r w:rsidR="00F7292E" w:rsidRPr="00F7292E">
        <w:t>Modelled Economic evaluation</w:t>
      </w:r>
      <w:r w:rsidR="00F7292E">
        <w:t>s</w:t>
      </w:r>
      <w:r w:rsidR="00F7292E" w:rsidRPr="00F7292E">
        <w:t>).</w:t>
      </w:r>
    </w:p>
    <w:p w14:paraId="7401D793" w14:textId="77777777" w:rsidR="00951A82" w:rsidRPr="00DA6A4A" w:rsidRDefault="00951A82" w:rsidP="00F7292E">
      <w:pPr>
        <w:spacing w:after="0" w:line="240" w:lineRule="auto"/>
        <w:ind w:left="567" w:hanging="567"/>
        <w:rPr>
          <w:rFonts w:ascii="Calibri" w:eastAsia="Calibri" w:hAnsi="Calibri" w:cs="Times New Roman"/>
          <w:lang w:eastAsia="en-US"/>
        </w:rPr>
      </w:pPr>
    </w:p>
    <w:p w14:paraId="348F6EB1" w14:textId="57969DF8" w:rsidR="00DA6A4A" w:rsidRPr="00DA6A4A" w:rsidRDefault="00DA6A4A" w:rsidP="00F7292E">
      <w:pPr>
        <w:spacing w:after="0" w:line="240" w:lineRule="auto"/>
        <w:ind w:left="567" w:hanging="567"/>
        <w:jc w:val="both"/>
        <w:rPr>
          <w:rFonts w:ascii="Calibri" w:eastAsia="Calibri" w:hAnsi="Calibri" w:cs="Times New Roman"/>
          <w:lang w:eastAsia="en-US"/>
        </w:rPr>
      </w:pPr>
      <w:r w:rsidRPr="00DA6A4A">
        <w:rPr>
          <w:rFonts w:ascii="Calibri" w:eastAsia="Calibri" w:hAnsi="Calibri" w:cs="Times New Roman"/>
          <w:b/>
          <w:lang w:eastAsia="en-US"/>
        </w:rPr>
        <w:t>Q6:</w:t>
      </w:r>
      <w:r w:rsidR="001E4DB4">
        <w:rPr>
          <w:rFonts w:ascii="Calibri" w:eastAsia="Calibri" w:hAnsi="Calibri" w:cs="Times New Roman"/>
          <w:lang w:eastAsia="en-US"/>
        </w:rPr>
        <w:tab/>
        <w:t>Is reduction in LDL-C</w:t>
      </w:r>
      <w:r w:rsidRPr="00DA6A4A">
        <w:rPr>
          <w:rFonts w:ascii="Calibri" w:eastAsia="Calibri" w:hAnsi="Calibri" w:cs="Times New Roman"/>
          <w:lang w:eastAsia="en-US"/>
        </w:rPr>
        <w:t xml:space="preserve"> a valid surrogate for reduction in risk of cardiovascular (CV) events?</w:t>
      </w:r>
    </w:p>
    <w:p w14:paraId="5D1CD579" w14:textId="1FE01E94" w:rsidR="00DA6A4A" w:rsidRDefault="00DA6A4A" w:rsidP="00F7292E">
      <w:pPr>
        <w:spacing w:after="0" w:line="240" w:lineRule="auto"/>
        <w:ind w:left="567"/>
        <w:jc w:val="both"/>
        <w:rPr>
          <w:lang w:eastAsia="en-US"/>
        </w:rPr>
      </w:pPr>
      <w:r>
        <w:rPr>
          <w:b/>
          <w:lang w:eastAsia="en-US"/>
        </w:rPr>
        <w:t>There</w:t>
      </w:r>
      <w:r w:rsidRPr="00C6643A">
        <w:rPr>
          <w:b/>
          <w:lang w:eastAsia="en-US"/>
        </w:rPr>
        <w:t xml:space="preserve"> is strong evidence in support of LDL-C as a surrogate outcome </w:t>
      </w:r>
      <w:r w:rsidRPr="00C6643A">
        <w:rPr>
          <w:b/>
        </w:rPr>
        <w:t>for reduction in CV outcomes</w:t>
      </w:r>
      <w:r w:rsidRPr="00C6643A">
        <w:rPr>
          <w:b/>
          <w:lang w:eastAsia="en-US"/>
        </w:rPr>
        <w:t xml:space="preserve"> </w:t>
      </w:r>
      <w:r>
        <w:rPr>
          <w:b/>
          <w:lang w:eastAsia="en-US"/>
        </w:rPr>
        <w:t xml:space="preserve">in patients receiving a </w:t>
      </w:r>
      <w:r w:rsidRPr="00C6643A">
        <w:rPr>
          <w:b/>
          <w:lang w:eastAsia="en-US"/>
        </w:rPr>
        <w:t>statin therapy</w:t>
      </w:r>
      <w:r>
        <w:rPr>
          <w:b/>
          <w:lang w:eastAsia="en-US"/>
        </w:rPr>
        <w:t xml:space="preserve">. </w:t>
      </w:r>
      <w:r w:rsidR="00951A82">
        <w:rPr>
          <w:b/>
          <w:lang w:eastAsia="en-US"/>
        </w:rPr>
        <w:t>R</w:t>
      </w:r>
      <w:r>
        <w:rPr>
          <w:b/>
          <w:lang w:eastAsia="en-US"/>
        </w:rPr>
        <w:t xml:space="preserve">esults of the </w:t>
      </w:r>
      <w:r w:rsidR="00951A82">
        <w:rPr>
          <w:b/>
          <w:lang w:eastAsia="en-US"/>
        </w:rPr>
        <w:t xml:space="preserve">IMPROVE-IT </w:t>
      </w:r>
      <w:r>
        <w:rPr>
          <w:b/>
          <w:lang w:eastAsia="en-US"/>
        </w:rPr>
        <w:t xml:space="preserve">trial are important in testing a hypothesis of </w:t>
      </w:r>
      <w:r w:rsidRPr="008F7144">
        <w:rPr>
          <w:b/>
          <w:lang w:eastAsia="en-US"/>
        </w:rPr>
        <w:t xml:space="preserve">whether reduction in LDL-C is a valid surrogate </w:t>
      </w:r>
      <w:r>
        <w:rPr>
          <w:b/>
          <w:lang w:eastAsia="en-US"/>
        </w:rPr>
        <w:t xml:space="preserve">outcome </w:t>
      </w:r>
      <w:r w:rsidRPr="008F7144">
        <w:rPr>
          <w:b/>
          <w:lang w:eastAsia="en-US"/>
        </w:rPr>
        <w:t>for reduction in risk of CV event</w:t>
      </w:r>
      <w:r>
        <w:rPr>
          <w:b/>
          <w:lang w:eastAsia="en-US"/>
        </w:rPr>
        <w:t>s in patients receiving</w:t>
      </w:r>
      <w:r w:rsidRPr="008F7144">
        <w:rPr>
          <w:b/>
          <w:lang w:eastAsia="en-US"/>
        </w:rPr>
        <w:t xml:space="preserve"> </w:t>
      </w:r>
      <w:r>
        <w:rPr>
          <w:b/>
          <w:lang w:eastAsia="en-US"/>
        </w:rPr>
        <w:t>ezetimibe</w:t>
      </w:r>
      <w:r w:rsidR="00951A82">
        <w:rPr>
          <w:b/>
          <w:lang w:eastAsia="en-US"/>
        </w:rPr>
        <w:t xml:space="preserve"> </w:t>
      </w:r>
      <w:r w:rsidR="00951A82" w:rsidRPr="00951A82">
        <w:rPr>
          <w:lang w:eastAsia="en-US"/>
        </w:rPr>
        <w:t>(see Section 2.4.3 for details).</w:t>
      </w:r>
    </w:p>
    <w:p w14:paraId="2A472A26" w14:textId="77777777" w:rsidR="00AD3A28" w:rsidRDefault="00AD3A28" w:rsidP="00AD3A28">
      <w:pPr>
        <w:spacing w:after="0"/>
        <w:jc w:val="both"/>
      </w:pPr>
    </w:p>
    <w:p w14:paraId="428972D6" w14:textId="77777777" w:rsidR="0048633F" w:rsidRDefault="0048633F" w:rsidP="00BB1EB1">
      <w:pPr>
        <w:pStyle w:val="Heading1"/>
      </w:pPr>
      <w:r>
        <w:br w:type="page"/>
      </w:r>
    </w:p>
    <w:p w14:paraId="217DF2C5" w14:textId="37C2AD91" w:rsidR="00CB488A" w:rsidRPr="00BB1EB1" w:rsidRDefault="00CB488A" w:rsidP="00BB1EB1">
      <w:pPr>
        <w:pStyle w:val="Heading1"/>
      </w:pPr>
      <w:bookmarkStart w:id="72" w:name="_Toc467857769"/>
      <w:r w:rsidRPr="00BB1EB1">
        <w:t>References</w:t>
      </w:r>
      <w:bookmarkEnd w:id="72"/>
    </w:p>
    <w:sectPr w:rsidR="00CB488A" w:rsidRPr="00BB1EB1" w:rsidSect="00A00BB7">
      <w:endnotePr>
        <w:numFmt w:val="decimal"/>
      </w:endnotePr>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5D586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50008D" w14:textId="77777777" w:rsidR="00BF3AF1" w:rsidRDefault="00BF3AF1" w:rsidP="00113478">
      <w:pPr>
        <w:spacing w:after="0" w:line="240" w:lineRule="auto"/>
      </w:pPr>
      <w:r>
        <w:separator/>
      </w:r>
    </w:p>
  </w:endnote>
  <w:endnote w:type="continuationSeparator" w:id="0">
    <w:p w14:paraId="35AC761E" w14:textId="77777777" w:rsidR="00BF3AF1" w:rsidRDefault="00BF3AF1" w:rsidP="00113478">
      <w:pPr>
        <w:spacing w:after="0" w:line="240" w:lineRule="auto"/>
      </w:pPr>
      <w:r>
        <w:continuationSeparator/>
      </w:r>
    </w:p>
  </w:endnote>
  <w:endnote w:id="1">
    <w:p w14:paraId="3FF16724" w14:textId="4D157D10" w:rsidR="00800510" w:rsidRDefault="00800510" w:rsidP="00946082">
      <w:pPr>
        <w:pStyle w:val="EndnoteText"/>
        <w:spacing w:before="80" w:after="80"/>
      </w:pPr>
      <w:r>
        <w:rPr>
          <w:rStyle w:val="EndnoteReference"/>
        </w:rPr>
        <w:endnoteRef/>
      </w:r>
      <w:r>
        <w:t xml:space="preserve"> </w:t>
      </w:r>
      <w:r w:rsidRPr="00CB488A">
        <w:t xml:space="preserve">Gagne C, Gaudet D, Bruckert E, Ezetimibe Study G. Efficacy and safety of ezetimibe coadministered with atorvastatin or simvastatin in patients with homozygous familial hypercholesterolemia. </w:t>
      </w:r>
      <w:r w:rsidRPr="00946082">
        <w:rPr>
          <w:i/>
        </w:rPr>
        <w:t>Circulation.</w:t>
      </w:r>
      <w:r w:rsidRPr="00CB488A">
        <w:t xml:space="preserve"> 2002;105:2469-2475</w:t>
      </w:r>
    </w:p>
  </w:endnote>
  <w:endnote w:id="2">
    <w:p w14:paraId="127E1EAA" w14:textId="262C1105" w:rsidR="00800510" w:rsidRDefault="00800510" w:rsidP="00946082">
      <w:pPr>
        <w:pStyle w:val="EndnoteText"/>
        <w:spacing w:before="80" w:after="80"/>
      </w:pPr>
      <w:r>
        <w:rPr>
          <w:rStyle w:val="EndnoteReference"/>
        </w:rPr>
        <w:endnoteRef/>
      </w:r>
      <w:r>
        <w:t xml:space="preserve"> Dujovne CA, Ettinger MP, McNeer JF et al. Efficacy and safety of a potent new selective cholesterol absorption inhibitor, ezetimibe, in patients with primary hypercholesterolemia. Am J Cardiol 2002; 90: 1092–7.</w:t>
      </w:r>
    </w:p>
  </w:endnote>
  <w:endnote w:id="3">
    <w:p w14:paraId="1F4FC21E" w14:textId="3D34BA09" w:rsidR="00800510" w:rsidRDefault="00800510" w:rsidP="00946082">
      <w:pPr>
        <w:pStyle w:val="EndnoteText"/>
        <w:spacing w:before="80" w:after="80"/>
      </w:pPr>
      <w:r>
        <w:rPr>
          <w:rStyle w:val="EndnoteReference"/>
        </w:rPr>
        <w:endnoteRef/>
      </w:r>
      <w:r>
        <w:t xml:space="preserve"> Knopp RH, Gitter H, Truitt T et al. Effects of ezetimibe, a new cholesterol absorption inhibitor, on plasma lipids in patients with primary hypercholesterolemia. </w:t>
      </w:r>
      <w:r w:rsidRPr="00946082">
        <w:rPr>
          <w:i/>
        </w:rPr>
        <w:t>Eur Heart J</w:t>
      </w:r>
      <w:r>
        <w:t xml:space="preserve"> 2003; 24: 729–41</w:t>
      </w:r>
    </w:p>
  </w:endnote>
  <w:endnote w:id="4">
    <w:p w14:paraId="113819E9" w14:textId="51E734D9" w:rsidR="00800510" w:rsidRPr="004004E5" w:rsidRDefault="00800510" w:rsidP="004004E5">
      <w:pPr>
        <w:spacing w:before="80" w:after="80"/>
        <w:rPr>
          <w:sz w:val="20"/>
          <w:szCs w:val="20"/>
        </w:rPr>
      </w:pPr>
      <w:r>
        <w:rPr>
          <w:rStyle w:val="EndnoteReference"/>
        </w:rPr>
        <w:endnoteRef/>
      </w:r>
      <w:r>
        <w:t xml:space="preserve"> </w:t>
      </w:r>
      <w:r w:rsidRPr="004004E5">
        <w:rPr>
          <w:sz w:val="20"/>
          <w:szCs w:val="20"/>
        </w:rPr>
        <w:t xml:space="preserve">Davidson MH, McGarry T, Bettis R, et al. Ezetimibe coadministered with simvastatin in patients with primary hypercholesterolemia. </w:t>
      </w:r>
      <w:r w:rsidRPr="00946082">
        <w:rPr>
          <w:i/>
          <w:sz w:val="20"/>
          <w:szCs w:val="20"/>
        </w:rPr>
        <w:t>J Am Coll Cardiol.</w:t>
      </w:r>
      <w:r w:rsidRPr="004004E5">
        <w:rPr>
          <w:sz w:val="20"/>
          <w:szCs w:val="20"/>
        </w:rPr>
        <w:t xml:space="preserve"> 2002;40:2125-2134.</w:t>
      </w:r>
    </w:p>
  </w:endnote>
  <w:endnote w:id="5">
    <w:p w14:paraId="5F57A9B2" w14:textId="77FD77BB" w:rsidR="00800510" w:rsidRDefault="00800510">
      <w:pPr>
        <w:pStyle w:val="EndnoteText"/>
      </w:pPr>
      <w:r>
        <w:rPr>
          <w:rStyle w:val="EndnoteReference"/>
        </w:rPr>
        <w:endnoteRef/>
      </w:r>
      <w:r>
        <w:t xml:space="preserve"> </w:t>
      </w:r>
      <w:r w:rsidRPr="004004E5">
        <w:t xml:space="preserve">Ballantyne CM, Houri J, Notarbartolo A, et al. Effect of ezetimibe coadministered with atorvastatin in 628 patients with primary hypercholesterolemia: a prospective, randomized, double-blind trial. </w:t>
      </w:r>
      <w:r w:rsidRPr="00946082">
        <w:rPr>
          <w:i/>
        </w:rPr>
        <w:t>Circulation</w:t>
      </w:r>
      <w:r w:rsidRPr="004004E5">
        <w:t>. 2003;107:2409-2415.</w:t>
      </w:r>
    </w:p>
  </w:endnote>
  <w:endnote w:id="6">
    <w:p w14:paraId="1784DB81" w14:textId="1F2C04A2" w:rsidR="00800510" w:rsidRDefault="00800510" w:rsidP="00946082">
      <w:pPr>
        <w:pStyle w:val="EndnoteText"/>
        <w:spacing w:before="80" w:after="80"/>
      </w:pPr>
      <w:r>
        <w:rPr>
          <w:rStyle w:val="EndnoteReference"/>
        </w:rPr>
        <w:endnoteRef/>
      </w:r>
      <w:r>
        <w:t xml:space="preserve"> </w:t>
      </w:r>
      <w:r w:rsidRPr="004004E5">
        <w:t>Gagne C, Bays HE, Weiss SR, et al. Efficacy and safety of ezetimibe added to ongoing statin therapy for treatment of patients with primary hypercholesterolemia. Am J Cardiol. 2002;90:1084-1091.</w:t>
      </w:r>
    </w:p>
  </w:endnote>
  <w:endnote w:id="7">
    <w:p w14:paraId="3D6902E0" w14:textId="0B0F9060" w:rsidR="00800510" w:rsidRDefault="00800510" w:rsidP="00946082">
      <w:pPr>
        <w:pStyle w:val="EndnoteText"/>
        <w:spacing w:before="80" w:after="80"/>
      </w:pPr>
      <w:r>
        <w:rPr>
          <w:rStyle w:val="EndnoteReference"/>
        </w:rPr>
        <w:endnoteRef/>
      </w:r>
      <w:r>
        <w:t xml:space="preserve"> </w:t>
      </w:r>
      <w:r w:rsidRPr="004004E5">
        <w:t>Simons L, Tonkon M, Masana L, et al. Effects of ezetimibe added to on-going statin therapy on the lipid profile of hypercholesterolemic patients with diabetes mellitus or metabol</w:t>
      </w:r>
      <w:r>
        <w:t xml:space="preserve">ic syndrome. </w:t>
      </w:r>
      <w:r w:rsidRPr="00946082">
        <w:rPr>
          <w:i/>
        </w:rPr>
        <w:t>Curr Med Res Opin</w:t>
      </w:r>
      <w:r>
        <w:t xml:space="preserve">. </w:t>
      </w:r>
      <w:r w:rsidRPr="004004E5">
        <w:t>2004;</w:t>
      </w:r>
      <w:r>
        <w:t xml:space="preserve"> </w:t>
      </w:r>
      <w:r w:rsidRPr="004004E5">
        <w:t>20:1437-1445</w:t>
      </w:r>
    </w:p>
  </w:endnote>
  <w:endnote w:id="8">
    <w:p w14:paraId="2F3081F1" w14:textId="775BC74C" w:rsidR="00800510" w:rsidRDefault="00800510" w:rsidP="00946082">
      <w:pPr>
        <w:pStyle w:val="EndnoteText"/>
        <w:spacing w:before="80" w:after="80"/>
      </w:pPr>
      <w:r>
        <w:rPr>
          <w:rStyle w:val="EndnoteReference"/>
        </w:rPr>
        <w:endnoteRef/>
      </w:r>
      <w:r>
        <w:t xml:space="preserve"> </w:t>
      </w:r>
      <w:r w:rsidRPr="004004E5">
        <w:t xml:space="preserve">Stein E, Stender S, Mata P, Sager P, Ponsonnet D, Melani L, et al. Achieving lipoprotein goals in patients at high risk with severe hypercholesterolemia: Efficacy and safety of ezetimibe co-administered with atorvastatin. </w:t>
      </w:r>
      <w:r w:rsidRPr="00946082">
        <w:rPr>
          <w:i/>
        </w:rPr>
        <w:t>American Heart Journal</w:t>
      </w:r>
      <w:r w:rsidRPr="004004E5">
        <w:t>. 2004;148(3):447-55.</w:t>
      </w:r>
    </w:p>
  </w:endnote>
  <w:endnote w:id="9">
    <w:p w14:paraId="4BFAA3F1" w14:textId="0E416364" w:rsidR="00800510" w:rsidRDefault="00800510" w:rsidP="00946082">
      <w:pPr>
        <w:pStyle w:val="EndnoteText"/>
        <w:spacing w:before="80" w:after="80"/>
      </w:pPr>
      <w:r>
        <w:rPr>
          <w:rStyle w:val="EndnoteReference"/>
        </w:rPr>
        <w:endnoteRef/>
      </w:r>
      <w:r>
        <w:t xml:space="preserve"> </w:t>
      </w:r>
      <w:r w:rsidRPr="00B50E4F">
        <w:t xml:space="preserve">Pearson T, Denke M, McBride P, Battisti WP, Brady WE, Palmisano J. Effectiveness of the addition of ezetimibe to ongoing statin therapy in modifying lipid profiles and attaining low-density lipoprotein cholesterol goals in older and elderly patients: subanalyses of data from a randomized, double-blind, placebo-controlled trial. </w:t>
      </w:r>
      <w:r w:rsidRPr="00946082">
        <w:rPr>
          <w:i/>
        </w:rPr>
        <w:t>Am J Geriatr Pharmacother</w:t>
      </w:r>
      <w:r w:rsidRPr="00B50E4F">
        <w:t>. 2005;3:218-228.</w:t>
      </w:r>
    </w:p>
  </w:endnote>
  <w:endnote w:id="10">
    <w:p w14:paraId="5DC493B9" w14:textId="510A2F67" w:rsidR="00800510" w:rsidRDefault="00800510">
      <w:pPr>
        <w:pStyle w:val="EndnoteText"/>
      </w:pPr>
      <w:r>
        <w:rPr>
          <w:rStyle w:val="EndnoteReference"/>
        </w:rPr>
        <w:endnoteRef/>
      </w:r>
      <w:r>
        <w:t xml:space="preserve"> </w:t>
      </w:r>
      <w:r w:rsidRPr="002C2173">
        <w:t>Wierzbicki AS1, Doherty E, Lumb PJ, Chik G, Crook MA. Efficacy of ezetimibe in patients with statin-resistant and statin-intolerant familial hyperlipidaemias</w:t>
      </w:r>
      <w:r>
        <w:t xml:space="preserve">. </w:t>
      </w:r>
      <w:r w:rsidRPr="002C2173">
        <w:rPr>
          <w:i/>
        </w:rPr>
        <w:t>Curr Med Res Opin.</w:t>
      </w:r>
      <w:r w:rsidRPr="002C2173">
        <w:t xml:space="preserve"> 2005 Mar;21(3):333-8.</w:t>
      </w:r>
    </w:p>
  </w:endnote>
  <w:endnote w:id="11">
    <w:p w14:paraId="47B5F9AB" w14:textId="43450614" w:rsidR="00800510" w:rsidRDefault="00800510" w:rsidP="00946082">
      <w:pPr>
        <w:pStyle w:val="EndnoteText"/>
        <w:spacing w:before="80" w:after="80"/>
      </w:pPr>
      <w:r>
        <w:rPr>
          <w:rStyle w:val="EndnoteReference"/>
        </w:rPr>
        <w:endnoteRef/>
      </w:r>
      <w:r>
        <w:t xml:space="preserve"> </w:t>
      </w:r>
      <w:r w:rsidRPr="00946082">
        <w:t xml:space="preserve">Brohet C, Banai S, Alings AM, Massaad R, Davies MJ, Allen C. LDL-C goal attainment with the addition of ezetimibe to ongoing simvastatin treatment in coronary heart disease patients with hypercholesterolemia. </w:t>
      </w:r>
      <w:r w:rsidRPr="00946082">
        <w:rPr>
          <w:i/>
        </w:rPr>
        <w:t>Curr Med Res Opin</w:t>
      </w:r>
      <w:r w:rsidRPr="00946082">
        <w:t>. 2005;21:571-578.</w:t>
      </w:r>
    </w:p>
  </w:endnote>
  <w:endnote w:id="12">
    <w:p w14:paraId="3390BAEB" w14:textId="1B5CA9AA" w:rsidR="00800510" w:rsidRDefault="00800510" w:rsidP="002C2173">
      <w:pPr>
        <w:pStyle w:val="EndnoteText"/>
        <w:spacing w:before="80" w:after="80"/>
      </w:pPr>
      <w:r>
        <w:rPr>
          <w:rStyle w:val="EndnoteReference"/>
        </w:rPr>
        <w:endnoteRef/>
      </w:r>
      <w:r>
        <w:t xml:space="preserve"> </w:t>
      </w:r>
      <w:r w:rsidRPr="002C2173">
        <w:t>Geiss HC1, Otto C, Hund-Wissner E, Parhofer KG.</w:t>
      </w:r>
      <w:r>
        <w:t xml:space="preserve"> </w:t>
      </w:r>
      <w:r w:rsidRPr="002C2173">
        <w:t>Effects of ezetimibe on plasma lipoproteins in severely hypercholesterolemic patients treated with regular LDL-apheresis and statins</w:t>
      </w:r>
      <w:r>
        <w:t>.</w:t>
      </w:r>
      <w:r w:rsidRPr="002C2173">
        <w:t xml:space="preserve"> </w:t>
      </w:r>
      <w:r w:rsidRPr="002C2173">
        <w:rPr>
          <w:i/>
        </w:rPr>
        <w:t>Atherosclerosis.</w:t>
      </w:r>
      <w:r w:rsidRPr="002C2173">
        <w:t xml:space="preserve"> 2005</w:t>
      </w:r>
      <w:r>
        <w:t>;</w:t>
      </w:r>
      <w:r w:rsidRPr="002C2173">
        <w:t xml:space="preserve"> May;180(1):107-12. Epub 2004 Dec 29.</w:t>
      </w:r>
    </w:p>
  </w:endnote>
  <w:endnote w:id="13">
    <w:p w14:paraId="2B22B059" w14:textId="0619F90F" w:rsidR="00800510" w:rsidRDefault="00800510" w:rsidP="002C2173">
      <w:pPr>
        <w:pStyle w:val="EndnoteText"/>
        <w:spacing w:before="80" w:after="80"/>
      </w:pPr>
      <w:r>
        <w:rPr>
          <w:rStyle w:val="EndnoteReference"/>
        </w:rPr>
        <w:endnoteRef/>
      </w:r>
      <w:r>
        <w:t xml:space="preserve"> </w:t>
      </w:r>
      <w:r w:rsidRPr="001A0BC9">
        <w:rPr>
          <w:noProof/>
        </w:rPr>
        <w:t xml:space="preserve">Feldman T, Koren M, Insull W, Jr., et al. Treatment of high-risk patients with ezetimibe plus simvastatin co-administration versus simvastatin alone to attain National Cholesterol Education Program Adult Treatment Panel III low-density lipoprotein cholesterol goals. </w:t>
      </w:r>
      <w:r w:rsidRPr="00CB62FA">
        <w:rPr>
          <w:i/>
          <w:noProof/>
        </w:rPr>
        <w:t>Am J Cardiol</w:t>
      </w:r>
      <w:r>
        <w:rPr>
          <w:i/>
          <w:noProof/>
        </w:rPr>
        <w:t>.</w:t>
      </w:r>
      <w:r w:rsidRPr="001A0BC9">
        <w:rPr>
          <w:noProof/>
        </w:rPr>
        <w:t xml:space="preserve"> 2004;93:1481-</w:t>
      </w:r>
      <w:r>
        <w:rPr>
          <w:noProof/>
        </w:rPr>
        <w:t>148</w:t>
      </w:r>
      <w:r w:rsidRPr="001A0BC9">
        <w:rPr>
          <w:noProof/>
        </w:rPr>
        <w:t>6.</w:t>
      </w:r>
    </w:p>
  </w:endnote>
  <w:endnote w:id="14">
    <w:p w14:paraId="0B85BE87" w14:textId="568D75C6" w:rsidR="00800510" w:rsidRPr="00946082" w:rsidRDefault="00800510" w:rsidP="00946082">
      <w:pPr>
        <w:pStyle w:val="EndnoteText"/>
        <w:spacing w:before="80" w:after="80"/>
      </w:pPr>
      <w:r>
        <w:rPr>
          <w:rStyle w:val="EndnoteReference"/>
        </w:rPr>
        <w:endnoteRef/>
      </w:r>
      <w:r>
        <w:t xml:space="preserve"> </w:t>
      </w:r>
      <w:r w:rsidRPr="001A0BC9">
        <w:rPr>
          <w:noProof/>
        </w:rPr>
        <w:t xml:space="preserve">Ballantyne CM, Blazing MA, King TR, Brady WE, Palmisano J. Efficacy and safety of ezetimibe co-administered </w:t>
      </w:r>
      <w:r w:rsidRPr="00946082">
        <w:rPr>
          <w:noProof/>
        </w:rPr>
        <w:t xml:space="preserve">with simvastatin compared with atorvastatin in adults with hypercholesterolemia. </w:t>
      </w:r>
      <w:r w:rsidRPr="00946082">
        <w:rPr>
          <w:i/>
          <w:noProof/>
        </w:rPr>
        <w:t>Am J Cardiol.</w:t>
      </w:r>
      <w:r w:rsidRPr="00946082">
        <w:rPr>
          <w:noProof/>
        </w:rPr>
        <w:t xml:space="preserve"> 2004;93:1487-1494.</w:t>
      </w:r>
    </w:p>
  </w:endnote>
  <w:endnote w:id="15">
    <w:p w14:paraId="7BC922D6" w14:textId="1D14B33A" w:rsidR="00800510" w:rsidRPr="00946082" w:rsidRDefault="00800510" w:rsidP="00D87071">
      <w:pPr>
        <w:spacing w:before="80" w:after="80"/>
        <w:rPr>
          <w:rFonts w:eastAsia="Times New Roman" w:cs="Times New Roman"/>
          <w:noProof/>
          <w:sz w:val="20"/>
          <w:szCs w:val="20"/>
          <w:lang w:val="en-US" w:eastAsia="en-US"/>
        </w:rPr>
      </w:pPr>
      <w:r w:rsidRPr="00946082">
        <w:rPr>
          <w:rStyle w:val="EndnoteReference"/>
        </w:rPr>
        <w:endnoteRef/>
      </w:r>
      <w:r w:rsidRPr="00946082">
        <w:t xml:space="preserve"> </w:t>
      </w:r>
      <w:r w:rsidRPr="00946082">
        <w:rPr>
          <w:rFonts w:eastAsia="Times New Roman" w:cs="Times New Roman"/>
          <w:noProof/>
          <w:sz w:val="20"/>
          <w:szCs w:val="20"/>
          <w:lang w:val="en-US" w:eastAsia="en-US"/>
        </w:rPr>
        <w:t xml:space="preserve">Ballantyne CM, Abate N, Yuan Z, King TR, Palmisano J. Dose-comparison study of the combination of ezetimibe and simvastatin (Vytorin) versus atorvastatin in patients with hypercholesterolemia: the Vytorin Versus Atorvastatin (VYVA) study. </w:t>
      </w:r>
      <w:r w:rsidRPr="00946082">
        <w:rPr>
          <w:rFonts w:eastAsia="Times New Roman" w:cs="Times New Roman"/>
          <w:i/>
          <w:noProof/>
          <w:sz w:val="20"/>
          <w:szCs w:val="20"/>
          <w:lang w:val="en-US" w:eastAsia="en-US"/>
        </w:rPr>
        <w:t>Am Heart J.</w:t>
      </w:r>
      <w:r w:rsidRPr="00946082">
        <w:rPr>
          <w:rFonts w:eastAsia="Times New Roman" w:cs="Times New Roman"/>
          <w:noProof/>
          <w:sz w:val="20"/>
          <w:szCs w:val="20"/>
          <w:lang w:val="en-US" w:eastAsia="en-US"/>
        </w:rPr>
        <w:t xml:space="preserve"> 2005;149:464-473.</w:t>
      </w:r>
    </w:p>
  </w:endnote>
  <w:endnote w:id="16">
    <w:p w14:paraId="52F3C9D5" w14:textId="79C722D9" w:rsidR="00800510" w:rsidRPr="00C00758" w:rsidRDefault="00800510" w:rsidP="00D87071">
      <w:pPr>
        <w:spacing w:before="80" w:after="80"/>
        <w:rPr>
          <w:rFonts w:eastAsia="Times New Roman" w:cs="Times New Roman"/>
          <w:noProof/>
          <w:sz w:val="20"/>
          <w:szCs w:val="20"/>
          <w:lang w:val="en-US" w:eastAsia="en-US"/>
        </w:rPr>
      </w:pPr>
      <w:r w:rsidRPr="00946082">
        <w:rPr>
          <w:rStyle w:val="EndnoteReference"/>
        </w:rPr>
        <w:endnoteRef/>
      </w:r>
      <w:r w:rsidRPr="00946082">
        <w:t xml:space="preserve"> </w:t>
      </w:r>
      <w:r w:rsidRPr="00946082">
        <w:rPr>
          <w:rFonts w:eastAsia="Times New Roman" w:cs="Times New Roman"/>
          <w:noProof/>
          <w:sz w:val="20"/>
          <w:szCs w:val="20"/>
          <w:lang w:val="en-US" w:eastAsia="en-US"/>
        </w:rPr>
        <w:t xml:space="preserve">Gaudiani LM, Lewin A, Meneghini L, et al. Efficacy and safety of ezetimibe co-administered with simvastatin in thiazolidinedione-treated type 2 diabetic patients. </w:t>
      </w:r>
      <w:r w:rsidRPr="00946082">
        <w:rPr>
          <w:rFonts w:eastAsia="Times New Roman" w:cs="Times New Roman"/>
          <w:i/>
          <w:noProof/>
          <w:sz w:val="20"/>
          <w:szCs w:val="20"/>
          <w:lang w:val="en-US" w:eastAsia="en-US"/>
        </w:rPr>
        <w:t>Diabetes Obes Metab.</w:t>
      </w:r>
      <w:r w:rsidRPr="00946082">
        <w:rPr>
          <w:rFonts w:eastAsia="Times New Roman" w:cs="Times New Roman"/>
          <w:noProof/>
          <w:sz w:val="20"/>
          <w:szCs w:val="20"/>
          <w:lang w:val="en-US" w:eastAsia="en-US"/>
        </w:rPr>
        <w:t xml:space="preserve"> 2005;7:88-97.</w:t>
      </w:r>
    </w:p>
  </w:endnote>
  <w:endnote w:id="17">
    <w:p w14:paraId="5A1B9059" w14:textId="1AA446B5" w:rsidR="00800510" w:rsidRPr="00C00758" w:rsidRDefault="00800510" w:rsidP="00D87071">
      <w:pPr>
        <w:pStyle w:val="EndnoteText"/>
        <w:spacing w:before="80" w:after="80"/>
        <w:rPr>
          <w:rFonts w:eastAsia="Times New Roman" w:cs="Times New Roman"/>
          <w:noProof/>
          <w:lang w:val="en-US" w:eastAsia="en-US"/>
        </w:rPr>
      </w:pPr>
      <w:r>
        <w:rPr>
          <w:rStyle w:val="EndnoteReference"/>
        </w:rPr>
        <w:endnoteRef/>
      </w:r>
      <w:r>
        <w:t xml:space="preserve"> </w:t>
      </w:r>
      <w:r w:rsidRPr="00C00758">
        <w:rPr>
          <w:rFonts w:eastAsia="Times New Roman" w:cs="Times New Roman"/>
          <w:noProof/>
          <w:lang w:val="en-US" w:eastAsia="en-US"/>
        </w:rPr>
        <w:t xml:space="preserve">Cruz-Fernandez JM, Bedarida GV, Adgey J, Allen C, Johnson-Levonas AO, Massaad R. Efficacy and safety of ezetimibe co-administered with ongoing atorvastatin therapy in achieving low-density lipoprotein goal in patients with hypercholesterolemia and coronary heart disease. </w:t>
      </w:r>
      <w:r w:rsidRPr="00C00758">
        <w:rPr>
          <w:rFonts w:eastAsia="Times New Roman" w:cs="Times New Roman"/>
          <w:i/>
          <w:noProof/>
          <w:lang w:val="en-US" w:eastAsia="en-US"/>
        </w:rPr>
        <w:t>Int J Clin Pract.</w:t>
      </w:r>
      <w:r w:rsidRPr="00C00758">
        <w:rPr>
          <w:rFonts w:eastAsia="Times New Roman" w:cs="Times New Roman"/>
          <w:noProof/>
          <w:lang w:val="en-US" w:eastAsia="en-US"/>
        </w:rPr>
        <w:t xml:space="preserve"> 2005;59:619-627.</w:t>
      </w:r>
    </w:p>
  </w:endnote>
  <w:endnote w:id="18">
    <w:p w14:paraId="1932EBBD" w14:textId="3C3F0E7C" w:rsidR="00800510" w:rsidRDefault="00800510" w:rsidP="00D87071">
      <w:pPr>
        <w:pStyle w:val="EndnoteText"/>
        <w:spacing w:before="80" w:after="80"/>
      </w:pPr>
      <w:r>
        <w:rPr>
          <w:rStyle w:val="EndnoteReference"/>
        </w:rPr>
        <w:endnoteRef/>
      </w:r>
      <w:r>
        <w:t xml:space="preserve"> </w:t>
      </w:r>
      <w:r w:rsidRPr="00C00758">
        <w:t xml:space="preserve">Farnier M, Volpe M, Massaad R, Davies MJ, Allen C. Effect of co-administering ezetimibe with on-going simvastatin treatment on LDL-C goal attainment in hypercholesterolemic patients with coronary heart disease. </w:t>
      </w:r>
      <w:r w:rsidRPr="00C00758">
        <w:rPr>
          <w:i/>
        </w:rPr>
        <w:t>Int J Cardiol.</w:t>
      </w:r>
      <w:r w:rsidRPr="00C00758">
        <w:t xml:space="preserve"> 2005;102:327-332.</w:t>
      </w:r>
    </w:p>
  </w:endnote>
  <w:endnote w:id="19">
    <w:p w14:paraId="1E99BAC2" w14:textId="3CAB40A0" w:rsidR="00800510" w:rsidRPr="00F21968" w:rsidRDefault="00800510" w:rsidP="00F21968">
      <w:pPr>
        <w:spacing w:before="80" w:after="80"/>
        <w:rPr>
          <w:sz w:val="20"/>
          <w:szCs w:val="20"/>
        </w:rPr>
      </w:pPr>
      <w:r>
        <w:rPr>
          <w:rStyle w:val="EndnoteReference"/>
        </w:rPr>
        <w:endnoteRef/>
      </w:r>
      <w:r>
        <w:t xml:space="preserve"> </w:t>
      </w:r>
      <w:r w:rsidRPr="00C00758">
        <w:rPr>
          <w:sz w:val="20"/>
          <w:szCs w:val="20"/>
        </w:rPr>
        <w:t xml:space="preserve">Bays H, Sapre A, Taggart W, Liu J, Capece R, Tershakovec A. Long-term (48-week) safety of ezetimibe 10 mg/day coadministered with simvastatin compared to simvastatin alone in patients with primary hypercholesterolemia. </w:t>
      </w:r>
      <w:r w:rsidRPr="00C00758">
        <w:rPr>
          <w:i/>
          <w:sz w:val="20"/>
          <w:szCs w:val="20"/>
        </w:rPr>
        <w:t>Curr Med Res Opin.</w:t>
      </w:r>
      <w:r>
        <w:rPr>
          <w:sz w:val="20"/>
          <w:szCs w:val="20"/>
        </w:rPr>
        <w:t xml:space="preserve"> 2008;24:2953-2966.</w:t>
      </w:r>
    </w:p>
  </w:endnote>
  <w:endnote w:id="20">
    <w:p w14:paraId="5EE66BD1" w14:textId="6911D5D5" w:rsidR="00800510" w:rsidRDefault="00800510">
      <w:pPr>
        <w:pStyle w:val="EndnoteText"/>
        <w:rPr>
          <w:noProof/>
        </w:rPr>
      </w:pPr>
      <w:r>
        <w:rPr>
          <w:rStyle w:val="EndnoteReference"/>
        </w:rPr>
        <w:endnoteRef/>
      </w:r>
      <w:r>
        <w:t xml:space="preserve"> </w:t>
      </w:r>
      <w:r w:rsidRPr="001A0BC9">
        <w:rPr>
          <w:noProof/>
        </w:rPr>
        <w:t xml:space="preserve">Masana L, Mata P, Gagne C, et al. Long-term safety and, tolerability profiles and lipid-modifying efficacy of ezetimibe coadministered with ongoing simvastatin treatment: a multicenter, randomized, double-blind, placebo-controlled, 48-week extension study. </w:t>
      </w:r>
      <w:r w:rsidRPr="00FA24C0">
        <w:rPr>
          <w:i/>
          <w:noProof/>
        </w:rPr>
        <w:t>Clin Ther.</w:t>
      </w:r>
      <w:r w:rsidRPr="001A0BC9">
        <w:rPr>
          <w:noProof/>
        </w:rPr>
        <w:t xml:space="preserve"> 2005;27:174-</w:t>
      </w:r>
      <w:r>
        <w:rPr>
          <w:noProof/>
        </w:rPr>
        <w:t>1</w:t>
      </w:r>
      <w:r w:rsidRPr="001A0BC9">
        <w:rPr>
          <w:noProof/>
        </w:rPr>
        <w:t>84.</w:t>
      </w:r>
    </w:p>
  </w:endnote>
  <w:endnote w:id="21">
    <w:p w14:paraId="7C6C926A" w14:textId="6E3AC00C" w:rsidR="00800510" w:rsidRDefault="00800510" w:rsidP="00D87071">
      <w:pPr>
        <w:pStyle w:val="EndnoteText"/>
        <w:spacing w:before="80" w:after="80"/>
      </w:pPr>
      <w:r>
        <w:rPr>
          <w:rStyle w:val="EndnoteReference"/>
        </w:rPr>
        <w:endnoteRef/>
      </w:r>
      <w:r>
        <w:t xml:space="preserve"> </w:t>
      </w:r>
      <w:r w:rsidRPr="001A0BC9">
        <w:rPr>
          <w:noProof/>
        </w:rPr>
        <w:t xml:space="preserve">Ose L, Johnson-Levonas A, Reyes R, et al. A multi-centre, randomised, double-blind 14-week extension study examining the long-term safety and efficacy profile of the ezetimibe/simvastatin combination tablet. </w:t>
      </w:r>
      <w:r w:rsidRPr="002867DE">
        <w:rPr>
          <w:i/>
          <w:noProof/>
        </w:rPr>
        <w:t>Int J Clin Pract</w:t>
      </w:r>
      <w:r>
        <w:rPr>
          <w:i/>
          <w:noProof/>
        </w:rPr>
        <w:t>.</w:t>
      </w:r>
      <w:r w:rsidRPr="001A0BC9">
        <w:rPr>
          <w:noProof/>
        </w:rPr>
        <w:t xml:space="preserve"> 2007;61:1469-</w:t>
      </w:r>
      <w:r>
        <w:rPr>
          <w:noProof/>
        </w:rPr>
        <w:t>14</w:t>
      </w:r>
      <w:r w:rsidRPr="001A0BC9">
        <w:rPr>
          <w:noProof/>
        </w:rPr>
        <w:t>80.</w:t>
      </w:r>
    </w:p>
  </w:endnote>
  <w:endnote w:id="22">
    <w:p w14:paraId="6E02AE83" w14:textId="3148398E" w:rsidR="00800510" w:rsidRDefault="00800510" w:rsidP="00D87071">
      <w:pPr>
        <w:pStyle w:val="EndnoteText"/>
        <w:spacing w:before="80" w:after="80"/>
      </w:pPr>
      <w:r>
        <w:rPr>
          <w:rStyle w:val="EndnoteReference"/>
        </w:rPr>
        <w:endnoteRef/>
      </w:r>
      <w:r>
        <w:t xml:space="preserve"> </w:t>
      </w:r>
      <w:r w:rsidRPr="001A0BC9">
        <w:rPr>
          <w:noProof/>
        </w:rPr>
        <w:t xml:space="preserve">Strony J, Yang B, Hanson ME, Veltri EP. Long-term safety and tolerability of ezetimibe coadministered with simvastatin in hypercholesterolemic patients: a randomized, 12-month double-blind extension study. </w:t>
      </w:r>
      <w:r w:rsidRPr="006470A5">
        <w:rPr>
          <w:i/>
          <w:noProof/>
        </w:rPr>
        <w:t>Curr Med Res Opin.</w:t>
      </w:r>
      <w:r w:rsidRPr="001A0BC9">
        <w:rPr>
          <w:noProof/>
        </w:rPr>
        <w:t xml:space="preserve"> 2008;24:3149-</w:t>
      </w:r>
      <w:r>
        <w:rPr>
          <w:noProof/>
        </w:rPr>
        <w:t>1</w:t>
      </w:r>
      <w:r w:rsidRPr="001A0BC9">
        <w:rPr>
          <w:noProof/>
        </w:rPr>
        <w:t>57.</w:t>
      </w:r>
    </w:p>
  </w:endnote>
  <w:endnote w:id="23">
    <w:p w14:paraId="67822BF9" w14:textId="26AC7DBE" w:rsidR="00800510" w:rsidRPr="00D87071" w:rsidRDefault="00800510" w:rsidP="00D87071">
      <w:pPr>
        <w:spacing w:before="80" w:after="80"/>
        <w:rPr>
          <w:noProof/>
          <w:sz w:val="20"/>
          <w:szCs w:val="20"/>
        </w:rPr>
      </w:pPr>
      <w:r>
        <w:rPr>
          <w:rStyle w:val="EndnoteReference"/>
        </w:rPr>
        <w:endnoteRef/>
      </w:r>
      <w:r>
        <w:t xml:space="preserve"> AHRQ 2009. </w:t>
      </w:r>
      <w:r w:rsidRPr="00D87071">
        <w:rPr>
          <w:noProof/>
          <w:sz w:val="20"/>
          <w:szCs w:val="20"/>
        </w:rPr>
        <w:t xml:space="preserve">Sharma M, Ansari MT, Abou-Setta AM, Soares-Weiser K, Ooi TC, Sears M, et al. Systematic review: comparative effectiveness and harms of combination therapy and monotherapy for dyslipidemia. </w:t>
      </w:r>
      <w:r w:rsidRPr="00D87071">
        <w:rPr>
          <w:i/>
          <w:noProof/>
          <w:sz w:val="20"/>
          <w:szCs w:val="20"/>
        </w:rPr>
        <w:t>Ann Intern Med</w:t>
      </w:r>
      <w:r w:rsidRPr="00D87071">
        <w:rPr>
          <w:noProof/>
          <w:sz w:val="20"/>
          <w:szCs w:val="20"/>
        </w:rPr>
        <w:t>. 2009</w:t>
      </w:r>
      <w:r>
        <w:rPr>
          <w:noProof/>
          <w:sz w:val="20"/>
          <w:szCs w:val="20"/>
        </w:rPr>
        <w:t>a;151:622-30.</w:t>
      </w:r>
    </w:p>
  </w:endnote>
  <w:endnote w:id="24">
    <w:p w14:paraId="6918B961" w14:textId="4260A72F" w:rsidR="00800510" w:rsidRDefault="00800510" w:rsidP="00D87071">
      <w:pPr>
        <w:pStyle w:val="EndnoteText"/>
        <w:spacing w:before="80" w:after="80"/>
      </w:pPr>
      <w:r>
        <w:rPr>
          <w:rStyle w:val="EndnoteReference"/>
        </w:rPr>
        <w:endnoteRef/>
      </w:r>
      <w:r>
        <w:t xml:space="preserve"> AHRQ 2009. Sharma M, Ansari M, Soares-Weiser K, Abou-setta A, Ooi T, Sears M, et al. Comparative Effectiveness of Lipid-Modifying Agents. AHRQ Evidence Report 09-EHC024-1. 2009.</w:t>
      </w:r>
    </w:p>
  </w:endnote>
  <w:endnote w:id="25">
    <w:p w14:paraId="1B633741" w14:textId="72F11B2D" w:rsidR="00800510" w:rsidRDefault="00800510" w:rsidP="00E31DB7">
      <w:pPr>
        <w:pStyle w:val="EndnoteText"/>
      </w:pPr>
      <w:r>
        <w:rPr>
          <w:rStyle w:val="EndnoteReference"/>
        </w:rPr>
        <w:endnoteRef/>
      </w:r>
      <w:r>
        <w:t xml:space="preserve"> AHRQ 2014. Anne K. Monroe, Combination Therapy Versus Intensification of Statin Monotherapy: An Update AHRQ Publication No. 14-EHC013-EF February 2014</w:t>
      </w:r>
    </w:p>
  </w:endnote>
  <w:endnote w:id="26">
    <w:p w14:paraId="5980599D" w14:textId="55200B03" w:rsidR="00800510" w:rsidRDefault="00800510" w:rsidP="00D87071">
      <w:pPr>
        <w:pStyle w:val="EndnoteText"/>
        <w:spacing w:before="80" w:after="80"/>
      </w:pPr>
      <w:r>
        <w:rPr>
          <w:rStyle w:val="EndnoteReference"/>
        </w:rPr>
        <w:endnoteRef/>
      </w:r>
      <w:r>
        <w:t xml:space="preserve"> Gudzune, Monroe, Sharma, et al Effectiveness of combination therapy with statin and another lipid-modifying agent compared with intensified statin monotherapy: a systematic review. </w:t>
      </w:r>
      <w:r w:rsidRPr="00D87071">
        <w:rPr>
          <w:i/>
        </w:rPr>
        <w:t>Annals of Internal Medicine</w:t>
      </w:r>
      <w:r>
        <w:t>; 2014; 160(7) 468-76</w:t>
      </w:r>
    </w:p>
  </w:endnote>
  <w:endnote w:id="27">
    <w:p w14:paraId="431CE9D0" w14:textId="7E600AB1" w:rsidR="00800510" w:rsidRDefault="00800510" w:rsidP="00E31DB7">
      <w:pPr>
        <w:pStyle w:val="EndnoteText"/>
        <w:spacing w:before="80" w:after="80"/>
      </w:pPr>
      <w:r>
        <w:rPr>
          <w:rStyle w:val="EndnoteReference"/>
        </w:rPr>
        <w:endnoteRef/>
      </w:r>
      <w:r>
        <w:t xml:space="preserve"> Mikhailidis DP. Sibbring, Ballantyne G.M. Davies et al Meta-analysis of the cholesterol lowering effect of ezetimibe added to ongoing statin therapy. </w:t>
      </w:r>
      <w:r w:rsidRPr="00E31DB7">
        <w:rPr>
          <w:i/>
        </w:rPr>
        <w:t>Current Medical Research and Opinion</w:t>
      </w:r>
      <w:r>
        <w:t>; 2007 Vol. 23, No. 8, 2009–2026</w:t>
      </w:r>
    </w:p>
  </w:endnote>
  <w:endnote w:id="28">
    <w:p w14:paraId="4BDB82AF" w14:textId="09207213" w:rsidR="00800510" w:rsidRDefault="00800510" w:rsidP="00E31DB7">
      <w:pPr>
        <w:pStyle w:val="EndnoteText"/>
        <w:spacing w:before="80" w:after="80"/>
      </w:pPr>
      <w:r>
        <w:rPr>
          <w:rStyle w:val="EndnoteReference"/>
        </w:rPr>
        <w:endnoteRef/>
      </w:r>
      <w:r>
        <w:t xml:space="preserve"> </w:t>
      </w:r>
      <w:r w:rsidRPr="00E31DB7">
        <w:t xml:space="preserve">Mikhailidis DP Comparative efficacy of the addition of ezetimibe to statin vs statin titration in patients with hypercholesterolaemia: systematic review and meta-analysis. </w:t>
      </w:r>
      <w:r w:rsidRPr="00E31DB7">
        <w:rPr>
          <w:i/>
        </w:rPr>
        <w:t>Curr Med Res Opin.</w:t>
      </w:r>
      <w:r w:rsidRPr="00E31DB7">
        <w:t xml:space="preserve"> 2011 Jun;27(6):1191-210</w:t>
      </w:r>
    </w:p>
  </w:endnote>
  <w:endnote w:id="29">
    <w:p w14:paraId="6A1251F2" w14:textId="645D52B9" w:rsidR="00800510" w:rsidRDefault="00800510" w:rsidP="00F678F6">
      <w:pPr>
        <w:pStyle w:val="EndnoteText"/>
        <w:spacing w:before="80" w:after="80"/>
      </w:pPr>
      <w:r>
        <w:rPr>
          <w:rStyle w:val="EndnoteReference"/>
        </w:rPr>
        <w:endnoteRef/>
      </w:r>
      <w:r>
        <w:t xml:space="preserve"> Tunceli et al. </w:t>
      </w:r>
      <w:r w:rsidRPr="00E31DB7">
        <w:t>Comparative efficacy of the addition of ezetimibe to statin vs statin titration in patients with hypercholesterolaemia: systematic review and meta-analysis</w:t>
      </w:r>
      <w:r>
        <w:t>. A</w:t>
      </w:r>
      <w:r w:rsidRPr="00E31DB7">
        <w:t xml:space="preserve">bstract of the 13th European conference, </w:t>
      </w:r>
      <w:r w:rsidRPr="00E31DB7">
        <w:rPr>
          <w:i/>
        </w:rPr>
        <w:t>Value in Health,</w:t>
      </w:r>
      <w:r w:rsidRPr="00E31DB7">
        <w:t xml:space="preserve"> 2010 13 (7) A342</w:t>
      </w:r>
    </w:p>
  </w:endnote>
  <w:endnote w:id="30">
    <w:p w14:paraId="6AB4EAE1" w14:textId="39A3A410" w:rsidR="00800510" w:rsidRDefault="00800510" w:rsidP="00F678F6">
      <w:pPr>
        <w:pStyle w:val="EndnoteText"/>
        <w:spacing w:before="80" w:after="80"/>
      </w:pPr>
      <w:r>
        <w:rPr>
          <w:rStyle w:val="EndnoteReference"/>
        </w:rPr>
        <w:endnoteRef/>
      </w:r>
      <w:r>
        <w:t xml:space="preserve"> </w:t>
      </w:r>
      <w:r w:rsidRPr="00030F52">
        <w:t xml:space="preserve">Kashani A, Sallam T, Bheemreddy S, Mann DL, Wang Y, Foody JM. Review of side-effect profile of combination ezetimibe and statin therapy in randomized clinical trials. </w:t>
      </w:r>
      <w:r w:rsidRPr="00F678F6">
        <w:t xml:space="preserve">Am J Cardiol. </w:t>
      </w:r>
      <w:r w:rsidRPr="00030F52">
        <w:t>2008;101(11):1606-13.</w:t>
      </w:r>
    </w:p>
  </w:endnote>
  <w:endnote w:id="31">
    <w:p w14:paraId="289700D9" w14:textId="27261DE5" w:rsidR="00800510" w:rsidRDefault="00800510" w:rsidP="00966EF3">
      <w:pPr>
        <w:pStyle w:val="EndnoteText"/>
        <w:spacing w:before="80" w:after="80"/>
      </w:pPr>
      <w:r>
        <w:rPr>
          <w:rStyle w:val="EndnoteReference"/>
        </w:rPr>
        <w:endnoteRef/>
      </w:r>
      <w:r>
        <w:t xml:space="preserve"> Luo L, Yuan X, Huang W, et al. Safety and co-administration of ezetimibe and statins in patients hyper-cholesterolemia: a meta-analysis. </w:t>
      </w:r>
      <w:r w:rsidRPr="00030F52">
        <w:rPr>
          <w:i/>
        </w:rPr>
        <w:t>Intern Med J</w:t>
      </w:r>
      <w:r>
        <w:t>. 2015;45:546–557</w:t>
      </w:r>
    </w:p>
  </w:endnote>
  <w:endnote w:id="32">
    <w:p w14:paraId="6F3279BC" w14:textId="798A6665" w:rsidR="00800510" w:rsidRDefault="00800510" w:rsidP="00966EF3">
      <w:pPr>
        <w:pStyle w:val="EndnoteText"/>
        <w:spacing w:before="80" w:after="80"/>
      </w:pPr>
      <w:r>
        <w:rPr>
          <w:rStyle w:val="EndnoteReference"/>
        </w:rPr>
        <w:endnoteRef/>
      </w:r>
      <w:r>
        <w:t xml:space="preserve"> Sando Karen R. Nonstatin Therapies for Management of Dyslipidemia: A Review. </w:t>
      </w:r>
      <w:r w:rsidRPr="00030F52">
        <w:rPr>
          <w:i/>
        </w:rPr>
        <w:t>Clinical Therapeutics</w:t>
      </w:r>
      <w:r>
        <w:t xml:space="preserve"> Volume 37, Issue 10, 1 October 2015, Pages 2153–2179</w:t>
      </w:r>
    </w:p>
  </w:endnote>
  <w:endnote w:id="33">
    <w:p w14:paraId="332D28F8" w14:textId="6B9DFDFF" w:rsidR="00800510" w:rsidRDefault="00800510" w:rsidP="00966EF3">
      <w:pPr>
        <w:pStyle w:val="EndnoteText"/>
        <w:spacing w:before="80" w:after="80"/>
      </w:pPr>
      <w:r>
        <w:rPr>
          <w:rStyle w:val="EndnoteReference"/>
        </w:rPr>
        <w:endnoteRef/>
      </w:r>
      <w:r>
        <w:t xml:space="preserve"> Ijioma, N. Robinson, J. G. Lipid-lowering effects of ezetimibe and simvastatin in combination </w:t>
      </w:r>
      <w:r w:rsidRPr="00F678F6">
        <w:rPr>
          <w:i/>
        </w:rPr>
        <w:t>Expert Review of Cardiovascular Therapy</w:t>
      </w:r>
      <w:r>
        <w:t xml:space="preserve"> 2011; 9(2) 131-145</w:t>
      </w:r>
    </w:p>
  </w:endnote>
  <w:endnote w:id="34">
    <w:p w14:paraId="41F2968C" w14:textId="53920F5F" w:rsidR="00800510" w:rsidRDefault="00800510" w:rsidP="00966EF3">
      <w:pPr>
        <w:pStyle w:val="EndnoteText"/>
        <w:spacing w:before="80" w:after="80"/>
      </w:pPr>
      <w:r>
        <w:rPr>
          <w:rStyle w:val="EndnoteReference"/>
        </w:rPr>
        <w:endnoteRef/>
      </w:r>
      <w:r>
        <w:t xml:space="preserve"> Ara R, Tumur I, Pandor A, Duenas A, Williams R, Wilkinson A, et al. Ezetimibe for the treatment of hyper cholesterolaemia: a systematic review and economic evaluation. </w:t>
      </w:r>
      <w:r w:rsidRPr="00F678F6">
        <w:rPr>
          <w:i/>
        </w:rPr>
        <w:t>Health Technology Assessment</w:t>
      </w:r>
      <w:r>
        <w:t xml:space="preserve"> 2008;12(21)</w:t>
      </w:r>
    </w:p>
  </w:endnote>
  <w:endnote w:id="35">
    <w:p w14:paraId="4C831772" w14:textId="25D2137F" w:rsidR="00800510" w:rsidRDefault="00800510" w:rsidP="00966EF3">
      <w:pPr>
        <w:pStyle w:val="EndnoteText"/>
        <w:spacing w:before="80" w:after="80"/>
      </w:pPr>
      <w:r>
        <w:rPr>
          <w:rStyle w:val="EndnoteReference"/>
        </w:rPr>
        <w:endnoteRef/>
      </w:r>
      <w:r>
        <w:t xml:space="preserve"> Pandor, A. Ara, R. M. et al Ezetimibe monotherapy for cholesterol lowering in 2,722 people: systematic review and meta-analysis of randomized controlled trials </w:t>
      </w:r>
      <w:r w:rsidRPr="00F678F6">
        <w:rPr>
          <w:i/>
        </w:rPr>
        <w:t>Journal of Internal Medicine</w:t>
      </w:r>
      <w:r>
        <w:t>, 2009, 265(5)568-80.</w:t>
      </w:r>
    </w:p>
  </w:endnote>
  <w:endnote w:id="36">
    <w:p w14:paraId="3A07B526" w14:textId="647D7F20" w:rsidR="00800510" w:rsidRDefault="00800510" w:rsidP="00966EF3">
      <w:pPr>
        <w:pStyle w:val="EndnoteText"/>
        <w:spacing w:before="80" w:after="80"/>
      </w:pPr>
      <w:r>
        <w:rPr>
          <w:rStyle w:val="EndnoteReference"/>
        </w:rPr>
        <w:endnoteRef/>
      </w:r>
      <w:r>
        <w:t xml:space="preserve"> Battaggia A, Donzelli A, Font M, Molteni D, Galvano Clinical Efficacy and Safety of Ezetimibe on Major Cardiovascular Endpoints: Systematic Review and Meta-Analysis of Randomized Controlled Trials. </w:t>
      </w:r>
      <w:r w:rsidRPr="00F678F6">
        <w:rPr>
          <w:i/>
        </w:rPr>
        <w:t xml:space="preserve">PLoS ONE </w:t>
      </w:r>
      <w:r>
        <w:t>(2015) 10(4):e0124587</w:t>
      </w:r>
    </w:p>
  </w:endnote>
  <w:endnote w:id="37">
    <w:p w14:paraId="7E24FB4F" w14:textId="77777777" w:rsidR="00800510" w:rsidRDefault="00800510" w:rsidP="0073669D">
      <w:pPr>
        <w:pStyle w:val="EndnoteText"/>
      </w:pPr>
      <w:r>
        <w:rPr>
          <w:rStyle w:val="EndnoteReference"/>
        </w:rPr>
        <w:endnoteRef/>
      </w:r>
      <w:r>
        <w:t xml:space="preserve"> </w:t>
      </w:r>
      <w:r w:rsidRPr="00D21C8B">
        <w:t xml:space="preserve">Silverman MG., Ference BA., </w:t>
      </w:r>
      <w:r>
        <w:t xml:space="preserve">Im </w:t>
      </w:r>
      <w:r w:rsidRPr="00D21C8B">
        <w:t>K</w:t>
      </w:r>
      <w:r>
        <w:t xml:space="preserve"> et al. Association Between Lowering LDL-C and Cardiovascular Risk</w:t>
      </w:r>
    </w:p>
    <w:p w14:paraId="7D145587" w14:textId="3C856B01" w:rsidR="00800510" w:rsidRDefault="00800510" w:rsidP="0073669D">
      <w:pPr>
        <w:pStyle w:val="EndnoteText"/>
      </w:pPr>
      <w:r>
        <w:t>Reduction Among Different Therapeutic Interventions, A Systematic Review and Meta-analysis.</w:t>
      </w:r>
      <w:r w:rsidRPr="0073669D">
        <w:t xml:space="preserve"> JAMA. 2016;316(12):1289-1297.</w:t>
      </w:r>
    </w:p>
  </w:endnote>
  <w:endnote w:id="38">
    <w:p w14:paraId="77EA2305" w14:textId="12B6A9C1" w:rsidR="00800510" w:rsidRDefault="00800510" w:rsidP="00966EF3">
      <w:pPr>
        <w:pStyle w:val="EndnoteText"/>
        <w:spacing w:before="80" w:after="80"/>
      </w:pPr>
      <w:r>
        <w:rPr>
          <w:rStyle w:val="EndnoteReference"/>
        </w:rPr>
        <w:endnoteRef/>
      </w:r>
      <w:r>
        <w:t xml:space="preserve"> G</w:t>
      </w:r>
      <w:r w:rsidRPr="001A0BC9">
        <w:rPr>
          <w:noProof/>
        </w:rPr>
        <w:t xml:space="preserve">oldberg AC, Sapre A, Liu J, Capece R, Mitchel YB, Ezetimibe Study G. Efficacy and safety of ezetimibe coadministered with simvastatin in patients with primary hypercholesterolemia: a randomized, double-blind, placebo-controlled trial. </w:t>
      </w:r>
      <w:r w:rsidRPr="002D4F38">
        <w:rPr>
          <w:i/>
          <w:noProof/>
        </w:rPr>
        <w:t>Mayo Clin Proc.</w:t>
      </w:r>
      <w:r w:rsidRPr="001A0BC9">
        <w:rPr>
          <w:noProof/>
        </w:rPr>
        <w:t xml:space="preserve"> 2004;79:620-</w:t>
      </w:r>
      <w:r>
        <w:rPr>
          <w:noProof/>
        </w:rPr>
        <w:t>62</w:t>
      </w:r>
      <w:r w:rsidRPr="001A0BC9">
        <w:rPr>
          <w:noProof/>
        </w:rPr>
        <w:t>9.</w:t>
      </w:r>
    </w:p>
  </w:endnote>
  <w:endnote w:id="39">
    <w:p w14:paraId="35D277E5" w14:textId="0DAF1CC9" w:rsidR="00800510" w:rsidRDefault="00800510" w:rsidP="00966EF3">
      <w:pPr>
        <w:pStyle w:val="EndnoteText"/>
        <w:spacing w:before="80" w:after="80"/>
      </w:pPr>
      <w:r>
        <w:rPr>
          <w:rStyle w:val="EndnoteReference"/>
        </w:rPr>
        <w:endnoteRef/>
      </w:r>
      <w:r>
        <w:t xml:space="preserve"> </w:t>
      </w:r>
      <w:r w:rsidRPr="001A0BC9">
        <w:rPr>
          <w:noProof/>
        </w:rPr>
        <w:t xml:space="preserve">Araujo DB, Bertolami MC, Ferreira WP, et al. Pleiotropic effects with equivalent low-density lipoprotein cholesterol reduction: comparative study between simvastatin and simvastatin/ezetimibe coadministration. </w:t>
      </w:r>
      <w:r w:rsidRPr="000255C4">
        <w:rPr>
          <w:i/>
          <w:noProof/>
        </w:rPr>
        <w:t>J Cardiovasc Pharmacol.</w:t>
      </w:r>
      <w:r>
        <w:rPr>
          <w:noProof/>
        </w:rPr>
        <w:t xml:space="preserve"> 2010;</w:t>
      </w:r>
      <w:r w:rsidRPr="001A0BC9">
        <w:rPr>
          <w:noProof/>
        </w:rPr>
        <w:t>55:1-5.</w:t>
      </w:r>
    </w:p>
  </w:endnote>
  <w:endnote w:id="40">
    <w:p w14:paraId="79C78534" w14:textId="4D87176B" w:rsidR="00800510" w:rsidRPr="00966EF3" w:rsidRDefault="00800510" w:rsidP="00966EF3">
      <w:pPr>
        <w:spacing w:before="80" w:after="80"/>
        <w:rPr>
          <w:noProof/>
          <w:sz w:val="20"/>
          <w:szCs w:val="20"/>
        </w:rPr>
      </w:pPr>
      <w:r>
        <w:rPr>
          <w:rStyle w:val="EndnoteReference"/>
        </w:rPr>
        <w:endnoteRef/>
      </w:r>
      <w:r>
        <w:t xml:space="preserve"> </w:t>
      </w:r>
      <w:r w:rsidRPr="00402430">
        <w:rPr>
          <w:noProof/>
          <w:sz w:val="20"/>
          <w:szCs w:val="20"/>
        </w:rPr>
        <w:t xml:space="preserve">Florentin M, Liberopoulos EN, Moutzouri E, Rizos CV, Tselepis AD, Elisaf MS. The effect of simvastatin alone versus simvastatin plus ezetimibe on the concentration of small dense low-density lipoprotein cholesterol in subjects with primary hypercholesterolemia. </w:t>
      </w:r>
      <w:r w:rsidRPr="00402430">
        <w:rPr>
          <w:i/>
          <w:noProof/>
          <w:sz w:val="20"/>
          <w:szCs w:val="20"/>
        </w:rPr>
        <w:t>Curr Med Res Opin.</w:t>
      </w:r>
      <w:r w:rsidRPr="00402430">
        <w:rPr>
          <w:noProof/>
          <w:sz w:val="20"/>
          <w:szCs w:val="20"/>
        </w:rPr>
        <w:t xml:space="preserve"> 2011;27:685-692.</w:t>
      </w:r>
    </w:p>
  </w:endnote>
  <w:endnote w:id="41">
    <w:p w14:paraId="7A9367DA" w14:textId="529A3EE8" w:rsidR="00800510" w:rsidRPr="00966EF3" w:rsidRDefault="00800510" w:rsidP="00966EF3">
      <w:pPr>
        <w:spacing w:before="80" w:after="80"/>
        <w:rPr>
          <w:noProof/>
          <w:sz w:val="20"/>
          <w:szCs w:val="20"/>
        </w:rPr>
      </w:pPr>
      <w:r>
        <w:rPr>
          <w:rStyle w:val="EndnoteReference"/>
        </w:rPr>
        <w:endnoteRef/>
      </w:r>
      <w:r>
        <w:t xml:space="preserve"> </w:t>
      </w:r>
      <w:r w:rsidRPr="00402430">
        <w:rPr>
          <w:noProof/>
          <w:sz w:val="20"/>
          <w:szCs w:val="20"/>
        </w:rPr>
        <w:t xml:space="preserve">Moutzouri E, Liberopoulos E, Mikhailidis DP, et al. Comparison of the effects of simvastatin vs. rosuvastatin vs. simvastatin/ezetimibe on parameters of insulin resistance. </w:t>
      </w:r>
      <w:r w:rsidRPr="00402430">
        <w:rPr>
          <w:i/>
          <w:noProof/>
          <w:sz w:val="20"/>
          <w:szCs w:val="20"/>
        </w:rPr>
        <w:t>Int J Clin Pract</w:t>
      </w:r>
      <w:r w:rsidRPr="00402430">
        <w:rPr>
          <w:noProof/>
          <w:sz w:val="20"/>
          <w:szCs w:val="20"/>
        </w:rPr>
        <w:t>. 2011;65:1141-1148.</w:t>
      </w:r>
    </w:p>
  </w:endnote>
  <w:endnote w:id="42">
    <w:p w14:paraId="032A7B4F" w14:textId="44458397" w:rsidR="00800510" w:rsidRDefault="00800510" w:rsidP="00966EF3">
      <w:pPr>
        <w:pStyle w:val="EndnoteText"/>
        <w:spacing w:before="80" w:after="80"/>
      </w:pPr>
      <w:r>
        <w:rPr>
          <w:rStyle w:val="EndnoteReference"/>
        </w:rPr>
        <w:endnoteRef/>
      </w:r>
      <w:r>
        <w:t xml:space="preserve"> </w:t>
      </w:r>
      <w:r w:rsidRPr="001A0BC9">
        <w:rPr>
          <w:noProof/>
        </w:rPr>
        <w:t xml:space="preserve">Her AY, Kim JY, Kang SM, et al. Effects of atorvastatin 20 mg, rosuvastatin 10 mg, and atorvastatin/ezetimibe 5 mg/5 mg on lipoproteins and glucose metabolism. </w:t>
      </w:r>
      <w:r w:rsidRPr="00F00DC8">
        <w:rPr>
          <w:i/>
          <w:noProof/>
        </w:rPr>
        <w:t>J Cardiovasc Pharmacol Ther</w:t>
      </w:r>
      <w:r>
        <w:rPr>
          <w:noProof/>
        </w:rPr>
        <w:t>. 2010;</w:t>
      </w:r>
      <w:r w:rsidRPr="001A0BC9">
        <w:rPr>
          <w:noProof/>
        </w:rPr>
        <w:t>15:167-</w:t>
      </w:r>
      <w:r>
        <w:rPr>
          <w:noProof/>
        </w:rPr>
        <w:t>1</w:t>
      </w:r>
      <w:r w:rsidRPr="001A0BC9">
        <w:rPr>
          <w:noProof/>
        </w:rPr>
        <w:t>74.</w:t>
      </w:r>
    </w:p>
  </w:endnote>
  <w:endnote w:id="43">
    <w:p w14:paraId="51E0788D" w14:textId="40D1AC34" w:rsidR="00800510" w:rsidRDefault="00800510">
      <w:pPr>
        <w:pStyle w:val="EndnoteText"/>
      </w:pPr>
      <w:r>
        <w:rPr>
          <w:rStyle w:val="EndnoteReference"/>
        </w:rPr>
        <w:endnoteRef/>
      </w:r>
      <w:r>
        <w:t xml:space="preserve"> </w:t>
      </w:r>
      <w:r w:rsidRPr="009D414A">
        <w:t xml:space="preserve">Ahmed S, Ullah E, Ahmed M, Abbas R, Khan MA, Iqbal J. Efficacy of combination of ezetimibe and simvastatin versus atorvastatin in reducing low density lipoprotein-cholesterol in male patients of hypercholesterolemia, at Bahawalpur. </w:t>
      </w:r>
      <w:r w:rsidRPr="009D414A">
        <w:rPr>
          <w:i/>
        </w:rPr>
        <w:t>Medical Forum Monthly</w:t>
      </w:r>
      <w:r w:rsidRPr="009D414A">
        <w:t>. 2008;19(5):3-9.</w:t>
      </w:r>
    </w:p>
  </w:endnote>
  <w:endnote w:id="44">
    <w:p w14:paraId="125AA00E" w14:textId="07780533" w:rsidR="00800510" w:rsidRDefault="00800510" w:rsidP="00966EF3">
      <w:pPr>
        <w:pStyle w:val="EndnoteText"/>
        <w:spacing w:before="80" w:after="80"/>
      </w:pPr>
      <w:r>
        <w:rPr>
          <w:rStyle w:val="EndnoteReference"/>
        </w:rPr>
        <w:endnoteRef/>
      </w:r>
      <w:r>
        <w:t xml:space="preserve"> </w:t>
      </w:r>
      <w:r w:rsidRPr="00966EF3">
        <w:t xml:space="preserve">Lee SH, Kang SM, Park S, Jang Y, Chung N, Choi D. The effects of statin monotherapy and low-dose statin/ezetimibe on lipoprotein-associated phospholipase </w:t>
      </w:r>
      <w:r w:rsidRPr="00966EF3">
        <w:rPr>
          <w:i/>
        </w:rPr>
        <w:t xml:space="preserve">A. Clin Cardiol. </w:t>
      </w:r>
      <w:r w:rsidRPr="00966EF3">
        <w:t>2011;34:108-112</w:t>
      </w:r>
    </w:p>
  </w:endnote>
  <w:endnote w:id="45">
    <w:p w14:paraId="65611803" w14:textId="251BD282" w:rsidR="00800510" w:rsidRDefault="00800510" w:rsidP="003B34C1">
      <w:pPr>
        <w:pStyle w:val="EndnoteText"/>
        <w:spacing w:before="80" w:after="80"/>
      </w:pPr>
      <w:r>
        <w:rPr>
          <w:rStyle w:val="EndnoteReference"/>
        </w:rPr>
        <w:endnoteRef/>
      </w:r>
      <w:r>
        <w:t xml:space="preserve"> </w:t>
      </w:r>
      <w:r w:rsidRPr="001A0BC9">
        <w:rPr>
          <w:noProof/>
        </w:rPr>
        <w:t xml:space="preserve">Catapano AL, Davidson MH, Ballantyne CM, et al. Lipid-altering efficacy of the ezetimibe/simvastatin single tablet versus rosuvastatin in hypercholesterolemic patients. </w:t>
      </w:r>
      <w:r w:rsidRPr="0067063A">
        <w:rPr>
          <w:i/>
          <w:noProof/>
        </w:rPr>
        <w:t>Curr Med Res Opin</w:t>
      </w:r>
      <w:r>
        <w:rPr>
          <w:i/>
          <w:noProof/>
        </w:rPr>
        <w:t>.</w:t>
      </w:r>
      <w:r w:rsidRPr="001A0BC9">
        <w:rPr>
          <w:noProof/>
        </w:rPr>
        <w:t xml:space="preserve"> 2006;22:2041-</w:t>
      </w:r>
      <w:r>
        <w:rPr>
          <w:noProof/>
        </w:rPr>
        <w:t>20</w:t>
      </w:r>
      <w:r w:rsidRPr="001A0BC9">
        <w:rPr>
          <w:noProof/>
        </w:rPr>
        <w:t>53.</w:t>
      </w:r>
    </w:p>
  </w:endnote>
  <w:endnote w:id="46">
    <w:p w14:paraId="38AA2637" w14:textId="49881A57" w:rsidR="00800510" w:rsidRDefault="00800510" w:rsidP="003B34C1">
      <w:pPr>
        <w:pStyle w:val="EndnoteText"/>
        <w:spacing w:before="80" w:after="80"/>
      </w:pPr>
      <w:r>
        <w:rPr>
          <w:rStyle w:val="EndnoteReference"/>
        </w:rPr>
        <w:endnoteRef/>
      </w:r>
      <w:r>
        <w:t xml:space="preserve"> </w:t>
      </w:r>
      <w:r w:rsidRPr="001A0BC9">
        <w:rPr>
          <w:noProof/>
        </w:rPr>
        <w:t xml:space="preserve">McKenney JM, Jones PH, Bays HE, et al. Comparative effects on lipid levels of combination therapy with a statin and extended-release niacin or ezetimibe versus a statin alone (the COMPELL study). </w:t>
      </w:r>
      <w:r w:rsidRPr="00FA24C0">
        <w:rPr>
          <w:i/>
          <w:noProof/>
        </w:rPr>
        <w:t>Atherosclerosis</w:t>
      </w:r>
      <w:r>
        <w:rPr>
          <w:i/>
          <w:noProof/>
        </w:rPr>
        <w:t>.</w:t>
      </w:r>
      <w:r w:rsidRPr="001A0BC9">
        <w:rPr>
          <w:noProof/>
        </w:rPr>
        <w:t xml:space="preserve"> 2007;192:432-</w:t>
      </w:r>
      <w:r>
        <w:rPr>
          <w:noProof/>
        </w:rPr>
        <w:t>43</w:t>
      </w:r>
      <w:r w:rsidRPr="001A0BC9">
        <w:rPr>
          <w:noProof/>
        </w:rPr>
        <w:t>7.</w:t>
      </w:r>
    </w:p>
  </w:endnote>
  <w:endnote w:id="47">
    <w:p w14:paraId="4C58E25F" w14:textId="4B0ADE49" w:rsidR="00800510" w:rsidRPr="00A83BED" w:rsidRDefault="00800510">
      <w:pPr>
        <w:pStyle w:val="EndnoteText"/>
        <w:rPr>
          <w:lang w:val="nl-NL"/>
        </w:rPr>
      </w:pPr>
      <w:r>
        <w:rPr>
          <w:rStyle w:val="EndnoteReference"/>
        </w:rPr>
        <w:endnoteRef/>
      </w:r>
      <w:r>
        <w:t xml:space="preserve"> </w:t>
      </w:r>
      <w:r w:rsidRPr="001A0BC9">
        <w:rPr>
          <w:noProof/>
        </w:rPr>
        <w:t>Ben-Yehuda O, Wenger NK, Constance C, et al. The comparative efficacy of ezetimibe added to atorvastatin 10 mg versus uptitration to atorvastatin 40 mg in subgroups of patients aged 65 to 74 years or greater th</w:t>
      </w:r>
      <w:r>
        <w:rPr>
          <w:noProof/>
        </w:rPr>
        <w:t xml:space="preserve">an or equal to 75 years. </w:t>
      </w:r>
      <w:r w:rsidRPr="00A83BED">
        <w:rPr>
          <w:i/>
          <w:noProof/>
          <w:lang w:val="nl-NL"/>
        </w:rPr>
        <w:t>J Ger Cardiol</w:t>
      </w:r>
      <w:r w:rsidRPr="00A83BED">
        <w:rPr>
          <w:noProof/>
          <w:lang w:val="nl-NL"/>
        </w:rPr>
        <w:t>. 2011;8:1-11.</w:t>
      </w:r>
    </w:p>
  </w:endnote>
  <w:endnote w:id="48">
    <w:p w14:paraId="62F2B48C" w14:textId="0B389C47" w:rsidR="00800510" w:rsidRPr="003B34C1" w:rsidRDefault="00800510" w:rsidP="003B34C1">
      <w:pPr>
        <w:spacing w:before="80" w:after="80"/>
        <w:rPr>
          <w:noProof/>
          <w:sz w:val="20"/>
          <w:szCs w:val="20"/>
        </w:rPr>
      </w:pPr>
      <w:r>
        <w:rPr>
          <w:rStyle w:val="EndnoteReference"/>
        </w:rPr>
        <w:endnoteRef/>
      </w:r>
      <w:r w:rsidRPr="00A83BED">
        <w:rPr>
          <w:lang w:val="nl-NL"/>
        </w:rPr>
        <w:t xml:space="preserve"> </w:t>
      </w:r>
      <w:r w:rsidRPr="00A83BED">
        <w:rPr>
          <w:noProof/>
          <w:sz w:val="20"/>
          <w:szCs w:val="20"/>
          <w:lang w:val="nl-NL"/>
        </w:rPr>
        <w:t xml:space="preserve">Zieve F, Wenger NK, Ben-Yehuda O, et al. </w:t>
      </w:r>
      <w:r w:rsidRPr="002D2AE2">
        <w:rPr>
          <w:noProof/>
          <w:sz w:val="20"/>
          <w:szCs w:val="20"/>
        </w:rPr>
        <w:t xml:space="preserve">Safety and efficacy of ezetimibe added to atorvastatin versus up titration of atorvastatin to 40 mg in Patients &gt; or = 65 years of age (from the ZETia in the ELDerly [ZETELD] study). </w:t>
      </w:r>
      <w:r w:rsidRPr="002D2AE2">
        <w:rPr>
          <w:i/>
          <w:noProof/>
          <w:sz w:val="20"/>
          <w:szCs w:val="20"/>
        </w:rPr>
        <w:t>Am J Cardiol.</w:t>
      </w:r>
      <w:r>
        <w:rPr>
          <w:noProof/>
          <w:sz w:val="20"/>
          <w:szCs w:val="20"/>
        </w:rPr>
        <w:t xml:space="preserve"> 2010;105:656-663.</w:t>
      </w:r>
    </w:p>
  </w:endnote>
  <w:endnote w:id="49">
    <w:p w14:paraId="32A4B939" w14:textId="2B18C002" w:rsidR="00800510" w:rsidRDefault="00800510" w:rsidP="003B34C1">
      <w:pPr>
        <w:pStyle w:val="EndnoteText"/>
        <w:spacing w:before="80" w:after="80"/>
      </w:pPr>
      <w:r>
        <w:rPr>
          <w:rStyle w:val="EndnoteReference"/>
        </w:rPr>
        <w:endnoteRef/>
      </w:r>
      <w:r>
        <w:t xml:space="preserve"> </w:t>
      </w:r>
      <w:r w:rsidRPr="001A0BC9">
        <w:rPr>
          <w:noProof/>
        </w:rPr>
        <w:t xml:space="preserve">Foody JM, Brown WV, Zieve F, et al. Safety and efficacy of ezetimibe/simvastatin combination versus atorvastatin alone in adults &gt;/=65 years of age with hypercholesterolemia and with or at moderately high/high risk for coronary heart disease (the VYTELD study). </w:t>
      </w:r>
      <w:r w:rsidRPr="002D4F38">
        <w:rPr>
          <w:i/>
          <w:noProof/>
        </w:rPr>
        <w:t>Am J Cardiol.</w:t>
      </w:r>
      <w:r>
        <w:rPr>
          <w:noProof/>
        </w:rPr>
        <w:t xml:space="preserve"> 2010;</w:t>
      </w:r>
      <w:r w:rsidRPr="001A0BC9">
        <w:rPr>
          <w:noProof/>
        </w:rPr>
        <w:t>106:1255-</w:t>
      </w:r>
      <w:r>
        <w:rPr>
          <w:noProof/>
        </w:rPr>
        <w:t>12</w:t>
      </w:r>
      <w:r w:rsidRPr="001A0BC9">
        <w:rPr>
          <w:noProof/>
        </w:rPr>
        <w:t>63</w:t>
      </w:r>
    </w:p>
  </w:endnote>
  <w:endnote w:id="50">
    <w:p w14:paraId="2F791B81" w14:textId="071D6B71" w:rsidR="00800510" w:rsidRDefault="00800510" w:rsidP="003B34C1">
      <w:pPr>
        <w:pStyle w:val="EndnoteText"/>
        <w:spacing w:before="80" w:after="80"/>
      </w:pPr>
      <w:r>
        <w:rPr>
          <w:rStyle w:val="EndnoteReference"/>
        </w:rPr>
        <w:endnoteRef/>
      </w:r>
      <w:r>
        <w:t xml:space="preserve"> </w:t>
      </w:r>
      <w:r w:rsidRPr="001A0BC9">
        <w:rPr>
          <w:noProof/>
        </w:rPr>
        <w:t xml:space="preserve">Robinson JG, Ballantyne CM, Grundy SM, et al. Lipid-altering efficacy and safety of ezetimibe/simvastatin versus atorvastatin in patients with hypercholesterolemia and the metabolic syndrome (from the VYMET study). </w:t>
      </w:r>
      <w:r w:rsidRPr="00D93DBC">
        <w:rPr>
          <w:i/>
          <w:noProof/>
        </w:rPr>
        <w:t>Am J Cardiol.</w:t>
      </w:r>
      <w:r w:rsidRPr="001A0BC9">
        <w:rPr>
          <w:noProof/>
        </w:rPr>
        <w:t xml:space="preserve"> 2009;103:1694-</w:t>
      </w:r>
      <w:r>
        <w:rPr>
          <w:noProof/>
        </w:rPr>
        <w:t>1</w:t>
      </w:r>
      <w:r w:rsidRPr="001A0BC9">
        <w:rPr>
          <w:noProof/>
        </w:rPr>
        <w:t>702.</w:t>
      </w:r>
    </w:p>
  </w:endnote>
  <w:endnote w:id="51">
    <w:p w14:paraId="01DDD623" w14:textId="29AAE964" w:rsidR="00800510" w:rsidRPr="008A65ED" w:rsidRDefault="00800510" w:rsidP="008A65ED">
      <w:pPr>
        <w:spacing w:before="80" w:after="80" w:line="240" w:lineRule="auto"/>
        <w:rPr>
          <w:noProof/>
          <w:sz w:val="20"/>
          <w:szCs w:val="20"/>
        </w:rPr>
      </w:pPr>
      <w:r>
        <w:rPr>
          <w:rStyle w:val="EndnoteReference"/>
        </w:rPr>
        <w:endnoteRef/>
      </w:r>
      <w:r>
        <w:t xml:space="preserve"> </w:t>
      </w:r>
      <w:r w:rsidRPr="003B34C1">
        <w:rPr>
          <w:noProof/>
          <w:sz w:val="20"/>
          <w:szCs w:val="20"/>
        </w:rPr>
        <w:t>Barrios V, Amabile N, Paganelli F, et al. Lipid-altering efficacy of switching from atorvastatin 10 mg/day to ezetimibe/simvastatin 10/20 mg/day compared to doubling the dose of atorvastatin in hypercholesterolaemic patients with atherosclerosis or coronary heart disease. Int J Clin Pract. 2005;59:1377-1386.</w:t>
      </w:r>
    </w:p>
  </w:endnote>
  <w:endnote w:id="52">
    <w:p w14:paraId="2F4B545C" w14:textId="1D6A7CB4" w:rsidR="00800510" w:rsidRDefault="00800510" w:rsidP="008A65ED">
      <w:pPr>
        <w:pStyle w:val="EndnoteText"/>
        <w:spacing w:before="80" w:after="80"/>
      </w:pPr>
      <w:r>
        <w:rPr>
          <w:rStyle w:val="EndnoteReference"/>
        </w:rPr>
        <w:endnoteRef/>
      </w:r>
      <w:r>
        <w:t xml:space="preserve"> </w:t>
      </w:r>
      <w:r w:rsidRPr="001A0BC9">
        <w:rPr>
          <w:noProof/>
        </w:rPr>
        <w:t xml:space="preserve">Piorkowski M, Fischer S, Stellbaum C, et al. Treatment with ezetimibe plus low-dose atorvastatin compared with higher-dose atorvastatin alone: is sufficient cholesterol-lowering enough to inhibit platelets? </w:t>
      </w:r>
      <w:r w:rsidRPr="00044E4A">
        <w:rPr>
          <w:i/>
          <w:noProof/>
        </w:rPr>
        <w:t>J Am Coll Cardiol</w:t>
      </w:r>
      <w:r>
        <w:rPr>
          <w:i/>
          <w:noProof/>
        </w:rPr>
        <w:t>.</w:t>
      </w:r>
      <w:r w:rsidRPr="001A0BC9">
        <w:rPr>
          <w:noProof/>
        </w:rPr>
        <w:t xml:space="preserve"> 2007;49:1035-</w:t>
      </w:r>
      <w:r>
        <w:rPr>
          <w:noProof/>
        </w:rPr>
        <w:t>10</w:t>
      </w:r>
      <w:r w:rsidRPr="001A0BC9">
        <w:rPr>
          <w:noProof/>
        </w:rPr>
        <w:t>42</w:t>
      </w:r>
    </w:p>
  </w:endnote>
  <w:endnote w:id="53">
    <w:p w14:paraId="1B02D75E" w14:textId="005437C3" w:rsidR="00800510" w:rsidRDefault="00800510" w:rsidP="008A65ED">
      <w:pPr>
        <w:pStyle w:val="EndnoteText"/>
        <w:spacing w:before="80" w:after="80"/>
      </w:pPr>
      <w:r>
        <w:rPr>
          <w:rStyle w:val="EndnoteReference"/>
        </w:rPr>
        <w:endnoteRef/>
      </w:r>
      <w:r>
        <w:t xml:space="preserve"> </w:t>
      </w:r>
      <w:r w:rsidRPr="001A0BC9">
        <w:rPr>
          <w:noProof/>
        </w:rPr>
        <w:t xml:space="preserve">Roeters van Lennep HW, Liem AH, Dunselman PH, Dallinga-Thie GM, Zwinderman AH, Jukema JW. The efficacy of statin monotherapy uptitration versus switching to ezetimibe/simvastatin: results of the EASEGO study. </w:t>
      </w:r>
      <w:r w:rsidRPr="00D93DBC">
        <w:rPr>
          <w:i/>
          <w:noProof/>
        </w:rPr>
        <w:t>Curr Med Res Opin</w:t>
      </w:r>
      <w:r>
        <w:rPr>
          <w:i/>
          <w:noProof/>
        </w:rPr>
        <w:t>.</w:t>
      </w:r>
      <w:r w:rsidRPr="001A0BC9">
        <w:rPr>
          <w:noProof/>
        </w:rPr>
        <w:t xml:space="preserve"> 2008;24:685-</w:t>
      </w:r>
      <w:r>
        <w:rPr>
          <w:noProof/>
        </w:rPr>
        <w:t>6</w:t>
      </w:r>
      <w:r w:rsidRPr="001A0BC9">
        <w:rPr>
          <w:noProof/>
        </w:rPr>
        <w:t>94</w:t>
      </w:r>
    </w:p>
  </w:endnote>
  <w:endnote w:id="54">
    <w:p w14:paraId="6FFB632A" w14:textId="5D40A088" w:rsidR="00800510" w:rsidRDefault="00800510" w:rsidP="008A65ED">
      <w:pPr>
        <w:pStyle w:val="EndnoteText"/>
        <w:spacing w:before="80" w:after="80"/>
      </w:pPr>
      <w:r>
        <w:rPr>
          <w:rStyle w:val="EndnoteReference"/>
        </w:rPr>
        <w:endnoteRef/>
      </w:r>
      <w:r>
        <w:t xml:space="preserve"> </w:t>
      </w:r>
      <w:r w:rsidRPr="001A0BC9">
        <w:rPr>
          <w:noProof/>
        </w:rPr>
        <w:t xml:space="preserve">Bardini G, Giorda CB, Pontiroli AE, Le Grazie C, Rotella CM. Ezetimibe + simvastatin versus doubling the dose of simvastatin in high cardiovascular risk diabetics: a multicenter, randomized trial (the LEAD study). </w:t>
      </w:r>
      <w:r w:rsidRPr="00F3703C">
        <w:rPr>
          <w:i/>
          <w:noProof/>
        </w:rPr>
        <w:t>Cardiovasc Diabetol</w:t>
      </w:r>
      <w:r>
        <w:rPr>
          <w:noProof/>
        </w:rPr>
        <w:t>. 2010;</w:t>
      </w:r>
      <w:r w:rsidRPr="001A0BC9">
        <w:rPr>
          <w:noProof/>
        </w:rPr>
        <w:t>9:20</w:t>
      </w:r>
    </w:p>
  </w:endnote>
  <w:endnote w:id="55">
    <w:p w14:paraId="0484799A" w14:textId="5A8605D6" w:rsidR="00800510" w:rsidRDefault="00800510" w:rsidP="008A65ED">
      <w:pPr>
        <w:pStyle w:val="EndnoteText"/>
        <w:spacing w:before="80" w:after="80"/>
      </w:pPr>
      <w:r>
        <w:rPr>
          <w:rStyle w:val="EndnoteReference"/>
        </w:rPr>
        <w:endnoteRef/>
      </w:r>
      <w:r>
        <w:t xml:space="preserve"> </w:t>
      </w:r>
      <w:r w:rsidRPr="008A65ED">
        <w:t xml:space="preserve">Cho YK, Hur SH, Han CD, Park HS, Yoon HJ, Kim H, et al. Comparison of Ezetimibe/Simvastatin 10/20 mg Versus Atorvastatin 20 mg in Achieving a Target Low Density Lipoprotein-Cholesterol Goal for Patients With Very High Risk. </w:t>
      </w:r>
      <w:r w:rsidRPr="008A65ED">
        <w:rPr>
          <w:i/>
        </w:rPr>
        <w:t>Korean Circ J.</w:t>
      </w:r>
      <w:r w:rsidRPr="008A65ED">
        <w:t xml:space="preserve"> 2011;41(3):149-53</w:t>
      </w:r>
    </w:p>
  </w:endnote>
  <w:endnote w:id="56">
    <w:p w14:paraId="2F682763" w14:textId="5A0FFD93" w:rsidR="00800510" w:rsidRPr="00A83BED" w:rsidRDefault="00800510" w:rsidP="008A65ED">
      <w:pPr>
        <w:pStyle w:val="EndnoteText"/>
        <w:spacing w:before="80" w:after="80"/>
        <w:rPr>
          <w:lang w:val="nl-NL"/>
        </w:rPr>
      </w:pPr>
      <w:r>
        <w:rPr>
          <w:rStyle w:val="EndnoteReference"/>
        </w:rPr>
        <w:endnoteRef/>
      </w:r>
      <w:r>
        <w:t xml:space="preserve"> </w:t>
      </w:r>
      <w:r w:rsidRPr="008A65ED">
        <w:t xml:space="preserve">Okada K, Kimura K, Iwahashi N, Endo T, Himeno H, Fukui K, et al. Clinical usefulness of additional treatment with ezetimibe in patients with coronary artery disease on statin therapy. - From the viewpoint of cholesterol metabolism. </w:t>
      </w:r>
      <w:r w:rsidRPr="00A83BED">
        <w:rPr>
          <w:i/>
          <w:lang w:val="nl-NL"/>
        </w:rPr>
        <w:t>Circ J.</w:t>
      </w:r>
      <w:r w:rsidRPr="00A83BED">
        <w:rPr>
          <w:lang w:val="nl-NL"/>
        </w:rPr>
        <w:t xml:space="preserve"> 2011;75(10):2496-504. PubMed PMID: 21817821</w:t>
      </w:r>
    </w:p>
  </w:endnote>
  <w:endnote w:id="57">
    <w:p w14:paraId="6C11AA59" w14:textId="01C7A018" w:rsidR="00800510" w:rsidRDefault="00800510">
      <w:pPr>
        <w:pStyle w:val="EndnoteText"/>
      </w:pPr>
      <w:r>
        <w:rPr>
          <w:rStyle w:val="EndnoteReference"/>
        </w:rPr>
        <w:endnoteRef/>
      </w:r>
      <w:r w:rsidRPr="00A83BED">
        <w:rPr>
          <w:lang w:val="nl-NL"/>
        </w:rPr>
        <w:t xml:space="preserve"> Ostad MA, Eggeling S, Tschentscher P, Schwedhelm E, Böger R, Wenzel P, et al. </w:t>
      </w:r>
      <w:r w:rsidRPr="008A65ED">
        <w:t xml:space="preserve">Flow-mediated dilation in patients with coronary artery disease is enhanced by high dose atorvastatin compared to combined low dose atorvastatin and ezetimibe: Results of the CEZAR study. </w:t>
      </w:r>
      <w:r w:rsidRPr="008A65ED">
        <w:rPr>
          <w:i/>
        </w:rPr>
        <w:t>Atherosclerosis</w:t>
      </w:r>
      <w:r w:rsidRPr="008A65ED">
        <w:t>. 2009;205(1):227-32</w:t>
      </w:r>
    </w:p>
  </w:endnote>
  <w:endnote w:id="58">
    <w:p w14:paraId="768A4FDC" w14:textId="1A9218E8" w:rsidR="00800510" w:rsidRPr="00A83BED" w:rsidRDefault="00800510" w:rsidP="00206828">
      <w:pPr>
        <w:pStyle w:val="EndnoteText"/>
        <w:spacing w:before="80" w:after="80"/>
        <w:rPr>
          <w:lang w:val="nl-NL"/>
        </w:rPr>
      </w:pPr>
      <w:r>
        <w:rPr>
          <w:rStyle w:val="EndnoteReference"/>
        </w:rPr>
        <w:endnoteRef/>
      </w:r>
      <w:r>
        <w:t xml:space="preserve"> </w:t>
      </w:r>
      <w:r w:rsidRPr="008A65ED">
        <w:t xml:space="preserve">Pesaro AE, Serrano CV, Jr., Fernandes JL, Cavalcanti AB, Campos AH, Martins HS, et al. Pleiotropic effects of ezetimibe/simvastatin vs. high dose simvastatin. </w:t>
      </w:r>
      <w:r w:rsidRPr="008A65ED">
        <w:rPr>
          <w:i/>
        </w:rPr>
        <w:t>International Journal of Cardiology.</w:t>
      </w:r>
      <w:r w:rsidRPr="008A65ED">
        <w:t xml:space="preserve"> </w:t>
      </w:r>
      <w:r w:rsidRPr="00A83BED">
        <w:rPr>
          <w:lang w:val="nl-NL"/>
        </w:rPr>
        <w:t xml:space="preserve">2012;158(3):400-4. </w:t>
      </w:r>
    </w:p>
  </w:endnote>
  <w:endnote w:id="59">
    <w:p w14:paraId="370BD9D8" w14:textId="4B66365D" w:rsidR="00800510" w:rsidRDefault="00800510" w:rsidP="00206828">
      <w:pPr>
        <w:pStyle w:val="EndnoteText"/>
        <w:spacing w:before="80" w:after="80"/>
      </w:pPr>
      <w:r>
        <w:rPr>
          <w:rStyle w:val="EndnoteReference"/>
        </w:rPr>
        <w:endnoteRef/>
      </w:r>
      <w:r w:rsidRPr="00A83BED">
        <w:rPr>
          <w:lang w:val="nl-NL"/>
        </w:rPr>
        <w:t xml:space="preserve"> Hamdan R, Hajj F, Kadry Z, Kassab R, Salame E, Aboujaoude S, et al. </w:t>
      </w:r>
      <w:r w:rsidRPr="008A65ED">
        <w:t xml:space="preserve">Benefit and tolerability of the coadministration of ezetimibe and atorvastatin in acute coronary syndrome patients. </w:t>
      </w:r>
      <w:r w:rsidRPr="009D414A">
        <w:rPr>
          <w:i/>
        </w:rPr>
        <w:t>J Med Liban.</w:t>
      </w:r>
      <w:r w:rsidRPr="008A65ED">
        <w:t xml:space="preserve"> 2011;59(2):65-9</w:t>
      </w:r>
    </w:p>
  </w:endnote>
  <w:endnote w:id="60">
    <w:p w14:paraId="77B4F987" w14:textId="39F273C2" w:rsidR="00800510" w:rsidRDefault="00800510" w:rsidP="00206828">
      <w:pPr>
        <w:pStyle w:val="EndnoteText"/>
        <w:spacing w:before="80" w:after="80"/>
      </w:pPr>
      <w:r>
        <w:rPr>
          <w:rStyle w:val="EndnoteReference"/>
        </w:rPr>
        <w:endnoteRef/>
      </w:r>
      <w:r>
        <w:t xml:space="preserve"> </w:t>
      </w:r>
      <w:r w:rsidRPr="001A0BC9">
        <w:rPr>
          <w:noProof/>
        </w:rPr>
        <w:t xml:space="preserve">Averna M, Missault L, Vaverkova H, et al. Lipid-altering efficacy of switching to ezetimibe/simvastatin 10/20 mg versus rosuvastatin 10 mg in high-risk patients with and without metabolic syndrome. </w:t>
      </w:r>
      <w:r w:rsidRPr="000255C4">
        <w:rPr>
          <w:i/>
          <w:noProof/>
        </w:rPr>
        <w:t>Diabetes Vasc Dis Res</w:t>
      </w:r>
      <w:r>
        <w:rPr>
          <w:noProof/>
        </w:rPr>
        <w:t>. 2011;</w:t>
      </w:r>
      <w:r w:rsidRPr="001A0BC9">
        <w:rPr>
          <w:noProof/>
        </w:rPr>
        <w:t>8:262-</w:t>
      </w:r>
      <w:r>
        <w:rPr>
          <w:noProof/>
        </w:rPr>
        <w:t>2</w:t>
      </w:r>
      <w:r w:rsidRPr="001A0BC9">
        <w:rPr>
          <w:noProof/>
        </w:rPr>
        <w:t>70.</w:t>
      </w:r>
    </w:p>
  </w:endnote>
  <w:endnote w:id="61">
    <w:p w14:paraId="780F8266" w14:textId="7F74913C" w:rsidR="00800510" w:rsidRPr="00A83BED" w:rsidRDefault="00800510" w:rsidP="00206828">
      <w:pPr>
        <w:pStyle w:val="EndnoteText"/>
        <w:spacing w:before="80" w:after="80"/>
        <w:rPr>
          <w:lang w:val="nl-NL"/>
        </w:rPr>
      </w:pPr>
      <w:r>
        <w:rPr>
          <w:rStyle w:val="EndnoteReference"/>
        </w:rPr>
        <w:endnoteRef/>
      </w:r>
      <w:r>
        <w:t xml:space="preserve"> </w:t>
      </w:r>
      <w:r w:rsidRPr="005779A3">
        <w:t xml:space="preserve">Constance C, Westphal S, Chung N, Lund M, Sisk CM, Johnson-Levonas AO, et al. Efficacy of ezetimibe/simvastatin 10/20 and 10/40 mg compared with atorvastatin 20 mg in patients with type 2 diabetes mellitus. </w:t>
      </w:r>
      <w:r w:rsidRPr="00A83BED">
        <w:rPr>
          <w:i/>
          <w:lang w:val="nl-NL"/>
        </w:rPr>
        <w:t>Diabetes Obes Metab</w:t>
      </w:r>
      <w:r w:rsidRPr="00A83BED">
        <w:rPr>
          <w:lang w:val="nl-NL"/>
        </w:rPr>
        <w:t>. 2007;9(4):575-84.</w:t>
      </w:r>
    </w:p>
  </w:endnote>
  <w:endnote w:id="62">
    <w:p w14:paraId="58BCD2AC" w14:textId="453DDDAA" w:rsidR="00800510" w:rsidRPr="009A3C68" w:rsidRDefault="00800510" w:rsidP="00206828">
      <w:pPr>
        <w:spacing w:before="80" w:after="80"/>
        <w:rPr>
          <w:noProof/>
          <w:sz w:val="20"/>
          <w:szCs w:val="20"/>
        </w:rPr>
      </w:pPr>
      <w:r>
        <w:rPr>
          <w:rStyle w:val="EndnoteReference"/>
        </w:rPr>
        <w:endnoteRef/>
      </w:r>
      <w:r w:rsidRPr="00A83BED">
        <w:rPr>
          <w:lang w:val="nl-NL"/>
        </w:rPr>
        <w:t xml:space="preserve"> </w:t>
      </w:r>
      <w:r w:rsidRPr="00A83BED">
        <w:rPr>
          <w:noProof/>
          <w:sz w:val="20"/>
          <w:szCs w:val="20"/>
          <w:lang w:val="nl-NL"/>
        </w:rPr>
        <w:t xml:space="preserve">Goldberg RB, Guyton JR, Mazzone T, et al. </w:t>
      </w:r>
      <w:r w:rsidRPr="005779A3">
        <w:rPr>
          <w:noProof/>
          <w:sz w:val="20"/>
          <w:szCs w:val="20"/>
        </w:rPr>
        <w:t xml:space="preserve">Ezetimibe/simvastatin vs atorvastatin in patients with type 2 diabetes mellitus and hypercholesterolemia: the VYTAL study. </w:t>
      </w:r>
      <w:r w:rsidRPr="005779A3">
        <w:rPr>
          <w:i/>
          <w:noProof/>
          <w:sz w:val="20"/>
          <w:szCs w:val="20"/>
        </w:rPr>
        <w:t>Mayo Clin Proc.</w:t>
      </w:r>
      <w:r w:rsidRPr="005779A3">
        <w:rPr>
          <w:noProof/>
          <w:sz w:val="20"/>
          <w:szCs w:val="20"/>
        </w:rPr>
        <w:t xml:space="preserve"> 2006;81:1579-1588.</w:t>
      </w:r>
    </w:p>
  </w:endnote>
  <w:endnote w:id="63">
    <w:p w14:paraId="107A11BE" w14:textId="092B23DF" w:rsidR="00800510" w:rsidRDefault="00800510" w:rsidP="00206828">
      <w:pPr>
        <w:pStyle w:val="EndnoteText"/>
        <w:spacing w:before="80" w:after="80"/>
      </w:pPr>
      <w:r>
        <w:rPr>
          <w:rStyle w:val="EndnoteReference"/>
        </w:rPr>
        <w:endnoteRef/>
      </w:r>
      <w:r>
        <w:t xml:space="preserve"> </w:t>
      </w:r>
      <w:r w:rsidRPr="001A0BC9">
        <w:rPr>
          <w:noProof/>
        </w:rPr>
        <w:t>Tomassini JE, Mazzone T, Goldberg RB, et al. Effect of ezetimibe/simvastatin compared with atorvastatin on lipoprotein subclasses in patients with type 2 diabetes and hypercholesterolaemia</w:t>
      </w:r>
      <w:r w:rsidRPr="00BA209F">
        <w:rPr>
          <w:i/>
          <w:noProof/>
        </w:rPr>
        <w:t>. Diabetes Obes Metab.</w:t>
      </w:r>
      <w:r w:rsidRPr="001A0BC9">
        <w:rPr>
          <w:noProof/>
        </w:rPr>
        <w:t xml:space="preserve"> 2009;11:855-</w:t>
      </w:r>
      <w:r>
        <w:rPr>
          <w:noProof/>
        </w:rPr>
        <w:t>8</w:t>
      </w:r>
      <w:r w:rsidRPr="001A0BC9">
        <w:rPr>
          <w:noProof/>
        </w:rPr>
        <w:t>64.</w:t>
      </w:r>
    </w:p>
  </w:endnote>
  <w:endnote w:id="64">
    <w:p w14:paraId="01BEAC37" w14:textId="076D5DF9" w:rsidR="00800510" w:rsidRDefault="00800510" w:rsidP="00206828">
      <w:pPr>
        <w:pStyle w:val="EndnoteText"/>
        <w:spacing w:before="80" w:after="80"/>
      </w:pPr>
      <w:r>
        <w:rPr>
          <w:rStyle w:val="EndnoteReference"/>
        </w:rPr>
        <w:endnoteRef/>
      </w:r>
      <w:r>
        <w:t xml:space="preserve"> </w:t>
      </w:r>
      <w:r w:rsidRPr="009A3C68">
        <w:t xml:space="preserve">Lee JH, Kang HJ, Kim HS, Sohn DW, Oh BH, Park YB. Effects of Ezetimibe/Simvastatin 10/20 mg vs. Atorvastatin 20 mg on Apolipoprotein B/Apolipoprotein A1 in Korean Patients with Type 2 Diabetes Mellitus: Results of a Randomized Controlled Trial. </w:t>
      </w:r>
      <w:r w:rsidRPr="009A3C68">
        <w:rPr>
          <w:i/>
        </w:rPr>
        <w:t>Am J Cardiovasc Drug</w:t>
      </w:r>
      <w:r w:rsidRPr="009A3C68">
        <w:t>. 2013;13(5):343-51.</w:t>
      </w:r>
    </w:p>
  </w:endnote>
  <w:endnote w:id="65">
    <w:p w14:paraId="695FF610" w14:textId="7C188CDB" w:rsidR="00800510" w:rsidRDefault="00800510" w:rsidP="00206828">
      <w:pPr>
        <w:pStyle w:val="EndnoteText"/>
        <w:spacing w:before="80" w:after="80"/>
      </w:pPr>
      <w:r>
        <w:rPr>
          <w:rStyle w:val="EndnoteReference"/>
        </w:rPr>
        <w:endnoteRef/>
      </w:r>
      <w:r>
        <w:t xml:space="preserve"> </w:t>
      </w:r>
      <w:r w:rsidRPr="00206828">
        <w:t xml:space="preserve">Kerzner B, Corbelli J, Sharp S et al. Efficacy and safety of ezetimibe coadministered with lovastatin in primary hypercholesterolemia. </w:t>
      </w:r>
      <w:r w:rsidRPr="00206828">
        <w:rPr>
          <w:i/>
        </w:rPr>
        <w:t>Am J Cardiol</w:t>
      </w:r>
      <w:r w:rsidRPr="00206828">
        <w:t xml:space="preserve"> 2003; 91: 418–24</w:t>
      </w:r>
    </w:p>
  </w:endnote>
  <w:endnote w:id="66">
    <w:p w14:paraId="2F32700F" w14:textId="7572F3D7" w:rsidR="00800510" w:rsidRDefault="00800510" w:rsidP="00D21DD3">
      <w:pPr>
        <w:pStyle w:val="EndnoteText"/>
        <w:spacing w:before="80" w:after="80"/>
      </w:pPr>
      <w:r>
        <w:rPr>
          <w:rStyle w:val="EndnoteReference"/>
        </w:rPr>
        <w:endnoteRef/>
      </w:r>
      <w:r>
        <w:t xml:space="preserve"> </w:t>
      </w:r>
      <w:r w:rsidRPr="00206828">
        <w:t xml:space="preserve">Kawagoe Y, Hattori Y, Nakano A, Aoki C, Tanaka S, Ohta S, et al. Comparative study between high-dose fluvastatin and low-dose fluvastatin and ezetimibe with regard to the effect on endothelial function in diabetic patients. </w:t>
      </w:r>
      <w:r w:rsidRPr="00206828">
        <w:rPr>
          <w:i/>
        </w:rPr>
        <w:t>Endocrine journal.</w:t>
      </w:r>
      <w:r w:rsidRPr="00206828">
        <w:t xml:space="preserve"> 2011;58(3):171-5</w:t>
      </w:r>
    </w:p>
  </w:endnote>
  <w:endnote w:id="67">
    <w:p w14:paraId="042D277B" w14:textId="6DA087AF" w:rsidR="00800510" w:rsidRDefault="00800510" w:rsidP="00D21DD3">
      <w:pPr>
        <w:pStyle w:val="EndnoteText"/>
        <w:spacing w:before="80" w:after="80"/>
      </w:pPr>
      <w:r>
        <w:rPr>
          <w:rStyle w:val="EndnoteReference"/>
        </w:rPr>
        <w:endnoteRef/>
      </w:r>
      <w:r>
        <w:t xml:space="preserve"> </w:t>
      </w:r>
      <w:r w:rsidRPr="004719AC">
        <w:rPr>
          <w:rFonts w:eastAsiaTheme="minorHAnsi"/>
          <w:lang w:eastAsia="en-US"/>
        </w:rPr>
        <w:t>Stone 2013</w:t>
      </w:r>
      <w:r>
        <w:rPr>
          <w:rFonts w:eastAsiaTheme="minorHAnsi"/>
          <w:lang w:eastAsia="en-US"/>
        </w:rPr>
        <w:t xml:space="preserve"> </w:t>
      </w:r>
      <w:r w:rsidRPr="004719AC">
        <w:rPr>
          <w:rFonts w:eastAsiaTheme="minorHAnsi"/>
          <w:lang w:eastAsia="en-US"/>
        </w:rPr>
        <w:t xml:space="preserve">NJ, Robinson J, Lichtenstein AH, Merz CN, Blum CB, Eckel RH, et al. 2013 ACC/AHA Guideline on the Treatment of Blood Cholesterol to Reduce Atherosclerotic Cardiovascular Risk in Adults: A Report of the American College of Cardiology/American Heart Association Task Force on Practice Guidelines. </w:t>
      </w:r>
      <w:r w:rsidRPr="00206828">
        <w:rPr>
          <w:rFonts w:eastAsiaTheme="minorHAnsi"/>
          <w:i/>
          <w:lang w:eastAsia="en-US"/>
        </w:rPr>
        <w:t>Circulation.</w:t>
      </w:r>
      <w:r w:rsidRPr="004719AC">
        <w:rPr>
          <w:rFonts w:eastAsiaTheme="minorHAnsi"/>
          <w:lang w:eastAsia="en-US"/>
        </w:rPr>
        <w:t xml:space="preserve"> 2013</w:t>
      </w:r>
    </w:p>
  </w:endnote>
  <w:endnote w:id="68">
    <w:p w14:paraId="3955C323" w14:textId="354ED099" w:rsidR="00800510" w:rsidRDefault="00800510" w:rsidP="00D21DD3">
      <w:pPr>
        <w:pStyle w:val="EndnoteText"/>
        <w:spacing w:before="80" w:after="80"/>
      </w:pPr>
      <w:r>
        <w:rPr>
          <w:rStyle w:val="EndnoteReference"/>
        </w:rPr>
        <w:endnoteRef/>
      </w:r>
      <w:r>
        <w:t xml:space="preserve"> </w:t>
      </w:r>
      <w:r w:rsidRPr="00131B7C">
        <w:t xml:space="preserve">Rosen JB, Jimenez JG, Pirags V, Vides H, Massaad R, Hanson ME, et al. Consistency of effect of ezetimibe/simvastatin compared with intensified lipid-lowering treatment strategies in obese and non-obese diabetic subjects. </w:t>
      </w:r>
      <w:r w:rsidRPr="008A3784">
        <w:rPr>
          <w:i/>
        </w:rPr>
        <w:t>Lipids Health Dis.</w:t>
      </w:r>
      <w:r w:rsidRPr="00131B7C">
        <w:t xml:space="preserve"> 2013;12:103. </w:t>
      </w:r>
    </w:p>
  </w:endnote>
  <w:endnote w:id="69">
    <w:p w14:paraId="43EB374E" w14:textId="4B504247" w:rsidR="00800510" w:rsidRDefault="00800510" w:rsidP="00D21DD3">
      <w:pPr>
        <w:pStyle w:val="EndnoteText"/>
        <w:spacing w:before="80" w:after="80"/>
      </w:pPr>
      <w:r>
        <w:rPr>
          <w:rStyle w:val="EndnoteReference"/>
        </w:rPr>
        <w:endnoteRef/>
      </w:r>
      <w:r>
        <w:t xml:space="preserve"> </w:t>
      </w:r>
      <w:r w:rsidRPr="00131B7C">
        <w:t xml:space="preserve">Jimenez JG, Rosen JB, Pirags V, Massaad R, Hanson ME, Brudi P, et al. The efficacy and safety of ezetimibe/simvastatin combination compared with intensified lipid-lowering treatment strategies in diabetic subjects with and without metabolic syndrome. </w:t>
      </w:r>
      <w:r w:rsidRPr="008A3784">
        <w:rPr>
          <w:i/>
        </w:rPr>
        <w:t>Diabetes Obes Metab.</w:t>
      </w:r>
      <w:r w:rsidRPr="00131B7C">
        <w:t xml:space="preserve"> 2013;15(6):513-22.</w:t>
      </w:r>
    </w:p>
  </w:endnote>
  <w:endnote w:id="70">
    <w:p w14:paraId="1BBBA482" w14:textId="3CE95B05" w:rsidR="00800510" w:rsidRDefault="00800510" w:rsidP="00D21DD3">
      <w:pPr>
        <w:pStyle w:val="EndnoteText"/>
        <w:spacing w:before="80" w:after="80"/>
      </w:pPr>
      <w:r>
        <w:rPr>
          <w:rStyle w:val="EndnoteReference"/>
        </w:rPr>
        <w:endnoteRef/>
      </w:r>
      <w:r>
        <w:t xml:space="preserve"> European Medicines Agency (EMEA). Committee for Medical Products for Human Use (CHMP) – note for guidance on clinical investigation of medical products in the treatment of lipid disorders. </w:t>
      </w:r>
      <w:r w:rsidRPr="009D1ABA">
        <w:rPr>
          <w:i/>
        </w:rPr>
        <w:t>London: EMEA 2004.</w:t>
      </w:r>
    </w:p>
  </w:endnote>
  <w:endnote w:id="71">
    <w:p w14:paraId="58DB5639" w14:textId="2D0613D2" w:rsidR="00800510" w:rsidRDefault="00800510" w:rsidP="000167F1">
      <w:pPr>
        <w:pStyle w:val="EndnoteText"/>
        <w:spacing w:before="80" w:after="80"/>
      </w:pPr>
      <w:r>
        <w:rPr>
          <w:rStyle w:val="EndnoteReference"/>
        </w:rPr>
        <w:endnoteRef/>
      </w:r>
      <w:r>
        <w:t xml:space="preserve"> Rodney RA, Sugimoto D, Wagman B, Zieve F, Kerzner B, Strony J, et al. Efficacy and safety of coadministration of ezetimibe and simvastatin in African-American patients with primary hypercholesterolemia.</w:t>
      </w:r>
      <w:r w:rsidRPr="009D1ABA">
        <w:rPr>
          <w:i/>
        </w:rPr>
        <w:t xml:space="preserve"> J Natl Med Assoc </w:t>
      </w:r>
      <w:r>
        <w:t>2006;98: 772–8.</w:t>
      </w:r>
    </w:p>
  </w:endnote>
  <w:endnote w:id="72">
    <w:p w14:paraId="0A6093FF" w14:textId="794EA0A4" w:rsidR="00800510" w:rsidRDefault="00800510" w:rsidP="000167F1">
      <w:pPr>
        <w:pStyle w:val="EndnoteText"/>
        <w:spacing w:before="80" w:after="80"/>
      </w:pPr>
      <w:r>
        <w:rPr>
          <w:rStyle w:val="EndnoteReference"/>
        </w:rPr>
        <w:endnoteRef/>
      </w:r>
      <w:r>
        <w:t xml:space="preserve"> Ballantyne CM, Lipka LJ, Sager PT, Strony J, Alizadeh J, Suresh R, et al. Long-term safety and tolerability profile of ezetimibe and atorvastatin coadministration therapy in patients with primary hypercholesterolaemia. </w:t>
      </w:r>
      <w:r w:rsidRPr="009D1ABA">
        <w:rPr>
          <w:i/>
        </w:rPr>
        <w:t>Int J Clin Pract</w:t>
      </w:r>
      <w:r>
        <w:t xml:space="preserve"> 2004;58: 653–8.</w:t>
      </w:r>
    </w:p>
  </w:endnote>
  <w:endnote w:id="73">
    <w:p w14:paraId="1C6EFA4E" w14:textId="582B2F4E" w:rsidR="00800510" w:rsidRPr="00A83BED" w:rsidRDefault="00800510" w:rsidP="000167F1">
      <w:pPr>
        <w:pStyle w:val="EndnoteText"/>
        <w:spacing w:before="80" w:after="80"/>
        <w:rPr>
          <w:lang w:val="nl-NL"/>
        </w:rPr>
      </w:pPr>
      <w:r>
        <w:rPr>
          <w:rStyle w:val="EndnoteReference"/>
        </w:rPr>
        <w:endnoteRef/>
      </w:r>
      <w:r>
        <w:t xml:space="preserve"> Melani L, Mills R, Hassman D et al. Efficacy and safety of ezetimibe co-administered with pravastatin in patients with primary hypercholesterolemia: a prospective, randomized, double-blind trial. </w:t>
      </w:r>
      <w:r w:rsidRPr="00A83BED">
        <w:rPr>
          <w:i/>
          <w:lang w:val="nl-NL"/>
        </w:rPr>
        <w:t>Eur Heart J</w:t>
      </w:r>
      <w:r w:rsidRPr="00A83BED">
        <w:rPr>
          <w:lang w:val="nl-NL"/>
        </w:rPr>
        <w:t xml:space="preserve"> 2003; 24: 717–28.</w:t>
      </w:r>
    </w:p>
  </w:endnote>
  <w:endnote w:id="74">
    <w:p w14:paraId="1BCEE9FB" w14:textId="325D56F3" w:rsidR="00800510" w:rsidRDefault="00800510" w:rsidP="00424ECC">
      <w:pPr>
        <w:pStyle w:val="EndnoteText"/>
        <w:spacing w:before="80" w:after="80"/>
      </w:pPr>
      <w:r>
        <w:rPr>
          <w:rStyle w:val="EndnoteReference"/>
        </w:rPr>
        <w:endnoteRef/>
      </w:r>
      <w:r w:rsidRPr="00A83BED">
        <w:rPr>
          <w:lang w:val="nl-NL"/>
        </w:rPr>
        <w:t xml:space="preserve"> Kastelein JJ, Akdim F, Stroes ES, et al. </w:t>
      </w:r>
      <w:r w:rsidRPr="00810CDA">
        <w:t xml:space="preserve">Simvastatin with or without ezetimibe in familial hypercholesterolemia. </w:t>
      </w:r>
      <w:r w:rsidRPr="00FA1F9C">
        <w:rPr>
          <w:i/>
        </w:rPr>
        <w:t>N Engl J Med</w:t>
      </w:r>
      <w:r w:rsidRPr="00810CDA">
        <w:t>. 2008;358:1431-1443.</w:t>
      </w:r>
    </w:p>
  </w:endnote>
  <w:endnote w:id="75">
    <w:p w14:paraId="1E238890" w14:textId="760132B6" w:rsidR="00800510" w:rsidRDefault="00800510" w:rsidP="00424ECC">
      <w:pPr>
        <w:pStyle w:val="EndnoteText"/>
        <w:spacing w:before="80" w:after="80"/>
      </w:pPr>
      <w:r>
        <w:rPr>
          <w:rStyle w:val="EndnoteReference"/>
        </w:rPr>
        <w:endnoteRef/>
      </w:r>
      <w:r>
        <w:t xml:space="preserve"> </w:t>
      </w:r>
      <w:r w:rsidRPr="00424ECC">
        <w:t xml:space="preserve">Alvarez-Sala LA, Cachofeiro V, Masana L, et al. Effects of fluvastatin extended-release (80 mg) alone and in combination with ezetimibe (10 mg) on low-density lipoprotein cholesterol and inflammatory parameters in patients with primary hypercholesterolemia: a 12-week, multicenter, randomized, open-label, parallel-group study. </w:t>
      </w:r>
      <w:r w:rsidRPr="00FA1F9C">
        <w:rPr>
          <w:i/>
        </w:rPr>
        <w:t>Clin Ther.</w:t>
      </w:r>
      <w:r w:rsidRPr="00424ECC">
        <w:t xml:space="preserve"> 2008;30:84-97.</w:t>
      </w:r>
    </w:p>
  </w:endnote>
  <w:endnote w:id="76">
    <w:p w14:paraId="2F8DED84" w14:textId="3096BDEB" w:rsidR="00800510" w:rsidRDefault="00800510">
      <w:pPr>
        <w:pStyle w:val="EndnoteText"/>
      </w:pPr>
      <w:r>
        <w:rPr>
          <w:rStyle w:val="EndnoteReference"/>
        </w:rPr>
        <w:endnoteRef/>
      </w:r>
      <w:r>
        <w:t xml:space="preserve"> </w:t>
      </w:r>
      <w:r w:rsidRPr="00424ECC">
        <w:t xml:space="preserve">Stojakovic T, de Campo A, Scharnagl H, et al. Differential effects of fluvastatin alone or in combination with ezetimibe on lipoprotein subfractions in patients at high risk of coronary events. </w:t>
      </w:r>
      <w:r w:rsidRPr="008C074C">
        <w:rPr>
          <w:i/>
        </w:rPr>
        <w:t>Eur J Clin Invest</w:t>
      </w:r>
      <w:r w:rsidRPr="00424ECC">
        <w:t>. 2010;40:187-194.</w:t>
      </w:r>
    </w:p>
  </w:endnote>
  <w:endnote w:id="77">
    <w:p w14:paraId="576B8A1D" w14:textId="078D9C8B" w:rsidR="00800510" w:rsidRDefault="00800510" w:rsidP="008C074C">
      <w:pPr>
        <w:pStyle w:val="EndnoteText"/>
        <w:spacing w:before="80" w:after="80"/>
      </w:pPr>
      <w:r>
        <w:rPr>
          <w:rStyle w:val="EndnoteReference"/>
        </w:rPr>
        <w:endnoteRef/>
      </w:r>
      <w:r>
        <w:t xml:space="preserve"> </w:t>
      </w:r>
      <w:r w:rsidRPr="0014447B">
        <w:rPr>
          <w:rFonts w:eastAsiaTheme="minorHAnsi"/>
          <w:lang w:eastAsia="en-US"/>
        </w:rPr>
        <w:t>Smith CC, Bernstein LI, Davis RB, Rind DM, Shmerling RH. Screening for statin-related toxicity: the yield of transaminase and creatine kinase measurements in a primary care setting. Arch Intern Med 2003;163:688–692</w:t>
      </w:r>
    </w:p>
  </w:endnote>
  <w:endnote w:id="78">
    <w:p w14:paraId="6A8EB6A5" w14:textId="75783032" w:rsidR="00800510" w:rsidRDefault="00800510" w:rsidP="008C074C">
      <w:pPr>
        <w:pStyle w:val="EndnoteText"/>
        <w:spacing w:before="80" w:after="80"/>
      </w:pPr>
      <w:r>
        <w:rPr>
          <w:rStyle w:val="EndnoteReference"/>
        </w:rPr>
        <w:endnoteRef/>
      </w:r>
      <w:r>
        <w:t xml:space="preserve"> </w:t>
      </w:r>
      <w:r w:rsidRPr="008C074C">
        <w:t xml:space="preserve">Davidson MH, Ballantyne CM, Kerzner B, et al. Efficacy and safety of ezetimibe coadministered with statins: randomised, placebo-controlled, blinded experience in 2382 patients with primary hypercholesterolemia. </w:t>
      </w:r>
      <w:r w:rsidRPr="008C074C">
        <w:rPr>
          <w:i/>
        </w:rPr>
        <w:t>Int J Clin Pract.</w:t>
      </w:r>
      <w:r w:rsidRPr="008C074C">
        <w:t xml:space="preserve"> 2004;58:746-755</w:t>
      </w:r>
    </w:p>
  </w:endnote>
  <w:endnote w:id="79">
    <w:p w14:paraId="398356BA" w14:textId="0CB465EE" w:rsidR="00800510" w:rsidRDefault="00800510" w:rsidP="008D71B4">
      <w:pPr>
        <w:pStyle w:val="EndnoteText"/>
        <w:spacing w:before="80" w:after="80"/>
      </w:pPr>
      <w:r>
        <w:rPr>
          <w:rStyle w:val="EndnoteReference"/>
        </w:rPr>
        <w:endnoteRef/>
      </w:r>
      <w:r>
        <w:t xml:space="preserve"> </w:t>
      </w:r>
      <w:r w:rsidRPr="005B7FC1">
        <w:t>Baigent C, Landray MJ, Reith C, Emberson J, Wheeler DC, Tomson C, Wanner C, Krane V, Cass A, Craig J, Neal B, Jian</w:t>
      </w:r>
      <w:r>
        <w:t xml:space="preserve">g L, Hooi LS, Levin A, Agodoa L et al. </w:t>
      </w:r>
      <w:r w:rsidRPr="005B7FC1">
        <w:t xml:space="preserve">The effects of lowering LDL cholesterol with simvastatin plus ezetimibe in patients with chronic kidney disease (Study of Heart and Renal Protection): a randomised placebo-controlled trial. </w:t>
      </w:r>
      <w:r w:rsidRPr="005B7FC1">
        <w:rPr>
          <w:i/>
        </w:rPr>
        <w:t>Lancet.</w:t>
      </w:r>
      <w:r w:rsidRPr="005B7FC1">
        <w:t xml:space="preserve"> 2011 25;377(9784):2181-92.</w:t>
      </w:r>
    </w:p>
  </w:endnote>
  <w:endnote w:id="80">
    <w:p w14:paraId="5DD25AC3" w14:textId="3EE627D4" w:rsidR="00800510" w:rsidRDefault="00800510" w:rsidP="008D71B4">
      <w:pPr>
        <w:pStyle w:val="EndnoteText"/>
        <w:spacing w:before="80" w:after="80"/>
      </w:pPr>
      <w:r>
        <w:rPr>
          <w:rStyle w:val="EndnoteReference"/>
        </w:rPr>
        <w:endnoteRef/>
      </w:r>
      <w:r>
        <w:t xml:space="preserve"> </w:t>
      </w:r>
      <w:r w:rsidRPr="008E2BC2">
        <w:t>Haynes, R. Lewis, D</w:t>
      </w:r>
      <w:r>
        <w:t xml:space="preserve">, Emberson j et al. </w:t>
      </w:r>
      <w:r w:rsidRPr="008E2BC2">
        <w:t>Effects of lowering LDL cholesterol on progression of kidney disease</w:t>
      </w:r>
      <w:r>
        <w:t xml:space="preserve">. </w:t>
      </w:r>
      <w:r w:rsidRPr="008E2BC2">
        <w:t>J Am Soc Nephrol</w:t>
      </w:r>
      <w:r>
        <w:t>. 2014; 25(8)</w:t>
      </w:r>
      <w:r w:rsidRPr="008E2BC2">
        <w:rPr>
          <w:rFonts w:ascii="Segoe UI" w:hAnsi="Segoe UI" w:cs="Segoe UI"/>
          <w:sz w:val="18"/>
          <w:szCs w:val="18"/>
        </w:rPr>
        <w:t xml:space="preserve"> </w:t>
      </w:r>
      <w:r>
        <w:rPr>
          <w:rFonts w:ascii="Segoe UI" w:hAnsi="Segoe UI" w:cs="Segoe UI"/>
          <w:sz w:val="18"/>
          <w:szCs w:val="18"/>
        </w:rPr>
        <w:t>1825-33</w:t>
      </w:r>
    </w:p>
  </w:endnote>
  <w:endnote w:id="81">
    <w:p w14:paraId="31199003" w14:textId="6B600412" w:rsidR="00800510" w:rsidRDefault="00800510" w:rsidP="008D71B4">
      <w:pPr>
        <w:pStyle w:val="EndnoteText"/>
        <w:spacing w:before="80" w:after="80"/>
      </w:pPr>
      <w:r>
        <w:rPr>
          <w:rStyle w:val="EndnoteReference"/>
        </w:rPr>
        <w:endnoteRef/>
      </w:r>
      <w:r>
        <w:t xml:space="preserve"> </w:t>
      </w:r>
      <w:r w:rsidRPr="00BC253A">
        <w:t xml:space="preserve">Cannon CP, Blazing MA, Giugliano RP, McCagg A, White JA, Theroux P, et al. Ezetimibe Added to Statin Therapy after Acute Coronary Syndromes. </w:t>
      </w:r>
      <w:r w:rsidRPr="008C074C">
        <w:rPr>
          <w:i/>
        </w:rPr>
        <w:t xml:space="preserve">N Engl J Med. </w:t>
      </w:r>
      <w:r w:rsidRPr="00BC253A">
        <w:t>2015;372(25):2387-97</w:t>
      </w:r>
    </w:p>
  </w:endnote>
  <w:endnote w:id="82">
    <w:p w14:paraId="0759883A" w14:textId="0E941376" w:rsidR="00800510" w:rsidRDefault="00800510" w:rsidP="008D71B4">
      <w:pPr>
        <w:pStyle w:val="EndnoteText"/>
        <w:spacing w:before="80" w:after="80"/>
      </w:pPr>
      <w:r>
        <w:rPr>
          <w:rStyle w:val="EndnoteReference"/>
        </w:rPr>
        <w:endnoteRef/>
      </w:r>
      <w:r w:rsidRPr="00A83BED">
        <w:rPr>
          <w:lang w:val="nl-NL"/>
        </w:rPr>
        <w:t xml:space="preserve"> Farnier M, Averna M, Missault L, Vaverkova H, Viigimaa M, Massaad R, et al. </w:t>
      </w:r>
      <w:r w:rsidRPr="007D7D53">
        <w:t xml:space="preserve">Lipid-altering efficacy of ezetimibe/simvastatin 10/20 mg compared with rosuvastatin 10 mg in high-risk hypercholesterolaemic patients inadequately controlled with prior statin monotherapy – The IN-CROSS study. </w:t>
      </w:r>
      <w:r w:rsidRPr="007D7D53">
        <w:rPr>
          <w:i/>
        </w:rPr>
        <w:t>International Journal of Clinical Practice</w:t>
      </w:r>
      <w:r w:rsidRPr="007D7D53">
        <w:t>. 2009;63(4):547-59.</w:t>
      </w:r>
    </w:p>
  </w:endnote>
  <w:endnote w:id="83">
    <w:p w14:paraId="1B82D6D5" w14:textId="00C21804" w:rsidR="00800510" w:rsidRDefault="00800510" w:rsidP="008D71B4">
      <w:pPr>
        <w:pStyle w:val="EndnoteText"/>
        <w:spacing w:before="80" w:after="80"/>
      </w:pPr>
      <w:r>
        <w:rPr>
          <w:rStyle w:val="EndnoteReference"/>
        </w:rPr>
        <w:endnoteRef/>
      </w:r>
      <w:r>
        <w:t xml:space="preserve"> British Societies’ guidelines: </w:t>
      </w:r>
      <w:r w:rsidRPr="00FF46A6">
        <w:t xml:space="preserve">British Cardiac Society, British Hypertension Society, Diabetes UK, HEART UK, Primary Care Cardiovascular Society, Stroke Association. JBS 2: Joint British Societies’ guidelines on prevention of cardiovascular disease in clinical practice. </w:t>
      </w:r>
      <w:r w:rsidRPr="00FF46A6">
        <w:rPr>
          <w:i/>
        </w:rPr>
        <w:t>Heart</w:t>
      </w:r>
      <w:r w:rsidRPr="00FF46A6">
        <w:t xml:space="preserve"> 2005; 91(</w:t>
      </w:r>
      <w:r>
        <w:t>Suppl. 5).</w:t>
      </w:r>
    </w:p>
  </w:endnote>
  <w:endnote w:id="84">
    <w:p w14:paraId="6593E629" w14:textId="055FE4E1" w:rsidR="00800510" w:rsidRDefault="00800510" w:rsidP="00BC253A">
      <w:pPr>
        <w:pStyle w:val="EndnoteText"/>
        <w:spacing w:before="80" w:after="80"/>
      </w:pPr>
      <w:r>
        <w:rPr>
          <w:rStyle w:val="EndnoteReference"/>
        </w:rPr>
        <w:endnoteRef/>
      </w:r>
      <w:r>
        <w:t xml:space="preserve"> </w:t>
      </w:r>
      <w:r w:rsidRPr="00FF46A6">
        <w:rPr>
          <w:lang w:eastAsia="en-US"/>
        </w:rPr>
        <w:t xml:space="preserve">Anderson KM, Wilson PW, Odell PM, Kannel WB. An updated coronary risk profile. </w:t>
      </w:r>
      <w:r w:rsidRPr="00FF46A6">
        <w:rPr>
          <w:i/>
          <w:lang w:eastAsia="en-US"/>
        </w:rPr>
        <w:t>Circulation</w:t>
      </w:r>
      <w:r w:rsidRPr="00FF46A6">
        <w:rPr>
          <w:lang w:eastAsia="en-US"/>
        </w:rPr>
        <w:t xml:space="preserve"> 1991; 83: 356–62</w:t>
      </w:r>
      <w:r>
        <w:rPr>
          <w:lang w:eastAsia="en-US"/>
        </w:rPr>
        <w:t>.</w:t>
      </w:r>
    </w:p>
  </w:endnote>
  <w:endnote w:id="85">
    <w:p w14:paraId="49F25265" w14:textId="5484CAAB" w:rsidR="00800510" w:rsidRDefault="00800510" w:rsidP="00FA1F9C">
      <w:pPr>
        <w:pStyle w:val="EndnoteText"/>
        <w:spacing w:before="80" w:after="80"/>
      </w:pPr>
      <w:r>
        <w:rPr>
          <w:rStyle w:val="EndnoteReference"/>
        </w:rPr>
        <w:endnoteRef/>
      </w:r>
      <w:r>
        <w:t xml:space="preserve"> </w:t>
      </w:r>
      <w:r w:rsidRPr="00FF46A6">
        <w:rPr>
          <w:lang w:eastAsia="en-US"/>
        </w:rPr>
        <w:t xml:space="preserve">Neaton JD, Blackburn H, Jacobs D et al. Serum cholesterol level and mortality findings for men screened in the Multiple Risk Factor Intervention Trial. Multiple Risk Factor InterventionTrial Research Group. </w:t>
      </w:r>
      <w:r w:rsidRPr="009B1866">
        <w:rPr>
          <w:i/>
          <w:lang w:eastAsia="en-US"/>
        </w:rPr>
        <w:t>Arch Intern Med</w:t>
      </w:r>
      <w:r w:rsidRPr="00FF46A6">
        <w:rPr>
          <w:lang w:eastAsia="en-US"/>
        </w:rPr>
        <w:t xml:space="preserve"> 1992; 152: 1490–500</w:t>
      </w:r>
      <w:r>
        <w:rPr>
          <w:lang w:eastAsia="en-US"/>
        </w:rPr>
        <w:t>.</w:t>
      </w:r>
    </w:p>
  </w:endnote>
  <w:endnote w:id="86">
    <w:p w14:paraId="3677479D" w14:textId="425F13BB" w:rsidR="00800510" w:rsidRDefault="00800510" w:rsidP="00FA1F9C">
      <w:pPr>
        <w:pStyle w:val="EndnoteText"/>
        <w:spacing w:before="80" w:after="80"/>
      </w:pPr>
      <w:r>
        <w:rPr>
          <w:rStyle w:val="EndnoteReference"/>
        </w:rPr>
        <w:endnoteRef/>
      </w:r>
      <w:r>
        <w:t xml:space="preserve"> </w:t>
      </w:r>
      <w:r w:rsidRPr="009B1866">
        <w:rPr>
          <w:lang w:eastAsia="en-US"/>
        </w:rPr>
        <w:t xml:space="preserve">Baigent C, Keech A, Kearney PM et al. Efficacy and safety of cholesterol-lowering treatment: prospective meta-analysis of data from 90,056 participants in 14 randomised trials of statins. </w:t>
      </w:r>
      <w:r w:rsidRPr="009B1866">
        <w:rPr>
          <w:i/>
          <w:lang w:eastAsia="en-US"/>
        </w:rPr>
        <w:t xml:space="preserve">Lancet </w:t>
      </w:r>
      <w:r w:rsidRPr="009B1866">
        <w:rPr>
          <w:lang w:eastAsia="en-US"/>
        </w:rPr>
        <w:t>2005; 366: 1267–78</w:t>
      </w:r>
      <w:r>
        <w:rPr>
          <w:lang w:eastAsia="en-US"/>
        </w:rPr>
        <w:t>.</w:t>
      </w:r>
    </w:p>
  </w:endnote>
  <w:endnote w:id="87">
    <w:p w14:paraId="4430029D" w14:textId="3690E52C" w:rsidR="00800510" w:rsidRDefault="00800510" w:rsidP="00FA1F9C">
      <w:pPr>
        <w:pStyle w:val="EndnoteText"/>
        <w:spacing w:before="80" w:after="80"/>
      </w:pPr>
      <w:r>
        <w:rPr>
          <w:rStyle w:val="EndnoteReference"/>
        </w:rPr>
        <w:endnoteRef/>
      </w:r>
      <w:r>
        <w:t xml:space="preserve"> </w:t>
      </w:r>
      <w:r w:rsidRPr="009B1866">
        <w:rPr>
          <w:lang w:eastAsia="en-US"/>
        </w:rPr>
        <w:t>Law MR, Wald NJ, Rudnicka AR. Quantifying effect of statins on low density lipoprotein cholesterol, ischaemic heart disease, and stroke: systematic review and meta-analysis.</w:t>
      </w:r>
      <w:r w:rsidRPr="009B1866">
        <w:rPr>
          <w:i/>
          <w:lang w:eastAsia="en-US"/>
        </w:rPr>
        <w:t xml:space="preserve"> BMJ</w:t>
      </w:r>
      <w:r w:rsidRPr="009B1866">
        <w:rPr>
          <w:lang w:eastAsia="en-US"/>
        </w:rPr>
        <w:t xml:space="preserve"> 2003; </w:t>
      </w:r>
      <w:r>
        <w:rPr>
          <w:lang w:eastAsia="en-US"/>
        </w:rPr>
        <w:t>326: 1423–7</w:t>
      </w:r>
    </w:p>
  </w:endnote>
  <w:endnote w:id="88">
    <w:p w14:paraId="6B95AFFD" w14:textId="351D60C0" w:rsidR="00800510" w:rsidRDefault="00800510" w:rsidP="00FA1F9C">
      <w:pPr>
        <w:pStyle w:val="EndnoteText"/>
        <w:spacing w:before="80" w:after="80"/>
      </w:pPr>
      <w:r>
        <w:rPr>
          <w:rStyle w:val="EndnoteReference"/>
        </w:rPr>
        <w:endnoteRef/>
      </w:r>
      <w:r>
        <w:t xml:space="preserve"> </w:t>
      </w:r>
      <w:r w:rsidRPr="009B1866">
        <w:rPr>
          <w:lang w:eastAsia="en-US"/>
        </w:rPr>
        <w:t>Gould AL, Rossouw JE, Santanello NC, Heyse J, Furberg CD. Cholesterol reduction yields clinical benefit: impact of statins. Circulation 1998; 97: 946–52</w:t>
      </w:r>
    </w:p>
  </w:endnote>
  <w:endnote w:id="89">
    <w:p w14:paraId="1B485529" w14:textId="0DDBBC8F" w:rsidR="00800510" w:rsidRDefault="00800510" w:rsidP="00FA1F9C">
      <w:pPr>
        <w:pStyle w:val="EndnoteText"/>
        <w:spacing w:before="80" w:after="80"/>
      </w:pPr>
      <w:r>
        <w:rPr>
          <w:rStyle w:val="EndnoteReference"/>
        </w:rPr>
        <w:endnoteRef/>
      </w:r>
      <w:r>
        <w:t xml:space="preserve"> </w:t>
      </w:r>
      <w:r w:rsidRPr="009B1866">
        <w:rPr>
          <w:lang w:eastAsia="en-US"/>
        </w:rPr>
        <w:t xml:space="preserve">Robinson JG, Smith B, Maheshwari N, Schrott H. Pleiotropic effects of statins: benefit beyond cholesterol reduction? A metaregression analysis. </w:t>
      </w:r>
      <w:r w:rsidRPr="009B1866">
        <w:rPr>
          <w:i/>
          <w:lang w:eastAsia="en-US"/>
        </w:rPr>
        <w:t>J Am Coll Cardiol</w:t>
      </w:r>
      <w:r w:rsidRPr="009B1866">
        <w:rPr>
          <w:lang w:eastAsia="en-US"/>
        </w:rPr>
        <w:t xml:space="preserve"> 2005; 46: 1855–62</w:t>
      </w:r>
    </w:p>
  </w:endnote>
  <w:endnote w:id="90">
    <w:p w14:paraId="0D50EDAB" w14:textId="77777777" w:rsidR="00800510" w:rsidRDefault="00800510" w:rsidP="00790BF6">
      <w:pPr>
        <w:pStyle w:val="EndnoteText"/>
        <w:spacing w:before="80" w:after="80"/>
      </w:pPr>
      <w:r>
        <w:rPr>
          <w:rStyle w:val="EndnoteReference"/>
        </w:rPr>
        <w:endnoteRef/>
      </w:r>
      <w:r>
        <w:t xml:space="preserve"> Rossebo AB, Pedersen TR, Boman K et al. Intensive lipid lowering with simvastatin and ezetimibe in aortic stenosis. </w:t>
      </w:r>
      <w:r w:rsidRPr="00FA1F9C">
        <w:rPr>
          <w:i/>
        </w:rPr>
        <w:t>N Engl J Med</w:t>
      </w:r>
      <w:r>
        <w:t xml:space="preserve"> 2008; 359: 1343–56.</w:t>
      </w:r>
    </w:p>
  </w:endnote>
  <w:endnote w:id="91">
    <w:p w14:paraId="74BA68D9" w14:textId="77777777" w:rsidR="00800510" w:rsidRDefault="00800510" w:rsidP="00790BF6">
      <w:pPr>
        <w:pStyle w:val="EndnoteText"/>
        <w:spacing w:before="80" w:after="80"/>
      </w:pPr>
      <w:r>
        <w:rPr>
          <w:rStyle w:val="EndnoteReference"/>
        </w:rPr>
        <w:endnoteRef/>
      </w:r>
      <w:r>
        <w:t xml:space="preserve"> Peto R, Emberson J, Landray M et al. Analyses of cancer data from three ezetimibe trials. </w:t>
      </w:r>
      <w:r w:rsidRPr="00FA1F9C">
        <w:rPr>
          <w:i/>
        </w:rPr>
        <w:t>N Engl J Med</w:t>
      </w:r>
      <w:r>
        <w:t xml:space="preserve"> 2008; 359: 1357–66.</w:t>
      </w:r>
    </w:p>
  </w:endnote>
  <w:endnote w:id="92">
    <w:p w14:paraId="33D4C8AD" w14:textId="43E28142" w:rsidR="00800510" w:rsidRPr="00BB1EB1" w:rsidRDefault="00800510" w:rsidP="00763C6C">
      <w:pPr>
        <w:pStyle w:val="EndnoteText"/>
      </w:pPr>
      <w:r>
        <w:rPr>
          <w:rStyle w:val="EndnoteReference"/>
        </w:rPr>
        <w:endnoteRef/>
      </w:r>
      <w:r>
        <w:t xml:space="preserve"> Wierzbicki A. Lipid lowering, statins and cancer. </w:t>
      </w:r>
      <w:r w:rsidRPr="00790BF6">
        <w:rPr>
          <w:i/>
        </w:rPr>
        <w:t>Int J Clin Pract</w:t>
      </w:r>
      <w:r>
        <w:t xml:space="preserve"> 2006; 60: 1022–4.</w:t>
      </w:r>
    </w:p>
    <w:p w14:paraId="04686853" w14:textId="77777777" w:rsidR="00800510" w:rsidRPr="00BB1EB1" w:rsidRDefault="00800510" w:rsidP="00BB1EB1"/>
    <w:p w14:paraId="2D0DFB4A" w14:textId="77777777" w:rsidR="00800510" w:rsidRDefault="00800510" w:rsidP="00790BF6">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eridien-Roman">
    <w:panose1 w:val="00000000000000000000"/>
    <w:charset w:val="00"/>
    <w:family w:val="roman"/>
    <w:notTrueType/>
    <w:pitch w:val="default"/>
    <w:sig w:usb0="00000003" w:usb1="00000000" w:usb2="00000000" w:usb3="00000000" w:csb0="00000001" w:csb1="00000000"/>
  </w:font>
  <w:font w:name="OTNEJMQuadraat">
    <w:altName w:val="MS Mincho"/>
    <w:panose1 w:val="00000000000000000000"/>
    <w:charset w:val="80"/>
    <w:family w:val="roman"/>
    <w:notTrueType/>
    <w:pitch w:val="default"/>
    <w:sig w:usb0="00000001" w:usb1="08070000" w:usb2="00000010" w:usb3="00000000" w:csb0="00020000" w:csb1="00000000"/>
  </w:font>
  <w:font w:name="AdvTT5843c57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331745"/>
      <w:docPartObj>
        <w:docPartGallery w:val="Page Numbers (Bottom of Page)"/>
        <w:docPartUnique/>
      </w:docPartObj>
    </w:sdtPr>
    <w:sdtEndPr>
      <w:rPr>
        <w:noProof/>
      </w:rPr>
    </w:sdtEndPr>
    <w:sdtContent>
      <w:p w14:paraId="77230F32" w14:textId="1B41C4A8" w:rsidR="00800510" w:rsidRDefault="00800510">
        <w:pPr>
          <w:pStyle w:val="Footer"/>
          <w:jc w:val="center"/>
        </w:pPr>
        <w:r>
          <w:fldChar w:fldCharType="begin"/>
        </w:r>
        <w:r>
          <w:instrText xml:space="preserve"> PAGE   \* MERGEFORMAT </w:instrText>
        </w:r>
        <w:r>
          <w:fldChar w:fldCharType="separate"/>
        </w:r>
        <w:r w:rsidR="00D47EE1">
          <w:rPr>
            <w:noProof/>
          </w:rPr>
          <w:t>1</w:t>
        </w:r>
        <w:r>
          <w:rPr>
            <w:noProof/>
          </w:rPr>
          <w:fldChar w:fldCharType="end"/>
        </w:r>
      </w:p>
    </w:sdtContent>
  </w:sdt>
  <w:p w14:paraId="226F9448" w14:textId="77777777" w:rsidR="00800510" w:rsidRDefault="008005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4B52C" w14:textId="77777777" w:rsidR="00BF3AF1" w:rsidRDefault="00BF3AF1" w:rsidP="00113478">
      <w:pPr>
        <w:spacing w:after="0" w:line="240" w:lineRule="auto"/>
      </w:pPr>
      <w:r>
        <w:separator/>
      </w:r>
    </w:p>
  </w:footnote>
  <w:footnote w:type="continuationSeparator" w:id="0">
    <w:p w14:paraId="00C6EE6F" w14:textId="77777777" w:rsidR="00BF3AF1" w:rsidRDefault="00BF3AF1" w:rsidP="00113478">
      <w:pPr>
        <w:spacing w:after="0" w:line="240" w:lineRule="auto"/>
      </w:pPr>
      <w:r>
        <w:continuationSeparator/>
      </w:r>
    </w:p>
  </w:footnote>
  <w:footnote w:id="1">
    <w:p w14:paraId="4379875B" w14:textId="77777777" w:rsidR="00800510" w:rsidRDefault="00800510" w:rsidP="00113478">
      <w:pPr>
        <w:pStyle w:val="FootnoteText"/>
      </w:pPr>
      <w:r>
        <w:rPr>
          <w:rStyle w:val="FootnoteReference"/>
        </w:rPr>
        <w:footnoteRef/>
      </w:r>
      <w:r>
        <w:t xml:space="preserve"> Applies only to 10mg atorvastatin restriction </w:t>
      </w:r>
    </w:p>
  </w:footnote>
  <w:footnote w:id="2">
    <w:p w14:paraId="0E160379" w14:textId="77777777" w:rsidR="00800510" w:rsidRDefault="00800510" w:rsidP="00113478">
      <w:pPr>
        <w:pStyle w:val="FootnoteText"/>
      </w:pPr>
      <w:r>
        <w:rPr>
          <w:rStyle w:val="FootnoteReference"/>
        </w:rPr>
        <w:footnoteRef/>
      </w:r>
      <w:r>
        <w:t xml:space="preserve"> This indication is outside the scope of the Review</w:t>
      </w:r>
    </w:p>
  </w:footnote>
  <w:footnote w:id="3">
    <w:p w14:paraId="61C885CC" w14:textId="5B8B29C9" w:rsidR="00800510" w:rsidRDefault="00800510">
      <w:pPr>
        <w:pStyle w:val="FootnoteText"/>
      </w:pPr>
      <w:r>
        <w:rPr>
          <w:rStyle w:val="FootnoteReference"/>
        </w:rPr>
        <w:footnoteRef/>
      </w:r>
      <w:r>
        <w:t xml:space="preserve"> Personal communication with professor Lloyd Sansom</w:t>
      </w:r>
    </w:p>
  </w:footnote>
  <w:footnote w:id="4">
    <w:p w14:paraId="66E994B5" w14:textId="6FA30C17" w:rsidR="00800510" w:rsidRDefault="00800510">
      <w:pPr>
        <w:pStyle w:val="FootnoteText"/>
      </w:pPr>
      <w:r>
        <w:rPr>
          <w:rStyle w:val="FootnoteReference"/>
        </w:rPr>
        <w:footnoteRef/>
      </w:r>
      <w:r>
        <w:t xml:space="preserve"> Another study by Farnier 2005 did not report </w:t>
      </w:r>
      <w:r w:rsidRPr="004A084E">
        <w:t xml:space="preserve">statistical estimates of the variation </w:t>
      </w:r>
      <w:r>
        <w:t>around the end points and was excluded from the meta-analysis, but was retained for the assessment of safety of ezetimibe monotherapy vs placebo</w:t>
      </w:r>
    </w:p>
  </w:footnote>
  <w:footnote w:id="5">
    <w:p w14:paraId="219F77FA" w14:textId="59CC5186" w:rsidR="00800510" w:rsidRDefault="00800510">
      <w:pPr>
        <w:pStyle w:val="FootnoteText"/>
      </w:pPr>
      <w:r>
        <w:rPr>
          <w:rStyle w:val="FootnoteReference"/>
        </w:rPr>
        <w:footnoteRef/>
      </w:r>
      <w:r>
        <w:t xml:space="preserve"> </w:t>
      </w:r>
      <w:r w:rsidRPr="004A084E">
        <w:t>IMROVE-IT trial falls into this category but did not report statistical estimates of the variation around the surrogate outcomes that were subsequently excluded from the systematic overview of the LDL-C and HDL-C results.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197"/>
    <w:multiLevelType w:val="hybridMultilevel"/>
    <w:tmpl w:val="B09E0F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1804339"/>
    <w:multiLevelType w:val="hybridMultilevel"/>
    <w:tmpl w:val="41BC3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85461A"/>
    <w:multiLevelType w:val="hybridMultilevel"/>
    <w:tmpl w:val="4DBCBDF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114D17"/>
    <w:multiLevelType w:val="hybridMultilevel"/>
    <w:tmpl w:val="506EE3A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C4B5DB0"/>
    <w:multiLevelType w:val="multilevel"/>
    <w:tmpl w:val="EDFEF2C8"/>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16B12E30"/>
    <w:multiLevelType w:val="hybridMultilevel"/>
    <w:tmpl w:val="41A49054"/>
    <w:lvl w:ilvl="0" w:tplc="0C090001">
      <w:start w:val="1"/>
      <w:numFmt w:val="bullet"/>
      <w:lvlText w:val=""/>
      <w:lvlJc w:val="left"/>
      <w:pPr>
        <w:ind w:left="1080" w:hanging="72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73F03B5"/>
    <w:multiLevelType w:val="hybridMultilevel"/>
    <w:tmpl w:val="BF9C356A"/>
    <w:lvl w:ilvl="0" w:tplc="23F4B4A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8396C56"/>
    <w:multiLevelType w:val="hybridMultilevel"/>
    <w:tmpl w:val="BCEAE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AC329B0"/>
    <w:multiLevelType w:val="hybridMultilevel"/>
    <w:tmpl w:val="17265CE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5331A92"/>
    <w:multiLevelType w:val="hybridMultilevel"/>
    <w:tmpl w:val="12000D2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60F2350"/>
    <w:multiLevelType w:val="hybridMultilevel"/>
    <w:tmpl w:val="D40A3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6994D5B"/>
    <w:multiLevelType w:val="hybridMultilevel"/>
    <w:tmpl w:val="E932A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E2E1CC0"/>
    <w:multiLevelType w:val="hybridMultilevel"/>
    <w:tmpl w:val="03423F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05C5774"/>
    <w:multiLevelType w:val="hybridMultilevel"/>
    <w:tmpl w:val="99D2A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2C65602"/>
    <w:multiLevelType w:val="hybridMultilevel"/>
    <w:tmpl w:val="A0BA7BC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44006744"/>
    <w:multiLevelType w:val="hybridMultilevel"/>
    <w:tmpl w:val="DF7E7922"/>
    <w:lvl w:ilvl="0" w:tplc="0C090011">
      <w:start w:val="1"/>
      <w:numFmt w:val="decimal"/>
      <w:lvlText w:val="%1)"/>
      <w:lvlJc w:val="left"/>
      <w:pPr>
        <w:ind w:left="1080" w:hanging="72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6F7243A"/>
    <w:multiLevelType w:val="hybridMultilevel"/>
    <w:tmpl w:val="F9DE3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81F20CD"/>
    <w:multiLevelType w:val="hybridMultilevel"/>
    <w:tmpl w:val="FD72C3A2"/>
    <w:lvl w:ilvl="0" w:tplc="23F4B4A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BEB2F64"/>
    <w:multiLevelType w:val="hybridMultilevel"/>
    <w:tmpl w:val="4FB89E04"/>
    <w:lvl w:ilvl="0" w:tplc="3AF07510">
      <w:start w:val="1"/>
      <w:numFmt w:val="lowerLetter"/>
      <w:lvlText w:val="%1)"/>
      <w:lvlJc w:val="left"/>
      <w:pPr>
        <w:ind w:left="924" w:hanging="360"/>
      </w:pPr>
      <w:rPr>
        <w:rFonts w:hint="default"/>
        <w:b/>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19">
    <w:nsid w:val="4C2625D1"/>
    <w:multiLevelType w:val="hybridMultilevel"/>
    <w:tmpl w:val="06FE9DF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5F1812"/>
    <w:multiLevelType w:val="hybridMultilevel"/>
    <w:tmpl w:val="21A03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65F391E"/>
    <w:multiLevelType w:val="hybridMultilevel"/>
    <w:tmpl w:val="D8D295BA"/>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8725FA7"/>
    <w:multiLevelType w:val="hybridMultilevel"/>
    <w:tmpl w:val="A22E384C"/>
    <w:lvl w:ilvl="0" w:tplc="D7CEA90E">
      <w:start w:val="14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9001814"/>
    <w:multiLevelType w:val="hybridMultilevel"/>
    <w:tmpl w:val="FEE07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A343D74"/>
    <w:multiLevelType w:val="hybridMultilevel"/>
    <w:tmpl w:val="8464991A"/>
    <w:lvl w:ilvl="0" w:tplc="D7CEA90E">
      <w:start w:val="14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A493CDD"/>
    <w:multiLevelType w:val="hybridMultilevel"/>
    <w:tmpl w:val="21DA334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BAD281A"/>
    <w:multiLevelType w:val="hybridMultilevel"/>
    <w:tmpl w:val="DBC6FF12"/>
    <w:lvl w:ilvl="0" w:tplc="7B24A26E">
      <w:start w:val="1"/>
      <w:numFmt w:val="lowerLetter"/>
      <w:lvlText w:val="%1)"/>
      <w:lvlJc w:val="left"/>
      <w:pPr>
        <w:ind w:left="1083" w:hanging="360"/>
      </w:pPr>
      <w:rPr>
        <w:rFonts w:hint="default"/>
      </w:rPr>
    </w:lvl>
    <w:lvl w:ilvl="1" w:tplc="0C090019" w:tentative="1">
      <w:start w:val="1"/>
      <w:numFmt w:val="lowerLetter"/>
      <w:lvlText w:val="%2."/>
      <w:lvlJc w:val="left"/>
      <w:pPr>
        <w:ind w:left="1803" w:hanging="360"/>
      </w:pPr>
    </w:lvl>
    <w:lvl w:ilvl="2" w:tplc="0C09001B" w:tentative="1">
      <w:start w:val="1"/>
      <w:numFmt w:val="lowerRoman"/>
      <w:lvlText w:val="%3."/>
      <w:lvlJc w:val="right"/>
      <w:pPr>
        <w:ind w:left="2523" w:hanging="180"/>
      </w:pPr>
    </w:lvl>
    <w:lvl w:ilvl="3" w:tplc="0C09000F" w:tentative="1">
      <w:start w:val="1"/>
      <w:numFmt w:val="decimal"/>
      <w:lvlText w:val="%4."/>
      <w:lvlJc w:val="left"/>
      <w:pPr>
        <w:ind w:left="3243" w:hanging="360"/>
      </w:pPr>
    </w:lvl>
    <w:lvl w:ilvl="4" w:tplc="0C090019" w:tentative="1">
      <w:start w:val="1"/>
      <w:numFmt w:val="lowerLetter"/>
      <w:lvlText w:val="%5."/>
      <w:lvlJc w:val="left"/>
      <w:pPr>
        <w:ind w:left="3963" w:hanging="360"/>
      </w:pPr>
    </w:lvl>
    <w:lvl w:ilvl="5" w:tplc="0C09001B" w:tentative="1">
      <w:start w:val="1"/>
      <w:numFmt w:val="lowerRoman"/>
      <w:lvlText w:val="%6."/>
      <w:lvlJc w:val="right"/>
      <w:pPr>
        <w:ind w:left="4683" w:hanging="180"/>
      </w:pPr>
    </w:lvl>
    <w:lvl w:ilvl="6" w:tplc="0C09000F" w:tentative="1">
      <w:start w:val="1"/>
      <w:numFmt w:val="decimal"/>
      <w:lvlText w:val="%7."/>
      <w:lvlJc w:val="left"/>
      <w:pPr>
        <w:ind w:left="5403" w:hanging="360"/>
      </w:pPr>
    </w:lvl>
    <w:lvl w:ilvl="7" w:tplc="0C090019" w:tentative="1">
      <w:start w:val="1"/>
      <w:numFmt w:val="lowerLetter"/>
      <w:lvlText w:val="%8."/>
      <w:lvlJc w:val="left"/>
      <w:pPr>
        <w:ind w:left="6123" w:hanging="360"/>
      </w:pPr>
    </w:lvl>
    <w:lvl w:ilvl="8" w:tplc="0C09001B" w:tentative="1">
      <w:start w:val="1"/>
      <w:numFmt w:val="lowerRoman"/>
      <w:lvlText w:val="%9."/>
      <w:lvlJc w:val="right"/>
      <w:pPr>
        <w:ind w:left="6843" w:hanging="180"/>
      </w:pPr>
    </w:lvl>
  </w:abstractNum>
  <w:abstractNum w:abstractNumId="27">
    <w:nsid w:val="75ED464E"/>
    <w:multiLevelType w:val="hybridMultilevel"/>
    <w:tmpl w:val="D082B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7BA7E18"/>
    <w:multiLevelType w:val="hybridMultilevel"/>
    <w:tmpl w:val="F8B61232"/>
    <w:lvl w:ilvl="0" w:tplc="3AF07510">
      <w:start w:val="1"/>
      <w:numFmt w:val="lowerLetter"/>
      <w:lvlText w:val="%1)"/>
      <w:lvlJc w:val="left"/>
      <w:pPr>
        <w:ind w:left="1491" w:hanging="360"/>
      </w:pPr>
      <w:rPr>
        <w:rFonts w:hint="default"/>
        <w:b/>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9">
    <w:nsid w:val="78506E51"/>
    <w:multiLevelType w:val="hybridMultilevel"/>
    <w:tmpl w:val="D8D295BA"/>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8A073BD"/>
    <w:multiLevelType w:val="hybridMultilevel"/>
    <w:tmpl w:val="98325F1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BB063FC"/>
    <w:multiLevelType w:val="hybridMultilevel"/>
    <w:tmpl w:val="F8B61232"/>
    <w:lvl w:ilvl="0" w:tplc="3AF07510">
      <w:start w:val="1"/>
      <w:numFmt w:val="lowerLetter"/>
      <w:lvlText w:val="%1)"/>
      <w:lvlJc w:val="left"/>
      <w:pPr>
        <w:ind w:left="1491" w:hanging="360"/>
      </w:pPr>
      <w:rPr>
        <w:rFonts w:hint="default"/>
        <w:b/>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2">
    <w:nsid w:val="7CD7112C"/>
    <w:multiLevelType w:val="hybridMultilevel"/>
    <w:tmpl w:val="0AF4AE8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3"/>
  </w:num>
  <w:num w:numId="4">
    <w:abstractNumId w:val="20"/>
  </w:num>
  <w:num w:numId="5">
    <w:abstractNumId w:val="7"/>
  </w:num>
  <w:num w:numId="6">
    <w:abstractNumId w:val="16"/>
  </w:num>
  <w:num w:numId="7">
    <w:abstractNumId w:val="22"/>
  </w:num>
  <w:num w:numId="8">
    <w:abstractNumId w:val="24"/>
  </w:num>
  <w:num w:numId="9">
    <w:abstractNumId w:val="5"/>
  </w:num>
  <w:num w:numId="10">
    <w:abstractNumId w:val="25"/>
  </w:num>
  <w:num w:numId="11">
    <w:abstractNumId w:val="14"/>
  </w:num>
  <w:num w:numId="12">
    <w:abstractNumId w:val="2"/>
  </w:num>
  <w:num w:numId="13">
    <w:abstractNumId w:val="9"/>
  </w:num>
  <w:num w:numId="14">
    <w:abstractNumId w:val="32"/>
  </w:num>
  <w:num w:numId="15">
    <w:abstractNumId w:val="19"/>
  </w:num>
  <w:num w:numId="16">
    <w:abstractNumId w:val="8"/>
  </w:num>
  <w:num w:numId="17">
    <w:abstractNumId w:val="3"/>
  </w:num>
  <w:num w:numId="18">
    <w:abstractNumId w:val="10"/>
  </w:num>
  <w:num w:numId="19">
    <w:abstractNumId w:val="12"/>
  </w:num>
  <w:num w:numId="20">
    <w:abstractNumId w:val="17"/>
  </w:num>
  <w:num w:numId="21">
    <w:abstractNumId w:val="15"/>
  </w:num>
  <w:num w:numId="22">
    <w:abstractNumId w:val="6"/>
  </w:num>
  <w:num w:numId="23">
    <w:abstractNumId w:val="13"/>
  </w:num>
  <w:num w:numId="24">
    <w:abstractNumId w:val="27"/>
  </w:num>
  <w:num w:numId="25">
    <w:abstractNumId w:val="21"/>
  </w:num>
  <w:num w:numId="26">
    <w:abstractNumId w:val="4"/>
  </w:num>
  <w:num w:numId="27">
    <w:abstractNumId w:val="29"/>
  </w:num>
  <w:num w:numId="28">
    <w:abstractNumId w:val="18"/>
  </w:num>
  <w:num w:numId="29">
    <w:abstractNumId w:val="31"/>
  </w:num>
  <w:num w:numId="30">
    <w:abstractNumId w:val="26"/>
  </w:num>
  <w:num w:numId="31">
    <w:abstractNumId w:val="28"/>
  </w:num>
  <w:num w:numId="32">
    <w:abstractNumId w:val="30"/>
  </w:num>
  <w:num w:numId="33">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LO0MDQzMDMwMrKwMDNS0lEKTi0uzszPAykwrQUAYhkgRCwAAAA="/>
  </w:docVars>
  <w:rsids>
    <w:rsidRoot w:val="007A75AC"/>
    <w:rsid w:val="000005FB"/>
    <w:rsid w:val="00002709"/>
    <w:rsid w:val="000100F2"/>
    <w:rsid w:val="000167F1"/>
    <w:rsid w:val="00016D71"/>
    <w:rsid w:val="0001793E"/>
    <w:rsid w:val="000257D8"/>
    <w:rsid w:val="00030F52"/>
    <w:rsid w:val="00034064"/>
    <w:rsid w:val="00035B89"/>
    <w:rsid w:val="000366DA"/>
    <w:rsid w:val="00036D3A"/>
    <w:rsid w:val="00037B82"/>
    <w:rsid w:val="00040C04"/>
    <w:rsid w:val="0004126C"/>
    <w:rsid w:val="000413AA"/>
    <w:rsid w:val="00041459"/>
    <w:rsid w:val="000416BC"/>
    <w:rsid w:val="00041F4F"/>
    <w:rsid w:val="0004489B"/>
    <w:rsid w:val="00046058"/>
    <w:rsid w:val="00053A20"/>
    <w:rsid w:val="00054197"/>
    <w:rsid w:val="000717E8"/>
    <w:rsid w:val="00076854"/>
    <w:rsid w:val="00076BB0"/>
    <w:rsid w:val="00080D72"/>
    <w:rsid w:val="00082BBB"/>
    <w:rsid w:val="00083460"/>
    <w:rsid w:val="00085AF7"/>
    <w:rsid w:val="00085FCF"/>
    <w:rsid w:val="0009056D"/>
    <w:rsid w:val="00090FE3"/>
    <w:rsid w:val="0009299A"/>
    <w:rsid w:val="00095148"/>
    <w:rsid w:val="000973D3"/>
    <w:rsid w:val="000A080E"/>
    <w:rsid w:val="000A09FE"/>
    <w:rsid w:val="000A36CD"/>
    <w:rsid w:val="000A4940"/>
    <w:rsid w:val="000A5CD1"/>
    <w:rsid w:val="000A7317"/>
    <w:rsid w:val="000B0D3C"/>
    <w:rsid w:val="000B272C"/>
    <w:rsid w:val="000B2DED"/>
    <w:rsid w:val="000B7ADD"/>
    <w:rsid w:val="000B7BE3"/>
    <w:rsid w:val="000C20E4"/>
    <w:rsid w:val="000C43DD"/>
    <w:rsid w:val="000C5DDD"/>
    <w:rsid w:val="000C68AC"/>
    <w:rsid w:val="000C6E46"/>
    <w:rsid w:val="000D1152"/>
    <w:rsid w:val="000D6208"/>
    <w:rsid w:val="000E0D2A"/>
    <w:rsid w:val="000E2929"/>
    <w:rsid w:val="000E4DA5"/>
    <w:rsid w:val="000E5001"/>
    <w:rsid w:val="000E512F"/>
    <w:rsid w:val="000E5FF3"/>
    <w:rsid w:val="000F4326"/>
    <w:rsid w:val="000F489B"/>
    <w:rsid w:val="000F4935"/>
    <w:rsid w:val="000F6FC4"/>
    <w:rsid w:val="00100CB9"/>
    <w:rsid w:val="00100F6B"/>
    <w:rsid w:val="00103048"/>
    <w:rsid w:val="001062F4"/>
    <w:rsid w:val="001064F7"/>
    <w:rsid w:val="00107943"/>
    <w:rsid w:val="001109E8"/>
    <w:rsid w:val="00111FED"/>
    <w:rsid w:val="00113478"/>
    <w:rsid w:val="00113FFC"/>
    <w:rsid w:val="00114123"/>
    <w:rsid w:val="00114A58"/>
    <w:rsid w:val="00115E30"/>
    <w:rsid w:val="0012177A"/>
    <w:rsid w:val="0012280B"/>
    <w:rsid w:val="0012725F"/>
    <w:rsid w:val="00127FB8"/>
    <w:rsid w:val="00130602"/>
    <w:rsid w:val="00130671"/>
    <w:rsid w:val="0013169D"/>
    <w:rsid w:val="00131B7C"/>
    <w:rsid w:val="00131C05"/>
    <w:rsid w:val="00135173"/>
    <w:rsid w:val="00135E95"/>
    <w:rsid w:val="00136188"/>
    <w:rsid w:val="00140129"/>
    <w:rsid w:val="00141820"/>
    <w:rsid w:val="00141AE5"/>
    <w:rsid w:val="0014380C"/>
    <w:rsid w:val="00144324"/>
    <w:rsid w:val="0014447B"/>
    <w:rsid w:val="00146FB3"/>
    <w:rsid w:val="00147042"/>
    <w:rsid w:val="00150354"/>
    <w:rsid w:val="00155694"/>
    <w:rsid w:val="00156DA3"/>
    <w:rsid w:val="00160B63"/>
    <w:rsid w:val="00162471"/>
    <w:rsid w:val="0016290F"/>
    <w:rsid w:val="00164F4D"/>
    <w:rsid w:val="001704FF"/>
    <w:rsid w:val="00171B58"/>
    <w:rsid w:val="00171C0A"/>
    <w:rsid w:val="00172B35"/>
    <w:rsid w:val="00173224"/>
    <w:rsid w:val="00173C51"/>
    <w:rsid w:val="00174D7F"/>
    <w:rsid w:val="0018200F"/>
    <w:rsid w:val="001901D5"/>
    <w:rsid w:val="0019135F"/>
    <w:rsid w:val="00191CBF"/>
    <w:rsid w:val="00194BE4"/>
    <w:rsid w:val="001970D8"/>
    <w:rsid w:val="00197799"/>
    <w:rsid w:val="001A0837"/>
    <w:rsid w:val="001A3F6C"/>
    <w:rsid w:val="001A47FB"/>
    <w:rsid w:val="001A5106"/>
    <w:rsid w:val="001A65C6"/>
    <w:rsid w:val="001A67DC"/>
    <w:rsid w:val="001B18C5"/>
    <w:rsid w:val="001B2285"/>
    <w:rsid w:val="001B59F7"/>
    <w:rsid w:val="001B7989"/>
    <w:rsid w:val="001C1F31"/>
    <w:rsid w:val="001C2A67"/>
    <w:rsid w:val="001C3F77"/>
    <w:rsid w:val="001C5C1F"/>
    <w:rsid w:val="001D21B7"/>
    <w:rsid w:val="001D2775"/>
    <w:rsid w:val="001D2B0E"/>
    <w:rsid w:val="001D316A"/>
    <w:rsid w:val="001D4CF5"/>
    <w:rsid w:val="001D5DCE"/>
    <w:rsid w:val="001D6040"/>
    <w:rsid w:val="001D6B21"/>
    <w:rsid w:val="001D6E18"/>
    <w:rsid w:val="001D6E32"/>
    <w:rsid w:val="001E01D3"/>
    <w:rsid w:val="001E0BE6"/>
    <w:rsid w:val="001E14DC"/>
    <w:rsid w:val="001E4DB4"/>
    <w:rsid w:val="001E631B"/>
    <w:rsid w:val="001E6DD8"/>
    <w:rsid w:val="001F38CB"/>
    <w:rsid w:val="001F41D3"/>
    <w:rsid w:val="001F5680"/>
    <w:rsid w:val="00201E46"/>
    <w:rsid w:val="0020320D"/>
    <w:rsid w:val="0020458E"/>
    <w:rsid w:val="00205085"/>
    <w:rsid w:val="00205156"/>
    <w:rsid w:val="00205D67"/>
    <w:rsid w:val="00205FE9"/>
    <w:rsid w:val="0020643F"/>
    <w:rsid w:val="00206828"/>
    <w:rsid w:val="0021055C"/>
    <w:rsid w:val="00211189"/>
    <w:rsid w:val="002113EA"/>
    <w:rsid w:val="0021149C"/>
    <w:rsid w:val="002129B4"/>
    <w:rsid w:val="00214FF3"/>
    <w:rsid w:val="0021531F"/>
    <w:rsid w:val="00216956"/>
    <w:rsid w:val="00221EDD"/>
    <w:rsid w:val="00222074"/>
    <w:rsid w:val="002220E1"/>
    <w:rsid w:val="00222343"/>
    <w:rsid w:val="0022288A"/>
    <w:rsid w:val="0022373F"/>
    <w:rsid w:val="00223D73"/>
    <w:rsid w:val="00227002"/>
    <w:rsid w:val="00234175"/>
    <w:rsid w:val="00234FA7"/>
    <w:rsid w:val="0023667D"/>
    <w:rsid w:val="002420B8"/>
    <w:rsid w:val="002427C7"/>
    <w:rsid w:val="00245538"/>
    <w:rsid w:val="00252F00"/>
    <w:rsid w:val="0025496B"/>
    <w:rsid w:val="00261276"/>
    <w:rsid w:val="0026209D"/>
    <w:rsid w:val="00264223"/>
    <w:rsid w:val="002665AA"/>
    <w:rsid w:val="00271686"/>
    <w:rsid w:val="002727BE"/>
    <w:rsid w:val="00272D7D"/>
    <w:rsid w:val="00272DB8"/>
    <w:rsid w:val="00274E70"/>
    <w:rsid w:val="0028284D"/>
    <w:rsid w:val="00282EF3"/>
    <w:rsid w:val="002833D8"/>
    <w:rsid w:val="00284176"/>
    <w:rsid w:val="0028460A"/>
    <w:rsid w:val="0028552B"/>
    <w:rsid w:val="002925CA"/>
    <w:rsid w:val="00295FA4"/>
    <w:rsid w:val="002A04F9"/>
    <w:rsid w:val="002A0A90"/>
    <w:rsid w:val="002A334B"/>
    <w:rsid w:val="002A3E7C"/>
    <w:rsid w:val="002A6B73"/>
    <w:rsid w:val="002A7D44"/>
    <w:rsid w:val="002B05F4"/>
    <w:rsid w:val="002B69EE"/>
    <w:rsid w:val="002C2173"/>
    <w:rsid w:val="002C3193"/>
    <w:rsid w:val="002C519E"/>
    <w:rsid w:val="002C731B"/>
    <w:rsid w:val="002C75AA"/>
    <w:rsid w:val="002C7EB9"/>
    <w:rsid w:val="002D2AE2"/>
    <w:rsid w:val="002D5398"/>
    <w:rsid w:val="002D5D6C"/>
    <w:rsid w:val="002E30F5"/>
    <w:rsid w:val="002F3D06"/>
    <w:rsid w:val="002F447D"/>
    <w:rsid w:val="002F7705"/>
    <w:rsid w:val="0030073F"/>
    <w:rsid w:val="003014A8"/>
    <w:rsid w:val="00302853"/>
    <w:rsid w:val="00302ABB"/>
    <w:rsid w:val="00302B95"/>
    <w:rsid w:val="00307C5D"/>
    <w:rsid w:val="00310D25"/>
    <w:rsid w:val="00313A53"/>
    <w:rsid w:val="00313CC9"/>
    <w:rsid w:val="003143BC"/>
    <w:rsid w:val="00314854"/>
    <w:rsid w:val="00317F73"/>
    <w:rsid w:val="00320664"/>
    <w:rsid w:val="003226CC"/>
    <w:rsid w:val="003253CB"/>
    <w:rsid w:val="00327B18"/>
    <w:rsid w:val="00331B9C"/>
    <w:rsid w:val="0033303B"/>
    <w:rsid w:val="0033365D"/>
    <w:rsid w:val="00335903"/>
    <w:rsid w:val="00337EA5"/>
    <w:rsid w:val="003403AA"/>
    <w:rsid w:val="00341082"/>
    <w:rsid w:val="00341C70"/>
    <w:rsid w:val="00342B0F"/>
    <w:rsid w:val="003433E8"/>
    <w:rsid w:val="00343670"/>
    <w:rsid w:val="00346E40"/>
    <w:rsid w:val="00351AC6"/>
    <w:rsid w:val="003523B4"/>
    <w:rsid w:val="00354578"/>
    <w:rsid w:val="00354796"/>
    <w:rsid w:val="0035554A"/>
    <w:rsid w:val="003636D6"/>
    <w:rsid w:val="00370931"/>
    <w:rsid w:val="00371F06"/>
    <w:rsid w:val="00374241"/>
    <w:rsid w:val="00376086"/>
    <w:rsid w:val="0038135B"/>
    <w:rsid w:val="00381B5B"/>
    <w:rsid w:val="003822CB"/>
    <w:rsid w:val="003848F9"/>
    <w:rsid w:val="00385B46"/>
    <w:rsid w:val="0038674D"/>
    <w:rsid w:val="00386936"/>
    <w:rsid w:val="00391777"/>
    <w:rsid w:val="00391AFB"/>
    <w:rsid w:val="0039245B"/>
    <w:rsid w:val="003931F1"/>
    <w:rsid w:val="00393696"/>
    <w:rsid w:val="0039680E"/>
    <w:rsid w:val="00396A6A"/>
    <w:rsid w:val="003A0A61"/>
    <w:rsid w:val="003A3290"/>
    <w:rsid w:val="003A337E"/>
    <w:rsid w:val="003A65C6"/>
    <w:rsid w:val="003A7F47"/>
    <w:rsid w:val="003B0CBF"/>
    <w:rsid w:val="003B32CF"/>
    <w:rsid w:val="003B34C1"/>
    <w:rsid w:val="003B35DD"/>
    <w:rsid w:val="003C096C"/>
    <w:rsid w:val="003C0A05"/>
    <w:rsid w:val="003C2087"/>
    <w:rsid w:val="003C3BDA"/>
    <w:rsid w:val="003C4B8C"/>
    <w:rsid w:val="003C70D4"/>
    <w:rsid w:val="003C75FD"/>
    <w:rsid w:val="003C7CB4"/>
    <w:rsid w:val="003D7A92"/>
    <w:rsid w:val="003E1201"/>
    <w:rsid w:val="003E2C6E"/>
    <w:rsid w:val="003E5463"/>
    <w:rsid w:val="003F0877"/>
    <w:rsid w:val="003F1782"/>
    <w:rsid w:val="003F3334"/>
    <w:rsid w:val="003F5285"/>
    <w:rsid w:val="003F5E94"/>
    <w:rsid w:val="003F5EEA"/>
    <w:rsid w:val="003F6B91"/>
    <w:rsid w:val="004004E5"/>
    <w:rsid w:val="00400A0D"/>
    <w:rsid w:val="00401DA6"/>
    <w:rsid w:val="004022D1"/>
    <w:rsid w:val="004023D5"/>
    <w:rsid w:val="00402430"/>
    <w:rsid w:val="00405DD9"/>
    <w:rsid w:val="004145DA"/>
    <w:rsid w:val="004157F3"/>
    <w:rsid w:val="0041627A"/>
    <w:rsid w:val="00421739"/>
    <w:rsid w:val="00424ECC"/>
    <w:rsid w:val="00425A09"/>
    <w:rsid w:val="00427657"/>
    <w:rsid w:val="004310DA"/>
    <w:rsid w:val="00435096"/>
    <w:rsid w:val="004358AC"/>
    <w:rsid w:val="00437BBF"/>
    <w:rsid w:val="004435BF"/>
    <w:rsid w:val="00444E1D"/>
    <w:rsid w:val="004462CC"/>
    <w:rsid w:val="0045248D"/>
    <w:rsid w:val="0045372C"/>
    <w:rsid w:val="00454420"/>
    <w:rsid w:val="00455641"/>
    <w:rsid w:val="00460F8E"/>
    <w:rsid w:val="00462AAD"/>
    <w:rsid w:val="00463C1B"/>
    <w:rsid w:val="0046415A"/>
    <w:rsid w:val="004641E1"/>
    <w:rsid w:val="004719AC"/>
    <w:rsid w:val="00472BE9"/>
    <w:rsid w:val="00474F78"/>
    <w:rsid w:val="00476E58"/>
    <w:rsid w:val="00476E5A"/>
    <w:rsid w:val="00482121"/>
    <w:rsid w:val="0048633F"/>
    <w:rsid w:val="004866FB"/>
    <w:rsid w:val="004876D4"/>
    <w:rsid w:val="00487904"/>
    <w:rsid w:val="0049004D"/>
    <w:rsid w:val="00491286"/>
    <w:rsid w:val="00495312"/>
    <w:rsid w:val="0049737B"/>
    <w:rsid w:val="004A084E"/>
    <w:rsid w:val="004A2C03"/>
    <w:rsid w:val="004A7203"/>
    <w:rsid w:val="004B3B39"/>
    <w:rsid w:val="004B3EE1"/>
    <w:rsid w:val="004B428B"/>
    <w:rsid w:val="004B46DC"/>
    <w:rsid w:val="004B471D"/>
    <w:rsid w:val="004C1653"/>
    <w:rsid w:val="004C3B64"/>
    <w:rsid w:val="004C485F"/>
    <w:rsid w:val="004C4D0F"/>
    <w:rsid w:val="004C4F00"/>
    <w:rsid w:val="004D00BD"/>
    <w:rsid w:val="004D0277"/>
    <w:rsid w:val="004D0A2F"/>
    <w:rsid w:val="004D64AB"/>
    <w:rsid w:val="004D6DA3"/>
    <w:rsid w:val="004D7F00"/>
    <w:rsid w:val="004E010D"/>
    <w:rsid w:val="004E412A"/>
    <w:rsid w:val="004E4584"/>
    <w:rsid w:val="004E5AF6"/>
    <w:rsid w:val="004E6B0F"/>
    <w:rsid w:val="004E6B43"/>
    <w:rsid w:val="004E75F5"/>
    <w:rsid w:val="004F039E"/>
    <w:rsid w:val="004F18BF"/>
    <w:rsid w:val="004F34F3"/>
    <w:rsid w:val="004F5CA9"/>
    <w:rsid w:val="004F6CB3"/>
    <w:rsid w:val="004F6EA2"/>
    <w:rsid w:val="004F73A7"/>
    <w:rsid w:val="005005C8"/>
    <w:rsid w:val="0050127F"/>
    <w:rsid w:val="00504527"/>
    <w:rsid w:val="00511D54"/>
    <w:rsid w:val="00512B81"/>
    <w:rsid w:val="005131C5"/>
    <w:rsid w:val="0051351D"/>
    <w:rsid w:val="00514881"/>
    <w:rsid w:val="00514F02"/>
    <w:rsid w:val="0051625E"/>
    <w:rsid w:val="00516A18"/>
    <w:rsid w:val="00521618"/>
    <w:rsid w:val="00521FC6"/>
    <w:rsid w:val="005234EB"/>
    <w:rsid w:val="005264B7"/>
    <w:rsid w:val="00526B92"/>
    <w:rsid w:val="0052753C"/>
    <w:rsid w:val="00530388"/>
    <w:rsid w:val="005318C1"/>
    <w:rsid w:val="00531D34"/>
    <w:rsid w:val="00532EFF"/>
    <w:rsid w:val="00533775"/>
    <w:rsid w:val="00534207"/>
    <w:rsid w:val="00534474"/>
    <w:rsid w:val="00536D15"/>
    <w:rsid w:val="00541963"/>
    <w:rsid w:val="005430B1"/>
    <w:rsid w:val="00545AE7"/>
    <w:rsid w:val="00551708"/>
    <w:rsid w:val="005518F6"/>
    <w:rsid w:val="00553C9A"/>
    <w:rsid w:val="0055459F"/>
    <w:rsid w:val="00554A3C"/>
    <w:rsid w:val="00554F0B"/>
    <w:rsid w:val="005573B5"/>
    <w:rsid w:val="00561AD1"/>
    <w:rsid w:val="00563A65"/>
    <w:rsid w:val="00563AD6"/>
    <w:rsid w:val="00566EEC"/>
    <w:rsid w:val="00567A57"/>
    <w:rsid w:val="00570427"/>
    <w:rsid w:val="005711C7"/>
    <w:rsid w:val="00573232"/>
    <w:rsid w:val="00576C78"/>
    <w:rsid w:val="00577609"/>
    <w:rsid w:val="005779A3"/>
    <w:rsid w:val="00581F5C"/>
    <w:rsid w:val="00583F77"/>
    <w:rsid w:val="005848F0"/>
    <w:rsid w:val="00584A6D"/>
    <w:rsid w:val="005856FB"/>
    <w:rsid w:val="00586676"/>
    <w:rsid w:val="005903E2"/>
    <w:rsid w:val="005921DA"/>
    <w:rsid w:val="00593044"/>
    <w:rsid w:val="00593175"/>
    <w:rsid w:val="00594392"/>
    <w:rsid w:val="005954AB"/>
    <w:rsid w:val="0059691A"/>
    <w:rsid w:val="00596BB5"/>
    <w:rsid w:val="005A1492"/>
    <w:rsid w:val="005A19D8"/>
    <w:rsid w:val="005A2F35"/>
    <w:rsid w:val="005A4CB3"/>
    <w:rsid w:val="005A7E80"/>
    <w:rsid w:val="005B1E88"/>
    <w:rsid w:val="005B409D"/>
    <w:rsid w:val="005B520F"/>
    <w:rsid w:val="005B5294"/>
    <w:rsid w:val="005B78E5"/>
    <w:rsid w:val="005B7FC1"/>
    <w:rsid w:val="005C01C7"/>
    <w:rsid w:val="005C0F44"/>
    <w:rsid w:val="005C1565"/>
    <w:rsid w:val="005C1C0A"/>
    <w:rsid w:val="005C4BA3"/>
    <w:rsid w:val="005C4ECA"/>
    <w:rsid w:val="005C5678"/>
    <w:rsid w:val="005C57C1"/>
    <w:rsid w:val="005C68A5"/>
    <w:rsid w:val="005C78D8"/>
    <w:rsid w:val="005C7CBA"/>
    <w:rsid w:val="005C7E45"/>
    <w:rsid w:val="005D05E0"/>
    <w:rsid w:val="005D06CC"/>
    <w:rsid w:val="005D0FB5"/>
    <w:rsid w:val="005D3267"/>
    <w:rsid w:val="005D3A8A"/>
    <w:rsid w:val="005D3FEB"/>
    <w:rsid w:val="005D6726"/>
    <w:rsid w:val="005E1FF0"/>
    <w:rsid w:val="005E40E4"/>
    <w:rsid w:val="005E4296"/>
    <w:rsid w:val="005E442D"/>
    <w:rsid w:val="005E56F3"/>
    <w:rsid w:val="005F1CA2"/>
    <w:rsid w:val="005F2CF2"/>
    <w:rsid w:val="005F48D9"/>
    <w:rsid w:val="005F4D83"/>
    <w:rsid w:val="005F7834"/>
    <w:rsid w:val="006020F2"/>
    <w:rsid w:val="00603ACA"/>
    <w:rsid w:val="00605159"/>
    <w:rsid w:val="00605FE4"/>
    <w:rsid w:val="00613C69"/>
    <w:rsid w:val="00615D4F"/>
    <w:rsid w:val="006164C9"/>
    <w:rsid w:val="00617AF5"/>
    <w:rsid w:val="00624197"/>
    <w:rsid w:val="00625E38"/>
    <w:rsid w:val="006308A0"/>
    <w:rsid w:val="006358D5"/>
    <w:rsid w:val="00635BC4"/>
    <w:rsid w:val="00636713"/>
    <w:rsid w:val="00637964"/>
    <w:rsid w:val="006467DC"/>
    <w:rsid w:val="006472D4"/>
    <w:rsid w:val="00647788"/>
    <w:rsid w:val="00655387"/>
    <w:rsid w:val="006609C9"/>
    <w:rsid w:val="00660F4F"/>
    <w:rsid w:val="00663878"/>
    <w:rsid w:val="00663FE9"/>
    <w:rsid w:val="00664BAC"/>
    <w:rsid w:val="00670499"/>
    <w:rsid w:val="00670E3C"/>
    <w:rsid w:val="00672B05"/>
    <w:rsid w:val="00674C02"/>
    <w:rsid w:val="0067559E"/>
    <w:rsid w:val="0068103C"/>
    <w:rsid w:val="00685214"/>
    <w:rsid w:val="0068741D"/>
    <w:rsid w:val="006876CC"/>
    <w:rsid w:val="00687DFC"/>
    <w:rsid w:val="0069085C"/>
    <w:rsid w:val="00690BCA"/>
    <w:rsid w:val="0069253E"/>
    <w:rsid w:val="00692AE3"/>
    <w:rsid w:val="006A0933"/>
    <w:rsid w:val="006B1C17"/>
    <w:rsid w:val="006B2EBA"/>
    <w:rsid w:val="006B36C2"/>
    <w:rsid w:val="006B45CB"/>
    <w:rsid w:val="006B697D"/>
    <w:rsid w:val="006B7179"/>
    <w:rsid w:val="006C0593"/>
    <w:rsid w:val="006C4183"/>
    <w:rsid w:val="006C41DE"/>
    <w:rsid w:val="006C4413"/>
    <w:rsid w:val="006C4A3B"/>
    <w:rsid w:val="006C4FAC"/>
    <w:rsid w:val="006C59D3"/>
    <w:rsid w:val="006C6D2E"/>
    <w:rsid w:val="006D1620"/>
    <w:rsid w:val="006D3945"/>
    <w:rsid w:val="006D5599"/>
    <w:rsid w:val="006D7030"/>
    <w:rsid w:val="006E048B"/>
    <w:rsid w:val="006E32D2"/>
    <w:rsid w:val="006E436A"/>
    <w:rsid w:val="006E4B80"/>
    <w:rsid w:val="006E651D"/>
    <w:rsid w:val="006F257C"/>
    <w:rsid w:val="006F3BC7"/>
    <w:rsid w:val="006F77C7"/>
    <w:rsid w:val="00701CC7"/>
    <w:rsid w:val="00703132"/>
    <w:rsid w:val="00703339"/>
    <w:rsid w:val="007041CC"/>
    <w:rsid w:val="00705406"/>
    <w:rsid w:val="00713496"/>
    <w:rsid w:val="00713C43"/>
    <w:rsid w:val="007142C6"/>
    <w:rsid w:val="00715136"/>
    <w:rsid w:val="00715874"/>
    <w:rsid w:val="00716958"/>
    <w:rsid w:val="007209C8"/>
    <w:rsid w:val="00720F88"/>
    <w:rsid w:val="00721D1F"/>
    <w:rsid w:val="007225E5"/>
    <w:rsid w:val="0072300B"/>
    <w:rsid w:val="00724CF5"/>
    <w:rsid w:val="00734244"/>
    <w:rsid w:val="0073669D"/>
    <w:rsid w:val="0073799D"/>
    <w:rsid w:val="0074048F"/>
    <w:rsid w:val="007430AA"/>
    <w:rsid w:val="007439F4"/>
    <w:rsid w:val="00745110"/>
    <w:rsid w:val="007518E0"/>
    <w:rsid w:val="007526AC"/>
    <w:rsid w:val="00752880"/>
    <w:rsid w:val="00752ABB"/>
    <w:rsid w:val="00753AD2"/>
    <w:rsid w:val="007551F7"/>
    <w:rsid w:val="00757439"/>
    <w:rsid w:val="00757C8B"/>
    <w:rsid w:val="00760411"/>
    <w:rsid w:val="00762C4F"/>
    <w:rsid w:val="00763C6C"/>
    <w:rsid w:val="00763E88"/>
    <w:rsid w:val="0076430F"/>
    <w:rsid w:val="007651BA"/>
    <w:rsid w:val="0077178B"/>
    <w:rsid w:val="007764BB"/>
    <w:rsid w:val="007778B5"/>
    <w:rsid w:val="00780490"/>
    <w:rsid w:val="00782736"/>
    <w:rsid w:val="00783ED9"/>
    <w:rsid w:val="00784A87"/>
    <w:rsid w:val="00784D51"/>
    <w:rsid w:val="0078500C"/>
    <w:rsid w:val="0078544E"/>
    <w:rsid w:val="00786356"/>
    <w:rsid w:val="00786701"/>
    <w:rsid w:val="00787875"/>
    <w:rsid w:val="0079063A"/>
    <w:rsid w:val="00790ABE"/>
    <w:rsid w:val="00790BF6"/>
    <w:rsid w:val="00791244"/>
    <w:rsid w:val="00791CF6"/>
    <w:rsid w:val="00792F73"/>
    <w:rsid w:val="0079322F"/>
    <w:rsid w:val="007971CC"/>
    <w:rsid w:val="007A1578"/>
    <w:rsid w:val="007A439C"/>
    <w:rsid w:val="007A4BA5"/>
    <w:rsid w:val="007A671C"/>
    <w:rsid w:val="007A6E8A"/>
    <w:rsid w:val="007A75AC"/>
    <w:rsid w:val="007A79BC"/>
    <w:rsid w:val="007B7C2E"/>
    <w:rsid w:val="007C0B0E"/>
    <w:rsid w:val="007C114D"/>
    <w:rsid w:val="007C1721"/>
    <w:rsid w:val="007C2D13"/>
    <w:rsid w:val="007C3B7B"/>
    <w:rsid w:val="007D0F2E"/>
    <w:rsid w:val="007D1770"/>
    <w:rsid w:val="007D3202"/>
    <w:rsid w:val="007D4B4D"/>
    <w:rsid w:val="007D4CB2"/>
    <w:rsid w:val="007D57D7"/>
    <w:rsid w:val="007D67A2"/>
    <w:rsid w:val="007D727E"/>
    <w:rsid w:val="007D7D53"/>
    <w:rsid w:val="007E0805"/>
    <w:rsid w:val="007E1382"/>
    <w:rsid w:val="007E1ECC"/>
    <w:rsid w:val="007E7E68"/>
    <w:rsid w:val="007F41E5"/>
    <w:rsid w:val="007F73F9"/>
    <w:rsid w:val="00800510"/>
    <w:rsid w:val="00807318"/>
    <w:rsid w:val="0080731E"/>
    <w:rsid w:val="00810CDA"/>
    <w:rsid w:val="00810E33"/>
    <w:rsid w:val="008132F3"/>
    <w:rsid w:val="008176BE"/>
    <w:rsid w:val="0082410B"/>
    <w:rsid w:val="00824A92"/>
    <w:rsid w:val="00825933"/>
    <w:rsid w:val="00830B60"/>
    <w:rsid w:val="0083333B"/>
    <w:rsid w:val="00834134"/>
    <w:rsid w:val="008402A4"/>
    <w:rsid w:val="00842DED"/>
    <w:rsid w:val="00846D66"/>
    <w:rsid w:val="00846F9C"/>
    <w:rsid w:val="00847C3A"/>
    <w:rsid w:val="00860880"/>
    <w:rsid w:val="00862CFE"/>
    <w:rsid w:val="00862D4A"/>
    <w:rsid w:val="008652F2"/>
    <w:rsid w:val="008654C8"/>
    <w:rsid w:val="008677CC"/>
    <w:rsid w:val="00871CD5"/>
    <w:rsid w:val="00871FF1"/>
    <w:rsid w:val="00872B49"/>
    <w:rsid w:val="00875612"/>
    <w:rsid w:val="00875EEC"/>
    <w:rsid w:val="008831DE"/>
    <w:rsid w:val="0088486E"/>
    <w:rsid w:val="00891038"/>
    <w:rsid w:val="008914A5"/>
    <w:rsid w:val="00893E48"/>
    <w:rsid w:val="0089713D"/>
    <w:rsid w:val="00897C7E"/>
    <w:rsid w:val="008A2607"/>
    <w:rsid w:val="008A2CD1"/>
    <w:rsid w:val="008A329C"/>
    <w:rsid w:val="008A3784"/>
    <w:rsid w:val="008A58DA"/>
    <w:rsid w:val="008A5E64"/>
    <w:rsid w:val="008A5E9F"/>
    <w:rsid w:val="008A65ED"/>
    <w:rsid w:val="008B0954"/>
    <w:rsid w:val="008B17CE"/>
    <w:rsid w:val="008B4ACE"/>
    <w:rsid w:val="008B59C5"/>
    <w:rsid w:val="008C05D1"/>
    <w:rsid w:val="008C074C"/>
    <w:rsid w:val="008C096A"/>
    <w:rsid w:val="008C12AD"/>
    <w:rsid w:val="008C3DA4"/>
    <w:rsid w:val="008C6132"/>
    <w:rsid w:val="008D34D1"/>
    <w:rsid w:val="008D3F10"/>
    <w:rsid w:val="008D51F0"/>
    <w:rsid w:val="008D5C2B"/>
    <w:rsid w:val="008D71B4"/>
    <w:rsid w:val="008D720C"/>
    <w:rsid w:val="008D76D2"/>
    <w:rsid w:val="008E09C9"/>
    <w:rsid w:val="008E0F78"/>
    <w:rsid w:val="008E10C8"/>
    <w:rsid w:val="008E2BC2"/>
    <w:rsid w:val="008E3404"/>
    <w:rsid w:val="008E366B"/>
    <w:rsid w:val="008E36D4"/>
    <w:rsid w:val="008E5C61"/>
    <w:rsid w:val="008E647F"/>
    <w:rsid w:val="008E7F55"/>
    <w:rsid w:val="008F11C0"/>
    <w:rsid w:val="008F55A0"/>
    <w:rsid w:val="008F7144"/>
    <w:rsid w:val="008F7393"/>
    <w:rsid w:val="008F7A2A"/>
    <w:rsid w:val="008F7BE7"/>
    <w:rsid w:val="008F7BE9"/>
    <w:rsid w:val="00900899"/>
    <w:rsid w:val="00901580"/>
    <w:rsid w:val="0090170A"/>
    <w:rsid w:val="00901F3E"/>
    <w:rsid w:val="00906EE4"/>
    <w:rsid w:val="00907CB4"/>
    <w:rsid w:val="00907EBF"/>
    <w:rsid w:val="009113B9"/>
    <w:rsid w:val="00911C1E"/>
    <w:rsid w:val="009121B6"/>
    <w:rsid w:val="00912F4E"/>
    <w:rsid w:val="0091598D"/>
    <w:rsid w:val="00915EF9"/>
    <w:rsid w:val="00917052"/>
    <w:rsid w:val="0091764E"/>
    <w:rsid w:val="00917D92"/>
    <w:rsid w:val="0092020E"/>
    <w:rsid w:val="00926EA8"/>
    <w:rsid w:val="0093102D"/>
    <w:rsid w:val="00931453"/>
    <w:rsid w:val="0093210A"/>
    <w:rsid w:val="00933E18"/>
    <w:rsid w:val="00943479"/>
    <w:rsid w:val="00944F57"/>
    <w:rsid w:val="00945D69"/>
    <w:rsid w:val="00946082"/>
    <w:rsid w:val="009505FB"/>
    <w:rsid w:val="009515EF"/>
    <w:rsid w:val="00951A82"/>
    <w:rsid w:val="009521C6"/>
    <w:rsid w:val="00956917"/>
    <w:rsid w:val="00957F8A"/>
    <w:rsid w:val="009601A5"/>
    <w:rsid w:val="0096559E"/>
    <w:rsid w:val="00966EF3"/>
    <w:rsid w:val="009715EA"/>
    <w:rsid w:val="00972507"/>
    <w:rsid w:val="009729F1"/>
    <w:rsid w:val="00973373"/>
    <w:rsid w:val="009735D2"/>
    <w:rsid w:val="00973B92"/>
    <w:rsid w:val="009746D3"/>
    <w:rsid w:val="00977839"/>
    <w:rsid w:val="00980A3B"/>
    <w:rsid w:val="00980F6B"/>
    <w:rsid w:val="00981615"/>
    <w:rsid w:val="00984468"/>
    <w:rsid w:val="009848B4"/>
    <w:rsid w:val="00991A19"/>
    <w:rsid w:val="00994E6A"/>
    <w:rsid w:val="00996085"/>
    <w:rsid w:val="00996309"/>
    <w:rsid w:val="00996E72"/>
    <w:rsid w:val="00996F9E"/>
    <w:rsid w:val="009A02D8"/>
    <w:rsid w:val="009A2ECD"/>
    <w:rsid w:val="009A3C68"/>
    <w:rsid w:val="009A5323"/>
    <w:rsid w:val="009A61CE"/>
    <w:rsid w:val="009A6F33"/>
    <w:rsid w:val="009A77F6"/>
    <w:rsid w:val="009B00F2"/>
    <w:rsid w:val="009B065A"/>
    <w:rsid w:val="009B10DA"/>
    <w:rsid w:val="009B1866"/>
    <w:rsid w:val="009B2C7E"/>
    <w:rsid w:val="009B52D1"/>
    <w:rsid w:val="009B73AF"/>
    <w:rsid w:val="009C0434"/>
    <w:rsid w:val="009C44D6"/>
    <w:rsid w:val="009C5205"/>
    <w:rsid w:val="009C7538"/>
    <w:rsid w:val="009D02DC"/>
    <w:rsid w:val="009D1ABA"/>
    <w:rsid w:val="009D414A"/>
    <w:rsid w:val="009D47D3"/>
    <w:rsid w:val="009D5FBA"/>
    <w:rsid w:val="009D75DA"/>
    <w:rsid w:val="009E4AA3"/>
    <w:rsid w:val="009F0527"/>
    <w:rsid w:val="009F0B24"/>
    <w:rsid w:val="009F0F8C"/>
    <w:rsid w:val="009F25AB"/>
    <w:rsid w:val="009F4888"/>
    <w:rsid w:val="009F4C9B"/>
    <w:rsid w:val="009F61A2"/>
    <w:rsid w:val="009F7845"/>
    <w:rsid w:val="009F7E55"/>
    <w:rsid w:val="00A004EB"/>
    <w:rsid w:val="00A00BB7"/>
    <w:rsid w:val="00A015D1"/>
    <w:rsid w:val="00A07B5A"/>
    <w:rsid w:val="00A110D3"/>
    <w:rsid w:val="00A1170F"/>
    <w:rsid w:val="00A138A6"/>
    <w:rsid w:val="00A16152"/>
    <w:rsid w:val="00A23CAE"/>
    <w:rsid w:val="00A25611"/>
    <w:rsid w:val="00A279FF"/>
    <w:rsid w:val="00A311C8"/>
    <w:rsid w:val="00A32C98"/>
    <w:rsid w:val="00A362C7"/>
    <w:rsid w:val="00A3633B"/>
    <w:rsid w:val="00A3656A"/>
    <w:rsid w:val="00A36E6E"/>
    <w:rsid w:val="00A36F02"/>
    <w:rsid w:val="00A37471"/>
    <w:rsid w:val="00A4163E"/>
    <w:rsid w:val="00A423E1"/>
    <w:rsid w:val="00A426D6"/>
    <w:rsid w:val="00A430EE"/>
    <w:rsid w:val="00A4459C"/>
    <w:rsid w:val="00A453D4"/>
    <w:rsid w:val="00A46462"/>
    <w:rsid w:val="00A46565"/>
    <w:rsid w:val="00A46C91"/>
    <w:rsid w:val="00A47572"/>
    <w:rsid w:val="00A515A7"/>
    <w:rsid w:val="00A51661"/>
    <w:rsid w:val="00A5442C"/>
    <w:rsid w:val="00A55BA1"/>
    <w:rsid w:val="00A56259"/>
    <w:rsid w:val="00A60089"/>
    <w:rsid w:val="00A60B30"/>
    <w:rsid w:val="00A621B3"/>
    <w:rsid w:val="00A624C0"/>
    <w:rsid w:val="00A63DAF"/>
    <w:rsid w:val="00A6596F"/>
    <w:rsid w:val="00A65B6D"/>
    <w:rsid w:val="00A67F2B"/>
    <w:rsid w:val="00A73F21"/>
    <w:rsid w:val="00A75484"/>
    <w:rsid w:val="00A75CC6"/>
    <w:rsid w:val="00A76012"/>
    <w:rsid w:val="00A7651D"/>
    <w:rsid w:val="00A772B2"/>
    <w:rsid w:val="00A775EE"/>
    <w:rsid w:val="00A77FF6"/>
    <w:rsid w:val="00A8060B"/>
    <w:rsid w:val="00A80C6F"/>
    <w:rsid w:val="00A8264B"/>
    <w:rsid w:val="00A82C2C"/>
    <w:rsid w:val="00A83BED"/>
    <w:rsid w:val="00A840B5"/>
    <w:rsid w:val="00A85A70"/>
    <w:rsid w:val="00A87026"/>
    <w:rsid w:val="00A87450"/>
    <w:rsid w:val="00A92450"/>
    <w:rsid w:val="00A935BD"/>
    <w:rsid w:val="00A93E6E"/>
    <w:rsid w:val="00A948D0"/>
    <w:rsid w:val="00A94A22"/>
    <w:rsid w:val="00A94BD2"/>
    <w:rsid w:val="00A95B73"/>
    <w:rsid w:val="00A9681C"/>
    <w:rsid w:val="00AA0448"/>
    <w:rsid w:val="00AA0622"/>
    <w:rsid w:val="00AA533A"/>
    <w:rsid w:val="00AA55D1"/>
    <w:rsid w:val="00AB0BB0"/>
    <w:rsid w:val="00AB1394"/>
    <w:rsid w:val="00AB5F87"/>
    <w:rsid w:val="00AC27EE"/>
    <w:rsid w:val="00AC4A91"/>
    <w:rsid w:val="00AD18B3"/>
    <w:rsid w:val="00AD1C5B"/>
    <w:rsid w:val="00AD2025"/>
    <w:rsid w:val="00AD325E"/>
    <w:rsid w:val="00AD3A28"/>
    <w:rsid w:val="00AD5B8B"/>
    <w:rsid w:val="00AD696F"/>
    <w:rsid w:val="00AE0D8F"/>
    <w:rsid w:val="00AE270F"/>
    <w:rsid w:val="00AE2B45"/>
    <w:rsid w:val="00AE3EA8"/>
    <w:rsid w:val="00AE49B3"/>
    <w:rsid w:val="00AE4B6E"/>
    <w:rsid w:val="00AF13A5"/>
    <w:rsid w:val="00AF242E"/>
    <w:rsid w:val="00AF736F"/>
    <w:rsid w:val="00B0104A"/>
    <w:rsid w:val="00B01ED7"/>
    <w:rsid w:val="00B0340E"/>
    <w:rsid w:val="00B05359"/>
    <w:rsid w:val="00B053F7"/>
    <w:rsid w:val="00B068C8"/>
    <w:rsid w:val="00B10E83"/>
    <w:rsid w:val="00B1233F"/>
    <w:rsid w:val="00B15E74"/>
    <w:rsid w:val="00B179C4"/>
    <w:rsid w:val="00B17C27"/>
    <w:rsid w:val="00B22F47"/>
    <w:rsid w:val="00B24687"/>
    <w:rsid w:val="00B265C0"/>
    <w:rsid w:val="00B268C7"/>
    <w:rsid w:val="00B26B78"/>
    <w:rsid w:val="00B276DD"/>
    <w:rsid w:val="00B27791"/>
    <w:rsid w:val="00B31225"/>
    <w:rsid w:val="00B32552"/>
    <w:rsid w:val="00B40C8D"/>
    <w:rsid w:val="00B416FE"/>
    <w:rsid w:val="00B5058F"/>
    <w:rsid w:val="00B50C50"/>
    <w:rsid w:val="00B50E4F"/>
    <w:rsid w:val="00B514E2"/>
    <w:rsid w:val="00B52F70"/>
    <w:rsid w:val="00B55AD7"/>
    <w:rsid w:val="00B56280"/>
    <w:rsid w:val="00B602F8"/>
    <w:rsid w:val="00B65308"/>
    <w:rsid w:val="00B65B4B"/>
    <w:rsid w:val="00B6617F"/>
    <w:rsid w:val="00B73DA0"/>
    <w:rsid w:val="00B74A1B"/>
    <w:rsid w:val="00B803FD"/>
    <w:rsid w:val="00B815E9"/>
    <w:rsid w:val="00B8258D"/>
    <w:rsid w:val="00B8265D"/>
    <w:rsid w:val="00B82D13"/>
    <w:rsid w:val="00B83D6A"/>
    <w:rsid w:val="00B85472"/>
    <w:rsid w:val="00B90169"/>
    <w:rsid w:val="00B9064F"/>
    <w:rsid w:val="00B92523"/>
    <w:rsid w:val="00B94D4C"/>
    <w:rsid w:val="00BA09FC"/>
    <w:rsid w:val="00BA3F1D"/>
    <w:rsid w:val="00BA5653"/>
    <w:rsid w:val="00BA5D85"/>
    <w:rsid w:val="00BB1EB1"/>
    <w:rsid w:val="00BB3FB5"/>
    <w:rsid w:val="00BB4365"/>
    <w:rsid w:val="00BB53E1"/>
    <w:rsid w:val="00BB6871"/>
    <w:rsid w:val="00BC253A"/>
    <w:rsid w:val="00BC2A0A"/>
    <w:rsid w:val="00BC320F"/>
    <w:rsid w:val="00BC4DD1"/>
    <w:rsid w:val="00BC604A"/>
    <w:rsid w:val="00BC681A"/>
    <w:rsid w:val="00BC7DB8"/>
    <w:rsid w:val="00BD2A29"/>
    <w:rsid w:val="00BD4449"/>
    <w:rsid w:val="00BD5175"/>
    <w:rsid w:val="00BD571E"/>
    <w:rsid w:val="00BD6A22"/>
    <w:rsid w:val="00BD6F2F"/>
    <w:rsid w:val="00BE00EE"/>
    <w:rsid w:val="00BE14CB"/>
    <w:rsid w:val="00BE496D"/>
    <w:rsid w:val="00BE70FB"/>
    <w:rsid w:val="00BE72AD"/>
    <w:rsid w:val="00BE7A0A"/>
    <w:rsid w:val="00BF1004"/>
    <w:rsid w:val="00BF3AF1"/>
    <w:rsid w:val="00BF452D"/>
    <w:rsid w:val="00BF627D"/>
    <w:rsid w:val="00BF6556"/>
    <w:rsid w:val="00BF79BA"/>
    <w:rsid w:val="00C00758"/>
    <w:rsid w:val="00C01251"/>
    <w:rsid w:val="00C01830"/>
    <w:rsid w:val="00C02F5F"/>
    <w:rsid w:val="00C02FC1"/>
    <w:rsid w:val="00C03FA1"/>
    <w:rsid w:val="00C05FEC"/>
    <w:rsid w:val="00C06F34"/>
    <w:rsid w:val="00C10611"/>
    <w:rsid w:val="00C12345"/>
    <w:rsid w:val="00C12DBD"/>
    <w:rsid w:val="00C12DD8"/>
    <w:rsid w:val="00C13947"/>
    <w:rsid w:val="00C22745"/>
    <w:rsid w:val="00C22E0D"/>
    <w:rsid w:val="00C27F68"/>
    <w:rsid w:val="00C30D6B"/>
    <w:rsid w:val="00C35606"/>
    <w:rsid w:val="00C370EF"/>
    <w:rsid w:val="00C419EA"/>
    <w:rsid w:val="00C41EA5"/>
    <w:rsid w:val="00C430E9"/>
    <w:rsid w:val="00C43921"/>
    <w:rsid w:val="00C43BC4"/>
    <w:rsid w:val="00C45D6D"/>
    <w:rsid w:val="00C50BB7"/>
    <w:rsid w:val="00C53BFC"/>
    <w:rsid w:val="00C55C24"/>
    <w:rsid w:val="00C56D99"/>
    <w:rsid w:val="00C621C6"/>
    <w:rsid w:val="00C62F7D"/>
    <w:rsid w:val="00C6643A"/>
    <w:rsid w:val="00C66F1F"/>
    <w:rsid w:val="00C679AF"/>
    <w:rsid w:val="00C67A09"/>
    <w:rsid w:val="00C70A6A"/>
    <w:rsid w:val="00C71102"/>
    <w:rsid w:val="00C74219"/>
    <w:rsid w:val="00C7425C"/>
    <w:rsid w:val="00C74935"/>
    <w:rsid w:val="00C763BB"/>
    <w:rsid w:val="00C81C1E"/>
    <w:rsid w:val="00C8280A"/>
    <w:rsid w:val="00C8667F"/>
    <w:rsid w:val="00C87881"/>
    <w:rsid w:val="00C93FC3"/>
    <w:rsid w:val="00C94C14"/>
    <w:rsid w:val="00C95BE4"/>
    <w:rsid w:val="00C96BE6"/>
    <w:rsid w:val="00C96FE5"/>
    <w:rsid w:val="00C97496"/>
    <w:rsid w:val="00CA029F"/>
    <w:rsid w:val="00CA2C71"/>
    <w:rsid w:val="00CA2EA4"/>
    <w:rsid w:val="00CA3413"/>
    <w:rsid w:val="00CA6F76"/>
    <w:rsid w:val="00CA77DE"/>
    <w:rsid w:val="00CB1F31"/>
    <w:rsid w:val="00CB2989"/>
    <w:rsid w:val="00CB31B0"/>
    <w:rsid w:val="00CB32A2"/>
    <w:rsid w:val="00CB488A"/>
    <w:rsid w:val="00CB6518"/>
    <w:rsid w:val="00CC05AD"/>
    <w:rsid w:val="00CC13D8"/>
    <w:rsid w:val="00CC2356"/>
    <w:rsid w:val="00CC3584"/>
    <w:rsid w:val="00CC43B9"/>
    <w:rsid w:val="00CC46F3"/>
    <w:rsid w:val="00CC52D2"/>
    <w:rsid w:val="00CC5FE0"/>
    <w:rsid w:val="00CD0AF7"/>
    <w:rsid w:val="00CD2057"/>
    <w:rsid w:val="00CD340A"/>
    <w:rsid w:val="00CD62A1"/>
    <w:rsid w:val="00CD6F42"/>
    <w:rsid w:val="00CD750F"/>
    <w:rsid w:val="00CE0418"/>
    <w:rsid w:val="00CE6180"/>
    <w:rsid w:val="00CF0D9F"/>
    <w:rsid w:val="00CF27F5"/>
    <w:rsid w:val="00CF31D4"/>
    <w:rsid w:val="00CF3B00"/>
    <w:rsid w:val="00CF43C7"/>
    <w:rsid w:val="00CF7154"/>
    <w:rsid w:val="00D05CE3"/>
    <w:rsid w:val="00D05EC7"/>
    <w:rsid w:val="00D12479"/>
    <w:rsid w:val="00D13F3A"/>
    <w:rsid w:val="00D14F08"/>
    <w:rsid w:val="00D16D95"/>
    <w:rsid w:val="00D16DA9"/>
    <w:rsid w:val="00D20C45"/>
    <w:rsid w:val="00D21C8B"/>
    <w:rsid w:val="00D21DD3"/>
    <w:rsid w:val="00D2357B"/>
    <w:rsid w:val="00D27A9A"/>
    <w:rsid w:val="00D27C87"/>
    <w:rsid w:val="00D27F9C"/>
    <w:rsid w:val="00D303DF"/>
    <w:rsid w:val="00D30590"/>
    <w:rsid w:val="00D3164D"/>
    <w:rsid w:val="00D32EBA"/>
    <w:rsid w:val="00D33010"/>
    <w:rsid w:val="00D3499B"/>
    <w:rsid w:val="00D35F69"/>
    <w:rsid w:val="00D36561"/>
    <w:rsid w:val="00D36645"/>
    <w:rsid w:val="00D40B05"/>
    <w:rsid w:val="00D412B6"/>
    <w:rsid w:val="00D42C43"/>
    <w:rsid w:val="00D45A70"/>
    <w:rsid w:val="00D45D6C"/>
    <w:rsid w:val="00D4730E"/>
    <w:rsid w:val="00D47EE1"/>
    <w:rsid w:val="00D53C50"/>
    <w:rsid w:val="00D53D1C"/>
    <w:rsid w:val="00D54BC1"/>
    <w:rsid w:val="00D560FC"/>
    <w:rsid w:val="00D60A02"/>
    <w:rsid w:val="00D611B8"/>
    <w:rsid w:val="00D666E2"/>
    <w:rsid w:val="00D67001"/>
    <w:rsid w:val="00D67086"/>
    <w:rsid w:val="00D70C94"/>
    <w:rsid w:val="00D7165E"/>
    <w:rsid w:val="00D7202A"/>
    <w:rsid w:val="00D73320"/>
    <w:rsid w:val="00D743B2"/>
    <w:rsid w:val="00D7462E"/>
    <w:rsid w:val="00D76C80"/>
    <w:rsid w:val="00D76CAA"/>
    <w:rsid w:val="00D7754C"/>
    <w:rsid w:val="00D80325"/>
    <w:rsid w:val="00D81D9B"/>
    <w:rsid w:val="00D82A7B"/>
    <w:rsid w:val="00D86496"/>
    <w:rsid w:val="00D87006"/>
    <w:rsid w:val="00D87071"/>
    <w:rsid w:val="00D8723C"/>
    <w:rsid w:val="00D90395"/>
    <w:rsid w:val="00D906F9"/>
    <w:rsid w:val="00D932CA"/>
    <w:rsid w:val="00D9464C"/>
    <w:rsid w:val="00D97287"/>
    <w:rsid w:val="00DA19FF"/>
    <w:rsid w:val="00DA1E76"/>
    <w:rsid w:val="00DA209B"/>
    <w:rsid w:val="00DA31E2"/>
    <w:rsid w:val="00DA6A4A"/>
    <w:rsid w:val="00DA70FF"/>
    <w:rsid w:val="00DA7ABF"/>
    <w:rsid w:val="00DB1BB9"/>
    <w:rsid w:val="00DB3725"/>
    <w:rsid w:val="00DB4514"/>
    <w:rsid w:val="00DB7353"/>
    <w:rsid w:val="00DC01DD"/>
    <w:rsid w:val="00DC25AA"/>
    <w:rsid w:val="00DC2BCC"/>
    <w:rsid w:val="00DC3ADC"/>
    <w:rsid w:val="00DC4183"/>
    <w:rsid w:val="00DC58B8"/>
    <w:rsid w:val="00DD0548"/>
    <w:rsid w:val="00DD0B2F"/>
    <w:rsid w:val="00DD0CD0"/>
    <w:rsid w:val="00DD1978"/>
    <w:rsid w:val="00DD553C"/>
    <w:rsid w:val="00DD644D"/>
    <w:rsid w:val="00DE0208"/>
    <w:rsid w:val="00DE26E4"/>
    <w:rsid w:val="00DE3450"/>
    <w:rsid w:val="00DE3E4C"/>
    <w:rsid w:val="00DE4571"/>
    <w:rsid w:val="00DE5B47"/>
    <w:rsid w:val="00DF0F3A"/>
    <w:rsid w:val="00DF5740"/>
    <w:rsid w:val="00DF5846"/>
    <w:rsid w:val="00DF6260"/>
    <w:rsid w:val="00E01E08"/>
    <w:rsid w:val="00E06333"/>
    <w:rsid w:val="00E0757E"/>
    <w:rsid w:val="00E07C18"/>
    <w:rsid w:val="00E13102"/>
    <w:rsid w:val="00E140AA"/>
    <w:rsid w:val="00E157A6"/>
    <w:rsid w:val="00E17E97"/>
    <w:rsid w:val="00E21BE5"/>
    <w:rsid w:val="00E2267D"/>
    <w:rsid w:val="00E2398D"/>
    <w:rsid w:val="00E23BF6"/>
    <w:rsid w:val="00E27959"/>
    <w:rsid w:val="00E311AC"/>
    <w:rsid w:val="00E31DB7"/>
    <w:rsid w:val="00E32240"/>
    <w:rsid w:val="00E34A22"/>
    <w:rsid w:val="00E35629"/>
    <w:rsid w:val="00E4046C"/>
    <w:rsid w:val="00E41D63"/>
    <w:rsid w:val="00E43411"/>
    <w:rsid w:val="00E45865"/>
    <w:rsid w:val="00E50060"/>
    <w:rsid w:val="00E5590F"/>
    <w:rsid w:val="00E56562"/>
    <w:rsid w:val="00E57680"/>
    <w:rsid w:val="00E61225"/>
    <w:rsid w:val="00E61353"/>
    <w:rsid w:val="00E6165A"/>
    <w:rsid w:val="00E61713"/>
    <w:rsid w:val="00E63916"/>
    <w:rsid w:val="00E66136"/>
    <w:rsid w:val="00E667A3"/>
    <w:rsid w:val="00E66873"/>
    <w:rsid w:val="00E70ACD"/>
    <w:rsid w:val="00E71605"/>
    <w:rsid w:val="00E72A66"/>
    <w:rsid w:val="00E73AAE"/>
    <w:rsid w:val="00E76B88"/>
    <w:rsid w:val="00E779EB"/>
    <w:rsid w:val="00E77C81"/>
    <w:rsid w:val="00E804DE"/>
    <w:rsid w:val="00E82150"/>
    <w:rsid w:val="00E8624C"/>
    <w:rsid w:val="00E90BF1"/>
    <w:rsid w:val="00E91301"/>
    <w:rsid w:val="00E91901"/>
    <w:rsid w:val="00E94434"/>
    <w:rsid w:val="00EA020C"/>
    <w:rsid w:val="00EA2AF8"/>
    <w:rsid w:val="00EA5E3B"/>
    <w:rsid w:val="00EA7C91"/>
    <w:rsid w:val="00EB4BBE"/>
    <w:rsid w:val="00EB5CA7"/>
    <w:rsid w:val="00EB6393"/>
    <w:rsid w:val="00EB7238"/>
    <w:rsid w:val="00EB7E04"/>
    <w:rsid w:val="00EC157E"/>
    <w:rsid w:val="00EC3F88"/>
    <w:rsid w:val="00EC4A8D"/>
    <w:rsid w:val="00EC4F8A"/>
    <w:rsid w:val="00ED12CB"/>
    <w:rsid w:val="00ED188B"/>
    <w:rsid w:val="00ED3E9E"/>
    <w:rsid w:val="00ED5540"/>
    <w:rsid w:val="00EE3108"/>
    <w:rsid w:val="00EE3E0A"/>
    <w:rsid w:val="00EE4B54"/>
    <w:rsid w:val="00EE6756"/>
    <w:rsid w:val="00EE76AA"/>
    <w:rsid w:val="00EE77F2"/>
    <w:rsid w:val="00EF3205"/>
    <w:rsid w:val="00EF5CBB"/>
    <w:rsid w:val="00F02AF3"/>
    <w:rsid w:val="00F036E7"/>
    <w:rsid w:val="00F03DED"/>
    <w:rsid w:val="00F05E16"/>
    <w:rsid w:val="00F0611F"/>
    <w:rsid w:val="00F06AF8"/>
    <w:rsid w:val="00F06D1C"/>
    <w:rsid w:val="00F1516D"/>
    <w:rsid w:val="00F15D15"/>
    <w:rsid w:val="00F169BC"/>
    <w:rsid w:val="00F17F52"/>
    <w:rsid w:val="00F21968"/>
    <w:rsid w:val="00F23159"/>
    <w:rsid w:val="00F23D4E"/>
    <w:rsid w:val="00F24568"/>
    <w:rsid w:val="00F266FF"/>
    <w:rsid w:val="00F301C5"/>
    <w:rsid w:val="00F32D3A"/>
    <w:rsid w:val="00F3449D"/>
    <w:rsid w:val="00F360BC"/>
    <w:rsid w:val="00F37D75"/>
    <w:rsid w:val="00F41F2C"/>
    <w:rsid w:val="00F42DBC"/>
    <w:rsid w:val="00F46B2C"/>
    <w:rsid w:val="00F470E0"/>
    <w:rsid w:val="00F47120"/>
    <w:rsid w:val="00F51165"/>
    <w:rsid w:val="00F51F00"/>
    <w:rsid w:val="00F5308E"/>
    <w:rsid w:val="00F54E61"/>
    <w:rsid w:val="00F60023"/>
    <w:rsid w:val="00F601C5"/>
    <w:rsid w:val="00F6176B"/>
    <w:rsid w:val="00F62830"/>
    <w:rsid w:val="00F647F9"/>
    <w:rsid w:val="00F650E0"/>
    <w:rsid w:val="00F678F6"/>
    <w:rsid w:val="00F706A2"/>
    <w:rsid w:val="00F7292E"/>
    <w:rsid w:val="00F72DCD"/>
    <w:rsid w:val="00F74A1D"/>
    <w:rsid w:val="00F7742C"/>
    <w:rsid w:val="00F809F6"/>
    <w:rsid w:val="00F81296"/>
    <w:rsid w:val="00F827BF"/>
    <w:rsid w:val="00F83A7E"/>
    <w:rsid w:val="00F84619"/>
    <w:rsid w:val="00F846F9"/>
    <w:rsid w:val="00F86749"/>
    <w:rsid w:val="00F873B8"/>
    <w:rsid w:val="00F902BB"/>
    <w:rsid w:val="00F903C8"/>
    <w:rsid w:val="00F94310"/>
    <w:rsid w:val="00F95F34"/>
    <w:rsid w:val="00F968CC"/>
    <w:rsid w:val="00F97533"/>
    <w:rsid w:val="00F97974"/>
    <w:rsid w:val="00FA03AF"/>
    <w:rsid w:val="00FA1F9C"/>
    <w:rsid w:val="00FA2B14"/>
    <w:rsid w:val="00FA3283"/>
    <w:rsid w:val="00FB1482"/>
    <w:rsid w:val="00FB1507"/>
    <w:rsid w:val="00FB1633"/>
    <w:rsid w:val="00FB3160"/>
    <w:rsid w:val="00FB3C06"/>
    <w:rsid w:val="00FB539F"/>
    <w:rsid w:val="00FB6111"/>
    <w:rsid w:val="00FB7A3C"/>
    <w:rsid w:val="00FC4F1D"/>
    <w:rsid w:val="00FC5162"/>
    <w:rsid w:val="00FC526B"/>
    <w:rsid w:val="00FC5B8E"/>
    <w:rsid w:val="00FD2F5F"/>
    <w:rsid w:val="00FD3085"/>
    <w:rsid w:val="00FD456F"/>
    <w:rsid w:val="00FD477C"/>
    <w:rsid w:val="00FD5FC0"/>
    <w:rsid w:val="00FE39E0"/>
    <w:rsid w:val="00FE57E0"/>
    <w:rsid w:val="00FE77D5"/>
    <w:rsid w:val="00FF3C51"/>
    <w:rsid w:val="00FF45E4"/>
    <w:rsid w:val="00FF46A6"/>
    <w:rsid w:val="00FF5179"/>
    <w:rsid w:val="00FF752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4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111"/>
  </w:style>
  <w:style w:type="paragraph" w:styleId="Heading1">
    <w:name w:val="heading 1"/>
    <w:basedOn w:val="Normal"/>
    <w:next w:val="Normal"/>
    <w:link w:val="Heading1Char"/>
    <w:uiPriority w:val="9"/>
    <w:qFormat/>
    <w:rsid w:val="007A75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75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44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719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5A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A75AC"/>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A75A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TableName">
    <w:name w:val="TableName"/>
    <w:basedOn w:val="Normal"/>
    <w:qFormat/>
    <w:rsid w:val="007A75AC"/>
    <w:pPr>
      <w:spacing w:after="240" w:line="240" w:lineRule="auto"/>
      <w:ind w:left="1418" w:hanging="1418"/>
    </w:pPr>
    <w:rPr>
      <w:rFonts w:eastAsiaTheme="minorHAnsi"/>
      <w:b/>
      <w:sz w:val="24"/>
      <w:lang w:eastAsia="en-US"/>
    </w:rPr>
  </w:style>
  <w:style w:type="character" w:customStyle="1" w:styleId="Heading3Char">
    <w:name w:val="Heading 3 Char"/>
    <w:basedOn w:val="DefaultParagraphFont"/>
    <w:link w:val="Heading3"/>
    <w:uiPriority w:val="9"/>
    <w:rsid w:val="00A5442C"/>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88486E"/>
    <w:pPr>
      <w:ind w:left="720"/>
      <w:contextualSpacing/>
    </w:pPr>
  </w:style>
  <w:style w:type="paragraph" w:customStyle="1" w:styleId="Default">
    <w:name w:val="Default"/>
    <w:rsid w:val="0088486E"/>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locked/>
    <w:rsid w:val="00162471"/>
  </w:style>
  <w:style w:type="paragraph" w:styleId="Caption">
    <w:name w:val="caption"/>
    <w:basedOn w:val="Normal"/>
    <w:next w:val="Normal"/>
    <w:uiPriority w:val="35"/>
    <w:qFormat/>
    <w:rsid w:val="009F0B24"/>
    <w:pPr>
      <w:keepNext/>
      <w:spacing w:after="0" w:line="240" w:lineRule="auto"/>
      <w:ind w:left="720"/>
    </w:pPr>
    <w:rPr>
      <w:rFonts w:ascii="Arial Narrow" w:eastAsia="Times New Roman" w:hAnsi="Arial Narrow" w:cs="Times New Roman"/>
      <w:b/>
      <w:bCs/>
      <w:sz w:val="20"/>
      <w:szCs w:val="20"/>
      <w:lang w:eastAsia="en-AU"/>
    </w:rPr>
  </w:style>
  <w:style w:type="paragraph" w:customStyle="1" w:styleId="TableText">
    <w:name w:val="Table Text"/>
    <w:basedOn w:val="Normal"/>
    <w:link w:val="TableTextChar"/>
    <w:rsid w:val="009F0B24"/>
    <w:pPr>
      <w:keepNext/>
      <w:spacing w:before="40" w:after="40" w:line="240" w:lineRule="auto"/>
    </w:pPr>
    <w:rPr>
      <w:rFonts w:ascii="Arial" w:eastAsia="Times New Roman" w:hAnsi="Arial" w:cs="Times New Roman"/>
      <w:sz w:val="18"/>
      <w:szCs w:val="20"/>
      <w:lang w:eastAsia="en-US"/>
    </w:rPr>
  </w:style>
  <w:style w:type="character" w:customStyle="1" w:styleId="TableTextChar">
    <w:name w:val="Table Text Char"/>
    <w:link w:val="TableText"/>
    <w:rsid w:val="009F0B24"/>
    <w:rPr>
      <w:rFonts w:ascii="Arial" w:eastAsia="Times New Roman" w:hAnsi="Arial" w:cs="Times New Roman"/>
      <w:sz w:val="18"/>
      <w:szCs w:val="20"/>
      <w:lang w:eastAsia="en-US"/>
    </w:rPr>
  </w:style>
  <w:style w:type="character" w:styleId="CommentReference">
    <w:name w:val="annotation reference"/>
    <w:basedOn w:val="DefaultParagraphFont"/>
    <w:uiPriority w:val="99"/>
    <w:semiHidden/>
    <w:unhideWhenUsed/>
    <w:rsid w:val="0079322F"/>
    <w:rPr>
      <w:sz w:val="16"/>
      <w:szCs w:val="16"/>
    </w:rPr>
  </w:style>
  <w:style w:type="paragraph" w:styleId="CommentText">
    <w:name w:val="annotation text"/>
    <w:basedOn w:val="Normal"/>
    <w:link w:val="CommentTextChar"/>
    <w:uiPriority w:val="99"/>
    <w:semiHidden/>
    <w:unhideWhenUsed/>
    <w:rsid w:val="0079322F"/>
    <w:pPr>
      <w:spacing w:line="240" w:lineRule="auto"/>
    </w:pPr>
    <w:rPr>
      <w:sz w:val="20"/>
      <w:szCs w:val="20"/>
    </w:rPr>
  </w:style>
  <w:style w:type="character" w:customStyle="1" w:styleId="CommentTextChar">
    <w:name w:val="Comment Text Char"/>
    <w:basedOn w:val="DefaultParagraphFont"/>
    <w:link w:val="CommentText"/>
    <w:uiPriority w:val="99"/>
    <w:semiHidden/>
    <w:rsid w:val="0079322F"/>
    <w:rPr>
      <w:sz w:val="20"/>
      <w:szCs w:val="20"/>
    </w:rPr>
  </w:style>
  <w:style w:type="paragraph" w:styleId="CommentSubject">
    <w:name w:val="annotation subject"/>
    <w:basedOn w:val="CommentText"/>
    <w:next w:val="CommentText"/>
    <w:link w:val="CommentSubjectChar"/>
    <w:uiPriority w:val="99"/>
    <w:semiHidden/>
    <w:unhideWhenUsed/>
    <w:rsid w:val="0079322F"/>
    <w:rPr>
      <w:b/>
      <w:bCs/>
    </w:rPr>
  </w:style>
  <w:style w:type="character" w:customStyle="1" w:styleId="CommentSubjectChar">
    <w:name w:val="Comment Subject Char"/>
    <w:basedOn w:val="CommentTextChar"/>
    <w:link w:val="CommentSubject"/>
    <w:uiPriority w:val="99"/>
    <w:semiHidden/>
    <w:rsid w:val="0079322F"/>
    <w:rPr>
      <w:b/>
      <w:bCs/>
      <w:sz w:val="20"/>
      <w:szCs w:val="20"/>
    </w:rPr>
  </w:style>
  <w:style w:type="paragraph" w:styleId="BalloonText">
    <w:name w:val="Balloon Text"/>
    <w:basedOn w:val="Normal"/>
    <w:link w:val="BalloonTextChar"/>
    <w:uiPriority w:val="99"/>
    <w:semiHidden/>
    <w:unhideWhenUsed/>
    <w:rsid w:val="00793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22F"/>
    <w:rPr>
      <w:rFonts w:ascii="Segoe UI" w:hAnsi="Segoe UI" w:cs="Segoe UI"/>
      <w:sz w:val="18"/>
      <w:szCs w:val="18"/>
    </w:rPr>
  </w:style>
  <w:style w:type="paragraph" w:styleId="BodyText">
    <w:name w:val="Body Text"/>
    <w:basedOn w:val="Normal"/>
    <w:link w:val="BodyTextChar"/>
    <w:uiPriority w:val="1"/>
    <w:qFormat/>
    <w:rsid w:val="007D67A2"/>
    <w:pPr>
      <w:autoSpaceDE w:val="0"/>
      <w:autoSpaceDN w:val="0"/>
      <w:adjustRightInd w:val="0"/>
      <w:spacing w:before="23" w:after="0" w:line="240" w:lineRule="auto"/>
      <w:ind w:left="220"/>
    </w:pPr>
    <w:rPr>
      <w:rFonts w:ascii="Calibri" w:hAnsi="Calibri" w:cs="Calibri"/>
      <w:sz w:val="18"/>
      <w:szCs w:val="18"/>
    </w:rPr>
  </w:style>
  <w:style w:type="character" w:customStyle="1" w:styleId="BodyTextChar">
    <w:name w:val="Body Text Char"/>
    <w:basedOn w:val="DefaultParagraphFont"/>
    <w:link w:val="BodyText"/>
    <w:uiPriority w:val="1"/>
    <w:rsid w:val="007D67A2"/>
    <w:rPr>
      <w:rFonts w:ascii="Calibri" w:hAnsi="Calibri" w:cs="Calibri"/>
      <w:sz w:val="18"/>
      <w:szCs w:val="18"/>
    </w:rPr>
  </w:style>
  <w:style w:type="paragraph" w:customStyle="1" w:styleId="TableParagraph">
    <w:name w:val="Table Paragraph"/>
    <w:basedOn w:val="Normal"/>
    <w:uiPriority w:val="1"/>
    <w:qFormat/>
    <w:rsid w:val="007D67A2"/>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63C1B"/>
    <w:rPr>
      <w:color w:val="0563C1" w:themeColor="hyperlink"/>
      <w:u w:val="single"/>
    </w:rPr>
  </w:style>
  <w:style w:type="paragraph" w:customStyle="1" w:styleId="Caption1">
    <w:name w:val="Caption1"/>
    <w:basedOn w:val="Normal"/>
    <w:rsid w:val="00463C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
    <w:name w:val="term"/>
    <w:basedOn w:val="DefaultParagraphFont"/>
    <w:rsid w:val="00463C1B"/>
  </w:style>
  <w:style w:type="character" w:customStyle="1" w:styleId="apple-converted-space">
    <w:name w:val="apple-converted-space"/>
    <w:basedOn w:val="DefaultParagraphFont"/>
    <w:rsid w:val="00463C1B"/>
  </w:style>
  <w:style w:type="table" w:customStyle="1" w:styleId="TableGrid1">
    <w:name w:val="Table Grid1"/>
    <w:basedOn w:val="TableNormal"/>
    <w:next w:val="TableGrid"/>
    <w:uiPriority w:val="39"/>
    <w:rsid w:val="00F809F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19AC"/>
    <w:rPr>
      <w:rFonts w:asciiTheme="majorHAnsi" w:eastAsiaTheme="majorEastAsia" w:hAnsiTheme="majorHAnsi" w:cstheme="majorBidi"/>
      <w:i/>
      <w:iCs/>
      <w:color w:val="2E74B5" w:themeColor="accent1" w:themeShade="BF"/>
    </w:rPr>
  </w:style>
  <w:style w:type="table" w:customStyle="1" w:styleId="TableGrid2">
    <w:name w:val="Table Grid2"/>
    <w:basedOn w:val="TableNormal"/>
    <w:next w:val="TableGrid"/>
    <w:uiPriority w:val="39"/>
    <w:rsid w:val="004719A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12F4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4447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541963"/>
    <w:pPr>
      <w:spacing w:after="0" w:line="240" w:lineRule="auto"/>
      <w:ind w:left="34"/>
    </w:pPr>
    <w:rPr>
      <w:rFonts w:ascii="Arial Narrow" w:eastAsia="Times New Roman" w:hAnsi="Arial Narrow" w:cs="Times New Roman"/>
      <w:sz w:val="20"/>
      <w:szCs w:val="24"/>
      <w:lang w:eastAsia="en-US"/>
    </w:rPr>
  </w:style>
  <w:style w:type="character" w:customStyle="1" w:styleId="TabletextChar0">
    <w:name w:val="Table text Char"/>
    <w:link w:val="Tabletext0"/>
    <w:rsid w:val="00541963"/>
    <w:rPr>
      <w:rFonts w:ascii="Arial Narrow" w:eastAsia="Times New Roman" w:hAnsi="Arial Narrow" w:cs="Times New Roman"/>
      <w:sz w:val="20"/>
      <w:szCs w:val="24"/>
      <w:lang w:eastAsia="en-US"/>
    </w:rPr>
  </w:style>
  <w:style w:type="table" w:customStyle="1" w:styleId="TableGrid8">
    <w:name w:val="Table Grid8"/>
    <w:basedOn w:val="TableNormal"/>
    <w:next w:val="TableGrid"/>
    <w:uiPriority w:val="39"/>
    <w:rsid w:val="003C3BDA"/>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C0A05"/>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D1620"/>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D1620"/>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B2C7E"/>
  </w:style>
  <w:style w:type="table" w:customStyle="1" w:styleId="TableGrid12">
    <w:name w:val="Table Grid12"/>
    <w:basedOn w:val="TableNormal"/>
    <w:next w:val="TableGrid"/>
    <w:uiPriority w:val="39"/>
    <w:rsid w:val="009B2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14A58"/>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113478"/>
    <w:pPr>
      <w:spacing w:after="0" w:line="240" w:lineRule="auto"/>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113478"/>
    <w:rPr>
      <w:rFonts w:eastAsia="Calibri"/>
      <w:sz w:val="20"/>
      <w:szCs w:val="20"/>
      <w:lang w:eastAsia="en-US"/>
    </w:rPr>
  </w:style>
  <w:style w:type="character" w:styleId="FootnoteReference">
    <w:name w:val="footnote reference"/>
    <w:basedOn w:val="DefaultParagraphFont"/>
    <w:uiPriority w:val="99"/>
    <w:semiHidden/>
    <w:unhideWhenUsed/>
    <w:rsid w:val="00113478"/>
    <w:rPr>
      <w:vertAlign w:val="superscript"/>
    </w:rPr>
  </w:style>
  <w:style w:type="paragraph" w:styleId="Header">
    <w:name w:val="header"/>
    <w:basedOn w:val="Normal"/>
    <w:link w:val="HeaderChar"/>
    <w:uiPriority w:val="99"/>
    <w:unhideWhenUsed/>
    <w:rsid w:val="004B3B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B39"/>
  </w:style>
  <w:style w:type="paragraph" w:styleId="Footer">
    <w:name w:val="footer"/>
    <w:basedOn w:val="Normal"/>
    <w:link w:val="FooterChar"/>
    <w:uiPriority w:val="99"/>
    <w:unhideWhenUsed/>
    <w:rsid w:val="004B3B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B39"/>
  </w:style>
  <w:style w:type="paragraph" w:styleId="EndnoteText">
    <w:name w:val="endnote text"/>
    <w:basedOn w:val="Normal"/>
    <w:link w:val="EndnoteTextChar"/>
    <w:uiPriority w:val="99"/>
    <w:unhideWhenUsed/>
    <w:rsid w:val="00CB488A"/>
    <w:pPr>
      <w:spacing w:after="0" w:line="240" w:lineRule="auto"/>
    </w:pPr>
    <w:rPr>
      <w:sz w:val="20"/>
      <w:szCs w:val="20"/>
    </w:rPr>
  </w:style>
  <w:style w:type="character" w:customStyle="1" w:styleId="EndnoteTextChar">
    <w:name w:val="Endnote Text Char"/>
    <w:basedOn w:val="DefaultParagraphFont"/>
    <w:link w:val="EndnoteText"/>
    <w:uiPriority w:val="99"/>
    <w:rsid w:val="00CB488A"/>
    <w:rPr>
      <w:sz w:val="20"/>
      <w:szCs w:val="20"/>
    </w:rPr>
  </w:style>
  <w:style w:type="character" w:styleId="EndnoteReference">
    <w:name w:val="endnote reference"/>
    <w:basedOn w:val="DefaultParagraphFont"/>
    <w:uiPriority w:val="99"/>
    <w:unhideWhenUsed/>
    <w:rsid w:val="00CB488A"/>
    <w:rPr>
      <w:vertAlign w:val="superscript"/>
    </w:rPr>
  </w:style>
  <w:style w:type="paragraph" w:styleId="NoSpacing">
    <w:name w:val="No Spacing"/>
    <w:link w:val="NoSpacingChar"/>
    <w:uiPriority w:val="1"/>
    <w:qFormat/>
    <w:rsid w:val="004A2C03"/>
    <w:pPr>
      <w:spacing w:after="0" w:line="240" w:lineRule="auto"/>
    </w:pPr>
    <w:rPr>
      <w:lang w:val="en-US" w:eastAsia="en-US"/>
    </w:rPr>
  </w:style>
  <w:style w:type="character" w:customStyle="1" w:styleId="NoSpacingChar">
    <w:name w:val="No Spacing Char"/>
    <w:basedOn w:val="DefaultParagraphFont"/>
    <w:link w:val="NoSpacing"/>
    <w:uiPriority w:val="1"/>
    <w:rsid w:val="004A2C03"/>
    <w:rPr>
      <w:lang w:val="en-US" w:eastAsia="en-US"/>
    </w:rPr>
  </w:style>
  <w:style w:type="paragraph" w:styleId="TOCHeading">
    <w:name w:val="TOC Heading"/>
    <w:basedOn w:val="Heading1"/>
    <w:next w:val="Normal"/>
    <w:uiPriority w:val="39"/>
    <w:unhideWhenUsed/>
    <w:qFormat/>
    <w:rsid w:val="00B0340E"/>
    <w:pPr>
      <w:outlineLvl w:val="9"/>
    </w:pPr>
    <w:rPr>
      <w:lang w:val="en-US" w:eastAsia="en-US"/>
    </w:rPr>
  </w:style>
  <w:style w:type="paragraph" w:styleId="TOC1">
    <w:name w:val="toc 1"/>
    <w:basedOn w:val="Normal"/>
    <w:next w:val="Normal"/>
    <w:autoRedefine/>
    <w:uiPriority w:val="39"/>
    <w:unhideWhenUsed/>
    <w:rsid w:val="00B0340E"/>
    <w:pPr>
      <w:spacing w:after="100"/>
    </w:pPr>
  </w:style>
  <w:style w:type="paragraph" w:styleId="TOC3">
    <w:name w:val="toc 3"/>
    <w:basedOn w:val="Normal"/>
    <w:next w:val="Normal"/>
    <w:autoRedefine/>
    <w:uiPriority w:val="39"/>
    <w:unhideWhenUsed/>
    <w:rsid w:val="00B0340E"/>
    <w:pPr>
      <w:spacing w:after="100"/>
      <w:ind w:left="440"/>
    </w:pPr>
  </w:style>
  <w:style w:type="paragraph" w:styleId="TOC2">
    <w:name w:val="toc 2"/>
    <w:basedOn w:val="Normal"/>
    <w:next w:val="Normal"/>
    <w:autoRedefine/>
    <w:uiPriority w:val="39"/>
    <w:unhideWhenUsed/>
    <w:rsid w:val="00B0340E"/>
    <w:pPr>
      <w:spacing w:after="100"/>
      <w:ind w:left="220"/>
    </w:pPr>
  </w:style>
  <w:style w:type="numbering" w:customStyle="1" w:styleId="NoList2">
    <w:name w:val="No List2"/>
    <w:next w:val="NoList"/>
    <w:uiPriority w:val="99"/>
    <w:semiHidden/>
    <w:unhideWhenUsed/>
    <w:rsid w:val="00F7742C"/>
  </w:style>
  <w:style w:type="numbering" w:customStyle="1" w:styleId="NoList11">
    <w:name w:val="No List11"/>
    <w:next w:val="NoList"/>
    <w:uiPriority w:val="99"/>
    <w:semiHidden/>
    <w:unhideWhenUsed/>
    <w:rsid w:val="00F7742C"/>
  </w:style>
  <w:style w:type="table" w:customStyle="1" w:styleId="TableGrid14">
    <w:name w:val="Table Grid14"/>
    <w:basedOn w:val="TableNormal"/>
    <w:next w:val="TableGrid"/>
    <w:uiPriority w:val="39"/>
    <w:rsid w:val="00F7742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15">
    <w:name w:val="Table Grid15"/>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F7742C"/>
  </w:style>
  <w:style w:type="table" w:customStyle="1" w:styleId="TableGrid121">
    <w:name w:val="Table Grid121"/>
    <w:basedOn w:val="TableNormal"/>
    <w:next w:val="TableGrid"/>
    <w:uiPriority w:val="39"/>
    <w:rsid w:val="00F77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F7742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8544E"/>
    <w:pPr>
      <w:spacing w:line="240" w:lineRule="exact"/>
    </w:pPr>
    <w:rPr>
      <w:rFonts w:ascii="Verdana" w:eastAsia="MS Mincho"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111"/>
  </w:style>
  <w:style w:type="paragraph" w:styleId="Heading1">
    <w:name w:val="heading 1"/>
    <w:basedOn w:val="Normal"/>
    <w:next w:val="Normal"/>
    <w:link w:val="Heading1Char"/>
    <w:uiPriority w:val="9"/>
    <w:qFormat/>
    <w:rsid w:val="007A75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75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44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719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5A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A75AC"/>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A75A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TableName">
    <w:name w:val="TableName"/>
    <w:basedOn w:val="Normal"/>
    <w:qFormat/>
    <w:rsid w:val="007A75AC"/>
    <w:pPr>
      <w:spacing w:after="240" w:line="240" w:lineRule="auto"/>
      <w:ind w:left="1418" w:hanging="1418"/>
    </w:pPr>
    <w:rPr>
      <w:rFonts w:eastAsiaTheme="minorHAnsi"/>
      <w:b/>
      <w:sz w:val="24"/>
      <w:lang w:eastAsia="en-US"/>
    </w:rPr>
  </w:style>
  <w:style w:type="character" w:customStyle="1" w:styleId="Heading3Char">
    <w:name w:val="Heading 3 Char"/>
    <w:basedOn w:val="DefaultParagraphFont"/>
    <w:link w:val="Heading3"/>
    <w:uiPriority w:val="9"/>
    <w:rsid w:val="00A5442C"/>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88486E"/>
    <w:pPr>
      <w:ind w:left="720"/>
      <w:contextualSpacing/>
    </w:pPr>
  </w:style>
  <w:style w:type="paragraph" w:customStyle="1" w:styleId="Default">
    <w:name w:val="Default"/>
    <w:rsid w:val="0088486E"/>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locked/>
    <w:rsid w:val="00162471"/>
  </w:style>
  <w:style w:type="paragraph" w:styleId="Caption">
    <w:name w:val="caption"/>
    <w:basedOn w:val="Normal"/>
    <w:next w:val="Normal"/>
    <w:uiPriority w:val="35"/>
    <w:qFormat/>
    <w:rsid w:val="009F0B24"/>
    <w:pPr>
      <w:keepNext/>
      <w:spacing w:after="0" w:line="240" w:lineRule="auto"/>
      <w:ind w:left="720"/>
    </w:pPr>
    <w:rPr>
      <w:rFonts w:ascii="Arial Narrow" w:eastAsia="Times New Roman" w:hAnsi="Arial Narrow" w:cs="Times New Roman"/>
      <w:b/>
      <w:bCs/>
      <w:sz w:val="20"/>
      <w:szCs w:val="20"/>
      <w:lang w:eastAsia="en-AU"/>
    </w:rPr>
  </w:style>
  <w:style w:type="paragraph" w:customStyle="1" w:styleId="TableText">
    <w:name w:val="Table Text"/>
    <w:basedOn w:val="Normal"/>
    <w:link w:val="TableTextChar"/>
    <w:rsid w:val="009F0B24"/>
    <w:pPr>
      <w:keepNext/>
      <w:spacing w:before="40" w:after="40" w:line="240" w:lineRule="auto"/>
    </w:pPr>
    <w:rPr>
      <w:rFonts w:ascii="Arial" w:eastAsia="Times New Roman" w:hAnsi="Arial" w:cs="Times New Roman"/>
      <w:sz w:val="18"/>
      <w:szCs w:val="20"/>
      <w:lang w:eastAsia="en-US"/>
    </w:rPr>
  </w:style>
  <w:style w:type="character" w:customStyle="1" w:styleId="TableTextChar">
    <w:name w:val="Table Text Char"/>
    <w:link w:val="TableText"/>
    <w:rsid w:val="009F0B24"/>
    <w:rPr>
      <w:rFonts w:ascii="Arial" w:eastAsia="Times New Roman" w:hAnsi="Arial" w:cs="Times New Roman"/>
      <w:sz w:val="18"/>
      <w:szCs w:val="20"/>
      <w:lang w:eastAsia="en-US"/>
    </w:rPr>
  </w:style>
  <w:style w:type="character" w:styleId="CommentReference">
    <w:name w:val="annotation reference"/>
    <w:basedOn w:val="DefaultParagraphFont"/>
    <w:uiPriority w:val="99"/>
    <w:semiHidden/>
    <w:unhideWhenUsed/>
    <w:rsid w:val="0079322F"/>
    <w:rPr>
      <w:sz w:val="16"/>
      <w:szCs w:val="16"/>
    </w:rPr>
  </w:style>
  <w:style w:type="paragraph" w:styleId="CommentText">
    <w:name w:val="annotation text"/>
    <w:basedOn w:val="Normal"/>
    <w:link w:val="CommentTextChar"/>
    <w:uiPriority w:val="99"/>
    <w:semiHidden/>
    <w:unhideWhenUsed/>
    <w:rsid w:val="0079322F"/>
    <w:pPr>
      <w:spacing w:line="240" w:lineRule="auto"/>
    </w:pPr>
    <w:rPr>
      <w:sz w:val="20"/>
      <w:szCs w:val="20"/>
    </w:rPr>
  </w:style>
  <w:style w:type="character" w:customStyle="1" w:styleId="CommentTextChar">
    <w:name w:val="Comment Text Char"/>
    <w:basedOn w:val="DefaultParagraphFont"/>
    <w:link w:val="CommentText"/>
    <w:uiPriority w:val="99"/>
    <w:semiHidden/>
    <w:rsid w:val="0079322F"/>
    <w:rPr>
      <w:sz w:val="20"/>
      <w:szCs w:val="20"/>
    </w:rPr>
  </w:style>
  <w:style w:type="paragraph" w:styleId="CommentSubject">
    <w:name w:val="annotation subject"/>
    <w:basedOn w:val="CommentText"/>
    <w:next w:val="CommentText"/>
    <w:link w:val="CommentSubjectChar"/>
    <w:uiPriority w:val="99"/>
    <w:semiHidden/>
    <w:unhideWhenUsed/>
    <w:rsid w:val="0079322F"/>
    <w:rPr>
      <w:b/>
      <w:bCs/>
    </w:rPr>
  </w:style>
  <w:style w:type="character" w:customStyle="1" w:styleId="CommentSubjectChar">
    <w:name w:val="Comment Subject Char"/>
    <w:basedOn w:val="CommentTextChar"/>
    <w:link w:val="CommentSubject"/>
    <w:uiPriority w:val="99"/>
    <w:semiHidden/>
    <w:rsid w:val="0079322F"/>
    <w:rPr>
      <w:b/>
      <w:bCs/>
      <w:sz w:val="20"/>
      <w:szCs w:val="20"/>
    </w:rPr>
  </w:style>
  <w:style w:type="paragraph" w:styleId="BalloonText">
    <w:name w:val="Balloon Text"/>
    <w:basedOn w:val="Normal"/>
    <w:link w:val="BalloonTextChar"/>
    <w:uiPriority w:val="99"/>
    <w:semiHidden/>
    <w:unhideWhenUsed/>
    <w:rsid w:val="00793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22F"/>
    <w:rPr>
      <w:rFonts w:ascii="Segoe UI" w:hAnsi="Segoe UI" w:cs="Segoe UI"/>
      <w:sz w:val="18"/>
      <w:szCs w:val="18"/>
    </w:rPr>
  </w:style>
  <w:style w:type="paragraph" w:styleId="BodyText">
    <w:name w:val="Body Text"/>
    <w:basedOn w:val="Normal"/>
    <w:link w:val="BodyTextChar"/>
    <w:uiPriority w:val="1"/>
    <w:qFormat/>
    <w:rsid w:val="007D67A2"/>
    <w:pPr>
      <w:autoSpaceDE w:val="0"/>
      <w:autoSpaceDN w:val="0"/>
      <w:adjustRightInd w:val="0"/>
      <w:spacing w:before="23" w:after="0" w:line="240" w:lineRule="auto"/>
      <w:ind w:left="220"/>
    </w:pPr>
    <w:rPr>
      <w:rFonts w:ascii="Calibri" w:hAnsi="Calibri" w:cs="Calibri"/>
      <w:sz w:val="18"/>
      <w:szCs w:val="18"/>
    </w:rPr>
  </w:style>
  <w:style w:type="character" w:customStyle="1" w:styleId="BodyTextChar">
    <w:name w:val="Body Text Char"/>
    <w:basedOn w:val="DefaultParagraphFont"/>
    <w:link w:val="BodyText"/>
    <w:uiPriority w:val="1"/>
    <w:rsid w:val="007D67A2"/>
    <w:rPr>
      <w:rFonts w:ascii="Calibri" w:hAnsi="Calibri" w:cs="Calibri"/>
      <w:sz w:val="18"/>
      <w:szCs w:val="18"/>
    </w:rPr>
  </w:style>
  <w:style w:type="paragraph" w:customStyle="1" w:styleId="TableParagraph">
    <w:name w:val="Table Paragraph"/>
    <w:basedOn w:val="Normal"/>
    <w:uiPriority w:val="1"/>
    <w:qFormat/>
    <w:rsid w:val="007D67A2"/>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63C1B"/>
    <w:rPr>
      <w:color w:val="0563C1" w:themeColor="hyperlink"/>
      <w:u w:val="single"/>
    </w:rPr>
  </w:style>
  <w:style w:type="paragraph" w:customStyle="1" w:styleId="Caption1">
    <w:name w:val="Caption1"/>
    <w:basedOn w:val="Normal"/>
    <w:rsid w:val="00463C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
    <w:name w:val="term"/>
    <w:basedOn w:val="DefaultParagraphFont"/>
    <w:rsid w:val="00463C1B"/>
  </w:style>
  <w:style w:type="character" w:customStyle="1" w:styleId="apple-converted-space">
    <w:name w:val="apple-converted-space"/>
    <w:basedOn w:val="DefaultParagraphFont"/>
    <w:rsid w:val="00463C1B"/>
  </w:style>
  <w:style w:type="table" w:customStyle="1" w:styleId="TableGrid1">
    <w:name w:val="Table Grid1"/>
    <w:basedOn w:val="TableNormal"/>
    <w:next w:val="TableGrid"/>
    <w:uiPriority w:val="39"/>
    <w:rsid w:val="00F809F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19AC"/>
    <w:rPr>
      <w:rFonts w:asciiTheme="majorHAnsi" w:eastAsiaTheme="majorEastAsia" w:hAnsiTheme="majorHAnsi" w:cstheme="majorBidi"/>
      <w:i/>
      <w:iCs/>
      <w:color w:val="2E74B5" w:themeColor="accent1" w:themeShade="BF"/>
    </w:rPr>
  </w:style>
  <w:style w:type="table" w:customStyle="1" w:styleId="TableGrid2">
    <w:name w:val="Table Grid2"/>
    <w:basedOn w:val="TableNormal"/>
    <w:next w:val="TableGrid"/>
    <w:uiPriority w:val="39"/>
    <w:rsid w:val="004719A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12F4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4447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41963"/>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541963"/>
    <w:pPr>
      <w:spacing w:after="0" w:line="240" w:lineRule="auto"/>
      <w:ind w:left="34"/>
    </w:pPr>
    <w:rPr>
      <w:rFonts w:ascii="Arial Narrow" w:eastAsia="Times New Roman" w:hAnsi="Arial Narrow" w:cs="Times New Roman"/>
      <w:sz w:val="20"/>
      <w:szCs w:val="24"/>
      <w:lang w:eastAsia="en-US"/>
    </w:rPr>
  </w:style>
  <w:style w:type="character" w:customStyle="1" w:styleId="TabletextChar0">
    <w:name w:val="Table text Char"/>
    <w:link w:val="Tabletext0"/>
    <w:rsid w:val="00541963"/>
    <w:rPr>
      <w:rFonts w:ascii="Arial Narrow" w:eastAsia="Times New Roman" w:hAnsi="Arial Narrow" w:cs="Times New Roman"/>
      <w:sz w:val="20"/>
      <w:szCs w:val="24"/>
      <w:lang w:eastAsia="en-US"/>
    </w:rPr>
  </w:style>
  <w:style w:type="table" w:customStyle="1" w:styleId="TableGrid8">
    <w:name w:val="Table Grid8"/>
    <w:basedOn w:val="TableNormal"/>
    <w:next w:val="TableGrid"/>
    <w:uiPriority w:val="39"/>
    <w:rsid w:val="003C3BDA"/>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C0A05"/>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D1620"/>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D1620"/>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B2C7E"/>
  </w:style>
  <w:style w:type="table" w:customStyle="1" w:styleId="TableGrid12">
    <w:name w:val="Table Grid12"/>
    <w:basedOn w:val="TableNormal"/>
    <w:next w:val="TableGrid"/>
    <w:uiPriority w:val="39"/>
    <w:rsid w:val="009B2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14A58"/>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113478"/>
    <w:pPr>
      <w:spacing w:after="0" w:line="240" w:lineRule="auto"/>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113478"/>
    <w:rPr>
      <w:rFonts w:eastAsia="Calibri"/>
      <w:sz w:val="20"/>
      <w:szCs w:val="20"/>
      <w:lang w:eastAsia="en-US"/>
    </w:rPr>
  </w:style>
  <w:style w:type="character" w:styleId="FootnoteReference">
    <w:name w:val="footnote reference"/>
    <w:basedOn w:val="DefaultParagraphFont"/>
    <w:uiPriority w:val="99"/>
    <w:semiHidden/>
    <w:unhideWhenUsed/>
    <w:rsid w:val="00113478"/>
    <w:rPr>
      <w:vertAlign w:val="superscript"/>
    </w:rPr>
  </w:style>
  <w:style w:type="paragraph" w:styleId="Header">
    <w:name w:val="header"/>
    <w:basedOn w:val="Normal"/>
    <w:link w:val="HeaderChar"/>
    <w:uiPriority w:val="99"/>
    <w:unhideWhenUsed/>
    <w:rsid w:val="004B3B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B39"/>
  </w:style>
  <w:style w:type="paragraph" w:styleId="Footer">
    <w:name w:val="footer"/>
    <w:basedOn w:val="Normal"/>
    <w:link w:val="FooterChar"/>
    <w:uiPriority w:val="99"/>
    <w:unhideWhenUsed/>
    <w:rsid w:val="004B3B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B39"/>
  </w:style>
  <w:style w:type="paragraph" w:styleId="EndnoteText">
    <w:name w:val="endnote text"/>
    <w:basedOn w:val="Normal"/>
    <w:link w:val="EndnoteTextChar"/>
    <w:uiPriority w:val="99"/>
    <w:unhideWhenUsed/>
    <w:rsid w:val="00CB488A"/>
    <w:pPr>
      <w:spacing w:after="0" w:line="240" w:lineRule="auto"/>
    </w:pPr>
    <w:rPr>
      <w:sz w:val="20"/>
      <w:szCs w:val="20"/>
    </w:rPr>
  </w:style>
  <w:style w:type="character" w:customStyle="1" w:styleId="EndnoteTextChar">
    <w:name w:val="Endnote Text Char"/>
    <w:basedOn w:val="DefaultParagraphFont"/>
    <w:link w:val="EndnoteText"/>
    <w:uiPriority w:val="99"/>
    <w:rsid w:val="00CB488A"/>
    <w:rPr>
      <w:sz w:val="20"/>
      <w:szCs w:val="20"/>
    </w:rPr>
  </w:style>
  <w:style w:type="character" w:styleId="EndnoteReference">
    <w:name w:val="endnote reference"/>
    <w:basedOn w:val="DefaultParagraphFont"/>
    <w:uiPriority w:val="99"/>
    <w:unhideWhenUsed/>
    <w:rsid w:val="00CB488A"/>
    <w:rPr>
      <w:vertAlign w:val="superscript"/>
    </w:rPr>
  </w:style>
  <w:style w:type="paragraph" w:styleId="NoSpacing">
    <w:name w:val="No Spacing"/>
    <w:link w:val="NoSpacingChar"/>
    <w:uiPriority w:val="1"/>
    <w:qFormat/>
    <w:rsid w:val="004A2C03"/>
    <w:pPr>
      <w:spacing w:after="0" w:line="240" w:lineRule="auto"/>
    </w:pPr>
    <w:rPr>
      <w:lang w:val="en-US" w:eastAsia="en-US"/>
    </w:rPr>
  </w:style>
  <w:style w:type="character" w:customStyle="1" w:styleId="NoSpacingChar">
    <w:name w:val="No Spacing Char"/>
    <w:basedOn w:val="DefaultParagraphFont"/>
    <w:link w:val="NoSpacing"/>
    <w:uiPriority w:val="1"/>
    <w:rsid w:val="004A2C03"/>
    <w:rPr>
      <w:lang w:val="en-US" w:eastAsia="en-US"/>
    </w:rPr>
  </w:style>
  <w:style w:type="paragraph" w:styleId="TOCHeading">
    <w:name w:val="TOC Heading"/>
    <w:basedOn w:val="Heading1"/>
    <w:next w:val="Normal"/>
    <w:uiPriority w:val="39"/>
    <w:unhideWhenUsed/>
    <w:qFormat/>
    <w:rsid w:val="00B0340E"/>
    <w:pPr>
      <w:outlineLvl w:val="9"/>
    </w:pPr>
    <w:rPr>
      <w:lang w:val="en-US" w:eastAsia="en-US"/>
    </w:rPr>
  </w:style>
  <w:style w:type="paragraph" w:styleId="TOC1">
    <w:name w:val="toc 1"/>
    <w:basedOn w:val="Normal"/>
    <w:next w:val="Normal"/>
    <w:autoRedefine/>
    <w:uiPriority w:val="39"/>
    <w:unhideWhenUsed/>
    <w:rsid w:val="00B0340E"/>
    <w:pPr>
      <w:spacing w:after="100"/>
    </w:pPr>
  </w:style>
  <w:style w:type="paragraph" w:styleId="TOC3">
    <w:name w:val="toc 3"/>
    <w:basedOn w:val="Normal"/>
    <w:next w:val="Normal"/>
    <w:autoRedefine/>
    <w:uiPriority w:val="39"/>
    <w:unhideWhenUsed/>
    <w:rsid w:val="00B0340E"/>
    <w:pPr>
      <w:spacing w:after="100"/>
      <w:ind w:left="440"/>
    </w:pPr>
  </w:style>
  <w:style w:type="paragraph" w:styleId="TOC2">
    <w:name w:val="toc 2"/>
    <w:basedOn w:val="Normal"/>
    <w:next w:val="Normal"/>
    <w:autoRedefine/>
    <w:uiPriority w:val="39"/>
    <w:unhideWhenUsed/>
    <w:rsid w:val="00B0340E"/>
    <w:pPr>
      <w:spacing w:after="100"/>
      <w:ind w:left="220"/>
    </w:pPr>
  </w:style>
  <w:style w:type="numbering" w:customStyle="1" w:styleId="NoList2">
    <w:name w:val="No List2"/>
    <w:next w:val="NoList"/>
    <w:uiPriority w:val="99"/>
    <w:semiHidden/>
    <w:unhideWhenUsed/>
    <w:rsid w:val="00F7742C"/>
  </w:style>
  <w:style w:type="numbering" w:customStyle="1" w:styleId="NoList11">
    <w:name w:val="No List11"/>
    <w:next w:val="NoList"/>
    <w:uiPriority w:val="99"/>
    <w:semiHidden/>
    <w:unhideWhenUsed/>
    <w:rsid w:val="00F7742C"/>
  </w:style>
  <w:style w:type="table" w:customStyle="1" w:styleId="TableGrid14">
    <w:name w:val="Table Grid14"/>
    <w:basedOn w:val="TableNormal"/>
    <w:next w:val="TableGrid"/>
    <w:uiPriority w:val="39"/>
    <w:rsid w:val="00F7742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15">
    <w:name w:val="Table Grid15"/>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774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F7742C"/>
    <w:pPr>
      <w:spacing w:after="240" w:line="240" w:lineRule="auto"/>
      <w:ind w:left="720"/>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F7742C"/>
  </w:style>
  <w:style w:type="table" w:customStyle="1" w:styleId="TableGrid121">
    <w:name w:val="Table Grid121"/>
    <w:basedOn w:val="TableNormal"/>
    <w:next w:val="TableGrid"/>
    <w:uiPriority w:val="39"/>
    <w:rsid w:val="00F77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F7742C"/>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8544E"/>
    <w:pPr>
      <w:spacing w:line="240" w:lineRule="exact"/>
    </w:pPr>
    <w:rPr>
      <w:rFonts w:ascii="Verdana" w:eastAsia="MS Mincho"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6492">
      <w:bodyDiv w:val="1"/>
      <w:marLeft w:val="0"/>
      <w:marRight w:val="0"/>
      <w:marTop w:val="0"/>
      <w:marBottom w:val="0"/>
      <w:divBdr>
        <w:top w:val="none" w:sz="0" w:space="0" w:color="auto"/>
        <w:left w:val="none" w:sz="0" w:space="0" w:color="auto"/>
        <w:bottom w:val="none" w:sz="0" w:space="0" w:color="auto"/>
        <w:right w:val="none" w:sz="0" w:space="0" w:color="auto"/>
      </w:divBdr>
    </w:div>
    <w:div w:id="78597721">
      <w:bodyDiv w:val="1"/>
      <w:marLeft w:val="0"/>
      <w:marRight w:val="0"/>
      <w:marTop w:val="0"/>
      <w:marBottom w:val="0"/>
      <w:divBdr>
        <w:top w:val="none" w:sz="0" w:space="0" w:color="auto"/>
        <w:left w:val="none" w:sz="0" w:space="0" w:color="auto"/>
        <w:bottom w:val="none" w:sz="0" w:space="0" w:color="auto"/>
        <w:right w:val="none" w:sz="0" w:space="0" w:color="auto"/>
      </w:divBdr>
    </w:div>
    <w:div w:id="92216133">
      <w:bodyDiv w:val="1"/>
      <w:marLeft w:val="0"/>
      <w:marRight w:val="0"/>
      <w:marTop w:val="0"/>
      <w:marBottom w:val="0"/>
      <w:divBdr>
        <w:top w:val="none" w:sz="0" w:space="0" w:color="auto"/>
        <w:left w:val="none" w:sz="0" w:space="0" w:color="auto"/>
        <w:bottom w:val="none" w:sz="0" w:space="0" w:color="auto"/>
        <w:right w:val="none" w:sz="0" w:space="0" w:color="auto"/>
      </w:divBdr>
    </w:div>
    <w:div w:id="190261242">
      <w:bodyDiv w:val="1"/>
      <w:marLeft w:val="0"/>
      <w:marRight w:val="0"/>
      <w:marTop w:val="0"/>
      <w:marBottom w:val="0"/>
      <w:divBdr>
        <w:top w:val="none" w:sz="0" w:space="0" w:color="auto"/>
        <w:left w:val="none" w:sz="0" w:space="0" w:color="auto"/>
        <w:bottom w:val="none" w:sz="0" w:space="0" w:color="auto"/>
        <w:right w:val="none" w:sz="0" w:space="0" w:color="auto"/>
      </w:divBdr>
    </w:div>
    <w:div w:id="262031430">
      <w:bodyDiv w:val="1"/>
      <w:marLeft w:val="0"/>
      <w:marRight w:val="0"/>
      <w:marTop w:val="0"/>
      <w:marBottom w:val="0"/>
      <w:divBdr>
        <w:top w:val="none" w:sz="0" w:space="0" w:color="auto"/>
        <w:left w:val="none" w:sz="0" w:space="0" w:color="auto"/>
        <w:bottom w:val="none" w:sz="0" w:space="0" w:color="auto"/>
        <w:right w:val="none" w:sz="0" w:space="0" w:color="auto"/>
      </w:divBdr>
    </w:div>
    <w:div w:id="519858650">
      <w:bodyDiv w:val="1"/>
      <w:marLeft w:val="0"/>
      <w:marRight w:val="0"/>
      <w:marTop w:val="0"/>
      <w:marBottom w:val="0"/>
      <w:divBdr>
        <w:top w:val="none" w:sz="0" w:space="0" w:color="auto"/>
        <w:left w:val="none" w:sz="0" w:space="0" w:color="auto"/>
        <w:bottom w:val="none" w:sz="0" w:space="0" w:color="auto"/>
        <w:right w:val="none" w:sz="0" w:space="0" w:color="auto"/>
      </w:divBdr>
    </w:div>
    <w:div w:id="603417339">
      <w:bodyDiv w:val="1"/>
      <w:marLeft w:val="0"/>
      <w:marRight w:val="0"/>
      <w:marTop w:val="0"/>
      <w:marBottom w:val="0"/>
      <w:divBdr>
        <w:top w:val="none" w:sz="0" w:space="0" w:color="auto"/>
        <w:left w:val="none" w:sz="0" w:space="0" w:color="auto"/>
        <w:bottom w:val="none" w:sz="0" w:space="0" w:color="auto"/>
        <w:right w:val="none" w:sz="0" w:space="0" w:color="auto"/>
      </w:divBdr>
    </w:div>
    <w:div w:id="866412305">
      <w:bodyDiv w:val="1"/>
      <w:marLeft w:val="0"/>
      <w:marRight w:val="0"/>
      <w:marTop w:val="0"/>
      <w:marBottom w:val="0"/>
      <w:divBdr>
        <w:top w:val="none" w:sz="0" w:space="0" w:color="auto"/>
        <w:left w:val="none" w:sz="0" w:space="0" w:color="auto"/>
        <w:bottom w:val="none" w:sz="0" w:space="0" w:color="auto"/>
        <w:right w:val="none" w:sz="0" w:space="0" w:color="auto"/>
      </w:divBdr>
    </w:div>
    <w:div w:id="929461180">
      <w:bodyDiv w:val="1"/>
      <w:marLeft w:val="0"/>
      <w:marRight w:val="0"/>
      <w:marTop w:val="0"/>
      <w:marBottom w:val="0"/>
      <w:divBdr>
        <w:top w:val="none" w:sz="0" w:space="0" w:color="auto"/>
        <w:left w:val="none" w:sz="0" w:space="0" w:color="auto"/>
        <w:bottom w:val="none" w:sz="0" w:space="0" w:color="auto"/>
        <w:right w:val="none" w:sz="0" w:space="0" w:color="auto"/>
      </w:divBdr>
    </w:div>
    <w:div w:id="983509981">
      <w:bodyDiv w:val="1"/>
      <w:marLeft w:val="0"/>
      <w:marRight w:val="0"/>
      <w:marTop w:val="0"/>
      <w:marBottom w:val="0"/>
      <w:divBdr>
        <w:top w:val="none" w:sz="0" w:space="0" w:color="auto"/>
        <w:left w:val="none" w:sz="0" w:space="0" w:color="auto"/>
        <w:bottom w:val="none" w:sz="0" w:space="0" w:color="auto"/>
        <w:right w:val="none" w:sz="0" w:space="0" w:color="auto"/>
      </w:divBdr>
    </w:div>
    <w:div w:id="1100373030">
      <w:bodyDiv w:val="1"/>
      <w:marLeft w:val="0"/>
      <w:marRight w:val="0"/>
      <w:marTop w:val="0"/>
      <w:marBottom w:val="0"/>
      <w:divBdr>
        <w:top w:val="none" w:sz="0" w:space="0" w:color="auto"/>
        <w:left w:val="none" w:sz="0" w:space="0" w:color="auto"/>
        <w:bottom w:val="none" w:sz="0" w:space="0" w:color="auto"/>
        <w:right w:val="none" w:sz="0" w:space="0" w:color="auto"/>
      </w:divBdr>
    </w:div>
    <w:div w:id="1386250142">
      <w:bodyDiv w:val="1"/>
      <w:marLeft w:val="0"/>
      <w:marRight w:val="0"/>
      <w:marTop w:val="0"/>
      <w:marBottom w:val="0"/>
      <w:divBdr>
        <w:top w:val="none" w:sz="0" w:space="0" w:color="auto"/>
        <w:left w:val="none" w:sz="0" w:space="0" w:color="auto"/>
        <w:bottom w:val="none" w:sz="0" w:space="0" w:color="auto"/>
        <w:right w:val="none" w:sz="0" w:space="0" w:color="auto"/>
      </w:divBdr>
    </w:div>
    <w:div w:id="1398822404">
      <w:bodyDiv w:val="1"/>
      <w:marLeft w:val="0"/>
      <w:marRight w:val="0"/>
      <w:marTop w:val="0"/>
      <w:marBottom w:val="0"/>
      <w:divBdr>
        <w:top w:val="none" w:sz="0" w:space="0" w:color="auto"/>
        <w:left w:val="none" w:sz="0" w:space="0" w:color="auto"/>
        <w:bottom w:val="none" w:sz="0" w:space="0" w:color="auto"/>
        <w:right w:val="none" w:sz="0" w:space="0" w:color="auto"/>
      </w:divBdr>
    </w:div>
    <w:div w:id="1642466075">
      <w:bodyDiv w:val="1"/>
      <w:marLeft w:val="0"/>
      <w:marRight w:val="0"/>
      <w:marTop w:val="0"/>
      <w:marBottom w:val="0"/>
      <w:divBdr>
        <w:top w:val="none" w:sz="0" w:space="0" w:color="auto"/>
        <w:left w:val="none" w:sz="0" w:space="0" w:color="auto"/>
        <w:bottom w:val="none" w:sz="0" w:space="0" w:color="auto"/>
        <w:right w:val="none" w:sz="0" w:space="0" w:color="auto"/>
      </w:divBdr>
    </w:div>
    <w:div w:id="1689405080">
      <w:bodyDiv w:val="1"/>
      <w:marLeft w:val="0"/>
      <w:marRight w:val="0"/>
      <w:marTop w:val="0"/>
      <w:marBottom w:val="0"/>
      <w:divBdr>
        <w:top w:val="none" w:sz="0" w:space="0" w:color="auto"/>
        <w:left w:val="none" w:sz="0" w:space="0" w:color="auto"/>
        <w:bottom w:val="none" w:sz="0" w:space="0" w:color="auto"/>
        <w:right w:val="none" w:sz="0" w:space="0" w:color="auto"/>
      </w:divBdr>
    </w:div>
    <w:div w:id="1689983785">
      <w:bodyDiv w:val="1"/>
      <w:marLeft w:val="0"/>
      <w:marRight w:val="0"/>
      <w:marTop w:val="0"/>
      <w:marBottom w:val="0"/>
      <w:divBdr>
        <w:top w:val="none" w:sz="0" w:space="0" w:color="auto"/>
        <w:left w:val="none" w:sz="0" w:space="0" w:color="auto"/>
        <w:bottom w:val="none" w:sz="0" w:space="0" w:color="auto"/>
        <w:right w:val="none" w:sz="0" w:space="0" w:color="auto"/>
      </w:divBdr>
    </w:div>
    <w:div w:id="1698654897">
      <w:bodyDiv w:val="1"/>
      <w:marLeft w:val="0"/>
      <w:marRight w:val="0"/>
      <w:marTop w:val="0"/>
      <w:marBottom w:val="0"/>
      <w:divBdr>
        <w:top w:val="none" w:sz="0" w:space="0" w:color="auto"/>
        <w:left w:val="none" w:sz="0" w:space="0" w:color="auto"/>
        <w:bottom w:val="none" w:sz="0" w:space="0" w:color="auto"/>
        <w:right w:val="none" w:sz="0" w:space="0" w:color="auto"/>
      </w:divBdr>
    </w:div>
    <w:div w:id="1720394681">
      <w:bodyDiv w:val="1"/>
      <w:marLeft w:val="0"/>
      <w:marRight w:val="0"/>
      <w:marTop w:val="0"/>
      <w:marBottom w:val="0"/>
      <w:divBdr>
        <w:top w:val="none" w:sz="0" w:space="0" w:color="auto"/>
        <w:left w:val="none" w:sz="0" w:space="0" w:color="auto"/>
        <w:bottom w:val="none" w:sz="0" w:space="0" w:color="auto"/>
        <w:right w:val="none" w:sz="0" w:space="0" w:color="auto"/>
      </w:divBdr>
    </w:div>
    <w:div w:id="1762141510">
      <w:bodyDiv w:val="1"/>
      <w:marLeft w:val="0"/>
      <w:marRight w:val="0"/>
      <w:marTop w:val="0"/>
      <w:marBottom w:val="0"/>
      <w:divBdr>
        <w:top w:val="none" w:sz="0" w:space="0" w:color="auto"/>
        <w:left w:val="none" w:sz="0" w:space="0" w:color="auto"/>
        <w:bottom w:val="none" w:sz="0" w:space="0" w:color="auto"/>
        <w:right w:val="none" w:sz="0" w:space="0" w:color="auto"/>
      </w:divBdr>
    </w:div>
    <w:div w:id="1887135913">
      <w:bodyDiv w:val="1"/>
      <w:marLeft w:val="0"/>
      <w:marRight w:val="0"/>
      <w:marTop w:val="0"/>
      <w:marBottom w:val="0"/>
      <w:divBdr>
        <w:top w:val="none" w:sz="0" w:space="0" w:color="auto"/>
        <w:left w:val="none" w:sz="0" w:space="0" w:color="auto"/>
        <w:bottom w:val="none" w:sz="0" w:space="0" w:color="auto"/>
        <w:right w:val="none" w:sz="0" w:space="0" w:color="auto"/>
      </w:divBdr>
    </w:div>
    <w:div w:id="2105101263">
      <w:bodyDiv w:val="1"/>
      <w:marLeft w:val="0"/>
      <w:marRight w:val="0"/>
      <w:marTop w:val="0"/>
      <w:marBottom w:val="0"/>
      <w:divBdr>
        <w:top w:val="none" w:sz="0" w:space="0" w:color="auto"/>
        <w:left w:val="none" w:sz="0" w:space="0" w:color="auto"/>
        <w:bottom w:val="none" w:sz="0" w:space="0" w:color="auto"/>
        <w:right w:val="none" w:sz="0" w:space="0" w:color="auto"/>
      </w:divBdr>
    </w:div>
    <w:div w:id="212823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24" Type="http://schemas.openxmlformats.org/officeDocument/2006/relationships/image" Target="media/image11.emf"/><Relationship Id="rId32" Type="http://schemas.openxmlformats.org/officeDocument/2006/relationships/hyperlink" Target="https://www.nice.org.uk/guidance/TA385/documents/committee-papers" TargetMode="External"/><Relationship Id="rId37"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0.emf"/><Relationship Id="rId28" Type="http://schemas.openxmlformats.org/officeDocument/2006/relationships/image" Target="media/image15.png"/><Relationship Id="rId10" Type="http://schemas.openxmlformats.org/officeDocument/2006/relationships/image" Target="media/image1.png"/><Relationship Id="rId19" Type="http://schemas.openxmlformats.org/officeDocument/2006/relationships/hyperlink" Target="http://heartuk.org.uk/files/uploads/documents/huk_fs_mfsP_cholestrigly_leverlsconv" TargetMode="External"/><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package" Target="embeddings/Microsoft_Visio_Drawing111111111.vsdx"/><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2016-09-05T00:00:00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C16AC1-98E4-4A26-AA7E-2E7713E1C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36056</Words>
  <Characters>205520</Characters>
  <Application>Microsoft Office Word</Application>
  <DocSecurity>0</DocSecurity>
  <Lines>1712</Lines>
  <Paragraphs>482</Paragraphs>
  <ScaleCrop>false</ScaleCrop>
  <HeadingPairs>
    <vt:vector size="2" baseType="variant">
      <vt:variant>
        <vt:lpstr>Title</vt:lpstr>
      </vt:variant>
      <vt:variant>
        <vt:i4>1</vt:i4>
      </vt:variant>
    </vt:vector>
  </HeadingPairs>
  <TitlesOfParts>
    <vt:vector size="1" baseType="lpstr">
      <vt:lpstr>EZETIMIBE REVIEW</vt:lpstr>
    </vt:vector>
  </TitlesOfParts>
  <LinksUpToDate>false</LinksUpToDate>
  <CharactersWithSpaces>241094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2016-12-20T23:49:00Z</cp:lastPrinted>
  <dcterms:created xsi:type="dcterms:W3CDTF">2017-12-08T02:27:00Z</dcterms:created>
  <dcterms:modified xsi:type="dcterms:W3CDTF">2017-12-08T02:27:00Z</dcterms:modified>
</cp:coreProperties>
</file>