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lang w:val="en-AU" w:eastAsia="zh-CN"/>
        </w:rPr>
        <w:id w:val="-956404534"/>
        <w:docPartObj>
          <w:docPartGallery w:val="Cover Pages"/>
          <w:docPartUnique/>
        </w:docPartObj>
      </w:sdtPr>
      <w:sdtEndPr/>
      <w:sdtContent>
        <w:p w:rsidR="00F55B19" w:rsidRPr="00F55B19" w:rsidRDefault="00F55B19" w:rsidP="00F55B19">
          <w:pPr>
            <w:pStyle w:val="NoSpacing"/>
          </w:pPr>
          <w:r w:rsidRPr="00F55B19">
            <w:rPr>
              <w:noProof/>
              <w:lang w:val="en-AU" w:eastAsia="en-AU"/>
            </w:rPr>
            <mc:AlternateContent>
              <mc:Choice Requires="wpg">
                <w:drawing>
                  <wp:anchor distT="0" distB="0" distL="114300" distR="114300" simplePos="0" relativeHeight="251659264" behindDoc="1" locked="0" layoutInCell="1" allowOverlap="1" wp14:anchorId="69BD5F32" wp14:editId="20F9F1A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64024388" name="Group 264024388"/>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264024389" name="Rectangle 264024389"/>
                            <wps:cNvSpPr/>
                            <wps:spPr>
                              <a:xfrm>
                                <a:off x="0" y="0"/>
                                <a:ext cx="194535" cy="9125712"/>
                              </a:xfrm>
                              <a:prstGeom prst="rect">
                                <a:avLst/>
                              </a:prstGeom>
                              <a:solidFill>
                                <a:srgbClr val="44546A"/>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4024390" name="Pentagon 264024390"/>
                            <wps:cNvSpPr/>
                            <wps:spPr>
                              <a:xfrm>
                                <a:off x="0" y="1466850"/>
                                <a:ext cx="2194560" cy="552055"/>
                              </a:xfrm>
                              <a:prstGeom prst="homePlate">
                                <a:avLst/>
                              </a:prstGeom>
                              <a:solidFill>
                                <a:srgbClr val="5B9BD5"/>
                              </a:solidFill>
                              <a:ln w="12700" cap="flat" cmpd="sng" algn="ctr">
                                <a:noFill/>
                                <a:prstDash val="solid"/>
                                <a:miter lim="800000"/>
                              </a:ln>
                              <a:effectLst/>
                            </wps:spPr>
                            <wps:txbx>
                              <w:txbxContent>
                                <w:p w:rsidR="009B2920" w:rsidRPr="00B0340E" w:rsidRDefault="009B2920" w:rsidP="00F55B19">
                                  <w:pPr>
                                    <w:pStyle w:val="NoSpacing"/>
                                    <w:jc w:val="right"/>
                                    <w:rPr>
                                      <w:color w:val="FFFFFF" w:themeColor="background1"/>
                                      <w:sz w:val="28"/>
                                      <w:szCs w:val="28"/>
                                      <w:lang w:val="en-AU"/>
                                    </w:rPr>
                                  </w:pPr>
                                  <w:r>
                                    <w:rPr>
                                      <w:color w:val="FFFFFF" w:themeColor="background1"/>
                                      <w:sz w:val="28"/>
                                      <w:szCs w:val="28"/>
                                      <w:lang w:val="en-AU"/>
                                    </w:rPr>
                                    <w:t>24 November 2016</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264024391" name="Group 264024391"/>
                            <wpg:cNvGrpSpPr/>
                            <wpg:grpSpPr>
                              <a:xfrm>
                                <a:off x="76200" y="4210050"/>
                                <a:ext cx="2057400" cy="4910328"/>
                                <a:chOff x="80645" y="4211812"/>
                                <a:chExt cx="1306273" cy="3121026"/>
                              </a:xfrm>
                            </wpg:grpSpPr>
                            <wpg:grpSp>
                              <wpg:cNvPr id="264024392" name="Group 264024392"/>
                              <wpg:cNvGrpSpPr>
                                <a:grpSpLocks noChangeAspect="1"/>
                              </wpg:cNvGrpSpPr>
                              <wpg:grpSpPr>
                                <a:xfrm>
                                  <a:off x="141062" y="4211812"/>
                                  <a:ext cx="1047750" cy="3121026"/>
                                  <a:chOff x="141062" y="4211812"/>
                                  <a:chExt cx="1047750" cy="3121026"/>
                                </a:xfrm>
                              </wpg:grpSpPr>
                              <wps:wsp>
                                <wps:cNvPr id="264024393" name="Freeform 264024393"/>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4" name="Freeform 264024394"/>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5" name="Freeform 264024395"/>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6" name="Freeform 264024396"/>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7" name="Freeform 264024397"/>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8" name="Freeform 264024398"/>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399" name="Freeform 264024399"/>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400" name="Freeform 264024400"/>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401" name="Freeform 264024401"/>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402" name="Freeform 264024402"/>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403" name="Freeform 264024403"/>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s:wsp>
                                <wps:cNvPr id="264024404" name="Freeform 264024404"/>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vert="horz" wrap="square" lIns="91440" tIns="45720" rIns="91440" bIns="45720" numCol="1" anchor="t" anchorCtr="0" compatLnSpc="1">
                                  <a:prstTxWarp prst="textNoShape">
                                    <a:avLst/>
                                  </a:prstTxWarp>
                                </wps:bodyPr>
                              </wps:wsp>
                            </wpg:grpSp>
                            <wpg:grpSp>
                              <wpg:cNvPr id="264024405" name="Group 264024405"/>
                              <wpg:cNvGrpSpPr>
                                <a:grpSpLocks noChangeAspect="1"/>
                              </wpg:cNvGrpSpPr>
                              <wpg:grpSpPr>
                                <a:xfrm>
                                  <a:off x="80645" y="4826972"/>
                                  <a:ext cx="1306273" cy="2505863"/>
                                  <a:chOff x="80645" y="4649964"/>
                                  <a:chExt cx="874712" cy="1677988"/>
                                </a:xfrm>
                              </wpg:grpSpPr>
                              <wps:wsp>
                                <wps:cNvPr id="264024406" name="Freeform 264024406"/>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07" name="Freeform 264024407"/>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08" name="Freeform 264024408"/>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09" name="Freeform 264024409"/>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11" name="Freeform 264024411"/>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12" name="Freeform 264024412"/>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13" name="Freeform 264024413"/>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14" name="Freeform 264024414"/>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264024415" name="Freeform 264024415"/>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4336" name="Freeform 14336"/>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14337" name="Freeform 14337"/>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64024388"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">
                    <v:rect id="Rectangle 264024389"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V1RskA&#10;AADiAAAADwAAAGRycy9kb3ducmV2LnhtbESPQWvCQBSE7wX/w/IKvZS6MQbR6CpqseTgResPeGSf&#10;2dDs25BdY/z3bqHQ4zAz3zCrzWAb0VPna8cKJuMEBHHpdM2Vgsv34WMOwgdkjY1jUvAgD5v16GWF&#10;uXZ3PlF/DpWIEPY5KjAhtLmUvjRk0Y9dSxy9q+sshii7SuoO7xFuG5kmyUxarDkuGGxpb6j8Od+s&#10;gsOx0P3w9a7NzhXZXtvT5zTslHp7HbZLEIGG8B/+axdaQTrLkjSbzhfweyneAbl+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cV1RskAAADiAAAADwAAAAAAAAAAAAAAAACYAgAA&#10;ZHJzL2Rvd25yZXYueG1sUEsFBgAAAAAEAAQA9QAAAI4DAAA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64024390"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rmZssA&#10;AADiAAAADwAAAGRycy9kb3ducmV2LnhtbESPzWrCQBSF94LvMFzBTakTY2rT1FFEKIi0JdVuurtk&#10;bpNg5k7ITE18e2dRcHk4f3yrzWAacaHO1ZYVzGcRCOLC6ppLBd+nt8cUhPPIGhvLpOBKDjbr8WiF&#10;mbY9f9Hl6EsRRthlqKDyvs2kdEVFBt3MtsTB+7WdQR9kV0rdYR/GTSPjKFpKgzWHhwpb2lVUnI9/&#10;RkEqD8lnkl+f8/zJPvQf2+Ln9J4qNZ0M21cQngZ/D/+391pBvEyiOFm8BIiAFHBArm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VCuZmywAAAOIAAAAPAAAAAAAAAAAAAAAAAJgC&#10;AABkcnMvZG93bnJldi54bWxQSwUGAAAAAAQABAD1AAAAkAMAAAAA&#10;" adj="18883" fillcolor="#5b9bd5" stroked="f" strokeweight="1pt">
                      <v:textbox inset=",0,14.4pt,0">
                        <w:txbxContent>
                          <w:p w:rsidR="009B2920" w:rsidRPr="00B0340E" w:rsidRDefault="009B2920" w:rsidP="00F55B19">
                            <w:pPr>
                              <w:pStyle w:val="NoSpacing"/>
                              <w:jc w:val="right"/>
                              <w:rPr>
                                <w:color w:val="FFFFFF" w:themeColor="background1"/>
                                <w:sz w:val="28"/>
                                <w:szCs w:val="28"/>
                                <w:lang w:val="en-AU"/>
                              </w:rPr>
                            </w:pPr>
                            <w:r>
                              <w:rPr>
                                <w:color w:val="FFFFFF" w:themeColor="background1"/>
                                <w:sz w:val="28"/>
                                <w:szCs w:val="28"/>
                                <w:lang w:val="en-AU"/>
                              </w:rPr>
                              <w:t>24 November 2016</w:t>
                            </w:r>
                          </w:p>
                        </w:txbxContent>
                      </v:textbox>
                    </v:shape>
                    <v:group id="Group 264024391"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MoSvHnL&#10;AAAA4gAAAA8AAAAAAAAAAAAAAAAAqgIAAGRycy9kb3ducmV2LnhtbFBLBQYAAAAABAAEAPoAAACi&#10;AwAAAAA=&#10;">
                      <v:group id="Group 264024392"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rAIg7L&#10;AAAA4gAAAA8AAAAAAAAAAAAAAAAAqgIAAGRycy9kb3ducmV2LnhtbFBLBQYAAAAABAAEAPoAAACi&#10;AwAAAAA=&#10;">
                        <o:lock v:ext="edit" aspectratio="t"/>
                        <v:shape id="Freeform 264024393"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LCcgA&#10;AADiAAAADwAAAGRycy9kb3ducmV2LnhtbESPzWrDMBCE74W+g9hCbo1cJ82PEyWUkkJ6S908wGJt&#10;LBNrZSzVVt6+ChR6HGbmG2a7j7YVA/W+cazgZZqBIK6cbrhWcP7+eF6B8AFZY+uYFNzIw373+LDF&#10;QruRv2goQy0ShH2BCkwIXSGlrwxZ9FPXESfv4nqLIcm+lrrHMcFtK/MsW0iLDacFgx29G6qu5Y9N&#10;FHs4NJfYdjjGU2mHz9OrWdZKTZ7i2wZEoBj+w3/to1aQL+ZZPp+tZ3C/lO6A3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GMsJyAAAAOIAAAAPAAAAAAAAAAAAAAAAAJgCAABk&#10;cnMvZG93bnJldi54bWxQSwUGAAAAAAQABAD1AAAAjQMAAAAA&#10;" path="m,l39,152,84,304r38,113l122,440,76,306,39,180,6,53,,xe" fillcolor="#44546a" strokecolor="#44546a" strokeweight="0">
                          <v:path arrowok="t" o:connecttype="custom" o:connectlocs="0,0;61913,241300;133350,482600;193675,661988;193675,698500;120650,485775;61913,285750;9525,84138;0,0" o:connectangles="0,0,0,0,0,0,0,0,0"/>
                        </v:shape>
                        <v:shape id="Freeform 264024394"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fjssA&#10;AADiAAAADwAAAGRycy9kb3ducmV2LnhtbESPQUvEMBSE74L/ITzBm5tYS3HrZhcRXUVYxd096O3R&#10;PJti81KT2K3/3giCx2FmvmEWq8n1YqQQO88azmcKBHHjTcethv3u7uwSREzIBnvPpOGbIqyWx0cL&#10;rI0/8AuN29SKDOFYowab0lBLGRtLDuPMD8TZe/fBYcoytNIEPGS462WhVCUddpwXLA50Y6n52H45&#10;DevXzW58LJ+m27fP+yo8D2ptR6X16cl0fQUi0ZT+w3/tB6OhqEpVlBfzEn4v5Tsgl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WR+OywAAAOIAAAAPAAAAAAAAAAAAAAAAAJgC&#10;AABkcnMvZG93bnJldi54bWxQSwUGAAAAAAQABAD1AAAAkAMAAAAA&#10;" path="m,l8,19,37,93r30,74l116,269r-8,l60,169,30,98,1,25,,xe" fillcolor="#44546a" strokecolor="#44546a" strokeweight="0">
                          <v:path arrowok="t" o:connecttype="custom" o:connectlocs="0,0;12700,30163;58738,147638;106363,265113;184150,427038;171450,427038;95250,268288;47625,155575;1588,39688;0,0" o:connectangles="0,0,0,0,0,0,0,0,0,0"/>
                        </v:shape>
                        <v:shape id="Freeform 264024395"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7Mj8kA&#10;AADiAAAADwAAAGRycy9kb3ducmV2LnhtbESPS2vDMBCE74X+B7GB3hrJbpqHGyWUgiGXljza+2Jt&#10;LRNrZSwldv99VSjkOMzMN8x6O7pWXKkPjWcN2VSBIK68abjW8HkqH5cgQkQ22HomDT8UYLu5v1tj&#10;YfzAB7oeYy0ShEOBGmyMXSFlqCw5DFPfESfv2/cOY5J9LU2PQ4K7VuZKzaXDhtOCxY7eLFXn48Vp&#10;uJTv7qvExUdWZsri6TDsd+2g9cNkfH0BEWmMt/B/e2c05POZymdPq2f4u5TugN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17Mj8kAAADiAAAADwAAAAAAAAAAAAAAAACYAgAA&#10;ZHJzL2Rvd25yZXYueG1sUEsFBgAAAAAEAAQA9QAAAI4DAAAAAA==&#10;" path="m,l,,1,79r2,80l12,317,23,476,39,634,58,792,83,948r24,138l135,1223r5,49l138,1262,105,1106,77,949,53,792,35,634,20,476,9,317,2,159,,79,,xe" fillcolor="#44546a" strokecolor="#44546a"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64024396"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LO8oA&#10;AADiAAAADwAAAGRycy9kb3ducmV2LnhtbESPQUvDQBSE74L/YXlCb3ZjDMHGbosECoH2YupBb6/Z&#10;ZxLMvo27a5r6611B8DjMzDfMejubQUzkfG9Zwd0yAUHcWN1zq+DluLt9AOEDssbBMim4kIft5vpq&#10;jYW2Z36mqQ6tiBD2BSroQhgLKX3TkUG/tCNx9N6tMxiidK3UDs8RbgaZJkkuDfYcFzocqeyo+ai/&#10;jILqtfx2O1Nnh8/q7cRuKu3e1UotbuanRxCB5vAf/mtXWkGaZ0ma3a9y+L0U74Dc/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BXyzvKAAAA4gAAAA8AAAAAAAAAAAAAAAAAmAIA&#10;AGRycy9kb3ducmV2LnhtbFBLBQYAAAAABAAEAPUAAACPAwAAAAA=&#10;" path="m45,r,l35,66r-9,67l14,267,6,401,3,534,6,669r8,134l18,854r,-3l9,814,8,803,1,669,,534,3,401,12,267,25,132,34,66,45,xe" fillcolor="#44546a" strokecolor="#44546a"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64024397"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dNucoA&#10;AADiAAAADwAAAGRycy9kb3ducmV2LnhtbESPwWrDMBBE74X+g9hCLqWR6hindaOEkBBoDz0k7Qcs&#10;1sZ2aq2MpCT230eFQo/DzLxhFqvBduJCPrSONTxPFQjiypmWaw3fX7unFxAhIhvsHJOGkQKslvd3&#10;CyyNu/KeLodYiwThUKKGJsa+lDJUDVkMU9cTJ+/ovMWYpK+l8XhNcNvJTKlCWmw5LTTY06ah6udw&#10;thrm+amr8WSPn4/+YxyL7SBbtdd68jCs30BEGuJ/+K/9bjRkRa6yfPY6h99L6Q7I5Q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JnTbnKAAAA4gAAAA8AAAAAAAAAAAAAAAAAmAIA&#10;AGRycy9kb3ducmV2LnhtbFBLBQYAAAAABAAEAPUAAACPAwAAAAA=&#10;" path="m,l10,44r11,82l34,207r19,86l75,380r25,86l120,521r21,55l152,618r2,11l140,595,115,532,93,468,67,383,47,295,28,207,12,104,,xe" fillcolor="#44546a" strokecolor="#44546a"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64024398"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x38gA&#10;AADiAAAADwAAAGRycy9kb3ducmV2LnhtbERPy2rCQBTdC/7DcAtuik4aRZLoKFK0WGgXPsDtZeaa&#10;hGbuhMxU0359Z1FweTjv5bq3jbhR52vHCl4mCQhi7UzNpYLzaTfOQPiAbLBxTAp+yMN6NRwssTDu&#10;zge6HUMpYgj7AhVUIbSFlF5XZNFPXEscuavrLIYIu1KaDu8x3DYyTZK5tFhzbKiwpdeK9Nfx2yow&#10;+WE7zdLwpvHy/us+9x/t7lkrNXrqNwsQgfrwEP+790ZBOp8l6Wyax83xUrwD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prHfyAAAAOIAAAAPAAAAAAAAAAAAAAAAAJgCAABk&#10;cnMvZG93bnJldi54bWxQSwUGAAAAAAQABAD1AAAAjQMAAAAA&#10;" path="m,l33,69r-9,l12,35,,xe" fillcolor="#44546a" strokecolor="#44546a" strokeweight="0">
                          <v:path arrowok="t" o:connecttype="custom" o:connectlocs="0,0;52388,109538;38100,109538;19050,55563;0,0" o:connectangles="0,0,0,0,0"/>
                        </v:shape>
                        <v:shape id="Freeform 264024399"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GV+MgA&#10;AADiAAAADwAAAGRycy9kb3ducmV2LnhtbESPQWvCQBSE7wX/w/IKvdXdRhFNXUVLW6Q3Ten5kX1N&#10;QrJvQ/ZV47/vFoQeh5n5hllvR9+pMw2xCWzhaWpAEZfBNVxZ+CzeHpegoiA77AKThStF2G4md2vM&#10;Xbjwkc4nqVSCcMzRQi3S51rHsiaPcRp64uR9h8GjJDlU2g14SXDf6cyYhfbYcFqosaeXmsr29OMt&#10;iFlKaD+u+nU30+/7rjDyVbTWPtyPu2dQQqP8h2/tg7OQLeYmm89WK/i7lO6A3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kZX4yAAAAOIAAAAPAAAAAAAAAAAAAAAAAJgCAABk&#10;cnMvZG93bnJldi54bWxQSwUGAAAAAAQABAD1AAAAjQMAAAAA&#10;" path="m,l9,37r,3l15,93,5,49,,xe" fillcolor="#44546a" strokecolor="#44546a" strokeweight="0">
                          <v:path arrowok="t" o:connecttype="custom" o:connectlocs="0,0;14288,58738;14288,63500;23813,147638;7938,77788;0,0" o:connectangles="0,0,0,0,0,0"/>
                        </v:shape>
                        <v:shape id="Freeform 264024400"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diMgA&#10;AADiAAAADwAAAGRycy9kb3ducmV2LnhtbESPzWrCQBSF90LfYbgFdzpjCFZTRxFRkboytl1fMrdJ&#10;auZOyIwa376zKLg8nD++xaq3jbhR52vHGiZjBYK4cKbmUsPneTeagfAB2WDjmDQ8yMNq+TJYYGbc&#10;nU90y0Mp4gj7DDVUIbSZlL6oyKIfu5Y4ej+usxii7EppOrzHcdvIRKmptFhzfKiwpU1FxSW/Wg2/&#10;x+3beX6sMc2/t6ev/cdjvm5zrYev/fodRKA+PMP/7YPRkExTlaSpihARKeK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h2IyAAAAOIAAAAPAAAAAAAAAAAAAAAAAJgCAABk&#10;cnMvZG93bnJldi54bWxQSwUGAAAAAAQABAD1AAAAjQMAAAAA&#10;" path="m394,r,l356,38,319,77r-35,40l249,160r-42,58l168,276r-37,63l98,402,69,467,45,535,26,604,14,673,7,746,6,766,,749r1,-5l7,673,21,603,40,533,65,466,94,400r33,-64l164,275r40,-60l248,158r34,-42l318,76,354,37,394,xe" fillcolor="#44546a" strokecolor="#44546a"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64024401"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4aAMkA&#10;AADiAAAADwAAAGRycy9kb3ducmV2LnhtbESPQUsDMRSE70L/Q3iCN5tsWKqsTYsUKh5EsJW2x8fm&#10;dbO4eVk26Xb990YQPA4z8w2zXE++EyMNsQ1soJgrEMR1sC03Bj732/tHEDEhW+wCk4FvirBezW6W&#10;WNlw5Q8ad6kRGcKxQgMupb6SMtaOPMZ56Imzdw6Dx5Tl0Eg74DXDfSe1UgvpseW84LCnjaP6a3fx&#10;Bo7u3Vqp9pvT2yjPxcvx8KAv2pi72+n5CUSiKf2H/9qv1oBelEqXpSrg91K+A3L1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Z4aAMkAAADiAAAADwAAAAAAAAAAAAAAAACYAgAA&#10;ZHJzL2Rvd25yZXYueG1sUEsFBgAAAAAEAAQA9QAAAI4DAAAAAA==&#10;" path="m,l6,16r1,3l11,80r9,52l33,185r3,9l21,161,15,145,5,81,1,41,,xe" fillcolor="#44546a" strokecolor="#44546a" strokeweight="0">
                          <v:path arrowok="t" o:connecttype="custom" o:connectlocs="0,0;9525,25400;11113,30163;17463,127000;31750,209550;52388,293688;57150,307975;33338,255588;23813,230188;7938,128588;1588,65088;0,0" o:connectangles="0,0,0,0,0,0,0,0,0,0,0,0"/>
                        </v:shape>
                        <v:shape id="Freeform 264024402"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7EMYA&#10;AADiAAAADwAAAGRycy9kb3ducmV2LnhtbERPTWsCMRS8F/ofwiv0VhMXq7I1iihCj9UVz4/Nc7Pt&#10;5mXZpHH775tCwcMchvliVpvRdSLREFrPGqYTBYK49qblRsO5OrwsQYSIbLDzTBp+KMBm/fiwwtL4&#10;Gx8pnWIjcgmHEjXYGPtSylBbchgmvifO2tUPDmOmQyPNgLdc7jpZKDWXDlvOCxZ72lmqv07fTsOy&#10;+txatYspfVg13afXxeUiF1o/P43bNxCRxng3/6ffjYZiPlPFLAP+LuU7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m7EMYAAADiAAAADwAAAAAAAAAAAAAAAACYAgAAZHJz&#10;L2Rvd25yZXYueG1sUEsFBgAAAAAEAAQA9QAAAIsDAAAAAA==&#10;" path="m,l31,65r-8,l,xe" fillcolor="#44546a" strokecolor="#44546a" strokeweight="0">
                          <v:path arrowok="t" o:connecttype="custom" o:connectlocs="0,0;49213,103188;36513,103188;0,0" o:connectangles="0,0,0,0"/>
                        </v:shape>
                        <v:shape id="Freeform 264024403"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Lt8oA&#10;AADiAAAADwAAAGRycy9kb3ducmV2LnhtbESPQWvCQBSE70L/w/IKvemuSRCJrmJtS3spJdaLt2f2&#10;mYRm34bsVuO/dwsFj8PMfMMs14NtxZl63zjWMJ0oEMSlMw1XGvbfb+M5CB+QDbaOScOVPKxXD6Ml&#10;5sZduKDzLlQiQtjnqKEOocul9GVNFv3EdcTRO7neYoiyr6Tp8RLhtpWJUjNpseG4UGNH25rKn92v&#10;1XDczl/d8wa/3k+fU1kcXrhI21Trp8dhswARaAj38H/7w2hIZplKskyl8Hcp3gG5u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lhC7fKAAAA4gAAAA8AAAAAAAAAAAAAAAAAmAIA&#10;AGRycy9kb3ducmV2LnhtbFBLBQYAAAAABAAEAPUAAACPAwAAAAA=&#10;" path="m,l6,17,7,42,6,39,,23,,xe" fillcolor="#44546a" strokecolor="#44546a" strokeweight="0">
                          <v:path arrowok="t" o:connecttype="custom" o:connectlocs="0,0;9525,26988;11113,66675;9525,61913;0,36513;0,0" o:connectangles="0,0,0,0,0,0"/>
                        </v:shape>
                        <v:shape id="Freeform 264024404"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MHcoA&#10;AADiAAAADwAAAGRycy9kb3ducmV2LnhtbESPQUsDMRSE74L/ITzBm01cwiJr09JWxJ6U1lLw9ti8&#10;Zhc3L8sm227/vREEj8PMfMPMl5PvxJmG2AY28DhTIIjrYFt2Bg6frw9PIGJCttgFJgNXirBc3N7M&#10;sbLhwjs675MTGcKxQgNNSn0lZawb8hhnoSfO3ikMHlOWg5N2wEuG+04WSpXSY8t5ocGeNg3V3/vR&#10;G9ik6869vB/dOJ7ePg7rL33EcmvM/d20egaRaEr/4b/21hooSq0KrZWG30v5DsjF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LwzB3KAAAA4gAAAA8AAAAAAAAAAAAAAAAAmAIA&#10;AGRycy9kb3ducmV2LnhtbFBLBQYAAAAABAAEAPUAAACPAwAAAAA=&#10;" path="m,l6,16,21,49,33,84r12,34l44,118,13,53,11,42,,xe" fillcolor="#44546a" strokecolor="#44546a" strokeweight="0">
                          <v:path arrowok="t" o:connecttype="custom" o:connectlocs="0,0;9525,25400;33338,77788;52388,133350;71438,187325;69850,187325;20638,84138;17463,66675;0,0" o:connectangles="0,0,0,0,0,0,0,0,0"/>
                        </v:shape>
                      </v:group>
                      <v:group id="Group 264024405"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2J4pjL&#10;AAAA4gAAAA8AAAAAAAAAAAAAAAAAqgIAAGRycy9kb3ducmV2LnhtbFBLBQYAAAAABAAEAPoAAACi&#10;AwAAAAA=&#10;">
                        <o:lock v:ext="edit" aspectratio="t"/>
                        <v:shape id="Freeform 264024406"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bNj8UA&#10;AADiAAAADwAAAGRycy9kb3ducmV2LnhtbESP0YrCMBRE34X9h3AXfLOJpXaXapRlQfBtsfoBl+ba&#10;Fpub0sRa/94sCD4OM3OG2ewm24mRBt861rBMFAjiypmWaw3n037xDcIHZIOdY9LwIA+77cdsg4Vx&#10;dz7SWIZaRAj7AjU0IfSFlL5qyKJPXE8cvYsbLIYoh1qaAe8RbjuZKpVLiy3HhQZ7+m2oupY3qyEz&#10;6mtVmqP/w+mWuq5XIz6U1vPP6WcNItAU3uFX+2A0pHmm0ixTOfxfindAb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s2PxQAAAOIAAAAPAAAAAAAAAAAAAAAAAJgCAABkcnMv&#10;ZG93bnJldi54bWxQSwUGAAAAAAQABAD1AAAAigMAAAAA&#10;" path="m,l41,155,86,309r39,116l125,450,79,311,41,183,7,54,,xe" fillcolor="#44546a" strokecolor="#44546a" strokeweight="0">
                          <v:fill opacity="13107f"/>
                          <v:stroke opacity="13107f"/>
                          <v:path arrowok="t" o:connecttype="custom" o:connectlocs="0,0;65088,246063;136525,490538;198438,674688;198438,714375;125413,493713;65088,290513;11113,85725;0,0" o:connectangles="0,0,0,0,0,0,0,0,0"/>
                        </v:shape>
                        <v:shape id="Freeform 264024407"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n8BcsA&#10;AADiAAAADwAAAGRycy9kb3ducmV2LnhtbESPS2vDMBCE74X+B7GFXkoi1Zg8nCjBFErbW5MGkuPG&#10;Wj+otTKWmrj59VGg0OMwM98wy/VgW3Gi3jeONTyPFQjiwpmGKw27r9fRDIQPyAZbx6ThlzysV/d3&#10;S8yMO/OGTttQiQhhn6GGOoQuk9IXNVn0Y9cRR690vcUQZV9J0+M5wm0rE6Um0mLDcaHGjl5qKr63&#10;P1ZDuT/On3K7yz9lefh4uwxuai4HrR8fhnwBItAQ/sN/7XejIZmkKklTNYXbpXgH5OoK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2afwFywAAAOIAAAAPAAAAAAAAAAAAAAAAAJgC&#10;AABkcnMvZG93bnJldi54bWxQSwUGAAAAAAQABAD1AAAAkAMAAAAA&#10;" path="m,l8,20,37,96r32,74l118,275r-9,l61,174,30,100,,26,,xe" fillcolor="#44546a" strokecolor="#44546a" strokeweight="0">
                          <v:fill opacity="13107f"/>
                          <v:stroke opacity="13107f"/>
                          <v:path arrowok="t" o:connecttype="custom" o:connectlocs="0,0;12700,31750;58738,152400;109538,269875;187325,436563;173038,436563;96838,276225;47625,158750;0,41275;0,0" o:connectangles="0,0,0,0,0,0,0,0,0,0"/>
                        </v:shape>
                        <v:shape id="Freeform 264024408"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CG5cYA&#10;AADiAAAADwAAAGRycy9kb3ducmV2LnhtbERP22rCQBB9F/oPyxT6prsNQUrqKrVUEApaLx8wzY5J&#10;MDsTsqvGv3cfCn08nPtsMfhWXakPjbCF14kBRVyKa7iycDysxm+gQkR22AqThTsFWMyfRjMsnNx4&#10;R9d9rFQK4VCghTrGrtA6lDV5DBPpiBN3kt5jTLCvtOvxlsJ9qzNjptpjw6mhxo4+ayrP+4u34E8/&#10;US83bvklO6kum/P2+1e21r48Dx/voCIN8V/85147C9k0N1mem7Q5XUp3QM8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CG5cYAAADiAAAADwAAAAAAAAAAAAAAAACYAgAAZHJz&#10;L2Rvd25yZXYueG1sUEsFBgAAAAAEAAQA9QAAAIsDAAAAAA==&#10;" path="m,l16,72r4,49l18,112,,31,,xe" fillcolor="#44546a" strokecolor="#44546a" strokeweight="0">
                          <v:fill opacity="13107f"/>
                          <v:stroke opacity="13107f"/>
                          <v:path arrowok="t" o:connecttype="custom" o:connectlocs="0,0;25400,114300;31750,192088;28575,177800;0,49213;0,0" o:connectangles="0,0,0,0,0,0"/>
                        </v:shape>
                        <v:shape id="Freeform 264024409"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RMoA&#10;AADiAAAADwAAAGRycy9kb3ducmV2LnhtbESPQUvEMBSE74L/ITzBm5tYatHuZhdZUESRZauw10fz&#10;bKrNS2hit/rrjSB4HGbmG2a1md0gJhpj71nD5UKBIG696bnT8Ppyd3ENIiZkg4Nn0vBFETbr05MV&#10;1sYfeU9TkzqRIRxr1GBTCrWUsbXkMC58IM7emx8dpizHTpoRjxnuBlkoVUmHPecFi4G2ltqP5tNp&#10;aO63T887uz+Y91S1V49T+J53Qevzs/l2CSLRnP7Df+0Ho6GoSlWUpbqB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ZYLUTKAAAA4gAAAA8AAAAAAAAAAAAAAAAAmAIA&#10;AGRycy9kb3ducmV2LnhtbFBLBQYAAAAABAAEAPUAAACPAwAAAAA=&#10;" path="m,l11,46r11,83l36,211r19,90l76,389r27,87l123,533r21,55l155,632r3,11l142,608,118,544,95,478,69,391,47,302,29,212,13,107,,xe" fillcolor="#44546a" strokecolor="#44546a"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264024411"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5vcgA&#10;AADiAAAADwAAAGRycy9kb3ducmV2LnhtbESP0WrCQBRE3wv9h+UKvhTdJF1EU1cpLYI+qvmAS/aa&#10;pGbvhuxq4t+7hUIfh5k5w6y3o23FnXrfONaQzhMQxKUzDVcaivNutgThA7LB1jFpeJCH7eb1ZY25&#10;cQMf6X4KlYgQ9jlqqEPocil9WZNFP3cdcfQurrcYouwraXocIty2MkuShbTYcFyosaOvmsrr6WY1&#10;4JvqjktSt+Jw2BX0M4Tv99VK6+lk/PwAEWgM/+G/9t5oyBYqyZRKU/i9FO+A3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vDm9yAAAAOIAAAAPAAAAAAAAAAAAAAAAAJgCAABk&#10;cnMvZG93bnJldi54bWxQSwUGAAAAAAQABAD1AAAAjQMAAAAA&#10;" path="m,l33,71r-9,l11,36,,xe" fillcolor="#44546a" strokecolor="#44546a" strokeweight="0">
                          <v:fill opacity="13107f"/>
                          <v:stroke opacity="13107f"/>
                          <v:path arrowok="t" o:connecttype="custom" o:connectlocs="0,0;52388,112713;38100,112713;17463,57150;0,0" o:connectangles="0,0,0,0,0"/>
                        </v:shape>
                        <v:shape id="Freeform 264024412"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DMkA&#10;AADiAAAADwAAAGRycy9kb3ducmV2LnhtbESPUUvDQBCE3wX/w7GCb/bSGEobey2loAgi2Fbo65Lb&#10;5kJzeyG3NtFf7wlCH4eZ+YZZrkffqgv1sQlsYDrJQBFXwTZcG/g8PD/MQUVBttgGJgPfFGG9ur1Z&#10;YmnDwDu67KVWCcKxRANOpCu1jpUjj3ESOuLknULvUZLsa217HBLctzrPspn22HBacNjR1lF13n95&#10;A0JhHtyieRP6+PHD48tRL96PxtzfjZsnUEKjXMP/7VdrIJ8VWV4U0xz+LqU7oF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TEDMkAAADiAAAADwAAAAAAAAAAAAAAAACYAgAA&#10;ZHJzL2Rvd25yZXYueG1sUEsFBgAAAAAEAAQA9QAAAI4DAAAAAA==&#10;" path="m,l8,37r,4l15,95,4,49,,xe" fillcolor="#44546a" strokecolor="#44546a" strokeweight="0">
                          <v:fill opacity="13107f"/>
                          <v:stroke opacity="13107f"/>
                          <v:path arrowok="t" o:connecttype="custom" o:connectlocs="0,0;12700,58738;12700,65088;23813,150813;6350,77788;0,0" o:connectangles="0,0,0,0,0,0"/>
                        </v:shape>
                        <v:shape id="Freeform 264024413"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53LsoA&#10;AADiAAAADwAAAGRycy9kb3ducmV2LnhtbESP0WrCQBRE34X+w3ILvtWNMQaJriKFqlRKaewHXLLX&#10;bGj2bshuNfbru4WCj8PMnGFWm8G24kK9bxwrmE4SEMSV0w3XCj5PL08LED4ga2wdk4IbedisH0Yr&#10;LLS78gddylCLCGFfoAITQldI6StDFv3EdcTRO7veYoiyr6Xu8RrhtpVpkuTSYsNxwWBHz4aqr/Lb&#10;KrBvx/e82Xb5frcw82penl7t8Uep8eOwXYIINIR7+L990ArSPEvSLJvO4O9SvANy/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w+dy7KAAAA4gAAAA8AAAAAAAAAAAAAAAAAmAIA&#10;AGRycy9kb3ducmV2LnhtbFBLBQYAAAAABAAEAPUAAACPAw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264024414"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eHFMoA&#10;AADiAAAADwAAAGRycy9kb3ducmV2LnhtbESPT2vCQBTE70K/w/IKvUjdGIKU6CpFUFtP/qvg7ZF9&#10;JqHZtzG7xvTbu4LQ4zAzv2Ems85UoqXGlZYVDAcRCOLM6pJzBYf94v0DhPPIGivLpOCPHMymL70J&#10;ptreeEvtzuciQNilqKDwvk6ldFlBBt3A1sTBO9vGoA+yyaVu8BbgppJxFI2kwZLDQoE1zQvKfndX&#10;o+Dy/bPf9Ncr37nl6To/Ih2ytq/U22v3OQbhqfP/4Wf7SyuIR0kUJ8kwgcelcAfk9A4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x3hxTKAAAA4gAAAA8AAAAAAAAAAAAAAAAAmAIA&#10;AGRycy9kb3ducmV2LnhtbFBLBQYAAAAABAAEAPUAAACPAwAAAAA=&#10;" path="m,l6,15r1,3l12,80r9,54l33,188r4,8l22,162,15,146,5,81,1,40,,xe" fillcolor="#44546a" strokecolor="#44546a" strokeweight="0">
                          <v:fill opacity="13107f"/>
                          <v:stroke opacity="13107f"/>
                          <v:path arrowok="t" o:connecttype="custom" o:connectlocs="0,0;9525,23813;11113,28575;19050,127000;33338,212725;52388,298450;58738,311150;34925,257175;23813,231775;7938,128588;1588,63500;0,0" o:connectangles="0,0,0,0,0,0,0,0,0,0,0,0"/>
                        </v:shape>
                        <v:shape id="Freeform 264024415"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dMoA&#10;AADiAAAADwAAAGRycy9kb3ducmV2LnhtbESPW0vDQBSE3wX/w3IEX6TdJKa1xG6LLgg+Cfbyfsye&#10;JqHZsyG7ufjvXUHwcZiZb5jtfratGKn3jWMF6TIBQVw603Cl4HR8W2xA+IBssHVMCr7Jw353e7PF&#10;wriJP2k8hEpECPsCFdQhdIWUvqzJol+6jjh6F9dbDFH2lTQ9ThFuW5klyVpabDgu1NiRrqm8Hgar&#10;YBonPczX9OvpdaUfmw/5cNZ6UOr+bn55BhFoDv/hv/a7UZCt8yTL83QFv5fiHZC7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xSSnTKAAAA4gAAAA8AAAAAAAAAAAAAAAAAmAIA&#10;AGRycy9kb3ducmV2LnhtbFBLBQYAAAAABAAEAPUAAACPAwAAAAA=&#10;" path="m,l31,66r-7,l,xe" fillcolor="#44546a" strokecolor="#44546a" strokeweight="0">
                          <v:fill opacity="13107f"/>
                          <v:stroke opacity="13107f"/>
                          <v:path arrowok="t" o:connecttype="custom" o:connectlocs="0,0;49213,104775;38100,104775;0,0" o:connectangles="0,0,0,0"/>
                        </v:shape>
                        <v:shape id="Freeform 14336"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YRP8QA&#10;AADeAAAADwAAAGRycy9kb3ducmV2LnhtbERPTWsCMRC9F/wPYYTeatZqpaxG0VLFFi/VgngbNuNm&#10;281kSaKu/94Ihd7m8T5nMmttLc7kQ+VYQb+XgSAunK64VPC9Wz69gggRWWPtmBRcKcBs2nmYYK7d&#10;hb/ovI2lSCEcclRgYmxyKUNhyGLouYY4cUfnLcYEfSm1x0sKt7V8zrKRtFhxajDY0Juh4nd7sgqO&#10;P9gY2n9u8LDy7y+b3WEh+x9KPXbb+RhEpDb+i//ca53mDweDEdzfSTf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ET/EAAAA3gAAAA8AAAAAAAAAAAAAAAAAmAIAAGRycy9k&#10;b3ducmV2LnhtbFBLBQYAAAAABAAEAPUAAACJAwAAAAA=&#10;" path="m,l7,17r,26l6,40,,25,,xe" fillcolor="#44546a" strokecolor="#44546a" strokeweight="0">
                          <v:fill opacity="13107f"/>
                          <v:stroke opacity="13107f"/>
                          <v:path arrowok="t" o:connecttype="custom" o:connectlocs="0,0;11113,26988;11113,68263;9525,63500;0,39688;0,0" o:connectangles="0,0,0,0,0,0"/>
                        </v:shape>
                        <v:shape id="Freeform 14337"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G5MQA&#10;AADeAAAADwAAAGRycy9kb3ducmV2LnhtbERPS2sCMRC+C/0PYYTeNGstrqxGUUvBHgTf52EzbtZu&#10;Jssm1e2/N4WCt/n4njOdt7YSN2p86VjBoJ+AIM6dLrlQcDx89sYgfEDWWDkmBb/kYT576Uwx0+7O&#10;O7rtQyFiCPsMFZgQ6kxKnxuy6PuuJo7cxTUWQ4RNIXWD9xhuK/mWJCNpseTYYLCmlaH8e/9jFWw+&#10;ltur3J6O6dfKrtPDeHTeGVTqtdsuJiACteEp/nevdZz/Phym8PdOv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uRuTEAAAA3gAAAA8AAAAAAAAAAAAAAAAAmAIAAGRycy9k&#10;b3ducmV2LnhtbFBLBQYAAAAABAAEAPUAAACJAwAAAAA=&#10;" path="m,l7,16,22,50,33,86r13,35l45,121,14,55,11,44,,xe" fillcolor="#44546a" strokecolor="#44546a"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F55B19" w:rsidRDefault="00B3594C" w:rsidP="00F55B19">
          <w:pPr>
            <w:rPr>
              <w:rFonts w:asciiTheme="majorHAnsi" w:eastAsiaTheme="majorEastAsia" w:hAnsiTheme="majorHAnsi" w:cstheme="majorBidi"/>
              <w:color w:val="2E74B5" w:themeColor="accent1" w:themeShade="BF"/>
              <w:sz w:val="32"/>
              <w:szCs w:val="32"/>
            </w:rPr>
          </w:pPr>
          <w:r>
            <w:rPr>
              <w:noProof/>
              <w:lang w:eastAsia="en-AU"/>
            </w:rPr>
            <mc:AlternateContent>
              <mc:Choice Requires="wps">
                <w:drawing>
                  <wp:anchor distT="0" distB="0" distL="114300" distR="114300" simplePos="0" relativeHeight="251663360" behindDoc="0" locked="0" layoutInCell="1" allowOverlap="1" wp14:anchorId="2FB79FFB" wp14:editId="328128A4">
                    <wp:simplePos x="0" y="0"/>
                    <wp:positionH relativeFrom="page">
                      <wp:posOffset>3080385</wp:posOffset>
                    </wp:positionH>
                    <wp:positionV relativeFrom="page">
                      <wp:posOffset>1780540</wp:posOffset>
                    </wp:positionV>
                    <wp:extent cx="3649980" cy="1069340"/>
                    <wp:effectExtent l="0" t="0" r="7620" b="4445"/>
                    <wp:wrapNone/>
                    <wp:docPr id="14339" name="Text Box 14339"/>
                    <wp:cNvGraphicFramePr/>
                    <a:graphic xmlns:a="http://schemas.openxmlformats.org/drawingml/2006/main">
                      <a:graphicData uri="http://schemas.microsoft.com/office/word/2010/wordprocessingShape">
                        <wps:wsp>
                          <wps:cNvSpPr txBox="1"/>
                          <wps:spPr>
                            <a:xfrm>
                              <a:off x="0" y="0"/>
                              <a:ext cx="3649980"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2920" w:rsidRDefault="005F620C" w:rsidP="00F55B19">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1535232879"/>
                                    <w:dataBinding w:prefixMappings="xmlns:ns0='http://purl.org/dc/elements/1.1/' xmlns:ns1='http://schemas.openxmlformats.org/package/2006/metadata/core-properties' " w:xpath="/ns1:coreProperties[1]/ns0:title[1]" w:storeItemID="{6C3C8BC8-F283-45AE-878A-BAB7291924A1}"/>
                                    <w:text/>
                                  </w:sdtPr>
                                  <w:sdtEndPr/>
                                  <w:sdtContent>
                                    <w:r w:rsidR="009B2920">
                                      <w:rPr>
                                        <w:rFonts w:asciiTheme="majorHAnsi" w:eastAsiaTheme="majorEastAsia" w:hAnsiTheme="majorHAnsi" w:cstheme="majorBidi"/>
                                        <w:color w:val="262626" w:themeColor="text1" w:themeTint="D9"/>
                                        <w:sz w:val="72"/>
                                        <w:szCs w:val="72"/>
                                      </w:rPr>
                                      <w:t>E</w:t>
                                    </w:r>
                                    <w:r w:rsidR="009B2920">
                                      <w:rPr>
                                        <w:rFonts w:asciiTheme="majorHAnsi" w:eastAsiaTheme="majorEastAsia" w:hAnsiTheme="majorHAnsi" w:cstheme="majorBidi"/>
                                        <w:color w:val="262626" w:themeColor="text1" w:themeTint="D9"/>
                                        <w:sz w:val="72"/>
                                        <w:szCs w:val="72"/>
                                        <w:lang w:val="en-AU"/>
                                      </w:rPr>
                                      <w:t>ZETIMIBE REVIEW</w:t>
                                    </w:r>
                                  </w:sdtContent>
                                </w:sdt>
                              </w:p>
                              <w:p w:rsidR="009B2920" w:rsidRDefault="005F620C" w:rsidP="00F55B19">
                                <w:pPr>
                                  <w:spacing w:before="120"/>
                                  <w:jc w:val="center"/>
                                  <w:rPr>
                                    <w:color w:val="404040" w:themeColor="text1" w:themeTint="BF"/>
                                    <w:sz w:val="36"/>
                                    <w:szCs w:val="36"/>
                                  </w:rPr>
                                </w:pPr>
                                <w:sdt>
                                  <w:sdtPr>
                                    <w:rPr>
                                      <w:color w:val="404040" w:themeColor="text1" w:themeTint="BF"/>
                                      <w:sz w:val="36"/>
                                      <w:szCs w:val="36"/>
                                    </w:rPr>
                                    <w:alias w:val="Subtitle"/>
                                    <w:tag w:val=""/>
                                    <w:id w:val="-2079584797"/>
                                    <w:dataBinding w:prefixMappings="xmlns:ns0='http://purl.org/dc/elements/1.1/' xmlns:ns1='http://schemas.openxmlformats.org/package/2006/metadata/core-properties' " w:xpath="/ns1:coreProperties[1]/ns0:subject[1]" w:storeItemID="{6C3C8BC8-F283-45AE-878A-BAB7291924A1}"/>
                                    <w:text/>
                                  </w:sdtPr>
                                  <w:sdtEndPr/>
                                  <w:sdtContent>
                                    <w:r w:rsidR="009B2920">
                                      <w:rPr>
                                        <w:color w:val="404040" w:themeColor="text1" w:themeTint="BF"/>
                                        <w:sz w:val="36"/>
                                        <w:szCs w:val="36"/>
                                      </w:rPr>
                                      <w:t>REVIEW of CLINICAL GUIDELINES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339" o:spid="_x0000_s1055" type="#_x0000_t202" style="position:absolute;margin-left:242.55pt;margin-top:140.2pt;width:287.4pt;height:8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" filled="f" stroked="f" strokeweight=".5pt">
                    <v:textbox style="mso-fit-shape-to-text:t" inset="0,0,0,0">
                      <w:txbxContent>
                        <w:p w:rsidR="009B2920" w:rsidRDefault="009B2920" w:rsidP="00F55B19">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1535232879"/>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E</w:t>
                              </w:r>
                              <w:r>
                                <w:rPr>
                                  <w:rFonts w:asciiTheme="majorHAnsi" w:eastAsiaTheme="majorEastAsia" w:hAnsiTheme="majorHAnsi" w:cstheme="majorBidi"/>
                                  <w:color w:val="262626" w:themeColor="text1" w:themeTint="D9"/>
                                  <w:sz w:val="72"/>
                                  <w:szCs w:val="72"/>
                                  <w:lang w:val="en-AU"/>
                                </w:rPr>
                                <w:t>ZETIMIBE REVIEW</w:t>
                              </w:r>
                            </w:sdtContent>
                          </w:sdt>
                        </w:p>
                        <w:p w:rsidR="009B2920" w:rsidRDefault="009B2920" w:rsidP="00F55B19">
                          <w:pPr>
                            <w:spacing w:before="120"/>
                            <w:jc w:val="center"/>
                            <w:rPr>
                              <w:color w:val="404040" w:themeColor="text1" w:themeTint="BF"/>
                              <w:sz w:val="36"/>
                              <w:szCs w:val="36"/>
                            </w:rPr>
                          </w:pPr>
                          <w:sdt>
                            <w:sdtPr>
                              <w:rPr>
                                <w:color w:val="404040" w:themeColor="text1" w:themeTint="BF"/>
                                <w:sz w:val="36"/>
                                <w:szCs w:val="36"/>
                              </w:rPr>
                              <w:alias w:val="Subtitle"/>
                              <w:tag w:val=""/>
                              <w:id w:val="-2079584797"/>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REVIEW of CLINICAL GUIDELINES</w:t>
                              </w:r>
                            </w:sdtContent>
                          </w:sdt>
                        </w:p>
                      </w:txbxContent>
                    </v:textbox>
                    <w10:wrap anchorx="page" anchory="page"/>
                  </v:shape>
                </w:pict>
              </mc:Fallback>
            </mc:AlternateContent>
          </w:r>
          <w:r w:rsidR="00F55B19" w:rsidRPr="00F55B19">
            <w:rPr>
              <w:rFonts w:eastAsiaTheme="minorEastAsia"/>
              <w:noProof/>
              <w:lang w:eastAsia="en-AU"/>
            </w:rPr>
            <mc:AlternateContent>
              <mc:Choice Requires="wps">
                <w:drawing>
                  <wp:anchor distT="0" distB="0" distL="114300" distR="114300" simplePos="0" relativeHeight="251661312" behindDoc="0" locked="0" layoutInCell="1" allowOverlap="1" wp14:anchorId="2000E7DB" wp14:editId="5DCB92F3">
                    <wp:simplePos x="0" y="0"/>
                    <wp:positionH relativeFrom="page">
                      <wp:posOffset>2870835</wp:posOffset>
                    </wp:positionH>
                    <wp:positionV relativeFrom="page">
                      <wp:posOffset>8410575</wp:posOffset>
                    </wp:positionV>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txbx>
                            <w:txbxContent>
                              <w:p w:rsidR="009B2920" w:rsidRDefault="009B2920" w:rsidP="00F55B19">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6447FF08" wp14:editId="390FD210">
                                      <wp:extent cx="3395980" cy="1040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Text Box 32" o:spid="_x0000_s1056" type="#_x0000_t202" style="position:absolute;margin-left:226.05pt;margin-top:662.25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" filled="f" stroked="f" strokeweight=".5pt">
                    <v:textbox style="mso-fit-shape-to-text:t" inset="0,0,0,0">
                      <w:txbxContent>
                        <w:p w:rsidR="009B2920" w:rsidRDefault="009B2920" w:rsidP="00F55B19">
                          <w:pPr>
                            <w:pStyle w:val="NoSpacing"/>
                            <w:rPr>
                              <w:color w:val="5B9BD5" w:themeColor="accent1"/>
                              <w:sz w:val="26"/>
                              <w:szCs w:val="26"/>
                            </w:rPr>
                          </w:pPr>
                          <w:r>
                            <w:rPr>
                              <w:color w:val="5B9BD5" w:themeColor="accent1"/>
                              <w:sz w:val="26"/>
                              <w:szCs w:val="26"/>
                            </w:rPr>
                            <w:t xml:space="preserve">        </w:t>
                          </w:r>
                          <w:r w:rsidRPr="004E6B0F">
                            <w:rPr>
                              <w:color w:val="5B9BD5" w:themeColor="accent1"/>
                              <w:sz w:val="32"/>
                              <w:szCs w:val="32"/>
                            </w:rPr>
                            <w:t>Health Technology Assessment Team</w:t>
                          </w:r>
                          <w:r>
                            <w:rPr>
                              <w:noProof/>
                              <w:lang w:val="en-AU" w:eastAsia="en-AU"/>
                            </w:rPr>
                            <w:drawing>
                              <wp:inline distT="0" distB="0" distL="0" distR="0" wp14:anchorId="6447FF08" wp14:editId="390FD210">
                                <wp:extent cx="3395980" cy="1040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5980" cy="1040430"/>
                                        </a:xfrm>
                                        <a:prstGeom prst="rect">
                                          <a:avLst/>
                                        </a:prstGeom>
                                        <a:noFill/>
                                      </pic:spPr>
                                    </pic:pic>
                                  </a:graphicData>
                                </a:graphic>
                              </wp:inline>
                            </w:drawing>
                          </w:r>
                        </w:p>
                      </w:txbxContent>
                    </v:textbox>
                    <w10:wrap anchorx="page" anchory="page"/>
                  </v:shape>
                </w:pict>
              </mc:Fallback>
            </mc:AlternateContent>
          </w:r>
          <w:r w:rsidR="00F55B19" w:rsidRPr="00F55B19">
            <w:rPr>
              <w:rFonts w:eastAsiaTheme="minorEastAsia"/>
            </w:rPr>
            <w:br w:type="page"/>
          </w:r>
        </w:p>
      </w:sdtContent>
    </w:sdt>
    <w:sdt>
      <w:sdtPr>
        <w:rPr>
          <w:rFonts w:asciiTheme="minorHAnsi" w:eastAsiaTheme="minorHAnsi" w:hAnsiTheme="minorHAnsi" w:cstheme="minorBidi"/>
          <w:color w:val="auto"/>
          <w:sz w:val="22"/>
          <w:szCs w:val="22"/>
          <w:lang w:val="en-AU"/>
        </w:rPr>
        <w:id w:val="2053342664"/>
        <w:docPartObj>
          <w:docPartGallery w:val="Table of Contents"/>
          <w:docPartUnique/>
        </w:docPartObj>
      </w:sdtPr>
      <w:sdtEndPr>
        <w:rPr>
          <w:b/>
          <w:bCs/>
          <w:noProof/>
        </w:rPr>
      </w:sdtEndPr>
      <w:sdtContent>
        <w:p w:rsidR="00654BF3" w:rsidRDefault="00654BF3">
          <w:pPr>
            <w:pStyle w:val="TOCHeading"/>
          </w:pPr>
          <w:r>
            <w:t>Table of Contents</w:t>
          </w:r>
        </w:p>
        <w:p w:rsidR="007E6E49" w:rsidRDefault="00654BF3">
          <w:pPr>
            <w:pStyle w:val="TOC2"/>
            <w:tabs>
              <w:tab w:val="left" w:pos="660"/>
              <w:tab w:val="right" w:leader="dot" w:pos="9323"/>
            </w:tabs>
            <w:rPr>
              <w:rFonts w:eastAsiaTheme="minorEastAsia"/>
              <w:noProof/>
              <w:lang w:eastAsia="en-AU"/>
            </w:rPr>
          </w:pPr>
          <w:r>
            <w:fldChar w:fldCharType="begin"/>
          </w:r>
          <w:r>
            <w:instrText xml:space="preserve"> TOC \o "1-3" \h \z \u </w:instrText>
          </w:r>
          <w:r>
            <w:fldChar w:fldCharType="separate"/>
          </w:r>
          <w:hyperlink w:anchor="_Toc461644650" w:history="1">
            <w:r w:rsidR="007E6E49" w:rsidRPr="00BE5EA4">
              <w:rPr>
                <w:rStyle w:val="Hyperlink"/>
                <w:rFonts w:asciiTheme="majorHAnsi" w:eastAsiaTheme="majorEastAsia" w:hAnsiTheme="majorHAnsi" w:cstheme="majorBidi"/>
                <w:noProof/>
                <w:lang w:eastAsia="zh-CN"/>
              </w:rPr>
              <w:t>1.</w:t>
            </w:r>
            <w:r w:rsidR="007E6E49">
              <w:rPr>
                <w:rFonts w:eastAsiaTheme="minorEastAsia"/>
                <w:noProof/>
                <w:lang w:eastAsia="en-AU"/>
              </w:rPr>
              <w:tab/>
            </w:r>
            <w:r w:rsidR="007E6E49" w:rsidRPr="00BE5EA4">
              <w:rPr>
                <w:rStyle w:val="Hyperlink"/>
                <w:rFonts w:asciiTheme="majorHAnsi" w:eastAsiaTheme="majorEastAsia" w:hAnsiTheme="majorHAnsi" w:cstheme="majorBidi"/>
                <w:noProof/>
                <w:lang w:eastAsia="zh-CN"/>
              </w:rPr>
              <w:t>Summary</w:t>
            </w:r>
            <w:r w:rsidR="007E6E49">
              <w:rPr>
                <w:noProof/>
                <w:webHidden/>
              </w:rPr>
              <w:tab/>
            </w:r>
            <w:r w:rsidR="007E6E49">
              <w:rPr>
                <w:noProof/>
                <w:webHidden/>
              </w:rPr>
              <w:fldChar w:fldCharType="begin"/>
            </w:r>
            <w:r w:rsidR="007E6E49">
              <w:rPr>
                <w:noProof/>
                <w:webHidden/>
              </w:rPr>
              <w:instrText xml:space="preserve"> PAGEREF _Toc461644650 \h </w:instrText>
            </w:r>
            <w:r w:rsidR="007E6E49">
              <w:rPr>
                <w:noProof/>
                <w:webHidden/>
              </w:rPr>
            </w:r>
            <w:r w:rsidR="007E6E49">
              <w:rPr>
                <w:noProof/>
                <w:webHidden/>
              </w:rPr>
              <w:fldChar w:fldCharType="separate"/>
            </w:r>
            <w:r w:rsidR="00800322">
              <w:rPr>
                <w:noProof/>
                <w:webHidden/>
              </w:rPr>
              <w:t>4</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1" w:history="1">
            <w:r w:rsidR="007E6E49" w:rsidRPr="00BE5EA4">
              <w:rPr>
                <w:rStyle w:val="Hyperlink"/>
                <w:rFonts w:eastAsia="Times New Roman"/>
                <w:noProof/>
                <w:lang w:eastAsia="en-AU"/>
              </w:rPr>
              <w:t>Table 1.1 Comparative characteristics of the identified guidelines: Summary</w:t>
            </w:r>
            <w:r w:rsidR="007E6E49">
              <w:rPr>
                <w:noProof/>
                <w:webHidden/>
              </w:rPr>
              <w:tab/>
            </w:r>
            <w:r w:rsidR="007E6E49">
              <w:rPr>
                <w:noProof/>
                <w:webHidden/>
              </w:rPr>
              <w:fldChar w:fldCharType="begin"/>
            </w:r>
            <w:r w:rsidR="007E6E49">
              <w:rPr>
                <w:noProof/>
                <w:webHidden/>
              </w:rPr>
              <w:instrText xml:space="preserve"> PAGEREF _Toc461644651 \h </w:instrText>
            </w:r>
            <w:r w:rsidR="007E6E49">
              <w:rPr>
                <w:noProof/>
                <w:webHidden/>
              </w:rPr>
            </w:r>
            <w:r w:rsidR="007E6E49">
              <w:rPr>
                <w:noProof/>
                <w:webHidden/>
              </w:rPr>
              <w:fldChar w:fldCharType="separate"/>
            </w:r>
            <w:r w:rsidR="00800322">
              <w:rPr>
                <w:noProof/>
                <w:webHidden/>
              </w:rPr>
              <w:t>5</w:t>
            </w:r>
            <w:r w:rsidR="007E6E49">
              <w:rPr>
                <w:noProof/>
                <w:webHidden/>
              </w:rPr>
              <w:fldChar w:fldCharType="end"/>
            </w:r>
          </w:hyperlink>
        </w:p>
        <w:p w:rsidR="007E6E49" w:rsidRDefault="005F620C">
          <w:pPr>
            <w:pStyle w:val="TOC2"/>
            <w:tabs>
              <w:tab w:val="left" w:pos="660"/>
              <w:tab w:val="right" w:leader="dot" w:pos="9323"/>
            </w:tabs>
            <w:rPr>
              <w:rFonts w:eastAsiaTheme="minorEastAsia"/>
              <w:noProof/>
              <w:lang w:eastAsia="en-AU"/>
            </w:rPr>
          </w:pPr>
          <w:hyperlink w:anchor="_Toc461644652" w:history="1">
            <w:r w:rsidR="007E6E49" w:rsidRPr="00BE5EA4">
              <w:rPr>
                <w:rStyle w:val="Hyperlink"/>
                <w:rFonts w:asciiTheme="majorHAnsi" w:eastAsiaTheme="majorEastAsia" w:hAnsiTheme="majorHAnsi" w:cstheme="majorBidi"/>
                <w:noProof/>
                <w:lang w:eastAsia="zh-CN"/>
              </w:rPr>
              <w:t>2.</w:t>
            </w:r>
            <w:r w:rsidR="007E6E49">
              <w:rPr>
                <w:rFonts w:eastAsiaTheme="minorEastAsia"/>
                <w:noProof/>
                <w:lang w:eastAsia="en-AU"/>
              </w:rPr>
              <w:tab/>
            </w:r>
            <w:r w:rsidR="007E6E49" w:rsidRPr="00BE5EA4">
              <w:rPr>
                <w:rStyle w:val="Hyperlink"/>
                <w:rFonts w:asciiTheme="majorHAnsi" w:eastAsiaTheme="majorEastAsia" w:hAnsiTheme="majorHAnsi" w:cstheme="majorBidi"/>
                <w:noProof/>
                <w:lang w:eastAsia="zh-CN"/>
              </w:rPr>
              <w:t>Australia</w:t>
            </w:r>
            <w:r w:rsidR="007E6E49">
              <w:rPr>
                <w:noProof/>
                <w:webHidden/>
              </w:rPr>
              <w:tab/>
            </w:r>
            <w:r w:rsidR="007E6E49">
              <w:rPr>
                <w:noProof/>
                <w:webHidden/>
              </w:rPr>
              <w:fldChar w:fldCharType="begin"/>
            </w:r>
            <w:r w:rsidR="007E6E49">
              <w:rPr>
                <w:noProof/>
                <w:webHidden/>
              </w:rPr>
              <w:instrText xml:space="preserve"> PAGEREF _Toc461644652 \h </w:instrText>
            </w:r>
            <w:r w:rsidR="007E6E49">
              <w:rPr>
                <w:noProof/>
                <w:webHidden/>
              </w:rPr>
            </w:r>
            <w:r w:rsidR="007E6E49">
              <w:rPr>
                <w:noProof/>
                <w:webHidden/>
              </w:rPr>
              <w:fldChar w:fldCharType="separate"/>
            </w:r>
            <w:r w:rsidR="00800322">
              <w:rPr>
                <w:noProof/>
                <w:webHidden/>
              </w:rPr>
              <w:t>11</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3" w:history="1">
            <w:r w:rsidR="007E6E49" w:rsidRPr="00BE5EA4">
              <w:rPr>
                <w:rStyle w:val="Hyperlink"/>
                <w:rFonts w:eastAsia="Times New Roman"/>
                <w:noProof/>
                <w:lang w:eastAsia="en-AU"/>
              </w:rPr>
              <w:t>Table 2.1 Australian guidelines for assessment and management of absolute cardiovascular disease risk (NVDPA-2012)</w:t>
            </w:r>
            <w:r w:rsidR="007E6E49">
              <w:rPr>
                <w:noProof/>
                <w:webHidden/>
              </w:rPr>
              <w:tab/>
            </w:r>
            <w:r w:rsidR="007E6E49">
              <w:rPr>
                <w:noProof/>
                <w:webHidden/>
              </w:rPr>
              <w:fldChar w:fldCharType="begin"/>
            </w:r>
            <w:r w:rsidR="007E6E49">
              <w:rPr>
                <w:noProof/>
                <w:webHidden/>
              </w:rPr>
              <w:instrText xml:space="preserve"> PAGEREF _Toc461644653 \h </w:instrText>
            </w:r>
            <w:r w:rsidR="007E6E49">
              <w:rPr>
                <w:noProof/>
                <w:webHidden/>
              </w:rPr>
            </w:r>
            <w:r w:rsidR="007E6E49">
              <w:rPr>
                <w:noProof/>
                <w:webHidden/>
              </w:rPr>
              <w:fldChar w:fldCharType="separate"/>
            </w:r>
            <w:r w:rsidR="00800322">
              <w:rPr>
                <w:noProof/>
                <w:webHidden/>
              </w:rPr>
              <w:t>14</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4" w:history="1">
            <w:r w:rsidR="007E6E49" w:rsidRPr="00BE5EA4">
              <w:rPr>
                <w:rStyle w:val="Hyperlink"/>
                <w:rFonts w:eastAsia="Times New Roman"/>
                <w:noProof/>
                <w:lang w:eastAsia="en-AU"/>
              </w:rPr>
              <w:t>Table 2.2. Discrepancies in risk factors corresponding to the high risk of a CVD event</w:t>
            </w:r>
            <w:r w:rsidR="007E6E49">
              <w:rPr>
                <w:noProof/>
                <w:webHidden/>
              </w:rPr>
              <w:tab/>
            </w:r>
            <w:r w:rsidR="007E6E49">
              <w:rPr>
                <w:noProof/>
                <w:webHidden/>
              </w:rPr>
              <w:fldChar w:fldCharType="begin"/>
            </w:r>
            <w:r w:rsidR="007E6E49">
              <w:rPr>
                <w:noProof/>
                <w:webHidden/>
              </w:rPr>
              <w:instrText xml:space="preserve"> PAGEREF _Toc461644654 \h </w:instrText>
            </w:r>
            <w:r w:rsidR="007E6E49">
              <w:rPr>
                <w:noProof/>
                <w:webHidden/>
              </w:rPr>
            </w:r>
            <w:r w:rsidR="007E6E49">
              <w:rPr>
                <w:noProof/>
                <w:webHidden/>
              </w:rPr>
              <w:fldChar w:fldCharType="separate"/>
            </w:r>
            <w:r w:rsidR="00800322">
              <w:rPr>
                <w:noProof/>
                <w:webHidden/>
              </w:rPr>
              <w:t>16</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5" w:history="1">
            <w:r w:rsidR="007E6E49" w:rsidRPr="00BE5EA4">
              <w:rPr>
                <w:rStyle w:val="Hyperlink"/>
                <w:rFonts w:eastAsia="Times New Roman"/>
                <w:noProof/>
                <w:lang w:eastAsia="en-AU"/>
              </w:rPr>
              <w:t>Table 2.3. General Statement For Lipid-Lowering Drugs prescribed as pharmaceutical benefits</w:t>
            </w:r>
            <w:r w:rsidR="007E6E49">
              <w:rPr>
                <w:noProof/>
                <w:webHidden/>
              </w:rPr>
              <w:tab/>
            </w:r>
            <w:r w:rsidR="007E6E49">
              <w:rPr>
                <w:noProof/>
                <w:webHidden/>
              </w:rPr>
              <w:fldChar w:fldCharType="begin"/>
            </w:r>
            <w:r w:rsidR="007E6E49">
              <w:rPr>
                <w:noProof/>
                <w:webHidden/>
              </w:rPr>
              <w:instrText xml:space="preserve"> PAGEREF _Toc461644655 \h </w:instrText>
            </w:r>
            <w:r w:rsidR="007E6E49">
              <w:rPr>
                <w:noProof/>
                <w:webHidden/>
              </w:rPr>
            </w:r>
            <w:r w:rsidR="007E6E49">
              <w:rPr>
                <w:noProof/>
                <w:webHidden/>
              </w:rPr>
              <w:fldChar w:fldCharType="separate"/>
            </w:r>
            <w:r w:rsidR="00800322">
              <w:rPr>
                <w:noProof/>
                <w:webHidden/>
              </w:rPr>
              <w:t>18</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6" w:history="1">
            <w:r w:rsidR="007E6E49" w:rsidRPr="00BE5EA4">
              <w:rPr>
                <w:rStyle w:val="Hyperlink"/>
                <w:rFonts w:eastAsia="Times New Roman"/>
                <w:noProof/>
                <w:lang w:eastAsia="en-AU"/>
              </w:rPr>
              <w:t>Table 2.4. Post-dietary qualifying criteria for PBS subsidised cholesterol-lowering drugs</w:t>
            </w:r>
            <w:r w:rsidR="007E6E49">
              <w:rPr>
                <w:noProof/>
                <w:webHidden/>
              </w:rPr>
              <w:tab/>
            </w:r>
            <w:r w:rsidR="007E6E49">
              <w:rPr>
                <w:noProof/>
                <w:webHidden/>
              </w:rPr>
              <w:fldChar w:fldCharType="begin"/>
            </w:r>
            <w:r w:rsidR="007E6E49">
              <w:rPr>
                <w:noProof/>
                <w:webHidden/>
              </w:rPr>
              <w:instrText xml:space="preserve"> PAGEREF _Toc461644656 \h </w:instrText>
            </w:r>
            <w:r w:rsidR="007E6E49">
              <w:rPr>
                <w:noProof/>
                <w:webHidden/>
              </w:rPr>
            </w:r>
            <w:r w:rsidR="007E6E49">
              <w:rPr>
                <w:noProof/>
                <w:webHidden/>
              </w:rPr>
              <w:fldChar w:fldCharType="separate"/>
            </w:r>
            <w:r w:rsidR="00800322">
              <w:rPr>
                <w:noProof/>
                <w:webHidden/>
              </w:rPr>
              <w:t>19</w:t>
            </w:r>
            <w:r w:rsidR="007E6E49">
              <w:rPr>
                <w:noProof/>
                <w:webHidden/>
              </w:rPr>
              <w:fldChar w:fldCharType="end"/>
            </w:r>
          </w:hyperlink>
        </w:p>
        <w:p w:rsidR="007E6E49" w:rsidRDefault="005F620C">
          <w:pPr>
            <w:pStyle w:val="TOC2"/>
            <w:tabs>
              <w:tab w:val="left" w:pos="660"/>
              <w:tab w:val="right" w:leader="dot" w:pos="9323"/>
            </w:tabs>
            <w:rPr>
              <w:rFonts w:eastAsiaTheme="minorEastAsia"/>
              <w:noProof/>
              <w:lang w:eastAsia="en-AU"/>
            </w:rPr>
          </w:pPr>
          <w:hyperlink w:anchor="_Toc461644657" w:history="1">
            <w:r w:rsidR="007E6E49" w:rsidRPr="00BE5EA4">
              <w:rPr>
                <w:rStyle w:val="Hyperlink"/>
                <w:rFonts w:asciiTheme="majorHAnsi" w:eastAsiaTheme="majorEastAsia" w:hAnsiTheme="majorHAnsi" w:cstheme="majorBidi"/>
                <w:noProof/>
                <w:lang w:eastAsia="zh-CN"/>
              </w:rPr>
              <w:t>3.</w:t>
            </w:r>
            <w:r w:rsidR="007E6E49">
              <w:rPr>
                <w:rFonts w:eastAsiaTheme="minorEastAsia"/>
                <w:noProof/>
                <w:lang w:eastAsia="en-AU"/>
              </w:rPr>
              <w:tab/>
            </w:r>
            <w:r w:rsidR="007E6E49" w:rsidRPr="00BE5EA4">
              <w:rPr>
                <w:rStyle w:val="Hyperlink"/>
                <w:rFonts w:asciiTheme="majorHAnsi" w:eastAsiaTheme="majorEastAsia" w:hAnsiTheme="majorHAnsi" w:cstheme="majorBidi"/>
                <w:noProof/>
                <w:lang w:eastAsia="zh-CN"/>
              </w:rPr>
              <w:t>Northern America (USA and Canada)</w:t>
            </w:r>
            <w:r w:rsidR="007E6E49">
              <w:rPr>
                <w:noProof/>
                <w:webHidden/>
              </w:rPr>
              <w:tab/>
            </w:r>
            <w:r w:rsidR="007E6E49">
              <w:rPr>
                <w:noProof/>
                <w:webHidden/>
              </w:rPr>
              <w:fldChar w:fldCharType="begin"/>
            </w:r>
            <w:r w:rsidR="007E6E49">
              <w:rPr>
                <w:noProof/>
                <w:webHidden/>
              </w:rPr>
              <w:instrText xml:space="preserve"> PAGEREF _Toc461644657 \h </w:instrText>
            </w:r>
            <w:r w:rsidR="007E6E49">
              <w:rPr>
                <w:noProof/>
                <w:webHidden/>
              </w:rPr>
            </w:r>
            <w:r w:rsidR="007E6E49">
              <w:rPr>
                <w:noProof/>
                <w:webHidden/>
              </w:rPr>
              <w:fldChar w:fldCharType="separate"/>
            </w:r>
            <w:r w:rsidR="00800322">
              <w:rPr>
                <w:noProof/>
                <w:webHidden/>
              </w:rPr>
              <w:t>20</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8" w:history="1">
            <w:r w:rsidR="007E6E49" w:rsidRPr="00BE5EA4">
              <w:rPr>
                <w:rStyle w:val="Hyperlink"/>
                <w:rFonts w:eastAsia="Times New Roman"/>
                <w:noProof/>
                <w:lang w:eastAsia="en-AU"/>
              </w:rPr>
              <w:t xml:space="preserve">Table 3.1 North American Guidelines (USA): the 2013 </w:t>
            </w:r>
            <w:r w:rsidR="007E6E49" w:rsidRPr="00BE5EA4">
              <w:rPr>
                <w:rStyle w:val="Hyperlink"/>
                <w:noProof/>
              </w:rPr>
              <w:t>ACC/AHA guidelines</w:t>
            </w:r>
            <w:r w:rsidR="007E6E49">
              <w:rPr>
                <w:noProof/>
                <w:webHidden/>
              </w:rPr>
              <w:tab/>
            </w:r>
            <w:r w:rsidR="007E6E49">
              <w:rPr>
                <w:noProof/>
                <w:webHidden/>
              </w:rPr>
              <w:fldChar w:fldCharType="begin"/>
            </w:r>
            <w:r w:rsidR="007E6E49">
              <w:rPr>
                <w:noProof/>
                <w:webHidden/>
              </w:rPr>
              <w:instrText xml:space="preserve"> PAGEREF _Toc461644658 \h </w:instrText>
            </w:r>
            <w:r w:rsidR="007E6E49">
              <w:rPr>
                <w:noProof/>
                <w:webHidden/>
              </w:rPr>
            </w:r>
            <w:r w:rsidR="007E6E49">
              <w:rPr>
                <w:noProof/>
                <w:webHidden/>
              </w:rPr>
              <w:fldChar w:fldCharType="separate"/>
            </w:r>
            <w:r w:rsidR="00800322">
              <w:rPr>
                <w:noProof/>
                <w:webHidden/>
              </w:rPr>
              <w:t>23</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59" w:history="1">
            <w:r w:rsidR="007E6E49" w:rsidRPr="00BE5EA4">
              <w:rPr>
                <w:rStyle w:val="Hyperlink"/>
                <w:rFonts w:eastAsia="Times New Roman"/>
                <w:noProof/>
                <w:lang w:eastAsia="en-AU"/>
              </w:rPr>
              <w:t xml:space="preserve">Table 3.2 North American Guidelines (USA): </w:t>
            </w:r>
            <w:r w:rsidR="007E6E49" w:rsidRPr="00BE5EA4">
              <w:rPr>
                <w:rStyle w:val="Hyperlink"/>
                <w:noProof/>
              </w:rPr>
              <w:t>the 2014 NLA recommendations</w:t>
            </w:r>
            <w:r w:rsidR="007E6E49">
              <w:rPr>
                <w:noProof/>
                <w:webHidden/>
              </w:rPr>
              <w:tab/>
            </w:r>
            <w:r w:rsidR="007E6E49">
              <w:rPr>
                <w:noProof/>
                <w:webHidden/>
              </w:rPr>
              <w:fldChar w:fldCharType="begin"/>
            </w:r>
            <w:r w:rsidR="007E6E49">
              <w:rPr>
                <w:noProof/>
                <w:webHidden/>
              </w:rPr>
              <w:instrText xml:space="preserve"> PAGEREF _Toc461644659 \h </w:instrText>
            </w:r>
            <w:r w:rsidR="007E6E49">
              <w:rPr>
                <w:noProof/>
                <w:webHidden/>
              </w:rPr>
            </w:r>
            <w:r w:rsidR="007E6E49">
              <w:rPr>
                <w:noProof/>
                <w:webHidden/>
              </w:rPr>
              <w:fldChar w:fldCharType="separate"/>
            </w:r>
            <w:r w:rsidR="00800322">
              <w:rPr>
                <w:noProof/>
                <w:webHidden/>
              </w:rPr>
              <w:t>25</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0" w:history="1">
            <w:r w:rsidR="007E6E49" w:rsidRPr="00BE5EA4">
              <w:rPr>
                <w:rStyle w:val="Hyperlink"/>
                <w:noProof/>
              </w:rPr>
              <w:t>The 2016 report of the Task Force on “ACC Clinical Expert Consensus Decision Pathway on the Role of Non-Statin Therapies”.</w:t>
            </w:r>
            <w:r w:rsidR="007E6E49">
              <w:rPr>
                <w:noProof/>
                <w:webHidden/>
              </w:rPr>
              <w:tab/>
            </w:r>
            <w:r w:rsidR="007E6E49">
              <w:rPr>
                <w:noProof/>
                <w:webHidden/>
              </w:rPr>
              <w:fldChar w:fldCharType="begin"/>
            </w:r>
            <w:r w:rsidR="007E6E49">
              <w:rPr>
                <w:noProof/>
                <w:webHidden/>
              </w:rPr>
              <w:instrText xml:space="preserve"> PAGEREF _Toc461644660 \h </w:instrText>
            </w:r>
            <w:r w:rsidR="007E6E49">
              <w:rPr>
                <w:noProof/>
                <w:webHidden/>
              </w:rPr>
            </w:r>
            <w:r w:rsidR="007E6E49">
              <w:rPr>
                <w:noProof/>
                <w:webHidden/>
              </w:rPr>
              <w:fldChar w:fldCharType="separate"/>
            </w:r>
            <w:r w:rsidR="00800322">
              <w:rPr>
                <w:noProof/>
                <w:webHidden/>
              </w:rPr>
              <w:t>27</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1" w:history="1">
            <w:r w:rsidR="007E6E49" w:rsidRPr="00BE5EA4">
              <w:rPr>
                <w:rStyle w:val="Hyperlink"/>
                <w:rFonts w:eastAsia="Times New Roman"/>
                <w:noProof/>
                <w:lang w:eastAsia="en-AU"/>
              </w:rPr>
              <w:t>Table 3.3 North American Guidelines (Canadian Cardiovascular Society)</w:t>
            </w:r>
            <w:r w:rsidR="007E6E49">
              <w:rPr>
                <w:noProof/>
                <w:webHidden/>
              </w:rPr>
              <w:tab/>
            </w:r>
            <w:r w:rsidR="007E6E49">
              <w:rPr>
                <w:noProof/>
                <w:webHidden/>
              </w:rPr>
              <w:fldChar w:fldCharType="begin"/>
            </w:r>
            <w:r w:rsidR="007E6E49">
              <w:rPr>
                <w:noProof/>
                <w:webHidden/>
              </w:rPr>
              <w:instrText xml:space="preserve"> PAGEREF _Toc461644661 \h </w:instrText>
            </w:r>
            <w:r w:rsidR="007E6E49">
              <w:rPr>
                <w:noProof/>
                <w:webHidden/>
              </w:rPr>
            </w:r>
            <w:r w:rsidR="007E6E49">
              <w:rPr>
                <w:noProof/>
                <w:webHidden/>
              </w:rPr>
              <w:fldChar w:fldCharType="separate"/>
            </w:r>
            <w:r w:rsidR="00800322">
              <w:rPr>
                <w:noProof/>
                <w:webHidden/>
              </w:rPr>
              <w:t>29</w:t>
            </w:r>
            <w:r w:rsidR="007E6E49">
              <w:rPr>
                <w:noProof/>
                <w:webHidden/>
              </w:rPr>
              <w:fldChar w:fldCharType="end"/>
            </w:r>
          </w:hyperlink>
        </w:p>
        <w:p w:rsidR="007E6E49" w:rsidRDefault="005F620C">
          <w:pPr>
            <w:pStyle w:val="TOC2"/>
            <w:tabs>
              <w:tab w:val="left" w:pos="660"/>
              <w:tab w:val="right" w:leader="dot" w:pos="9323"/>
            </w:tabs>
            <w:rPr>
              <w:rFonts w:eastAsiaTheme="minorEastAsia"/>
              <w:noProof/>
              <w:lang w:eastAsia="en-AU"/>
            </w:rPr>
          </w:pPr>
          <w:hyperlink w:anchor="_Toc461644662" w:history="1">
            <w:r w:rsidR="007E6E49" w:rsidRPr="00BE5EA4">
              <w:rPr>
                <w:rStyle w:val="Hyperlink"/>
                <w:rFonts w:asciiTheme="majorHAnsi" w:eastAsiaTheme="majorEastAsia" w:hAnsiTheme="majorHAnsi" w:cstheme="majorBidi"/>
                <w:noProof/>
                <w:lang w:eastAsia="zh-CN"/>
              </w:rPr>
              <w:t>4.</w:t>
            </w:r>
            <w:r w:rsidR="007E6E49">
              <w:rPr>
                <w:rFonts w:eastAsiaTheme="minorEastAsia"/>
                <w:noProof/>
                <w:lang w:eastAsia="en-AU"/>
              </w:rPr>
              <w:tab/>
            </w:r>
            <w:r w:rsidR="007E6E49" w:rsidRPr="00BE5EA4">
              <w:rPr>
                <w:rStyle w:val="Hyperlink"/>
                <w:rFonts w:asciiTheme="majorHAnsi" w:eastAsiaTheme="majorEastAsia" w:hAnsiTheme="majorHAnsi" w:cstheme="majorBidi"/>
                <w:noProof/>
                <w:lang w:eastAsia="zh-CN"/>
              </w:rPr>
              <w:t>National Institute for Health and Care Excellence (NICE) guidelines (UK)</w:t>
            </w:r>
            <w:r w:rsidR="007E6E49">
              <w:rPr>
                <w:noProof/>
                <w:webHidden/>
              </w:rPr>
              <w:tab/>
            </w:r>
            <w:r w:rsidR="007E6E49">
              <w:rPr>
                <w:noProof/>
                <w:webHidden/>
              </w:rPr>
              <w:fldChar w:fldCharType="begin"/>
            </w:r>
            <w:r w:rsidR="007E6E49">
              <w:rPr>
                <w:noProof/>
                <w:webHidden/>
              </w:rPr>
              <w:instrText xml:space="preserve"> PAGEREF _Toc461644662 \h </w:instrText>
            </w:r>
            <w:r w:rsidR="007E6E49">
              <w:rPr>
                <w:noProof/>
                <w:webHidden/>
              </w:rPr>
            </w:r>
            <w:r w:rsidR="007E6E49">
              <w:rPr>
                <w:noProof/>
                <w:webHidden/>
              </w:rPr>
              <w:fldChar w:fldCharType="separate"/>
            </w:r>
            <w:r w:rsidR="00800322">
              <w:rPr>
                <w:noProof/>
                <w:webHidden/>
              </w:rPr>
              <w:t>32</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3" w:history="1">
            <w:r w:rsidR="007E6E49" w:rsidRPr="00BE5EA4">
              <w:rPr>
                <w:rStyle w:val="Hyperlink"/>
                <w:rFonts w:eastAsia="Times New Roman"/>
                <w:noProof/>
                <w:lang w:eastAsia="en-AU"/>
              </w:rPr>
              <w:t>Table 4.1 the 2014 National Institute for Health and Care Excellence (NICE) guidelines</w:t>
            </w:r>
            <w:r w:rsidR="007E6E49">
              <w:rPr>
                <w:noProof/>
                <w:webHidden/>
              </w:rPr>
              <w:tab/>
            </w:r>
            <w:r w:rsidR="007E6E49">
              <w:rPr>
                <w:noProof/>
                <w:webHidden/>
              </w:rPr>
              <w:fldChar w:fldCharType="begin"/>
            </w:r>
            <w:r w:rsidR="007E6E49">
              <w:rPr>
                <w:noProof/>
                <w:webHidden/>
              </w:rPr>
              <w:instrText xml:space="preserve"> PAGEREF _Toc461644663 \h </w:instrText>
            </w:r>
            <w:r w:rsidR="007E6E49">
              <w:rPr>
                <w:noProof/>
                <w:webHidden/>
              </w:rPr>
            </w:r>
            <w:r w:rsidR="007E6E49">
              <w:rPr>
                <w:noProof/>
                <w:webHidden/>
              </w:rPr>
              <w:fldChar w:fldCharType="separate"/>
            </w:r>
            <w:r w:rsidR="00800322">
              <w:rPr>
                <w:noProof/>
                <w:webHidden/>
              </w:rPr>
              <w:t>33</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4" w:history="1">
            <w:r w:rsidR="007E6E49" w:rsidRPr="00BE5EA4">
              <w:rPr>
                <w:rStyle w:val="Hyperlink"/>
                <w:rFonts w:eastAsia="Times New Roman"/>
                <w:noProof/>
                <w:lang w:eastAsia="en-AU"/>
              </w:rPr>
              <w:t>Table 4.2 the 2016 National Institute for Health and Care Excellence (NICE) ezetimibe technology appraisal guidance [TA385].</w:t>
            </w:r>
            <w:r w:rsidR="007E6E49">
              <w:rPr>
                <w:noProof/>
                <w:webHidden/>
              </w:rPr>
              <w:tab/>
            </w:r>
            <w:r w:rsidR="007E6E49">
              <w:rPr>
                <w:noProof/>
                <w:webHidden/>
              </w:rPr>
              <w:fldChar w:fldCharType="begin"/>
            </w:r>
            <w:r w:rsidR="007E6E49">
              <w:rPr>
                <w:noProof/>
                <w:webHidden/>
              </w:rPr>
              <w:instrText xml:space="preserve"> PAGEREF _Toc461644664 \h </w:instrText>
            </w:r>
            <w:r w:rsidR="007E6E49">
              <w:rPr>
                <w:noProof/>
                <w:webHidden/>
              </w:rPr>
            </w:r>
            <w:r w:rsidR="007E6E49">
              <w:rPr>
                <w:noProof/>
                <w:webHidden/>
              </w:rPr>
              <w:fldChar w:fldCharType="separate"/>
            </w:r>
            <w:r w:rsidR="00800322">
              <w:rPr>
                <w:noProof/>
                <w:webHidden/>
              </w:rPr>
              <w:t>34</w:t>
            </w:r>
            <w:r w:rsidR="007E6E49">
              <w:rPr>
                <w:noProof/>
                <w:webHidden/>
              </w:rPr>
              <w:fldChar w:fldCharType="end"/>
            </w:r>
          </w:hyperlink>
        </w:p>
        <w:p w:rsidR="007E6E49" w:rsidRDefault="005F620C">
          <w:pPr>
            <w:pStyle w:val="TOC2"/>
            <w:tabs>
              <w:tab w:val="left" w:pos="660"/>
              <w:tab w:val="right" w:leader="dot" w:pos="9323"/>
            </w:tabs>
            <w:rPr>
              <w:rFonts w:eastAsiaTheme="minorEastAsia"/>
              <w:noProof/>
              <w:lang w:eastAsia="en-AU"/>
            </w:rPr>
          </w:pPr>
          <w:hyperlink w:anchor="_Toc461644665" w:history="1">
            <w:r w:rsidR="007E6E49" w:rsidRPr="00BE5EA4">
              <w:rPr>
                <w:rStyle w:val="Hyperlink"/>
                <w:rFonts w:asciiTheme="majorHAnsi" w:eastAsiaTheme="majorEastAsia" w:hAnsiTheme="majorHAnsi" w:cstheme="majorBidi"/>
                <w:noProof/>
                <w:lang w:eastAsia="zh-CN"/>
              </w:rPr>
              <w:t>5.</w:t>
            </w:r>
            <w:r w:rsidR="007E6E49">
              <w:rPr>
                <w:rFonts w:eastAsiaTheme="minorEastAsia"/>
                <w:noProof/>
                <w:lang w:eastAsia="en-AU"/>
              </w:rPr>
              <w:tab/>
            </w:r>
            <w:r w:rsidR="007E6E49" w:rsidRPr="00BE5EA4">
              <w:rPr>
                <w:rStyle w:val="Hyperlink"/>
                <w:rFonts w:asciiTheme="majorHAnsi" w:eastAsiaTheme="majorEastAsia" w:hAnsiTheme="majorHAnsi" w:cstheme="majorBidi"/>
                <w:noProof/>
                <w:lang w:eastAsia="zh-CN"/>
              </w:rPr>
              <w:t>European guidelines</w:t>
            </w:r>
            <w:r w:rsidR="007E6E49">
              <w:rPr>
                <w:noProof/>
                <w:webHidden/>
              </w:rPr>
              <w:tab/>
            </w:r>
            <w:r w:rsidR="007E6E49">
              <w:rPr>
                <w:noProof/>
                <w:webHidden/>
              </w:rPr>
              <w:fldChar w:fldCharType="begin"/>
            </w:r>
            <w:r w:rsidR="007E6E49">
              <w:rPr>
                <w:noProof/>
                <w:webHidden/>
              </w:rPr>
              <w:instrText xml:space="preserve"> PAGEREF _Toc461644665 \h </w:instrText>
            </w:r>
            <w:r w:rsidR="007E6E49">
              <w:rPr>
                <w:noProof/>
                <w:webHidden/>
              </w:rPr>
            </w:r>
            <w:r w:rsidR="007E6E49">
              <w:rPr>
                <w:noProof/>
                <w:webHidden/>
              </w:rPr>
              <w:fldChar w:fldCharType="separate"/>
            </w:r>
            <w:r w:rsidR="00800322">
              <w:rPr>
                <w:noProof/>
                <w:webHidden/>
              </w:rPr>
              <w:t>36</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6" w:history="1">
            <w:r w:rsidR="007E6E49" w:rsidRPr="00BE5EA4">
              <w:rPr>
                <w:rStyle w:val="Hyperlink"/>
                <w:noProof/>
                <w:shd w:val="clear" w:color="auto" w:fill="FFFFFF"/>
              </w:rPr>
              <w:t>Table 5.1 the 2016 ESC/EAS European guidelines</w:t>
            </w:r>
            <w:r w:rsidR="007E6E49">
              <w:rPr>
                <w:noProof/>
                <w:webHidden/>
              </w:rPr>
              <w:tab/>
            </w:r>
            <w:r w:rsidR="007E6E49">
              <w:rPr>
                <w:noProof/>
                <w:webHidden/>
              </w:rPr>
              <w:fldChar w:fldCharType="begin"/>
            </w:r>
            <w:r w:rsidR="007E6E49">
              <w:rPr>
                <w:noProof/>
                <w:webHidden/>
              </w:rPr>
              <w:instrText xml:space="preserve"> PAGEREF _Toc461644666 \h </w:instrText>
            </w:r>
            <w:r w:rsidR="007E6E49">
              <w:rPr>
                <w:noProof/>
                <w:webHidden/>
              </w:rPr>
            </w:r>
            <w:r w:rsidR="007E6E49">
              <w:rPr>
                <w:noProof/>
                <w:webHidden/>
              </w:rPr>
              <w:fldChar w:fldCharType="separate"/>
            </w:r>
            <w:r w:rsidR="00800322">
              <w:rPr>
                <w:noProof/>
                <w:webHidden/>
              </w:rPr>
              <w:t>37</w:t>
            </w:r>
            <w:r w:rsidR="007E6E49">
              <w:rPr>
                <w:noProof/>
                <w:webHidden/>
              </w:rPr>
              <w:fldChar w:fldCharType="end"/>
            </w:r>
          </w:hyperlink>
        </w:p>
        <w:p w:rsidR="007E6E49" w:rsidRDefault="005F620C">
          <w:pPr>
            <w:pStyle w:val="TOC3"/>
            <w:tabs>
              <w:tab w:val="right" w:leader="dot" w:pos="9323"/>
            </w:tabs>
            <w:rPr>
              <w:rFonts w:eastAsiaTheme="minorEastAsia"/>
              <w:noProof/>
              <w:lang w:eastAsia="en-AU"/>
            </w:rPr>
          </w:pPr>
          <w:hyperlink w:anchor="_Toc461644667" w:history="1">
            <w:r w:rsidR="007E6E49" w:rsidRPr="00BE5EA4">
              <w:rPr>
                <w:rStyle w:val="Hyperlink"/>
                <w:noProof/>
              </w:rPr>
              <w:t>Table 5.2 Primary and secondary treatment targets</w:t>
            </w:r>
            <w:r w:rsidR="007E6E49">
              <w:rPr>
                <w:noProof/>
                <w:webHidden/>
              </w:rPr>
              <w:tab/>
            </w:r>
            <w:r w:rsidR="007E6E49">
              <w:rPr>
                <w:noProof/>
                <w:webHidden/>
              </w:rPr>
              <w:fldChar w:fldCharType="begin"/>
            </w:r>
            <w:r w:rsidR="007E6E49">
              <w:rPr>
                <w:noProof/>
                <w:webHidden/>
              </w:rPr>
              <w:instrText xml:space="preserve"> PAGEREF _Toc461644667 \h </w:instrText>
            </w:r>
            <w:r w:rsidR="007E6E49">
              <w:rPr>
                <w:noProof/>
                <w:webHidden/>
              </w:rPr>
            </w:r>
            <w:r w:rsidR="007E6E49">
              <w:rPr>
                <w:noProof/>
                <w:webHidden/>
              </w:rPr>
              <w:fldChar w:fldCharType="separate"/>
            </w:r>
            <w:r w:rsidR="00800322">
              <w:rPr>
                <w:noProof/>
                <w:webHidden/>
              </w:rPr>
              <w:t>38</w:t>
            </w:r>
            <w:r w:rsidR="007E6E49">
              <w:rPr>
                <w:noProof/>
                <w:webHidden/>
              </w:rPr>
              <w:fldChar w:fldCharType="end"/>
            </w:r>
          </w:hyperlink>
        </w:p>
        <w:p w:rsidR="007E6E49" w:rsidRDefault="005F620C">
          <w:pPr>
            <w:pStyle w:val="TOC1"/>
            <w:tabs>
              <w:tab w:val="right" w:leader="dot" w:pos="9323"/>
            </w:tabs>
            <w:rPr>
              <w:rFonts w:eastAsiaTheme="minorEastAsia"/>
              <w:noProof/>
              <w:lang w:eastAsia="en-AU"/>
            </w:rPr>
          </w:pPr>
          <w:hyperlink w:anchor="_Toc461644668" w:history="1">
            <w:r w:rsidR="007E6E49" w:rsidRPr="00BE5EA4">
              <w:rPr>
                <w:rStyle w:val="Hyperlink"/>
                <w:noProof/>
              </w:rPr>
              <w:t>Conclusion</w:t>
            </w:r>
            <w:r w:rsidR="007E6E49">
              <w:rPr>
                <w:noProof/>
                <w:webHidden/>
              </w:rPr>
              <w:tab/>
            </w:r>
            <w:r w:rsidR="007E6E49">
              <w:rPr>
                <w:noProof/>
                <w:webHidden/>
              </w:rPr>
              <w:fldChar w:fldCharType="begin"/>
            </w:r>
            <w:r w:rsidR="007E6E49">
              <w:rPr>
                <w:noProof/>
                <w:webHidden/>
              </w:rPr>
              <w:instrText xml:space="preserve"> PAGEREF _Toc461644668 \h </w:instrText>
            </w:r>
            <w:r w:rsidR="007E6E49">
              <w:rPr>
                <w:noProof/>
                <w:webHidden/>
              </w:rPr>
            </w:r>
            <w:r w:rsidR="007E6E49">
              <w:rPr>
                <w:noProof/>
                <w:webHidden/>
              </w:rPr>
              <w:fldChar w:fldCharType="separate"/>
            </w:r>
            <w:r w:rsidR="00800322">
              <w:rPr>
                <w:noProof/>
                <w:webHidden/>
              </w:rPr>
              <w:t>39</w:t>
            </w:r>
            <w:r w:rsidR="007E6E49">
              <w:rPr>
                <w:noProof/>
                <w:webHidden/>
              </w:rPr>
              <w:fldChar w:fldCharType="end"/>
            </w:r>
          </w:hyperlink>
        </w:p>
        <w:p w:rsidR="007E6E49" w:rsidRDefault="005F620C">
          <w:pPr>
            <w:pStyle w:val="TOC1"/>
            <w:tabs>
              <w:tab w:val="right" w:leader="dot" w:pos="9323"/>
            </w:tabs>
            <w:rPr>
              <w:rFonts w:eastAsiaTheme="minorEastAsia"/>
              <w:noProof/>
              <w:lang w:eastAsia="en-AU"/>
            </w:rPr>
          </w:pPr>
          <w:hyperlink w:anchor="_Toc461644669" w:history="1">
            <w:r w:rsidR="007E6E49" w:rsidRPr="00BE5EA4">
              <w:rPr>
                <w:rStyle w:val="Hyperlink"/>
                <w:noProof/>
              </w:rPr>
              <w:t>References</w:t>
            </w:r>
            <w:r w:rsidR="007E6E49">
              <w:rPr>
                <w:noProof/>
                <w:webHidden/>
              </w:rPr>
              <w:tab/>
            </w:r>
            <w:r w:rsidR="007E6E49">
              <w:rPr>
                <w:noProof/>
                <w:webHidden/>
              </w:rPr>
              <w:fldChar w:fldCharType="begin"/>
            </w:r>
            <w:r w:rsidR="007E6E49">
              <w:rPr>
                <w:noProof/>
                <w:webHidden/>
              </w:rPr>
              <w:instrText xml:space="preserve"> PAGEREF _Toc461644669 \h </w:instrText>
            </w:r>
            <w:r w:rsidR="007E6E49">
              <w:rPr>
                <w:noProof/>
                <w:webHidden/>
              </w:rPr>
            </w:r>
            <w:r w:rsidR="007E6E49">
              <w:rPr>
                <w:noProof/>
                <w:webHidden/>
              </w:rPr>
              <w:fldChar w:fldCharType="separate"/>
            </w:r>
            <w:r w:rsidR="00800322">
              <w:rPr>
                <w:noProof/>
                <w:webHidden/>
              </w:rPr>
              <w:t>42</w:t>
            </w:r>
            <w:r w:rsidR="007E6E49">
              <w:rPr>
                <w:noProof/>
                <w:webHidden/>
              </w:rPr>
              <w:fldChar w:fldCharType="end"/>
            </w:r>
          </w:hyperlink>
        </w:p>
        <w:p w:rsidR="007E6E49" w:rsidRDefault="005F620C">
          <w:pPr>
            <w:pStyle w:val="TOC1"/>
            <w:tabs>
              <w:tab w:val="right" w:leader="dot" w:pos="9323"/>
            </w:tabs>
            <w:rPr>
              <w:rFonts w:eastAsiaTheme="minorEastAsia"/>
              <w:noProof/>
              <w:lang w:eastAsia="en-AU"/>
            </w:rPr>
          </w:pPr>
          <w:hyperlink w:anchor="_Toc461644670" w:history="1">
            <w:r w:rsidR="007E6E49" w:rsidRPr="00BE5EA4">
              <w:rPr>
                <w:rStyle w:val="Hyperlink"/>
                <w:rFonts w:asciiTheme="majorHAnsi" w:eastAsiaTheme="majorEastAsia" w:hAnsiTheme="majorHAnsi" w:cstheme="majorBidi"/>
                <w:noProof/>
              </w:rPr>
              <w:t>Appendix</w:t>
            </w:r>
            <w:r w:rsidR="007E6E49">
              <w:rPr>
                <w:noProof/>
                <w:webHidden/>
              </w:rPr>
              <w:tab/>
            </w:r>
            <w:r w:rsidR="007E6E49">
              <w:rPr>
                <w:noProof/>
                <w:webHidden/>
              </w:rPr>
              <w:fldChar w:fldCharType="begin"/>
            </w:r>
            <w:r w:rsidR="007E6E49">
              <w:rPr>
                <w:noProof/>
                <w:webHidden/>
              </w:rPr>
              <w:instrText xml:space="preserve"> PAGEREF _Toc461644670 \h </w:instrText>
            </w:r>
            <w:r w:rsidR="007E6E49">
              <w:rPr>
                <w:noProof/>
                <w:webHidden/>
              </w:rPr>
            </w:r>
            <w:r w:rsidR="007E6E49">
              <w:rPr>
                <w:noProof/>
                <w:webHidden/>
              </w:rPr>
              <w:fldChar w:fldCharType="separate"/>
            </w:r>
            <w:r w:rsidR="00800322">
              <w:rPr>
                <w:noProof/>
                <w:webHidden/>
              </w:rPr>
              <w:t>45</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1" w:history="1">
            <w:r w:rsidR="007E6E49" w:rsidRPr="00BE5EA4">
              <w:rPr>
                <w:rStyle w:val="Hyperlink"/>
                <w:rFonts w:asciiTheme="majorHAnsi" w:eastAsia="Times New Roman" w:hAnsiTheme="majorHAnsi" w:cstheme="majorBidi"/>
                <w:noProof/>
                <w:lang w:eastAsia="en-AU"/>
              </w:rPr>
              <w:t xml:space="preserve">Table </w:t>
            </w:r>
            <w:r w:rsidR="007E6E49" w:rsidRPr="00BE5EA4">
              <w:rPr>
                <w:rStyle w:val="Hyperlink"/>
                <w:rFonts w:asciiTheme="majorHAnsi" w:eastAsia="Times New Roman" w:hAnsiTheme="majorHAnsi" w:cstheme="majorBidi"/>
                <w:i/>
                <w:iCs/>
                <w:noProof/>
                <w:lang w:eastAsia="en-AU"/>
              </w:rPr>
              <w:t>A</w:t>
            </w:r>
            <w:r w:rsidR="007E6E49" w:rsidRPr="00BE5EA4">
              <w:rPr>
                <w:rStyle w:val="Hyperlink"/>
                <w:rFonts w:asciiTheme="majorHAnsi" w:eastAsia="Times New Roman" w:hAnsiTheme="majorHAnsi" w:cstheme="majorBidi"/>
                <w:noProof/>
                <w:lang w:eastAsia="en-AU"/>
              </w:rPr>
              <w:t>2</w:t>
            </w:r>
            <w:r w:rsidR="007E6E49" w:rsidRPr="00BE5EA4">
              <w:rPr>
                <w:rStyle w:val="Hyperlink"/>
                <w:rFonts w:asciiTheme="majorHAnsi" w:eastAsia="Times New Roman" w:hAnsiTheme="majorHAnsi" w:cstheme="majorBidi"/>
                <w:i/>
                <w:iCs/>
                <w:noProof/>
                <w:lang w:eastAsia="en-AU"/>
              </w:rPr>
              <w:t>.1</w:t>
            </w:r>
            <w:r w:rsidR="007E6E49" w:rsidRPr="00BE5EA4">
              <w:rPr>
                <w:rStyle w:val="Hyperlink"/>
                <w:rFonts w:asciiTheme="majorHAnsi" w:eastAsia="Times New Roman" w:hAnsiTheme="majorHAnsi" w:cstheme="majorBidi"/>
                <w:noProof/>
                <w:lang w:eastAsia="en-AU"/>
              </w:rPr>
              <w:t xml:space="preserve"> Australian guidelines for identification and management of familial hypercholesterolaemia (FH)</w:t>
            </w:r>
            <w:r w:rsidR="007E6E49">
              <w:rPr>
                <w:noProof/>
                <w:webHidden/>
              </w:rPr>
              <w:tab/>
            </w:r>
            <w:r w:rsidR="007E6E49">
              <w:rPr>
                <w:noProof/>
                <w:webHidden/>
              </w:rPr>
              <w:fldChar w:fldCharType="begin"/>
            </w:r>
            <w:r w:rsidR="007E6E49">
              <w:rPr>
                <w:noProof/>
                <w:webHidden/>
              </w:rPr>
              <w:instrText xml:space="preserve"> PAGEREF _Toc461644671 \h </w:instrText>
            </w:r>
            <w:r w:rsidR="007E6E49">
              <w:rPr>
                <w:noProof/>
                <w:webHidden/>
              </w:rPr>
            </w:r>
            <w:r w:rsidR="007E6E49">
              <w:rPr>
                <w:noProof/>
                <w:webHidden/>
              </w:rPr>
              <w:fldChar w:fldCharType="separate"/>
            </w:r>
            <w:r w:rsidR="00800322">
              <w:rPr>
                <w:noProof/>
                <w:webHidden/>
              </w:rPr>
              <w:t>45</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2" w:history="1">
            <w:r w:rsidR="007E6E49" w:rsidRPr="00BE5EA4">
              <w:rPr>
                <w:rStyle w:val="Hyperlink"/>
                <w:rFonts w:asciiTheme="majorHAnsi" w:eastAsia="Times New Roman" w:hAnsiTheme="majorHAnsi" w:cstheme="majorBidi"/>
                <w:noProof/>
                <w:lang w:eastAsia="en-AU"/>
              </w:rPr>
              <w:t xml:space="preserve">Table </w:t>
            </w:r>
            <w:r w:rsidR="007E6E49" w:rsidRPr="00BE5EA4">
              <w:rPr>
                <w:rStyle w:val="Hyperlink"/>
                <w:rFonts w:asciiTheme="majorHAnsi" w:eastAsia="Times New Roman" w:hAnsiTheme="majorHAnsi" w:cstheme="majorBidi"/>
                <w:i/>
                <w:iCs/>
                <w:noProof/>
                <w:lang w:eastAsia="en-AU"/>
              </w:rPr>
              <w:t>A</w:t>
            </w:r>
            <w:r w:rsidR="007E6E49" w:rsidRPr="00BE5EA4">
              <w:rPr>
                <w:rStyle w:val="Hyperlink"/>
                <w:rFonts w:asciiTheme="majorHAnsi" w:eastAsia="Times New Roman" w:hAnsiTheme="majorHAnsi" w:cstheme="majorBidi"/>
                <w:noProof/>
                <w:lang w:eastAsia="en-AU"/>
              </w:rPr>
              <w:t>3</w:t>
            </w:r>
            <w:r w:rsidR="007E6E49" w:rsidRPr="00BE5EA4">
              <w:rPr>
                <w:rStyle w:val="Hyperlink"/>
                <w:rFonts w:asciiTheme="majorHAnsi" w:eastAsia="Times New Roman" w:hAnsiTheme="majorHAnsi" w:cstheme="majorBidi"/>
                <w:i/>
                <w:iCs/>
                <w:noProof/>
                <w:lang w:eastAsia="en-AU"/>
              </w:rPr>
              <w:t>.1</w:t>
            </w:r>
            <w:r w:rsidR="007E6E49" w:rsidRPr="00BE5EA4">
              <w:rPr>
                <w:rStyle w:val="Hyperlink"/>
                <w:rFonts w:asciiTheme="majorHAnsi" w:eastAsia="Times New Roman" w:hAnsiTheme="majorHAnsi" w:cstheme="majorBidi"/>
                <w:noProof/>
                <w:lang w:eastAsia="en-AU"/>
              </w:rPr>
              <w:t xml:space="preserve"> High-, Moderate-, and Low-Intensity Statin Therapy as classified in the 2013 ACC/AHA Guideline</w:t>
            </w:r>
            <w:r w:rsidR="007E6E49">
              <w:rPr>
                <w:noProof/>
                <w:webHidden/>
              </w:rPr>
              <w:tab/>
            </w:r>
            <w:r w:rsidR="007E6E49">
              <w:rPr>
                <w:noProof/>
                <w:webHidden/>
              </w:rPr>
              <w:fldChar w:fldCharType="begin"/>
            </w:r>
            <w:r w:rsidR="007E6E49">
              <w:rPr>
                <w:noProof/>
                <w:webHidden/>
              </w:rPr>
              <w:instrText xml:space="preserve"> PAGEREF _Toc461644672 \h </w:instrText>
            </w:r>
            <w:r w:rsidR="007E6E49">
              <w:rPr>
                <w:noProof/>
                <w:webHidden/>
              </w:rPr>
            </w:r>
            <w:r w:rsidR="007E6E49">
              <w:rPr>
                <w:noProof/>
                <w:webHidden/>
              </w:rPr>
              <w:fldChar w:fldCharType="separate"/>
            </w:r>
            <w:r w:rsidR="00800322">
              <w:rPr>
                <w:noProof/>
                <w:webHidden/>
              </w:rPr>
              <w:t>46</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3" w:history="1">
            <w:r w:rsidR="007E6E49" w:rsidRPr="00BE5EA4">
              <w:rPr>
                <w:rStyle w:val="Hyperlink"/>
                <w:rFonts w:asciiTheme="majorHAnsi" w:eastAsiaTheme="majorEastAsia" w:hAnsiTheme="majorHAnsi" w:cstheme="majorBidi"/>
                <w:noProof/>
              </w:rPr>
              <w:t>Figure A3.1 Clinical decision pathway for secondary prevention population with ASCVD diagnosis and comorbidities</w:t>
            </w:r>
            <w:r w:rsidR="007E6E49">
              <w:rPr>
                <w:noProof/>
                <w:webHidden/>
              </w:rPr>
              <w:tab/>
            </w:r>
            <w:r w:rsidR="007E6E49">
              <w:rPr>
                <w:noProof/>
                <w:webHidden/>
              </w:rPr>
              <w:fldChar w:fldCharType="begin"/>
            </w:r>
            <w:r w:rsidR="007E6E49">
              <w:rPr>
                <w:noProof/>
                <w:webHidden/>
              </w:rPr>
              <w:instrText xml:space="preserve"> PAGEREF _Toc461644673 \h </w:instrText>
            </w:r>
            <w:r w:rsidR="007E6E49">
              <w:rPr>
                <w:noProof/>
                <w:webHidden/>
              </w:rPr>
            </w:r>
            <w:r w:rsidR="007E6E49">
              <w:rPr>
                <w:noProof/>
                <w:webHidden/>
              </w:rPr>
              <w:fldChar w:fldCharType="separate"/>
            </w:r>
            <w:r w:rsidR="00800322">
              <w:rPr>
                <w:noProof/>
                <w:webHidden/>
              </w:rPr>
              <w:t>47</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4" w:history="1">
            <w:r w:rsidR="007E6E49" w:rsidRPr="00BE5EA4">
              <w:rPr>
                <w:rStyle w:val="Hyperlink"/>
                <w:rFonts w:asciiTheme="majorHAnsi" w:eastAsiaTheme="majorEastAsia" w:hAnsiTheme="majorHAnsi" w:cstheme="majorBidi"/>
                <w:noProof/>
              </w:rPr>
              <w:t>Figure A3.2 Clinical decision pathway for primary prevention population with baseline LDL-C ≥190mg/dL (2.6 mmol/L)</w:t>
            </w:r>
            <w:r w:rsidR="007E6E49">
              <w:rPr>
                <w:noProof/>
                <w:webHidden/>
              </w:rPr>
              <w:tab/>
            </w:r>
            <w:r w:rsidR="007E6E49">
              <w:rPr>
                <w:noProof/>
                <w:webHidden/>
              </w:rPr>
              <w:fldChar w:fldCharType="begin"/>
            </w:r>
            <w:r w:rsidR="007E6E49">
              <w:rPr>
                <w:noProof/>
                <w:webHidden/>
              </w:rPr>
              <w:instrText xml:space="preserve"> PAGEREF _Toc461644674 \h </w:instrText>
            </w:r>
            <w:r w:rsidR="007E6E49">
              <w:rPr>
                <w:noProof/>
                <w:webHidden/>
              </w:rPr>
            </w:r>
            <w:r w:rsidR="007E6E49">
              <w:rPr>
                <w:noProof/>
                <w:webHidden/>
              </w:rPr>
              <w:fldChar w:fldCharType="separate"/>
            </w:r>
            <w:r w:rsidR="00800322">
              <w:rPr>
                <w:noProof/>
                <w:webHidden/>
              </w:rPr>
              <w:t>48</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5" w:history="1">
            <w:r w:rsidR="007E6E49" w:rsidRPr="00BE5EA4">
              <w:rPr>
                <w:rStyle w:val="Hyperlink"/>
                <w:rFonts w:asciiTheme="majorHAnsi" w:eastAsiaTheme="majorEastAsia" w:hAnsiTheme="majorHAnsi" w:cstheme="majorBidi"/>
                <w:noProof/>
              </w:rPr>
              <w:t>Table A4.1 Grouping of statins by intensity category used in the 2014 NICE guidance</w:t>
            </w:r>
            <w:r w:rsidR="007E6E49">
              <w:rPr>
                <w:noProof/>
                <w:webHidden/>
              </w:rPr>
              <w:tab/>
            </w:r>
            <w:r w:rsidR="007E6E49">
              <w:rPr>
                <w:noProof/>
                <w:webHidden/>
              </w:rPr>
              <w:fldChar w:fldCharType="begin"/>
            </w:r>
            <w:r w:rsidR="007E6E49">
              <w:rPr>
                <w:noProof/>
                <w:webHidden/>
              </w:rPr>
              <w:instrText xml:space="preserve"> PAGEREF _Toc461644675 \h </w:instrText>
            </w:r>
            <w:r w:rsidR="007E6E49">
              <w:rPr>
                <w:noProof/>
                <w:webHidden/>
              </w:rPr>
            </w:r>
            <w:r w:rsidR="007E6E49">
              <w:rPr>
                <w:noProof/>
                <w:webHidden/>
              </w:rPr>
              <w:fldChar w:fldCharType="separate"/>
            </w:r>
            <w:r w:rsidR="00800322">
              <w:rPr>
                <w:noProof/>
                <w:webHidden/>
              </w:rPr>
              <w:t>49</w:t>
            </w:r>
            <w:r w:rsidR="007E6E49">
              <w:rPr>
                <w:noProof/>
                <w:webHidden/>
              </w:rPr>
              <w:fldChar w:fldCharType="end"/>
            </w:r>
          </w:hyperlink>
        </w:p>
        <w:p w:rsidR="007E6E49" w:rsidRDefault="005F620C">
          <w:pPr>
            <w:pStyle w:val="TOC2"/>
            <w:tabs>
              <w:tab w:val="right" w:leader="dot" w:pos="9323"/>
            </w:tabs>
            <w:rPr>
              <w:rFonts w:eastAsiaTheme="minorEastAsia"/>
              <w:noProof/>
              <w:lang w:eastAsia="en-AU"/>
            </w:rPr>
          </w:pPr>
          <w:hyperlink w:anchor="_Toc461644676" w:history="1">
            <w:r w:rsidR="007E6E49" w:rsidRPr="00BE5EA4">
              <w:rPr>
                <w:rStyle w:val="Hyperlink"/>
                <w:rFonts w:asciiTheme="majorHAnsi" w:eastAsiaTheme="majorEastAsia" w:hAnsiTheme="majorHAnsi" w:cstheme="majorBidi"/>
                <w:noProof/>
              </w:rPr>
              <w:t>Table A5.1 Percentage reduction of low-density lipoprotein cholesterol (LDL-C) requested to achieve goals as a function of the starting value</w:t>
            </w:r>
            <w:r w:rsidR="007E6E49">
              <w:rPr>
                <w:noProof/>
                <w:webHidden/>
              </w:rPr>
              <w:tab/>
            </w:r>
            <w:r w:rsidR="007E6E49">
              <w:rPr>
                <w:noProof/>
                <w:webHidden/>
              </w:rPr>
              <w:fldChar w:fldCharType="begin"/>
            </w:r>
            <w:r w:rsidR="007E6E49">
              <w:rPr>
                <w:noProof/>
                <w:webHidden/>
              </w:rPr>
              <w:instrText xml:space="preserve"> PAGEREF _Toc461644676 \h </w:instrText>
            </w:r>
            <w:r w:rsidR="007E6E49">
              <w:rPr>
                <w:noProof/>
                <w:webHidden/>
              </w:rPr>
            </w:r>
            <w:r w:rsidR="007E6E49">
              <w:rPr>
                <w:noProof/>
                <w:webHidden/>
              </w:rPr>
              <w:fldChar w:fldCharType="separate"/>
            </w:r>
            <w:r w:rsidR="00800322">
              <w:rPr>
                <w:noProof/>
                <w:webHidden/>
              </w:rPr>
              <w:t>49</w:t>
            </w:r>
            <w:r w:rsidR="007E6E49">
              <w:rPr>
                <w:noProof/>
                <w:webHidden/>
              </w:rPr>
              <w:fldChar w:fldCharType="end"/>
            </w:r>
          </w:hyperlink>
        </w:p>
        <w:p w:rsidR="00654BF3" w:rsidRDefault="00654BF3">
          <w:r>
            <w:rPr>
              <w:b/>
              <w:bCs/>
              <w:noProof/>
            </w:rPr>
            <w:fldChar w:fldCharType="end"/>
          </w:r>
        </w:p>
      </w:sdtContent>
    </w:sdt>
    <w:p w:rsidR="00DE2740" w:rsidRDefault="00DE2740" w:rsidP="00416DBD">
      <w:pPr>
        <w:spacing w:after="0"/>
        <w:rPr>
          <w:rFonts w:asciiTheme="majorHAnsi" w:hAnsiTheme="majorHAnsi" w:cs="Times New Roman"/>
          <w:color w:val="2E74B5" w:themeColor="accent1" w:themeShade="BF"/>
          <w:sz w:val="32"/>
          <w:szCs w:val="32"/>
        </w:rPr>
      </w:pPr>
      <w:r>
        <w:rPr>
          <w:rFonts w:asciiTheme="majorHAnsi" w:hAnsiTheme="majorHAnsi" w:cs="Times New Roman"/>
          <w:color w:val="2E74B5" w:themeColor="accent1" w:themeShade="BF"/>
          <w:sz w:val="32"/>
          <w:szCs w:val="32"/>
        </w:rPr>
        <w:lastRenderedPageBreak/>
        <w:t>Glossary</w:t>
      </w:r>
    </w:p>
    <w:p w:rsidR="008F4034" w:rsidRDefault="008F4034" w:rsidP="00416DBD">
      <w:pPr>
        <w:spacing w:after="0"/>
        <w:rPr>
          <w:rFonts w:asciiTheme="majorHAnsi" w:hAnsiTheme="majorHAnsi" w:cs="Times New Roman"/>
          <w:color w:val="2E74B5" w:themeColor="accent1" w:themeShade="BF"/>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8F4034" w:rsidRPr="0011415E" w:rsidTr="0011415E">
        <w:tc>
          <w:tcPr>
            <w:tcW w:w="4661" w:type="dxa"/>
          </w:tcPr>
          <w:p w:rsidR="008F4034" w:rsidRPr="0011415E" w:rsidRDefault="008F4034" w:rsidP="006B1476">
            <w:pPr>
              <w:rPr>
                <w:rFonts w:eastAsia="Calibri" w:cs="Times New Roman"/>
              </w:rPr>
            </w:pPr>
            <w:r>
              <w:rPr>
                <w:rFonts w:eastAsia="Calibri" w:cs="Times New Roman"/>
              </w:rPr>
              <w:t>ACC</w:t>
            </w:r>
          </w:p>
        </w:tc>
        <w:tc>
          <w:tcPr>
            <w:tcW w:w="4662" w:type="dxa"/>
          </w:tcPr>
          <w:p w:rsidR="008F4034" w:rsidRPr="0011415E" w:rsidRDefault="008F4034" w:rsidP="006B1476">
            <w:pPr>
              <w:rPr>
                <w:rFonts w:eastAsia="Calibri" w:cs="Times New Roman"/>
              </w:rPr>
            </w:pPr>
            <w:r>
              <w:rPr>
                <w:rFonts w:eastAsia="Calibri" w:cs="Times New Roman"/>
              </w:rPr>
              <w:t>American College of Cardiology</w:t>
            </w:r>
          </w:p>
        </w:tc>
      </w:tr>
      <w:tr w:rsidR="008F4034" w:rsidRPr="0011415E" w:rsidTr="0011415E">
        <w:tc>
          <w:tcPr>
            <w:tcW w:w="4661" w:type="dxa"/>
          </w:tcPr>
          <w:p w:rsidR="008F4034" w:rsidRPr="00BE1852" w:rsidRDefault="008F4034" w:rsidP="0011415E">
            <w:pPr>
              <w:rPr>
                <w:rFonts w:eastAsia="Calibri" w:cs="Times New Roman"/>
              </w:rPr>
            </w:pPr>
            <w:r w:rsidRPr="00BE1852">
              <w:rPr>
                <w:rFonts w:eastAsia="Calibri" w:cs="Times New Roman"/>
              </w:rPr>
              <w:t>AHA</w:t>
            </w:r>
          </w:p>
        </w:tc>
        <w:tc>
          <w:tcPr>
            <w:tcW w:w="4662" w:type="dxa"/>
          </w:tcPr>
          <w:p w:rsidR="008F4034" w:rsidRDefault="008F4034" w:rsidP="0011415E">
            <w:pPr>
              <w:rPr>
                <w:rFonts w:eastAsia="Calibri" w:cs="Times New Roman"/>
              </w:rPr>
            </w:pPr>
            <w:r w:rsidRPr="00BE1852">
              <w:rPr>
                <w:rFonts w:eastAsia="Calibri" w:cs="Times New Roman"/>
              </w:rPr>
              <w:t>American Heart Association</w:t>
            </w:r>
          </w:p>
        </w:tc>
      </w:tr>
      <w:tr w:rsidR="008F4034" w:rsidRPr="0011415E" w:rsidTr="0011415E">
        <w:tc>
          <w:tcPr>
            <w:tcW w:w="4661" w:type="dxa"/>
          </w:tcPr>
          <w:p w:rsidR="008F4034" w:rsidRDefault="008F4034" w:rsidP="0011415E">
            <w:pPr>
              <w:rPr>
                <w:rFonts w:ascii="Calibri" w:hAnsi="Calibri" w:cs="Arial"/>
                <w:color w:val="000000"/>
                <w:shd w:val="clear" w:color="auto" w:fill="FFFFFF"/>
              </w:rPr>
            </w:pPr>
            <w:r>
              <w:t>AR</w:t>
            </w:r>
          </w:p>
        </w:tc>
        <w:tc>
          <w:tcPr>
            <w:tcW w:w="4662" w:type="dxa"/>
          </w:tcPr>
          <w:p w:rsidR="008F4034" w:rsidRPr="00C07793" w:rsidRDefault="008F4034" w:rsidP="006B1476">
            <w:r>
              <w:t>Absolute risk</w:t>
            </w:r>
          </w:p>
        </w:tc>
      </w:tr>
      <w:tr w:rsidR="008F4034" w:rsidRPr="0011415E" w:rsidTr="0011415E">
        <w:tc>
          <w:tcPr>
            <w:tcW w:w="4661" w:type="dxa"/>
          </w:tcPr>
          <w:p w:rsidR="008F4034" w:rsidRPr="00BE1852" w:rsidRDefault="008F4034" w:rsidP="0011415E">
            <w:pPr>
              <w:rPr>
                <w:rFonts w:eastAsia="Calibri" w:cs="Times New Roman"/>
              </w:rPr>
            </w:pPr>
            <w:r w:rsidRPr="00BE1852">
              <w:rPr>
                <w:rFonts w:eastAsia="Calibri" w:cs="Times New Roman"/>
              </w:rPr>
              <w:t>ASCVD</w:t>
            </w:r>
          </w:p>
        </w:tc>
        <w:tc>
          <w:tcPr>
            <w:tcW w:w="4662" w:type="dxa"/>
          </w:tcPr>
          <w:p w:rsidR="008F4034" w:rsidRDefault="008F4034" w:rsidP="0011415E">
            <w:pPr>
              <w:rPr>
                <w:rFonts w:eastAsia="Calibri" w:cs="Times New Roman"/>
              </w:rPr>
            </w:pPr>
            <w:r>
              <w:t>Atherosclerotic Cardiovascular D</w:t>
            </w:r>
            <w:r w:rsidRPr="00843F4E">
              <w:t>isease</w:t>
            </w:r>
          </w:p>
        </w:tc>
      </w:tr>
      <w:tr w:rsidR="008F4034" w:rsidRPr="0011415E" w:rsidTr="0011415E">
        <w:tc>
          <w:tcPr>
            <w:tcW w:w="4661" w:type="dxa"/>
          </w:tcPr>
          <w:p w:rsidR="008F4034" w:rsidRPr="00BE1852" w:rsidRDefault="008F4034" w:rsidP="0011415E">
            <w:pPr>
              <w:rPr>
                <w:rFonts w:eastAsia="Calibri" w:cs="Times New Roman"/>
              </w:rPr>
            </w:pPr>
            <w:r w:rsidRPr="00BE1852">
              <w:rPr>
                <w:rFonts w:eastAsia="Calibri" w:cs="Times New Roman"/>
              </w:rPr>
              <w:t>ATSI</w:t>
            </w:r>
          </w:p>
        </w:tc>
        <w:tc>
          <w:tcPr>
            <w:tcW w:w="4662" w:type="dxa"/>
          </w:tcPr>
          <w:p w:rsidR="008F4034" w:rsidRDefault="008F4034" w:rsidP="0011415E">
            <w:pPr>
              <w:rPr>
                <w:rFonts w:eastAsia="Calibri" w:cs="Times New Roman"/>
              </w:rPr>
            </w:pPr>
            <w:r>
              <w:rPr>
                <w:rFonts w:eastAsia="Calibri" w:cs="Times New Roman"/>
              </w:rPr>
              <w:t>Aboriginal and Torres Strait Islanders</w:t>
            </w:r>
          </w:p>
        </w:tc>
      </w:tr>
      <w:tr w:rsidR="008F4034" w:rsidRPr="0011415E" w:rsidTr="0011415E">
        <w:tc>
          <w:tcPr>
            <w:tcW w:w="4661" w:type="dxa"/>
          </w:tcPr>
          <w:p w:rsidR="008F4034" w:rsidRDefault="008F4034" w:rsidP="0011415E">
            <w:pPr>
              <w:rPr>
                <w:lang w:eastAsia="zh-CN"/>
              </w:rPr>
            </w:pPr>
            <w:r>
              <w:rPr>
                <w:lang w:eastAsia="zh-CN"/>
              </w:rPr>
              <w:t>AusDiab</w:t>
            </w:r>
          </w:p>
        </w:tc>
        <w:tc>
          <w:tcPr>
            <w:tcW w:w="4662" w:type="dxa"/>
          </w:tcPr>
          <w:p w:rsidR="008F4034" w:rsidRDefault="008F4034" w:rsidP="006B1476">
            <w:pPr>
              <w:rPr>
                <w:lang w:eastAsia="zh-CN"/>
              </w:rPr>
            </w:pPr>
            <w:r>
              <w:rPr>
                <w:lang w:eastAsia="zh-CN"/>
              </w:rPr>
              <w:t>Australian Diabetes, Obesity and Lifestyle Study</w:t>
            </w:r>
          </w:p>
        </w:tc>
      </w:tr>
      <w:tr w:rsidR="008F4034" w:rsidRPr="0011415E" w:rsidTr="0011415E">
        <w:tc>
          <w:tcPr>
            <w:tcW w:w="4661" w:type="dxa"/>
          </w:tcPr>
          <w:p w:rsidR="008F4034" w:rsidRDefault="008F4034" w:rsidP="0011415E">
            <w:r>
              <w:rPr>
                <w:lang w:eastAsia="zh-CN"/>
              </w:rPr>
              <w:t>BP</w:t>
            </w:r>
          </w:p>
        </w:tc>
        <w:tc>
          <w:tcPr>
            <w:tcW w:w="4662" w:type="dxa"/>
          </w:tcPr>
          <w:p w:rsidR="008F4034" w:rsidRDefault="008F4034" w:rsidP="006B1476">
            <w:r>
              <w:rPr>
                <w:lang w:eastAsia="zh-CN"/>
              </w:rPr>
              <w:t>Blood pressure</w:t>
            </w:r>
          </w:p>
        </w:tc>
      </w:tr>
      <w:tr w:rsidR="008F4034" w:rsidRPr="0011415E" w:rsidTr="0011415E">
        <w:tc>
          <w:tcPr>
            <w:tcW w:w="4661" w:type="dxa"/>
          </w:tcPr>
          <w:p w:rsidR="008F4034" w:rsidRPr="006B1476" w:rsidRDefault="008F4034" w:rsidP="0011415E">
            <w:pPr>
              <w:rPr>
                <w:rFonts w:eastAsia="Calibri" w:cs="Times New Roman"/>
              </w:rPr>
            </w:pPr>
            <w:r>
              <w:rPr>
                <w:rFonts w:eastAsia="Calibri" w:cs="Times New Roman"/>
              </w:rPr>
              <w:t>CCS</w:t>
            </w:r>
          </w:p>
        </w:tc>
        <w:tc>
          <w:tcPr>
            <w:tcW w:w="4662" w:type="dxa"/>
          </w:tcPr>
          <w:p w:rsidR="008F4034" w:rsidRPr="006B1476" w:rsidRDefault="008F4034" w:rsidP="0011415E">
            <w:pPr>
              <w:rPr>
                <w:rFonts w:eastAsia="Calibri" w:cs="Times New Roman"/>
              </w:rPr>
            </w:pPr>
            <w:r w:rsidRPr="006B1476">
              <w:rPr>
                <w:rFonts w:eastAsia="Calibri" w:cs="Times New Roman"/>
              </w:rPr>
              <w:t>Canadian Cardiovascular Society</w:t>
            </w:r>
          </w:p>
        </w:tc>
      </w:tr>
      <w:tr w:rsidR="008F4034" w:rsidRPr="0011415E" w:rsidTr="0011415E">
        <w:tc>
          <w:tcPr>
            <w:tcW w:w="4661" w:type="dxa"/>
          </w:tcPr>
          <w:p w:rsidR="008F4034" w:rsidRDefault="008F4034" w:rsidP="0011415E">
            <w:r>
              <w:t>CHD</w:t>
            </w:r>
          </w:p>
        </w:tc>
        <w:tc>
          <w:tcPr>
            <w:tcW w:w="4662" w:type="dxa"/>
          </w:tcPr>
          <w:p w:rsidR="008F4034" w:rsidRDefault="008F4034" w:rsidP="006B1476">
            <w:r>
              <w:t>Coronary heart disease</w:t>
            </w:r>
          </w:p>
        </w:tc>
      </w:tr>
      <w:tr w:rsidR="008F4034" w:rsidRPr="0011415E" w:rsidTr="0011415E">
        <w:tc>
          <w:tcPr>
            <w:tcW w:w="4661" w:type="dxa"/>
          </w:tcPr>
          <w:p w:rsidR="008F4034" w:rsidRPr="00BE1852" w:rsidRDefault="008F4034" w:rsidP="0011415E">
            <w:pPr>
              <w:rPr>
                <w:rFonts w:eastAsia="Calibri" w:cs="Times New Roman"/>
              </w:rPr>
            </w:pPr>
            <w:r>
              <w:rPr>
                <w:rFonts w:eastAsia="Calibri" w:cs="Times New Roman"/>
              </w:rPr>
              <w:t>CKD</w:t>
            </w:r>
          </w:p>
        </w:tc>
        <w:tc>
          <w:tcPr>
            <w:tcW w:w="4662" w:type="dxa"/>
          </w:tcPr>
          <w:p w:rsidR="008F4034" w:rsidRDefault="008F4034" w:rsidP="0011415E">
            <w:pPr>
              <w:rPr>
                <w:rFonts w:eastAsia="Calibri" w:cs="Times New Roman"/>
              </w:rPr>
            </w:pPr>
            <w:r>
              <w:rPr>
                <w:rFonts w:eastAsia="Calibri" w:cs="Times New Roman"/>
              </w:rPr>
              <w:t>Chronic kidney disease</w:t>
            </w:r>
          </w:p>
        </w:tc>
      </w:tr>
      <w:tr w:rsidR="008F4034" w:rsidRPr="0011415E" w:rsidTr="0011415E">
        <w:tc>
          <w:tcPr>
            <w:tcW w:w="4661" w:type="dxa"/>
          </w:tcPr>
          <w:p w:rsidR="008F4034" w:rsidRDefault="008F4034" w:rsidP="0011415E">
            <w:pPr>
              <w:rPr>
                <w:rFonts w:eastAsia="Calibri" w:cs="Times New Roman"/>
              </w:rPr>
            </w:pPr>
            <w:r w:rsidRPr="00AD5ED1">
              <w:rPr>
                <w:rFonts w:ascii="Calibri" w:hAnsi="Calibri" w:cs="Arial"/>
                <w:color w:val="000000"/>
                <w:shd w:val="clear" w:color="auto" w:fill="FFFFFF"/>
              </w:rPr>
              <w:t>CSANZ</w:t>
            </w:r>
          </w:p>
        </w:tc>
        <w:tc>
          <w:tcPr>
            <w:tcW w:w="4662" w:type="dxa"/>
          </w:tcPr>
          <w:p w:rsidR="008F4034" w:rsidRDefault="008F4034" w:rsidP="006B1476">
            <w:pPr>
              <w:rPr>
                <w:rFonts w:eastAsia="Calibri" w:cs="Times New Roman"/>
              </w:rPr>
            </w:pPr>
            <w:r w:rsidRPr="00AD5ED1">
              <w:rPr>
                <w:rFonts w:ascii="Calibri" w:hAnsi="Calibri" w:cs="Arial"/>
                <w:color w:val="000000"/>
                <w:shd w:val="clear" w:color="auto" w:fill="FFFFFF"/>
              </w:rPr>
              <w:t>Cardiac Society of Australia and New Zealand</w:t>
            </w:r>
          </w:p>
        </w:tc>
      </w:tr>
      <w:tr w:rsidR="008F4034" w:rsidRPr="0011415E" w:rsidTr="0011415E">
        <w:tc>
          <w:tcPr>
            <w:tcW w:w="4661" w:type="dxa"/>
          </w:tcPr>
          <w:p w:rsidR="008F4034" w:rsidRPr="0011415E" w:rsidRDefault="008F4034" w:rsidP="0011415E">
            <w:pPr>
              <w:rPr>
                <w:rFonts w:eastAsia="Calibri" w:cs="Times New Roman"/>
              </w:rPr>
            </w:pPr>
            <w:r w:rsidRPr="0011415E">
              <w:rPr>
                <w:rFonts w:eastAsia="Calibri" w:cs="Times New Roman"/>
              </w:rPr>
              <w:t>CVD</w:t>
            </w:r>
          </w:p>
        </w:tc>
        <w:tc>
          <w:tcPr>
            <w:tcW w:w="4662" w:type="dxa"/>
          </w:tcPr>
          <w:p w:rsidR="008F4034" w:rsidRPr="0011415E" w:rsidRDefault="008F4034" w:rsidP="0011415E">
            <w:pPr>
              <w:rPr>
                <w:rFonts w:eastAsia="Calibri" w:cs="Times New Roman"/>
              </w:rPr>
            </w:pPr>
            <w:r w:rsidRPr="0011415E">
              <w:rPr>
                <w:rFonts w:eastAsia="Calibri" w:cs="Times New Roman"/>
              </w:rPr>
              <w:t xml:space="preserve">cardiovascular disease </w:t>
            </w:r>
          </w:p>
        </w:tc>
      </w:tr>
      <w:tr w:rsidR="008F4034" w:rsidRPr="0011415E" w:rsidTr="0011415E">
        <w:tc>
          <w:tcPr>
            <w:tcW w:w="4661" w:type="dxa"/>
          </w:tcPr>
          <w:p w:rsidR="008F4034" w:rsidRPr="0011415E" w:rsidRDefault="008F4034" w:rsidP="0011415E">
            <w:pPr>
              <w:rPr>
                <w:rFonts w:eastAsia="Calibri" w:cs="Times New Roman"/>
              </w:rPr>
            </w:pPr>
            <w:r w:rsidRPr="00BE1852">
              <w:rPr>
                <w:rFonts w:eastAsia="Calibri" w:cs="Times New Roman"/>
              </w:rPr>
              <w:t>DM</w:t>
            </w:r>
          </w:p>
        </w:tc>
        <w:tc>
          <w:tcPr>
            <w:tcW w:w="4662" w:type="dxa"/>
          </w:tcPr>
          <w:p w:rsidR="008F4034" w:rsidRPr="0011415E" w:rsidRDefault="008F4034" w:rsidP="0011415E">
            <w:pPr>
              <w:rPr>
                <w:rFonts w:eastAsia="Calibri" w:cs="Times New Roman"/>
              </w:rPr>
            </w:pPr>
            <w:r>
              <w:rPr>
                <w:rFonts w:eastAsia="Calibri" w:cs="Times New Roman"/>
              </w:rPr>
              <w:t>Diabetes mellitus</w:t>
            </w:r>
          </w:p>
        </w:tc>
      </w:tr>
      <w:tr w:rsidR="008F4034" w:rsidRPr="0011415E" w:rsidTr="0011415E">
        <w:tc>
          <w:tcPr>
            <w:tcW w:w="4661" w:type="dxa"/>
          </w:tcPr>
          <w:p w:rsidR="008F4034" w:rsidRDefault="008F4034" w:rsidP="0011415E">
            <w:pPr>
              <w:rPr>
                <w:rFonts w:eastAsia="Calibri" w:cs="Times New Roman"/>
              </w:rPr>
            </w:pPr>
            <w:r>
              <w:rPr>
                <w:rFonts w:eastAsia="Calibri" w:cs="Times New Roman"/>
              </w:rPr>
              <w:t>EAS</w:t>
            </w:r>
          </w:p>
        </w:tc>
        <w:tc>
          <w:tcPr>
            <w:tcW w:w="4662" w:type="dxa"/>
          </w:tcPr>
          <w:p w:rsidR="008F4034" w:rsidRPr="006B1476" w:rsidRDefault="008F4034" w:rsidP="0011415E">
            <w:pPr>
              <w:rPr>
                <w:rFonts w:eastAsia="Calibri" w:cs="Times New Roman"/>
              </w:rPr>
            </w:pPr>
            <w:r w:rsidRPr="006B1476">
              <w:rPr>
                <w:rFonts w:eastAsia="Calibri" w:cs="Times New Roman"/>
              </w:rPr>
              <w:t>European Atherosclerosis Society</w:t>
            </w:r>
          </w:p>
        </w:tc>
      </w:tr>
      <w:tr w:rsidR="008F4034" w:rsidRPr="0011415E" w:rsidTr="0011415E">
        <w:tc>
          <w:tcPr>
            <w:tcW w:w="4661" w:type="dxa"/>
          </w:tcPr>
          <w:p w:rsidR="008F4034" w:rsidRDefault="008F4034" w:rsidP="0011415E">
            <w:pPr>
              <w:rPr>
                <w:rFonts w:eastAsia="Calibri" w:cs="Times New Roman"/>
              </w:rPr>
            </w:pPr>
            <w:r>
              <w:rPr>
                <w:rFonts w:eastAsia="Calibri" w:cs="Times New Roman"/>
              </w:rPr>
              <w:t>ESC</w:t>
            </w:r>
          </w:p>
        </w:tc>
        <w:tc>
          <w:tcPr>
            <w:tcW w:w="4662" w:type="dxa"/>
          </w:tcPr>
          <w:p w:rsidR="008F4034" w:rsidRPr="006B1476" w:rsidRDefault="008F4034" w:rsidP="006B1476">
            <w:pPr>
              <w:rPr>
                <w:rFonts w:eastAsia="Calibri" w:cs="Times New Roman"/>
              </w:rPr>
            </w:pPr>
            <w:r>
              <w:rPr>
                <w:rFonts w:eastAsia="Calibri" w:cs="Times New Roman"/>
              </w:rPr>
              <w:t>European Society of Cardiology</w:t>
            </w:r>
            <w:r w:rsidRPr="006B1476">
              <w:rPr>
                <w:rFonts w:eastAsia="Calibri" w:cs="Times New Roman"/>
              </w:rPr>
              <w:t xml:space="preserve"> </w:t>
            </w:r>
          </w:p>
        </w:tc>
      </w:tr>
      <w:tr w:rsidR="008F4034" w:rsidRPr="0011415E" w:rsidTr="0011415E">
        <w:tc>
          <w:tcPr>
            <w:tcW w:w="4661" w:type="dxa"/>
          </w:tcPr>
          <w:p w:rsidR="008F4034" w:rsidRPr="00AD5ED1" w:rsidRDefault="008F4034" w:rsidP="0011415E">
            <w:pPr>
              <w:rPr>
                <w:rFonts w:ascii="Calibri" w:hAnsi="Calibri" w:cs="Arial"/>
                <w:color w:val="000000"/>
                <w:shd w:val="clear" w:color="auto" w:fill="FFFFFF"/>
              </w:rPr>
            </w:pPr>
            <w:r>
              <w:rPr>
                <w:rFonts w:ascii="Calibri" w:hAnsi="Calibri" w:cs="Arial"/>
                <w:color w:val="000000"/>
                <w:shd w:val="clear" w:color="auto" w:fill="FFFFFF"/>
              </w:rPr>
              <w:t>FH</w:t>
            </w:r>
          </w:p>
        </w:tc>
        <w:tc>
          <w:tcPr>
            <w:tcW w:w="4662" w:type="dxa"/>
          </w:tcPr>
          <w:p w:rsidR="008F4034" w:rsidRPr="00AD5ED1" w:rsidRDefault="008F4034" w:rsidP="006B1476">
            <w:pPr>
              <w:rPr>
                <w:rFonts w:ascii="Calibri" w:hAnsi="Calibri" w:cs="Arial"/>
                <w:color w:val="000000"/>
                <w:shd w:val="clear" w:color="auto" w:fill="FFFFFF"/>
              </w:rPr>
            </w:pPr>
            <w:r w:rsidRPr="00C07793">
              <w:t>familial hypercholesterolaemia</w:t>
            </w:r>
          </w:p>
        </w:tc>
      </w:tr>
      <w:tr w:rsidR="008F4034" w:rsidRPr="0011415E" w:rsidTr="0011415E">
        <w:tc>
          <w:tcPr>
            <w:tcW w:w="4661" w:type="dxa"/>
          </w:tcPr>
          <w:p w:rsidR="008F4034" w:rsidRPr="00BE1852" w:rsidRDefault="008F4034" w:rsidP="0011415E">
            <w:pPr>
              <w:rPr>
                <w:rFonts w:eastAsia="Calibri" w:cs="Times New Roman"/>
              </w:rPr>
            </w:pPr>
            <w:r w:rsidRPr="006B1476">
              <w:rPr>
                <w:rFonts w:eastAsia="Calibri" w:cs="Times New Roman"/>
              </w:rPr>
              <w:t>FRS</w:t>
            </w:r>
          </w:p>
        </w:tc>
        <w:tc>
          <w:tcPr>
            <w:tcW w:w="4662" w:type="dxa"/>
          </w:tcPr>
          <w:p w:rsidR="008F4034" w:rsidRDefault="008F4034" w:rsidP="0011415E">
            <w:pPr>
              <w:rPr>
                <w:rFonts w:eastAsia="Calibri" w:cs="Times New Roman"/>
              </w:rPr>
            </w:pPr>
            <w:r w:rsidRPr="006B1476">
              <w:rPr>
                <w:rFonts w:eastAsia="Calibri" w:cs="Times New Roman"/>
              </w:rPr>
              <w:t>Framingham Risk Score</w:t>
            </w:r>
          </w:p>
        </w:tc>
      </w:tr>
      <w:tr w:rsidR="008F4034" w:rsidRPr="0011415E" w:rsidTr="0011415E">
        <w:tc>
          <w:tcPr>
            <w:tcW w:w="4661" w:type="dxa"/>
          </w:tcPr>
          <w:p w:rsidR="008F4034" w:rsidRPr="0011415E" w:rsidRDefault="008F4034" w:rsidP="0011415E">
            <w:pPr>
              <w:rPr>
                <w:lang w:eastAsia="zh-CN"/>
              </w:rPr>
            </w:pPr>
            <w:r w:rsidRPr="0011415E">
              <w:rPr>
                <w:rFonts w:eastAsia="Calibri" w:cs="Times New Roman"/>
              </w:rPr>
              <w:t>GSLLD</w:t>
            </w:r>
          </w:p>
        </w:tc>
        <w:tc>
          <w:tcPr>
            <w:tcW w:w="4662" w:type="dxa"/>
          </w:tcPr>
          <w:p w:rsidR="008F4034" w:rsidRPr="0011415E" w:rsidRDefault="008F4034" w:rsidP="0011415E">
            <w:pPr>
              <w:rPr>
                <w:lang w:eastAsia="zh-CN"/>
              </w:rPr>
            </w:pPr>
            <w:r w:rsidRPr="0011415E">
              <w:rPr>
                <w:rFonts w:eastAsia="Calibri" w:cs="Times New Roman"/>
              </w:rPr>
              <w:t>General Statement for Lipid-Lowering Drugs</w:t>
            </w:r>
          </w:p>
        </w:tc>
      </w:tr>
      <w:tr w:rsidR="008F4034" w:rsidRPr="0011415E" w:rsidTr="0011415E">
        <w:tc>
          <w:tcPr>
            <w:tcW w:w="4661" w:type="dxa"/>
          </w:tcPr>
          <w:p w:rsidR="008F4034" w:rsidRPr="0011415E" w:rsidRDefault="008F4034" w:rsidP="0011415E">
            <w:pPr>
              <w:rPr>
                <w:lang w:eastAsia="zh-CN"/>
              </w:rPr>
            </w:pPr>
            <w:r w:rsidRPr="0011415E">
              <w:rPr>
                <w:lang w:eastAsia="zh-CN"/>
              </w:rPr>
              <w:t>HDL</w:t>
            </w:r>
            <w:r>
              <w:rPr>
                <w:lang w:eastAsia="zh-CN"/>
              </w:rPr>
              <w:t>-C</w:t>
            </w:r>
          </w:p>
        </w:tc>
        <w:tc>
          <w:tcPr>
            <w:tcW w:w="4662" w:type="dxa"/>
          </w:tcPr>
          <w:p w:rsidR="008F4034" w:rsidRPr="0011415E" w:rsidRDefault="008F4034" w:rsidP="0011415E">
            <w:pPr>
              <w:rPr>
                <w:rFonts w:cs="Times New Roman"/>
              </w:rPr>
            </w:pPr>
            <w:r>
              <w:rPr>
                <w:rFonts w:cs="Times New Roman"/>
              </w:rPr>
              <w:t>High</w:t>
            </w:r>
            <w:r w:rsidRPr="001B1998">
              <w:rPr>
                <w:rFonts w:cs="Times New Roman"/>
              </w:rPr>
              <w:t xml:space="preserve"> Density Lipoprotein-Cholesterol</w:t>
            </w:r>
          </w:p>
        </w:tc>
      </w:tr>
      <w:tr w:rsidR="008F4034" w:rsidRPr="0011415E" w:rsidTr="0011415E">
        <w:tc>
          <w:tcPr>
            <w:tcW w:w="4661" w:type="dxa"/>
          </w:tcPr>
          <w:p w:rsidR="008F4034" w:rsidRPr="0011415E" w:rsidRDefault="008F4034" w:rsidP="0011415E">
            <w:pPr>
              <w:rPr>
                <w:lang w:eastAsia="zh-CN"/>
              </w:rPr>
            </w:pPr>
            <w:r w:rsidRPr="0011415E">
              <w:rPr>
                <w:lang w:eastAsia="zh-CN"/>
              </w:rPr>
              <w:t>LDL</w:t>
            </w:r>
            <w:r>
              <w:rPr>
                <w:lang w:eastAsia="zh-CN"/>
              </w:rPr>
              <w:t>-C</w:t>
            </w:r>
          </w:p>
        </w:tc>
        <w:tc>
          <w:tcPr>
            <w:tcW w:w="4662" w:type="dxa"/>
          </w:tcPr>
          <w:p w:rsidR="008F4034" w:rsidRPr="0011415E" w:rsidRDefault="008F4034" w:rsidP="0011415E">
            <w:pPr>
              <w:rPr>
                <w:rFonts w:cs="Times New Roman"/>
              </w:rPr>
            </w:pPr>
            <w:r w:rsidRPr="001B1998">
              <w:rPr>
                <w:rFonts w:cs="Times New Roman"/>
              </w:rPr>
              <w:t>Low Density Lipoprotein-Cholesterol</w:t>
            </w:r>
          </w:p>
        </w:tc>
      </w:tr>
      <w:tr w:rsidR="008F4034" w:rsidRPr="0011415E" w:rsidTr="0011415E">
        <w:tc>
          <w:tcPr>
            <w:tcW w:w="4661" w:type="dxa"/>
          </w:tcPr>
          <w:p w:rsidR="008F4034" w:rsidRPr="0011415E" w:rsidRDefault="008F4034" w:rsidP="0011415E">
            <w:pPr>
              <w:rPr>
                <w:rFonts w:eastAsia="Calibri" w:cs="Times New Roman"/>
              </w:rPr>
            </w:pPr>
            <w:r w:rsidRPr="0011415E">
              <w:rPr>
                <w:rFonts w:eastAsia="Calibri" w:cs="Times New Roman"/>
              </w:rPr>
              <w:t>NHF-2012</w:t>
            </w:r>
          </w:p>
        </w:tc>
        <w:tc>
          <w:tcPr>
            <w:tcW w:w="4662" w:type="dxa"/>
          </w:tcPr>
          <w:p w:rsidR="008F4034" w:rsidRPr="0011415E" w:rsidRDefault="008F4034" w:rsidP="00BE1852">
            <w:pPr>
              <w:rPr>
                <w:rFonts w:eastAsia="Calibri" w:cs="Times New Roman"/>
              </w:rPr>
            </w:pPr>
            <w:r>
              <w:rPr>
                <w:rFonts w:eastAsia="Calibri" w:cs="Times New Roman"/>
              </w:rPr>
              <w:t>National Heart Foundation</w:t>
            </w:r>
          </w:p>
        </w:tc>
      </w:tr>
      <w:tr w:rsidR="008F4034" w:rsidRPr="0011415E" w:rsidTr="0011415E">
        <w:tc>
          <w:tcPr>
            <w:tcW w:w="4661" w:type="dxa"/>
          </w:tcPr>
          <w:p w:rsidR="008F4034" w:rsidRPr="006B1476" w:rsidRDefault="008F4034" w:rsidP="0011415E">
            <w:pPr>
              <w:rPr>
                <w:rFonts w:eastAsia="Calibri" w:cs="Times New Roman"/>
              </w:rPr>
            </w:pPr>
            <w:r>
              <w:rPr>
                <w:rFonts w:eastAsia="Calibri" w:cs="Times New Roman"/>
              </w:rPr>
              <w:t>NICE</w:t>
            </w:r>
          </w:p>
        </w:tc>
        <w:tc>
          <w:tcPr>
            <w:tcW w:w="4662" w:type="dxa"/>
          </w:tcPr>
          <w:p w:rsidR="008F4034" w:rsidRPr="006B1476" w:rsidRDefault="008F4034" w:rsidP="006B1476">
            <w:pPr>
              <w:rPr>
                <w:rFonts w:eastAsia="Calibri" w:cs="Times New Roman"/>
              </w:rPr>
            </w:pPr>
            <w:r>
              <w:rPr>
                <w:rFonts w:eastAsia="Calibri" w:cs="Times New Roman"/>
              </w:rPr>
              <w:t>National Institute for Health and Clinical Excellence (UK)</w:t>
            </w:r>
          </w:p>
        </w:tc>
      </w:tr>
      <w:tr w:rsidR="008F4034" w:rsidRPr="0011415E" w:rsidTr="0011415E">
        <w:tc>
          <w:tcPr>
            <w:tcW w:w="4661" w:type="dxa"/>
          </w:tcPr>
          <w:p w:rsidR="008F4034" w:rsidRDefault="008F4034" w:rsidP="0011415E">
            <w:pPr>
              <w:rPr>
                <w:rFonts w:eastAsia="Calibri" w:cs="Times New Roman"/>
              </w:rPr>
            </w:pPr>
            <w:r>
              <w:rPr>
                <w:rFonts w:eastAsia="Calibri" w:cs="Times New Roman"/>
              </w:rPr>
              <w:t>NLA</w:t>
            </w:r>
          </w:p>
        </w:tc>
        <w:tc>
          <w:tcPr>
            <w:tcW w:w="4662" w:type="dxa"/>
          </w:tcPr>
          <w:p w:rsidR="008F4034" w:rsidRPr="006B1476" w:rsidRDefault="008F4034" w:rsidP="0011415E">
            <w:pPr>
              <w:rPr>
                <w:rFonts w:eastAsia="Calibri" w:cs="Times New Roman"/>
              </w:rPr>
            </w:pPr>
            <w:r w:rsidRPr="006B1476">
              <w:rPr>
                <w:rFonts w:eastAsia="Calibri" w:cs="Times New Roman"/>
              </w:rPr>
              <w:t>National Lipid Association</w:t>
            </w:r>
            <w:r>
              <w:rPr>
                <w:rFonts w:eastAsia="Calibri" w:cs="Times New Roman"/>
              </w:rPr>
              <w:t xml:space="preserve"> (USA)</w:t>
            </w:r>
          </w:p>
        </w:tc>
      </w:tr>
      <w:tr w:rsidR="008F4034" w:rsidRPr="0011415E" w:rsidTr="0011415E">
        <w:tc>
          <w:tcPr>
            <w:tcW w:w="4661" w:type="dxa"/>
          </w:tcPr>
          <w:p w:rsidR="008F4034" w:rsidRPr="0011415E" w:rsidRDefault="008F4034" w:rsidP="00BE1852">
            <w:pPr>
              <w:rPr>
                <w:rFonts w:eastAsia="Calibri" w:cs="Times New Roman"/>
              </w:rPr>
            </w:pPr>
            <w:r w:rsidRPr="0011415E">
              <w:rPr>
                <w:rFonts w:eastAsia="Calibri" w:cs="Times New Roman"/>
              </w:rPr>
              <w:t>NVDPA</w:t>
            </w:r>
          </w:p>
        </w:tc>
        <w:tc>
          <w:tcPr>
            <w:tcW w:w="4662" w:type="dxa"/>
          </w:tcPr>
          <w:p w:rsidR="008F4034" w:rsidRPr="0011415E" w:rsidRDefault="008F4034" w:rsidP="0011415E">
            <w:pPr>
              <w:rPr>
                <w:rFonts w:eastAsia="Calibri" w:cs="Times New Roman"/>
              </w:rPr>
            </w:pPr>
            <w:r w:rsidRPr="00BE1852">
              <w:rPr>
                <w:rFonts w:eastAsia="Calibri" w:cs="Times New Roman"/>
              </w:rPr>
              <w:t>National vascular disease prevention alliance</w:t>
            </w:r>
          </w:p>
        </w:tc>
      </w:tr>
      <w:tr w:rsidR="008F4034" w:rsidRPr="0011415E" w:rsidTr="0011415E">
        <w:tc>
          <w:tcPr>
            <w:tcW w:w="4661" w:type="dxa"/>
          </w:tcPr>
          <w:p w:rsidR="008F4034" w:rsidRPr="0011415E" w:rsidRDefault="008F4034" w:rsidP="0011415E">
            <w:pPr>
              <w:rPr>
                <w:rFonts w:cs="Times New Roman"/>
              </w:rPr>
            </w:pPr>
            <w:r w:rsidRPr="0011415E">
              <w:rPr>
                <w:lang w:eastAsia="zh-CN"/>
              </w:rPr>
              <w:t>PBS</w:t>
            </w:r>
          </w:p>
        </w:tc>
        <w:tc>
          <w:tcPr>
            <w:tcW w:w="4662" w:type="dxa"/>
          </w:tcPr>
          <w:p w:rsidR="008F4034" w:rsidRPr="0011415E" w:rsidRDefault="008F4034" w:rsidP="0011415E">
            <w:pPr>
              <w:rPr>
                <w:rFonts w:cs="Times New Roman"/>
              </w:rPr>
            </w:pPr>
            <w:r w:rsidRPr="0011415E">
              <w:rPr>
                <w:lang w:eastAsia="zh-CN"/>
              </w:rPr>
              <w:t xml:space="preserve">Pharmaceutical Benefits Scheme </w:t>
            </w:r>
          </w:p>
        </w:tc>
      </w:tr>
      <w:tr w:rsidR="008F4034" w:rsidRPr="0011415E" w:rsidTr="0011415E">
        <w:tc>
          <w:tcPr>
            <w:tcW w:w="4661" w:type="dxa"/>
          </w:tcPr>
          <w:p w:rsidR="008F4034" w:rsidRDefault="008F4034" w:rsidP="0011415E">
            <w:pPr>
              <w:rPr>
                <w:rFonts w:eastAsia="Calibri" w:cs="Times New Roman"/>
              </w:rPr>
            </w:pPr>
            <w:r w:rsidRPr="006B1476">
              <w:rPr>
                <w:rFonts w:eastAsia="Calibri" w:cs="Times New Roman"/>
              </w:rPr>
              <w:t>SCORE</w:t>
            </w:r>
          </w:p>
        </w:tc>
        <w:tc>
          <w:tcPr>
            <w:tcW w:w="4662" w:type="dxa"/>
          </w:tcPr>
          <w:p w:rsidR="008F4034" w:rsidRPr="006B1476" w:rsidRDefault="008F4034" w:rsidP="006B1476">
            <w:pPr>
              <w:rPr>
                <w:rFonts w:eastAsia="Calibri" w:cs="Times New Roman"/>
              </w:rPr>
            </w:pPr>
            <w:r w:rsidRPr="006B1476">
              <w:rPr>
                <w:rFonts w:eastAsia="Calibri" w:cs="Times New Roman"/>
              </w:rPr>
              <w:t xml:space="preserve">Systematic COronary Risk Evaluation </w:t>
            </w:r>
            <w:r>
              <w:rPr>
                <w:rFonts w:eastAsia="Calibri" w:cs="Times New Roman"/>
              </w:rPr>
              <w:t>[</w:t>
            </w:r>
            <w:r w:rsidRPr="006B1476">
              <w:rPr>
                <w:rFonts w:eastAsia="Calibri" w:cs="Times New Roman"/>
              </w:rPr>
              <w:t>assessment tool</w:t>
            </w:r>
            <w:r>
              <w:rPr>
                <w:rFonts w:eastAsia="Calibri" w:cs="Times New Roman"/>
              </w:rPr>
              <w:t>]</w:t>
            </w:r>
          </w:p>
        </w:tc>
      </w:tr>
      <w:tr w:rsidR="008F4034" w:rsidRPr="0011415E" w:rsidTr="0011415E">
        <w:tc>
          <w:tcPr>
            <w:tcW w:w="4661" w:type="dxa"/>
          </w:tcPr>
          <w:p w:rsidR="008F4034" w:rsidRPr="0011415E" w:rsidRDefault="008F4034" w:rsidP="0011415E">
            <w:pPr>
              <w:rPr>
                <w:lang w:eastAsia="zh-CN"/>
              </w:rPr>
            </w:pPr>
            <w:r w:rsidRPr="0011415E">
              <w:rPr>
                <w:lang w:eastAsia="zh-CN"/>
              </w:rPr>
              <w:t>TC</w:t>
            </w:r>
          </w:p>
        </w:tc>
        <w:tc>
          <w:tcPr>
            <w:tcW w:w="4662" w:type="dxa"/>
          </w:tcPr>
          <w:p w:rsidR="008F4034" w:rsidRPr="0011415E" w:rsidRDefault="008F4034" w:rsidP="0011415E">
            <w:pPr>
              <w:rPr>
                <w:rFonts w:cs="Times New Roman"/>
              </w:rPr>
            </w:pPr>
            <w:r w:rsidRPr="0011415E">
              <w:rPr>
                <w:rFonts w:cs="Times New Roman"/>
              </w:rPr>
              <w:t>Total cholesterol</w:t>
            </w:r>
          </w:p>
        </w:tc>
      </w:tr>
      <w:tr w:rsidR="008F4034" w:rsidRPr="0011415E" w:rsidTr="0011415E">
        <w:tc>
          <w:tcPr>
            <w:tcW w:w="4661" w:type="dxa"/>
          </w:tcPr>
          <w:p w:rsidR="008F4034" w:rsidRPr="0011415E" w:rsidRDefault="008F4034" w:rsidP="0011415E">
            <w:pPr>
              <w:rPr>
                <w:lang w:eastAsia="zh-CN"/>
              </w:rPr>
            </w:pPr>
            <w:r w:rsidRPr="0011415E">
              <w:rPr>
                <w:lang w:eastAsia="zh-CN"/>
              </w:rPr>
              <w:t>TG</w:t>
            </w:r>
          </w:p>
        </w:tc>
        <w:tc>
          <w:tcPr>
            <w:tcW w:w="4662" w:type="dxa"/>
          </w:tcPr>
          <w:p w:rsidR="008F4034" w:rsidRPr="0011415E" w:rsidRDefault="008F4034" w:rsidP="0011415E">
            <w:pPr>
              <w:rPr>
                <w:rFonts w:cs="Times New Roman"/>
              </w:rPr>
            </w:pPr>
            <w:r>
              <w:rPr>
                <w:rFonts w:cs="Times New Roman"/>
              </w:rPr>
              <w:t>Triglycerides</w:t>
            </w:r>
          </w:p>
        </w:tc>
      </w:tr>
    </w:tbl>
    <w:p w:rsidR="00DE2740" w:rsidRPr="0011415E" w:rsidRDefault="00DE2740" w:rsidP="00416DBD">
      <w:pPr>
        <w:spacing w:after="0"/>
        <w:rPr>
          <w:lang w:eastAsia="zh-CN"/>
        </w:rPr>
      </w:pPr>
    </w:p>
    <w:p w:rsidR="008F4034" w:rsidRDefault="008F4034" w:rsidP="00416DBD">
      <w:pPr>
        <w:spacing w:after="0"/>
        <w:rPr>
          <w:rFonts w:asciiTheme="majorHAnsi" w:hAnsiTheme="majorHAnsi" w:cs="Times New Roman"/>
          <w:color w:val="2E74B5" w:themeColor="accent1" w:themeShade="BF"/>
          <w:sz w:val="32"/>
          <w:szCs w:val="32"/>
        </w:rPr>
        <w:sectPr w:rsidR="008F4034" w:rsidSect="00420A3A">
          <w:footerReference w:type="default" r:id="rId11"/>
          <w:pgSz w:w="11906" w:h="16838"/>
          <w:pgMar w:top="1440" w:right="1133" w:bottom="1440" w:left="1440" w:header="708" w:footer="708" w:gutter="0"/>
          <w:cols w:space="708"/>
          <w:docGrid w:linePitch="360"/>
        </w:sectPr>
      </w:pPr>
    </w:p>
    <w:p w:rsidR="0011415E" w:rsidRDefault="0011415E" w:rsidP="00416DBD">
      <w:pPr>
        <w:spacing w:after="0"/>
        <w:rPr>
          <w:rFonts w:asciiTheme="majorHAnsi" w:hAnsiTheme="majorHAnsi" w:cs="Times New Roman"/>
          <w:color w:val="2E74B5" w:themeColor="accent1" w:themeShade="BF"/>
          <w:sz w:val="32"/>
          <w:szCs w:val="32"/>
        </w:rPr>
      </w:pPr>
    </w:p>
    <w:p w:rsidR="00F55B19" w:rsidRDefault="008013A7" w:rsidP="00416DBD">
      <w:pPr>
        <w:spacing w:after="0"/>
        <w:rPr>
          <w:rFonts w:asciiTheme="majorHAnsi" w:hAnsiTheme="majorHAnsi" w:cs="Times New Roman"/>
          <w:color w:val="2E74B5" w:themeColor="accent1" w:themeShade="BF"/>
          <w:sz w:val="32"/>
          <w:szCs w:val="32"/>
        </w:rPr>
      </w:pPr>
      <w:r w:rsidRPr="00416DBD">
        <w:rPr>
          <w:rFonts w:asciiTheme="majorHAnsi" w:hAnsiTheme="majorHAnsi" w:cs="Times New Roman"/>
          <w:color w:val="2E74B5" w:themeColor="accent1" w:themeShade="BF"/>
          <w:sz w:val="32"/>
          <w:szCs w:val="32"/>
        </w:rPr>
        <w:t>Comparison of guidelines</w:t>
      </w:r>
      <w:r w:rsidR="00905EE1" w:rsidRPr="00416DBD">
        <w:rPr>
          <w:rFonts w:asciiTheme="majorHAnsi" w:hAnsiTheme="majorHAnsi" w:cs="Times New Roman"/>
          <w:color w:val="2E74B5" w:themeColor="accent1" w:themeShade="BF"/>
          <w:sz w:val="32"/>
          <w:szCs w:val="32"/>
        </w:rPr>
        <w:t xml:space="preserve"> for </w:t>
      </w:r>
      <w:r w:rsidR="00F678F0" w:rsidRPr="00416DBD">
        <w:rPr>
          <w:rFonts w:asciiTheme="majorHAnsi" w:hAnsiTheme="majorHAnsi" w:cs="Times New Roman"/>
          <w:color w:val="2E74B5" w:themeColor="accent1" w:themeShade="BF"/>
          <w:sz w:val="32"/>
          <w:szCs w:val="32"/>
        </w:rPr>
        <w:t>cardiovascular disease risk</w:t>
      </w:r>
      <w:r w:rsidR="00B75862" w:rsidRPr="00416DBD">
        <w:rPr>
          <w:rFonts w:asciiTheme="majorHAnsi" w:hAnsiTheme="majorHAnsi" w:cs="Times New Roman"/>
          <w:color w:val="2E74B5" w:themeColor="accent1" w:themeShade="BF"/>
          <w:sz w:val="32"/>
          <w:szCs w:val="32"/>
        </w:rPr>
        <w:t xml:space="preserve"> assessment and management</w:t>
      </w:r>
      <w:r w:rsidR="00F678F0" w:rsidRPr="00416DBD">
        <w:rPr>
          <w:rFonts w:asciiTheme="majorHAnsi" w:hAnsiTheme="majorHAnsi" w:cs="Times New Roman"/>
          <w:color w:val="2E74B5" w:themeColor="accent1" w:themeShade="BF"/>
          <w:sz w:val="32"/>
          <w:szCs w:val="32"/>
        </w:rPr>
        <w:t xml:space="preserve"> (</w:t>
      </w:r>
      <w:r w:rsidR="00905EE1" w:rsidRPr="00416DBD">
        <w:rPr>
          <w:rFonts w:asciiTheme="majorHAnsi" w:hAnsiTheme="majorHAnsi" w:cs="Times New Roman"/>
          <w:color w:val="2E74B5" w:themeColor="accent1" w:themeShade="BF"/>
          <w:sz w:val="32"/>
          <w:szCs w:val="32"/>
        </w:rPr>
        <w:t>cholesterol lowering therapy</w:t>
      </w:r>
      <w:r w:rsidR="00F678F0" w:rsidRPr="00416DBD">
        <w:rPr>
          <w:rFonts w:asciiTheme="majorHAnsi" w:hAnsiTheme="majorHAnsi" w:cs="Times New Roman"/>
          <w:color w:val="2E74B5" w:themeColor="accent1" w:themeShade="BF"/>
          <w:sz w:val="32"/>
          <w:szCs w:val="32"/>
        </w:rPr>
        <w:t>)</w:t>
      </w:r>
      <w:r w:rsidR="0020475E" w:rsidRPr="00416DBD">
        <w:rPr>
          <w:rFonts w:asciiTheme="majorHAnsi" w:hAnsiTheme="majorHAnsi" w:cs="Times New Roman"/>
          <w:color w:val="2E74B5" w:themeColor="accent1" w:themeShade="BF"/>
          <w:sz w:val="32"/>
          <w:szCs w:val="32"/>
        </w:rPr>
        <w:t xml:space="preserve"> </w:t>
      </w:r>
    </w:p>
    <w:p w:rsidR="00416DBD" w:rsidRPr="00416DBD" w:rsidRDefault="00416DBD" w:rsidP="00416DBD">
      <w:pPr>
        <w:spacing w:after="0"/>
        <w:rPr>
          <w:rFonts w:asciiTheme="majorHAnsi" w:hAnsiTheme="majorHAnsi" w:cs="Times New Roman"/>
          <w:color w:val="2E74B5" w:themeColor="accent1" w:themeShade="BF"/>
          <w:sz w:val="32"/>
          <w:szCs w:val="32"/>
        </w:rPr>
      </w:pPr>
    </w:p>
    <w:p w:rsidR="00F55B19" w:rsidRPr="00B75862" w:rsidRDefault="00F55B19" w:rsidP="00416DBD">
      <w:pPr>
        <w:pStyle w:val="Heading2"/>
        <w:keepNext/>
        <w:keepLines/>
        <w:numPr>
          <w:ilvl w:val="0"/>
          <w:numId w:val="13"/>
        </w:numPr>
        <w:spacing w:before="0" w:beforeAutospacing="0" w:after="0" w:afterAutospacing="0" w:line="259" w:lineRule="auto"/>
        <w:rPr>
          <w:rFonts w:asciiTheme="majorHAnsi" w:eastAsiaTheme="majorEastAsia" w:hAnsiTheme="majorHAnsi" w:cstheme="majorBidi"/>
          <w:b w:val="0"/>
          <w:bCs w:val="0"/>
          <w:color w:val="2E74B5" w:themeColor="accent1" w:themeShade="BF"/>
          <w:sz w:val="26"/>
          <w:szCs w:val="26"/>
          <w:lang w:eastAsia="zh-CN"/>
        </w:rPr>
      </w:pPr>
      <w:bookmarkStart w:id="1" w:name="_Toc461644650"/>
      <w:r>
        <w:rPr>
          <w:rFonts w:asciiTheme="majorHAnsi" w:eastAsiaTheme="majorEastAsia" w:hAnsiTheme="majorHAnsi" w:cstheme="majorBidi"/>
          <w:b w:val="0"/>
          <w:bCs w:val="0"/>
          <w:color w:val="2E74B5" w:themeColor="accent1" w:themeShade="BF"/>
          <w:sz w:val="26"/>
          <w:szCs w:val="26"/>
          <w:lang w:eastAsia="zh-CN"/>
        </w:rPr>
        <w:t>Summary</w:t>
      </w:r>
      <w:bookmarkEnd w:id="1"/>
      <w:r w:rsidRPr="00B75862">
        <w:rPr>
          <w:rFonts w:asciiTheme="majorHAnsi" w:eastAsiaTheme="majorEastAsia" w:hAnsiTheme="majorHAnsi" w:cstheme="majorBidi"/>
          <w:b w:val="0"/>
          <w:bCs w:val="0"/>
          <w:color w:val="2E74B5" w:themeColor="accent1" w:themeShade="BF"/>
          <w:sz w:val="26"/>
          <w:szCs w:val="26"/>
          <w:lang w:eastAsia="zh-CN"/>
        </w:rPr>
        <w:t xml:space="preserve"> </w:t>
      </w:r>
    </w:p>
    <w:p w:rsidR="00F55B19" w:rsidRDefault="00F55B19" w:rsidP="00416DBD">
      <w:pPr>
        <w:spacing w:after="0"/>
        <w:rPr>
          <w:lang w:eastAsia="zh-CN"/>
        </w:rPr>
      </w:pPr>
    </w:p>
    <w:p w:rsidR="00B3594C" w:rsidRDefault="00B3594C" w:rsidP="00420A3A">
      <w:pPr>
        <w:spacing w:after="0"/>
        <w:rPr>
          <w:lang w:eastAsia="zh-CN"/>
        </w:rPr>
      </w:pPr>
      <w:r w:rsidRPr="00F878A0">
        <w:rPr>
          <w:b/>
        </w:rPr>
        <w:t>ToR</w:t>
      </w:r>
      <w:r>
        <w:rPr>
          <w:b/>
        </w:rPr>
        <w:t xml:space="preserve"> 2</w:t>
      </w:r>
      <w:r w:rsidRPr="00F878A0">
        <w:rPr>
          <w:b/>
        </w:rPr>
        <w:t>:</w:t>
      </w:r>
      <w:r>
        <w:rPr>
          <w:b/>
        </w:rPr>
        <w:t xml:space="preserve"> </w:t>
      </w:r>
      <w:r w:rsidRPr="00B3594C">
        <w:rPr>
          <w:lang w:eastAsia="zh-CN"/>
        </w:rPr>
        <w:t>Review recent clinical guidelines for the treatment of hypercholesterolaemia and compare this to how ezetimibe is currently used on the Pharmaceutical Benefits Scheme (PBS);</w:t>
      </w:r>
    </w:p>
    <w:p w:rsidR="00B3594C" w:rsidRPr="00B3594C" w:rsidRDefault="00B3594C" w:rsidP="00B3594C">
      <w:pPr>
        <w:spacing w:after="0" w:line="264" w:lineRule="auto"/>
        <w:rPr>
          <w:rFonts w:ascii="Calibri" w:eastAsia="Calibri" w:hAnsi="Calibri" w:cs="Times New Roman"/>
          <w:b/>
        </w:rPr>
      </w:pPr>
      <w:r w:rsidRPr="00B3594C">
        <w:rPr>
          <w:rFonts w:ascii="Calibri" w:eastAsia="Calibri" w:hAnsi="Calibri" w:cs="Times New Roman"/>
          <w:b/>
        </w:rPr>
        <w:t>The research questions in relation to the ToR 2 include:</w:t>
      </w:r>
    </w:p>
    <w:p w:rsidR="00B3594C" w:rsidRPr="00B3594C" w:rsidRDefault="00B3594C" w:rsidP="00B3594C">
      <w:pPr>
        <w:spacing w:after="0" w:line="264" w:lineRule="auto"/>
        <w:ind w:left="567" w:hanging="567"/>
        <w:rPr>
          <w:rFonts w:ascii="Calibri" w:eastAsia="Calibri" w:hAnsi="Calibri" w:cs="Times New Roman"/>
        </w:rPr>
      </w:pPr>
      <w:r w:rsidRPr="00B3594C">
        <w:rPr>
          <w:rFonts w:ascii="Calibri" w:eastAsia="Calibri" w:hAnsi="Calibri" w:cs="Times New Roman"/>
          <w:b/>
        </w:rPr>
        <w:t>Q1:</w:t>
      </w:r>
      <w:r w:rsidRPr="00B3594C">
        <w:rPr>
          <w:rFonts w:ascii="Calibri" w:eastAsia="Calibri" w:hAnsi="Calibri" w:cs="Times New Roman"/>
        </w:rPr>
        <w:tab/>
        <w:t xml:space="preserve">Are the eligibility criteria for PBS subsidy of lipid-lowering therapies (as specified in the General Statement for Lipid-Lowering Drugs [GSLLD]) consistent with Australian guidelines for primary (NVDPA-2012) and secondary (NHF-2012) prevention of cardiovascular events? </w:t>
      </w:r>
      <w:r w:rsidR="00420A3A">
        <w:rPr>
          <w:rFonts w:ascii="Calibri" w:eastAsia="Calibri" w:hAnsi="Calibri" w:cs="Times New Roman"/>
        </w:rPr>
        <w:t>(Section 2</w:t>
      </w:r>
      <w:r w:rsidR="009C0370">
        <w:rPr>
          <w:rFonts w:ascii="Calibri" w:eastAsia="Calibri" w:hAnsi="Calibri" w:cs="Times New Roman"/>
        </w:rPr>
        <w:t>).</w:t>
      </w:r>
    </w:p>
    <w:p w:rsidR="00B3594C" w:rsidRPr="00B3594C" w:rsidRDefault="00B3594C" w:rsidP="00C87AC5">
      <w:pPr>
        <w:spacing w:after="0" w:line="264" w:lineRule="auto"/>
        <w:ind w:left="567" w:hanging="567"/>
        <w:rPr>
          <w:rFonts w:ascii="Calibri" w:eastAsia="Calibri" w:hAnsi="Calibri" w:cs="Times New Roman"/>
        </w:rPr>
      </w:pPr>
      <w:r w:rsidRPr="00B3594C">
        <w:rPr>
          <w:rFonts w:ascii="Calibri" w:eastAsia="Calibri" w:hAnsi="Calibri" w:cs="Times New Roman"/>
          <w:b/>
        </w:rPr>
        <w:t>Q2:</w:t>
      </w:r>
      <w:r w:rsidRPr="00B3594C">
        <w:rPr>
          <w:rFonts w:ascii="Calibri" w:eastAsia="Calibri" w:hAnsi="Calibri" w:cs="Times New Roman"/>
        </w:rPr>
        <w:tab/>
        <w:t>Are the Australian NVDPA</w:t>
      </w:r>
      <w:r w:rsidR="00420A3A">
        <w:rPr>
          <w:rFonts w:ascii="Calibri" w:eastAsia="Calibri" w:hAnsi="Calibri" w:cs="Times New Roman"/>
        </w:rPr>
        <w:t>-12</w:t>
      </w:r>
      <w:r w:rsidRPr="00B3594C">
        <w:rPr>
          <w:rFonts w:ascii="Calibri" w:eastAsia="Calibri" w:hAnsi="Calibri" w:cs="Times New Roman"/>
        </w:rPr>
        <w:t xml:space="preserve"> guidelines consistent with international guidelines?</w:t>
      </w:r>
      <w:r w:rsidR="009C0370">
        <w:rPr>
          <w:rFonts w:ascii="Calibri" w:eastAsia="Calibri" w:hAnsi="Calibri" w:cs="Times New Roman"/>
        </w:rPr>
        <w:t xml:space="preserve"> (</w:t>
      </w:r>
      <w:r w:rsidR="009C0370" w:rsidRPr="00B62D88">
        <w:rPr>
          <w:rFonts w:ascii="Calibri" w:eastAsia="Calibri" w:hAnsi="Calibri" w:cs="Times New Roman"/>
        </w:rPr>
        <w:t xml:space="preserve">Sections </w:t>
      </w:r>
      <w:r w:rsidR="00B62D88" w:rsidRPr="00B62D88">
        <w:rPr>
          <w:rFonts w:ascii="Calibri" w:eastAsia="Calibri" w:hAnsi="Calibri" w:cs="Times New Roman"/>
        </w:rPr>
        <w:t>2-5</w:t>
      </w:r>
      <w:r w:rsidR="009C0370" w:rsidRPr="00B62D88">
        <w:rPr>
          <w:rFonts w:ascii="Calibri" w:eastAsia="Calibri" w:hAnsi="Calibri" w:cs="Times New Roman"/>
        </w:rPr>
        <w:t>)</w:t>
      </w:r>
      <w:r w:rsidR="00B62D88">
        <w:rPr>
          <w:rFonts w:ascii="Calibri" w:eastAsia="Calibri" w:hAnsi="Calibri" w:cs="Times New Roman"/>
        </w:rPr>
        <w:t>.</w:t>
      </w:r>
    </w:p>
    <w:p w:rsidR="00B3594C" w:rsidRPr="00B3594C" w:rsidRDefault="00B3594C" w:rsidP="00C87AC5">
      <w:pPr>
        <w:spacing w:after="0" w:line="264" w:lineRule="auto"/>
        <w:ind w:left="567" w:hanging="567"/>
        <w:rPr>
          <w:rFonts w:ascii="Calibri" w:eastAsia="Calibri" w:hAnsi="Calibri" w:cs="Times New Roman"/>
        </w:rPr>
      </w:pPr>
    </w:p>
    <w:p w:rsidR="00B3594C" w:rsidRPr="00B3594C" w:rsidRDefault="00B3594C" w:rsidP="007229FB">
      <w:pPr>
        <w:spacing w:after="0" w:line="264" w:lineRule="auto"/>
        <w:jc w:val="both"/>
        <w:rPr>
          <w:rFonts w:ascii="Calibri" w:eastAsia="Calibri" w:hAnsi="Calibri" w:cs="Times New Roman"/>
        </w:rPr>
      </w:pPr>
      <w:r w:rsidRPr="00B3594C">
        <w:rPr>
          <w:rFonts w:ascii="Calibri" w:eastAsia="Calibri" w:hAnsi="Calibri" w:cs="Times New Roman"/>
        </w:rPr>
        <w:t xml:space="preserve">These research questions </w:t>
      </w:r>
      <w:r>
        <w:rPr>
          <w:rFonts w:ascii="Calibri" w:eastAsia="Calibri" w:hAnsi="Calibri" w:cs="Times New Roman"/>
        </w:rPr>
        <w:t>are</w:t>
      </w:r>
      <w:r w:rsidRPr="00B3594C">
        <w:rPr>
          <w:rFonts w:ascii="Calibri" w:eastAsia="Calibri" w:hAnsi="Calibri" w:cs="Times New Roman"/>
        </w:rPr>
        <w:t xml:space="preserve"> addressed by an analysis comparing and contrasting the </w:t>
      </w:r>
      <w:r w:rsidR="009C0370">
        <w:rPr>
          <w:rFonts w:ascii="Calibri" w:eastAsia="Calibri" w:hAnsi="Calibri" w:cs="Times New Roman"/>
        </w:rPr>
        <w:t>definitions of cardiovascular disease (CVD) risk; tools used to quantify the degree of risk; criteria for initiating treatments; treatment targets</w:t>
      </w:r>
      <w:r w:rsidR="00B62D88">
        <w:rPr>
          <w:rFonts w:ascii="Calibri" w:eastAsia="Calibri" w:hAnsi="Calibri" w:cs="Times New Roman"/>
        </w:rPr>
        <w:t xml:space="preserve"> for</w:t>
      </w:r>
      <w:r w:rsidR="009C0370">
        <w:rPr>
          <w:rFonts w:ascii="Calibri" w:eastAsia="Calibri" w:hAnsi="Calibri" w:cs="Times New Roman"/>
        </w:rPr>
        <w:t xml:space="preserve"> </w:t>
      </w:r>
      <w:r w:rsidR="00B62D88">
        <w:rPr>
          <w:rFonts w:ascii="Calibri" w:eastAsia="Calibri" w:hAnsi="Calibri" w:cs="Times New Roman"/>
        </w:rPr>
        <w:t xml:space="preserve">lipid reduction </w:t>
      </w:r>
      <w:r w:rsidR="009C0370">
        <w:rPr>
          <w:rFonts w:ascii="Calibri" w:eastAsia="Calibri" w:hAnsi="Calibri" w:cs="Times New Roman"/>
        </w:rPr>
        <w:t>(if any);</w:t>
      </w:r>
      <w:r w:rsidR="009C0370" w:rsidRPr="00B3594C">
        <w:rPr>
          <w:rFonts w:ascii="Calibri" w:eastAsia="Calibri" w:hAnsi="Calibri" w:cs="Times New Roman"/>
        </w:rPr>
        <w:t xml:space="preserve"> </w:t>
      </w:r>
      <w:r w:rsidR="009C0370">
        <w:rPr>
          <w:rFonts w:ascii="Calibri" w:eastAsia="Calibri" w:hAnsi="Calibri" w:cs="Times New Roman"/>
        </w:rPr>
        <w:t xml:space="preserve">a </w:t>
      </w:r>
      <w:r w:rsidR="007229FB">
        <w:rPr>
          <w:rFonts w:ascii="Calibri" w:eastAsia="Calibri" w:hAnsi="Calibri" w:cs="Times New Roman"/>
        </w:rPr>
        <w:t>recommended treatment pathway (</w:t>
      </w:r>
      <w:r w:rsidR="009C0370">
        <w:rPr>
          <w:rFonts w:ascii="Calibri" w:eastAsia="Calibri" w:hAnsi="Calibri" w:cs="Times New Roman"/>
        </w:rPr>
        <w:t xml:space="preserve">i.e. primary and secondary lines of lipid-reducing therapy).  </w:t>
      </w:r>
      <w:r w:rsidR="009C0370" w:rsidRPr="007229FB">
        <w:rPr>
          <w:rFonts w:ascii="Calibri" w:eastAsia="Calibri" w:hAnsi="Calibri" w:cs="Times New Roman"/>
          <w:i/>
        </w:rPr>
        <w:t xml:space="preserve">The research questions </w:t>
      </w:r>
      <w:r w:rsidR="007229FB" w:rsidRPr="007229FB">
        <w:rPr>
          <w:rFonts w:ascii="Calibri" w:eastAsia="Calibri" w:hAnsi="Calibri" w:cs="Times New Roman"/>
          <w:i/>
        </w:rPr>
        <w:t>seek to</w:t>
      </w:r>
      <w:r w:rsidR="009C0370" w:rsidRPr="007229FB">
        <w:rPr>
          <w:rFonts w:ascii="Calibri" w:eastAsia="Calibri" w:hAnsi="Calibri" w:cs="Times New Roman"/>
          <w:i/>
        </w:rPr>
        <w:t xml:space="preserve"> clarify the differences between </w:t>
      </w:r>
      <w:r w:rsidRPr="007229FB">
        <w:rPr>
          <w:rFonts w:ascii="Calibri" w:eastAsia="Calibri" w:hAnsi="Calibri" w:cs="Times New Roman"/>
          <w:i/>
        </w:rPr>
        <w:t>patient groups in whom treatment with ezetimibe and treatment with statins is recommended</w:t>
      </w:r>
      <w:r w:rsidR="00EF6462" w:rsidRPr="007229FB">
        <w:rPr>
          <w:rFonts w:ascii="Calibri" w:eastAsia="Calibri" w:hAnsi="Calibri" w:cs="Times New Roman"/>
          <w:i/>
        </w:rPr>
        <w:t xml:space="preserve"> across the published guidelines</w:t>
      </w:r>
      <w:r w:rsidRPr="00B3594C">
        <w:rPr>
          <w:rFonts w:ascii="Calibri" w:eastAsia="Calibri" w:hAnsi="Calibri" w:cs="Times New Roman"/>
        </w:rPr>
        <w:t>.</w:t>
      </w:r>
    </w:p>
    <w:p w:rsidR="00B3594C" w:rsidRDefault="00B3594C" w:rsidP="00C87AC5">
      <w:pPr>
        <w:spacing w:after="0"/>
        <w:rPr>
          <w:lang w:eastAsia="zh-CN"/>
        </w:rPr>
      </w:pPr>
    </w:p>
    <w:p w:rsidR="00B3594C" w:rsidRDefault="00F55B19" w:rsidP="00C87AC5">
      <w:pPr>
        <w:spacing w:after="0"/>
        <w:rPr>
          <w:lang w:eastAsia="zh-CN"/>
        </w:rPr>
      </w:pPr>
      <w:r>
        <w:rPr>
          <w:lang w:eastAsia="zh-CN"/>
        </w:rPr>
        <w:t xml:space="preserve">The </w:t>
      </w:r>
      <w:r w:rsidR="00B3594C">
        <w:rPr>
          <w:lang w:eastAsia="zh-CN"/>
        </w:rPr>
        <w:t xml:space="preserve">most recent revisions of the </w:t>
      </w:r>
      <w:r w:rsidR="0011415E">
        <w:rPr>
          <w:lang w:eastAsia="zh-CN"/>
        </w:rPr>
        <w:t>major N</w:t>
      </w:r>
      <w:r w:rsidR="000E6D5B">
        <w:rPr>
          <w:lang w:eastAsia="zh-CN"/>
        </w:rPr>
        <w:t xml:space="preserve">ational and </w:t>
      </w:r>
      <w:r w:rsidR="00DB6B48">
        <w:rPr>
          <w:lang w:eastAsia="zh-CN"/>
        </w:rPr>
        <w:t>I</w:t>
      </w:r>
      <w:r w:rsidR="00B3271C">
        <w:rPr>
          <w:lang w:eastAsia="zh-CN"/>
        </w:rPr>
        <w:t xml:space="preserve">nternational </w:t>
      </w:r>
      <w:r w:rsidR="00B3594C">
        <w:rPr>
          <w:lang w:eastAsia="zh-CN"/>
        </w:rPr>
        <w:t xml:space="preserve">guidelines for management of metabolic lipid disorders to prevent cardiovascular complications identified by the </w:t>
      </w:r>
      <w:r>
        <w:rPr>
          <w:lang w:eastAsia="zh-CN"/>
        </w:rPr>
        <w:t xml:space="preserve">systematic literature search </w:t>
      </w:r>
      <w:r w:rsidR="00B3594C">
        <w:rPr>
          <w:lang w:eastAsia="zh-CN"/>
        </w:rPr>
        <w:t>included:</w:t>
      </w:r>
    </w:p>
    <w:p w:rsidR="00B3594C" w:rsidRDefault="00B3594C" w:rsidP="00B3594C">
      <w:pPr>
        <w:pStyle w:val="ListParagraph"/>
        <w:numPr>
          <w:ilvl w:val="0"/>
          <w:numId w:val="19"/>
        </w:numPr>
        <w:spacing w:after="80"/>
        <w:rPr>
          <w:lang w:eastAsia="zh-CN"/>
        </w:rPr>
      </w:pPr>
      <w:r>
        <w:rPr>
          <w:lang w:eastAsia="zh-CN"/>
        </w:rPr>
        <w:t xml:space="preserve">three Australian/NZ guidelines; </w:t>
      </w:r>
    </w:p>
    <w:p w:rsidR="00F55B19" w:rsidRDefault="00B3594C" w:rsidP="00B3594C">
      <w:pPr>
        <w:pStyle w:val="ListParagraph"/>
        <w:numPr>
          <w:ilvl w:val="0"/>
          <w:numId w:val="19"/>
        </w:numPr>
        <w:spacing w:after="80"/>
        <w:rPr>
          <w:lang w:eastAsia="zh-CN"/>
        </w:rPr>
      </w:pPr>
      <w:r>
        <w:rPr>
          <w:lang w:eastAsia="zh-CN"/>
        </w:rPr>
        <w:t>three US guidelines/consensus statements;</w:t>
      </w:r>
    </w:p>
    <w:p w:rsidR="00B3594C" w:rsidRDefault="007229FB" w:rsidP="00B3594C">
      <w:pPr>
        <w:pStyle w:val="ListParagraph"/>
        <w:numPr>
          <w:ilvl w:val="0"/>
          <w:numId w:val="19"/>
        </w:numPr>
        <w:spacing w:after="80"/>
        <w:rPr>
          <w:lang w:eastAsia="zh-CN"/>
        </w:rPr>
      </w:pPr>
      <w:r>
        <w:rPr>
          <w:lang w:eastAsia="zh-CN"/>
        </w:rPr>
        <w:t>one Canadian guideline</w:t>
      </w:r>
      <w:r w:rsidR="00B3594C">
        <w:rPr>
          <w:lang w:eastAsia="zh-CN"/>
        </w:rPr>
        <w:t>;</w:t>
      </w:r>
    </w:p>
    <w:p w:rsidR="00B3594C" w:rsidRDefault="00B3594C" w:rsidP="00B3594C">
      <w:pPr>
        <w:pStyle w:val="ListParagraph"/>
        <w:numPr>
          <w:ilvl w:val="0"/>
          <w:numId w:val="19"/>
        </w:numPr>
        <w:spacing w:after="80"/>
        <w:rPr>
          <w:lang w:eastAsia="zh-CN"/>
        </w:rPr>
      </w:pPr>
      <w:r>
        <w:rPr>
          <w:lang w:eastAsia="zh-CN"/>
        </w:rPr>
        <w:t>two UK guidelines</w:t>
      </w:r>
      <w:r w:rsidR="00225039">
        <w:rPr>
          <w:lang w:eastAsia="zh-CN"/>
        </w:rPr>
        <w:t>/technology appraisals</w:t>
      </w:r>
      <w:r>
        <w:rPr>
          <w:lang w:eastAsia="zh-CN"/>
        </w:rPr>
        <w:t>;</w:t>
      </w:r>
    </w:p>
    <w:p w:rsidR="00B3594C" w:rsidRDefault="00B3594C" w:rsidP="00B3594C">
      <w:pPr>
        <w:pStyle w:val="ListParagraph"/>
        <w:numPr>
          <w:ilvl w:val="0"/>
          <w:numId w:val="19"/>
        </w:numPr>
        <w:spacing w:before="80" w:after="80"/>
        <w:rPr>
          <w:lang w:eastAsia="zh-CN"/>
        </w:rPr>
      </w:pPr>
      <w:r>
        <w:rPr>
          <w:lang w:eastAsia="zh-CN"/>
        </w:rPr>
        <w:t>two International/European guidelines</w:t>
      </w:r>
      <w:r w:rsidR="00543346">
        <w:rPr>
          <w:lang w:eastAsia="zh-CN"/>
        </w:rPr>
        <w:t>.</w:t>
      </w:r>
    </w:p>
    <w:p w:rsidR="007229FB" w:rsidRDefault="007229FB" w:rsidP="007229FB">
      <w:pPr>
        <w:spacing w:after="0" w:line="240" w:lineRule="auto"/>
      </w:pPr>
    </w:p>
    <w:p w:rsidR="007229FB" w:rsidRPr="00B62D88" w:rsidRDefault="00B62D88" w:rsidP="00B62D88">
      <w:pPr>
        <w:spacing w:after="0"/>
        <w:rPr>
          <w:lang w:eastAsia="zh-CN"/>
        </w:rPr>
      </w:pPr>
      <w:r w:rsidRPr="00B62D88">
        <w:rPr>
          <w:lang w:eastAsia="zh-CN"/>
        </w:rPr>
        <w:t>In addition,</w:t>
      </w:r>
      <w:r>
        <w:rPr>
          <w:lang w:eastAsia="zh-CN"/>
        </w:rPr>
        <w:t xml:space="preserve"> a number </w:t>
      </w:r>
      <w:r w:rsidR="00A1194C">
        <w:rPr>
          <w:lang w:eastAsia="zh-CN"/>
        </w:rPr>
        <w:t xml:space="preserve">of </w:t>
      </w:r>
      <w:r>
        <w:rPr>
          <w:lang w:eastAsia="zh-CN"/>
        </w:rPr>
        <w:t xml:space="preserve">publications on comparison of the </w:t>
      </w:r>
      <w:r w:rsidR="00DB6B48">
        <w:rPr>
          <w:lang w:eastAsia="zh-CN"/>
        </w:rPr>
        <w:t>I</w:t>
      </w:r>
      <w:r>
        <w:rPr>
          <w:lang w:eastAsia="zh-CN"/>
        </w:rPr>
        <w:t>nternational guidelines w</w:t>
      </w:r>
      <w:r w:rsidR="00A1194C">
        <w:rPr>
          <w:lang w:eastAsia="zh-CN"/>
        </w:rPr>
        <w:t>as</w:t>
      </w:r>
      <w:r>
        <w:rPr>
          <w:lang w:eastAsia="zh-CN"/>
        </w:rPr>
        <w:t xml:space="preserve"> identified </w:t>
      </w:r>
      <w:r w:rsidR="00A1194C">
        <w:rPr>
          <w:lang w:eastAsia="zh-CN"/>
        </w:rPr>
        <w:t>and studied to inform</w:t>
      </w:r>
      <w:r w:rsidR="008513AE">
        <w:rPr>
          <w:lang w:eastAsia="zh-CN"/>
        </w:rPr>
        <w:t xml:space="preserve"> </w:t>
      </w:r>
      <w:r w:rsidR="00A1194C">
        <w:rPr>
          <w:lang w:eastAsia="zh-CN"/>
        </w:rPr>
        <w:t>the outcome</w:t>
      </w:r>
      <w:r w:rsidR="00B3271C">
        <w:rPr>
          <w:lang w:eastAsia="zh-CN"/>
        </w:rPr>
        <w:t>s</w:t>
      </w:r>
      <w:r w:rsidR="00A1194C">
        <w:rPr>
          <w:lang w:eastAsia="zh-CN"/>
        </w:rPr>
        <w:t xml:space="preserve"> of this review (Anderson 2015; Morris 2014</w:t>
      </w:r>
      <w:r w:rsidR="00D10B41">
        <w:rPr>
          <w:lang w:eastAsia="zh-CN"/>
        </w:rPr>
        <w:t>; McKenney 2015; Nayor 2016; Waite 2016)</w:t>
      </w:r>
      <w:r w:rsidR="000E6D5B">
        <w:rPr>
          <w:lang w:eastAsia="zh-CN"/>
        </w:rPr>
        <w:t>.</w:t>
      </w:r>
      <w:r w:rsidR="00A1194C">
        <w:rPr>
          <w:lang w:eastAsia="zh-CN"/>
        </w:rPr>
        <w:t xml:space="preserve"> </w:t>
      </w:r>
    </w:p>
    <w:p w:rsidR="00B75862" w:rsidRDefault="00B75862" w:rsidP="006C5A0D">
      <w:pPr>
        <w:spacing w:after="0" w:line="240" w:lineRule="auto"/>
      </w:pPr>
    </w:p>
    <w:p w:rsidR="00C87AC5" w:rsidRDefault="00C87AC5" w:rsidP="006C5A0D">
      <w:pPr>
        <w:spacing w:after="0" w:line="240" w:lineRule="auto"/>
      </w:pPr>
      <w:r w:rsidRPr="004B20AF">
        <w:rPr>
          <w:b/>
        </w:rPr>
        <w:t>Table 1.1 summarises characteristics</w:t>
      </w:r>
      <w:r>
        <w:t xml:space="preserve"> of the published guidelines</w:t>
      </w:r>
      <w:r w:rsidR="005919EB">
        <w:t xml:space="preserve"> to provide a brief overview and highlight the differences</w:t>
      </w:r>
      <w:r w:rsidR="004B20AF">
        <w:t xml:space="preserve"> </w:t>
      </w:r>
      <w:r w:rsidR="004B20AF" w:rsidRPr="004B20AF">
        <w:rPr>
          <w:b/>
        </w:rPr>
        <w:t>to inform Q2</w:t>
      </w:r>
      <w:r>
        <w:t>.</w:t>
      </w:r>
      <w:r w:rsidR="005919EB">
        <w:t xml:space="preserve"> The full details for each of </w:t>
      </w:r>
      <w:r w:rsidR="004B20AF">
        <w:t xml:space="preserve">the </w:t>
      </w:r>
      <w:r w:rsidR="005919EB">
        <w:t>guideline, health technology assessment or consensus statement are in Tables 2.1- 5.2 in the respective sections below.</w:t>
      </w:r>
      <w:r w:rsidR="004B20AF">
        <w:t xml:space="preserve"> </w:t>
      </w:r>
      <w:r w:rsidR="004B20AF" w:rsidRPr="004B20AF">
        <w:rPr>
          <w:b/>
        </w:rPr>
        <w:t>Q1 is addressed in Section 2 (</w:t>
      </w:r>
      <w:r w:rsidR="004B20AF" w:rsidRPr="004B20AF">
        <w:t>in particular,</w:t>
      </w:r>
      <w:r w:rsidR="004B20AF">
        <w:rPr>
          <w:b/>
        </w:rPr>
        <w:t xml:space="preserve"> Tables 2.1</w:t>
      </w:r>
      <w:r w:rsidR="004B20AF" w:rsidRPr="004B20AF">
        <w:rPr>
          <w:b/>
        </w:rPr>
        <w:t xml:space="preserve"> </w:t>
      </w:r>
      <w:r w:rsidR="004B20AF">
        <w:rPr>
          <w:b/>
        </w:rPr>
        <w:t>to</w:t>
      </w:r>
      <w:r w:rsidR="004B20AF" w:rsidRPr="004B20AF">
        <w:rPr>
          <w:b/>
        </w:rPr>
        <w:t xml:space="preserve"> 2.3)</w:t>
      </w:r>
      <w:r w:rsidR="004B20AF">
        <w:rPr>
          <w:b/>
        </w:rPr>
        <w:t>.</w:t>
      </w:r>
    </w:p>
    <w:p w:rsidR="00C87AC5" w:rsidRDefault="00C87AC5" w:rsidP="006C5A0D">
      <w:pPr>
        <w:spacing w:after="0" w:line="240" w:lineRule="auto"/>
      </w:pPr>
    </w:p>
    <w:p w:rsidR="00C87AC5" w:rsidRDefault="00C87AC5" w:rsidP="006C5A0D">
      <w:pPr>
        <w:spacing w:after="0" w:line="240" w:lineRule="auto"/>
        <w:sectPr w:rsidR="00C87AC5" w:rsidSect="00420A3A">
          <w:pgSz w:w="11906" w:h="16838"/>
          <w:pgMar w:top="1440" w:right="1133" w:bottom="1440" w:left="1440" w:header="708" w:footer="708" w:gutter="0"/>
          <w:cols w:space="708"/>
          <w:docGrid w:linePitch="360"/>
        </w:sectPr>
      </w:pPr>
    </w:p>
    <w:p w:rsidR="00C87AC5" w:rsidRPr="00C87AC5" w:rsidRDefault="00C87AC5" w:rsidP="002D7B08">
      <w:pPr>
        <w:pStyle w:val="Heading3"/>
        <w:rPr>
          <w:rFonts w:eastAsia="Times New Roman"/>
          <w:lang w:eastAsia="en-AU"/>
        </w:rPr>
      </w:pPr>
      <w:bookmarkStart w:id="2" w:name="_Toc461644651"/>
      <w:r w:rsidRPr="00C87AC5">
        <w:rPr>
          <w:rFonts w:eastAsia="Times New Roman"/>
          <w:lang w:eastAsia="en-AU"/>
        </w:rPr>
        <w:lastRenderedPageBreak/>
        <w:t xml:space="preserve">Table 1.1 </w:t>
      </w:r>
      <w:r w:rsidR="000629EA">
        <w:rPr>
          <w:rFonts w:eastAsia="Times New Roman"/>
          <w:lang w:eastAsia="en-AU"/>
        </w:rPr>
        <w:t>Comparative c</w:t>
      </w:r>
      <w:r w:rsidR="000629EA" w:rsidRPr="00C87AC5">
        <w:rPr>
          <w:rFonts w:eastAsia="Times New Roman"/>
          <w:lang w:eastAsia="en-AU"/>
        </w:rPr>
        <w:t xml:space="preserve">haracteristics of the </w:t>
      </w:r>
      <w:r w:rsidR="000629EA">
        <w:rPr>
          <w:rFonts w:eastAsia="Times New Roman"/>
          <w:lang w:eastAsia="en-AU"/>
        </w:rPr>
        <w:t xml:space="preserve">identified </w:t>
      </w:r>
      <w:r w:rsidR="000629EA" w:rsidRPr="00C87AC5">
        <w:rPr>
          <w:rFonts w:eastAsia="Times New Roman"/>
          <w:lang w:eastAsia="en-AU"/>
        </w:rPr>
        <w:t>guidelines</w:t>
      </w:r>
      <w:r w:rsidR="000629EA">
        <w:rPr>
          <w:rFonts w:eastAsia="Times New Roman"/>
          <w:lang w:eastAsia="en-AU"/>
        </w:rPr>
        <w:t>: Summary</w:t>
      </w:r>
      <w:bookmarkEnd w:id="2"/>
      <w:r w:rsidR="000629EA">
        <w:rPr>
          <w:rFonts w:eastAsia="Times New Roman"/>
          <w:lang w:eastAsia="en-AU"/>
        </w:rPr>
        <w:t xml:space="preserve"> </w:t>
      </w:r>
    </w:p>
    <w:tbl>
      <w:tblPr>
        <w:tblStyle w:val="TableGrid"/>
        <w:tblW w:w="15020" w:type="dxa"/>
        <w:tblLayout w:type="fixed"/>
        <w:tblLook w:val="04A0" w:firstRow="1" w:lastRow="0" w:firstColumn="1" w:lastColumn="0" w:noHBand="0" w:noVBand="1"/>
      </w:tblPr>
      <w:tblGrid>
        <w:gridCol w:w="2122"/>
        <w:gridCol w:w="2268"/>
        <w:gridCol w:w="2551"/>
        <w:gridCol w:w="2693"/>
        <w:gridCol w:w="2693"/>
        <w:gridCol w:w="2693"/>
      </w:tblGrid>
      <w:tr w:rsidR="000629EA" w:rsidRPr="006A41D4" w:rsidTr="0094783C">
        <w:tc>
          <w:tcPr>
            <w:tcW w:w="2122"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Guidelines/country</w:t>
            </w:r>
          </w:p>
        </w:tc>
        <w:tc>
          <w:tcPr>
            <w:tcW w:w="2268"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Risk assessment tool/ end points</w:t>
            </w:r>
          </w:p>
        </w:tc>
        <w:tc>
          <w:tcPr>
            <w:tcW w:w="2551"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Risk categories/ cut-off criteria</w:t>
            </w:r>
          </w:p>
        </w:tc>
        <w:tc>
          <w:tcPr>
            <w:tcW w:w="2693"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Cholesterol treatment targets:</w:t>
            </w:r>
            <w:r>
              <w:rPr>
                <w:rFonts w:ascii="Arial Narrow" w:hAnsi="Arial Narrow"/>
                <w:b/>
                <w:sz w:val="20"/>
                <w:szCs w:val="20"/>
              </w:rPr>
              <w:t xml:space="preserve"> </w:t>
            </w:r>
            <w:r w:rsidRPr="006A41D4">
              <w:rPr>
                <w:rFonts w:ascii="Arial Narrow" w:hAnsi="Arial Narrow"/>
                <w:b/>
                <w:sz w:val="20"/>
                <w:szCs w:val="20"/>
              </w:rPr>
              <w:t>primary/</w:t>
            </w:r>
            <w:r>
              <w:rPr>
                <w:rFonts w:ascii="Arial Narrow" w:hAnsi="Arial Narrow"/>
                <w:b/>
                <w:sz w:val="20"/>
                <w:szCs w:val="20"/>
              </w:rPr>
              <w:t xml:space="preserve"> </w:t>
            </w:r>
            <w:r w:rsidRPr="006A41D4">
              <w:rPr>
                <w:rFonts w:ascii="Arial Narrow" w:hAnsi="Arial Narrow"/>
                <w:b/>
                <w:sz w:val="20"/>
                <w:szCs w:val="20"/>
              </w:rPr>
              <w:t>secondary (by risk category)</w:t>
            </w:r>
          </w:p>
        </w:tc>
        <w:tc>
          <w:tcPr>
            <w:tcW w:w="2693"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Recommended lipid lowering therapy (first line treatment)</w:t>
            </w:r>
            <w:r>
              <w:rPr>
                <w:rFonts w:ascii="Arial Narrow" w:hAnsi="Arial Narrow"/>
                <w:b/>
                <w:sz w:val="20"/>
                <w:szCs w:val="20"/>
              </w:rPr>
              <w:t xml:space="preserve"> by risk category</w:t>
            </w:r>
          </w:p>
        </w:tc>
        <w:tc>
          <w:tcPr>
            <w:tcW w:w="2693" w:type="dxa"/>
          </w:tcPr>
          <w:p w:rsidR="000629EA" w:rsidRPr="006A41D4" w:rsidRDefault="000629EA" w:rsidP="0094783C">
            <w:pPr>
              <w:rPr>
                <w:rFonts w:ascii="Arial Narrow" w:hAnsi="Arial Narrow"/>
                <w:b/>
                <w:sz w:val="20"/>
                <w:szCs w:val="20"/>
              </w:rPr>
            </w:pPr>
            <w:r w:rsidRPr="006A41D4">
              <w:rPr>
                <w:rFonts w:ascii="Arial Narrow" w:hAnsi="Arial Narrow"/>
                <w:b/>
                <w:sz w:val="20"/>
                <w:szCs w:val="20"/>
              </w:rPr>
              <w:t>Recommended lipid lowering therapy (second line/ combination treatment)</w:t>
            </w:r>
          </w:p>
        </w:tc>
      </w:tr>
      <w:tr w:rsidR="000629EA" w:rsidRPr="006A41D4" w:rsidTr="0094783C">
        <w:tc>
          <w:tcPr>
            <w:tcW w:w="2122" w:type="dxa"/>
          </w:tcPr>
          <w:p w:rsidR="000629EA" w:rsidRPr="006A41D4" w:rsidRDefault="000629EA" w:rsidP="0094783C">
            <w:pPr>
              <w:rPr>
                <w:rFonts w:ascii="Arial Narrow" w:hAnsi="Arial Narrow"/>
                <w:sz w:val="18"/>
                <w:szCs w:val="18"/>
              </w:rPr>
            </w:pPr>
            <w:r w:rsidRPr="006A41D4">
              <w:rPr>
                <w:rFonts w:ascii="Arial Narrow" w:hAnsi="Arial Narrow"/>
                <w:sz w:val="18"/>
                <w:szCs w:val="18"/>
              </w:rPr>
              <w:t xml:space="preserve">National vascular disease prevention alliance (NVDPA-2012) </w:t>
            </w:r>
            <w:r w:rsidRPr="006A41D4">
              <w:rPr>
                <w:rFonts w:ascii="Arial Narrow" w:hAnsi="Arial Narrow"/>
                <w:b/>
                <w:sz w:val="18"/>
                <w:szCs w:val="18"/>
              </w:rPr>
              <w:t>Australia</w:t>
            </w:r>
          </w:p>
        </w:tc>
        <w:tc>
          <w:tcPr>
            <w:tcW w:w="2268" w:type="dxa"/>
          </w:tcPr>
          <w:p w:rsidR="000629EA" w:rsidRDefault="000629EA" w:rsidP="0094783C">
            <w:pPr>
              <w:rPr>
                <w:rFonts w:ascii="Arial Narrow" w:hAnsi="Arial Narrow"/>
                <w:sz w:val="18"/>
                <w:szCs w:val="18"/>
              </w:rPr>
            </w:pPr>
            <w:r w:rsidRPr="006A41D4">
              <w:rPr>
                <w:rFonts w:ascii="Arial Narrow" w:hAnsi="Arial Narrow"/>
                <w:sz w:val="18"/>
                <w:szCs w:val="18"/>
              </w:rPr>
              <w:t>Australian Absolute Cardiovascular Disease Risk Assessment tool, based on the Framingham Risk Equation (FRE), calculates the probability of</w:t>
            </w:r>
          </w:p>
          <w:p w:rsidR="000629EA" w:rsidRPr="006A41D4" w:rsidRDefault="000629EA" w:rsidP="0094783C">
            <w:pPr>
              <w:rPr>
                <w:rFonts w:ascii="Arial Narrow" w:hAnsi="Arial Narrow"/>
                <w:sz w:val="18"/>
                <w:szCs w:val="18"/>
              </w:rPr>
            </w:pPr>
            <w:r>
              <w:rPr>
                <w:rFonts w:ascii="Arial Narrow" w:hAnsi="Arial Narrow"/>
                <w:sz w:val="18"/>
                <w:szCs w:val="18"/>
              </w:rPr>
              <w:t xml:space="preserve">    </w:t>
            </w:r>
            <w:r w:rsidRPr="006A41D4">
              <w:rPr>
                <w:rFonts w:ascii="Arial Narrow" w:hAnsi="Arial Narrow"/>
                <w:sz w:val="18"/>
                <w:szCs w:val="18"/>
              </w:rPr>
              <w:t xml:space="preserve"> </w:t>
            </w:r>
            <w:r w:rsidRPr="001D11BF">
              <w:rPr>
                <w:rFonts w:ascii="Arial Narrow" w:hAnsi="Arial Narrow"/>
                <w:sz w:val="18"/>
                <w:szCs w:val="18"/>
              </w:rPr>
              <w:t xml:space="preserve">End points: </w:t>
            </w:r>
            <w:r w:rsidRPr="006A41D4">
              <w:rPr>
                <w:rFonts w:ascii="Arial Narrow" w:hAnsi="Arial Narrow"/>
                <w:sz w:val="18"/>
                <w:szCs w:val="18"/>
              </w:rPr>
              <w:t xml:space="preserve"> stroke, transient ischaemic attack, myocardial infarction, angina, peripheral arterial disease or heart failure occurring </w:t>
            </w:r>
            <w:r w:rsidRPr="006A41D4">
              <w:rPr>
                <w:rFonts w:ascii="Arial Narrow" w:hAnsi="Arial Narrow"/>
                <w:i/>
                <w:sz w:val="18"/>
                <w:szCs w:val="18"/>
              </w:rPr>
              <w:t>within the next 5 years.</w:t>
            </w:r>
          </w:p>
        </w:tc>
        <w:tc>
          <w:tcPr>
            <w:tcW w:w="2551" w:type="dxa"/>
          </w:tcPr>
          <w:p w:rsidR="000629EA" w:rsidRDefault="000629EA" w:rsidP="0094783C">
            <w:pPr>
              <w:rPr>
                <w:rFonts w:ascii="Arial Narrow" w:hAnsi="Arial Narrow"/>
                <w:sz w:val="18"/>
                <w:szCs w:val="18"/>
              </w:rPr>
            </w:pPr>
            <w:r w:rsidRPr="006A41D4">
              <w:rPr>
                <w:rFonts w:ascii="Arial Narrow" w:hAnsi="Arial Narrow"/>
                <w:b/>
                <w:sz w:val="18"/>
                <w:szCs w:val="18"/>
              </w:rPr>
              <w:t>Primary prevention</w:t>
            </w:r>
            <w:r w:rsidRPr="006A41D4">
              <w:rPr>
                <w:rFonts w:ascii="Arial Narrow" w:hAnsi="Arial Narrow"/>
                <w:sz w:val="18"/>
                <w:szCs w:val="18"/>
              </w:rPr>
              <w:t xml:space="preserve"> </w:t>
            </w:r>
          </w:p>
          <w:p w:rsidR="000629EA" w:rsidRPr="006A41D4" w:rsidRDefault="000629EA" w:rsidP="0094783C">
            <w:pPr>
              <w:rPr>
                <w:rFonts w:ascii="Arial Narrow" w:hAnsi="Arial Narrow"/>
                <w:sz w:val="18"/>
                <w:szCs w:val="18"/>
              </w:rPr>
            </w:pPr>
            <w:r w:rsidRPr="006A41D4">
              <w:rPr>
                <w:rFonts w:ascii="Arial Narrow" w:hAnsi="Arial Narrow"/>
                <w:sz w:val="18"/>
                <w:szCs w:val="18"/>
              </w:rPr>
              <w:t>high risk category</w:t>
            </w:r>
            <w:r>
              <w:rPr>
                <w:rFonts w:ascii="Arial Narrow" w:hAnsi="Arial Narrow"/>
                <w:sz w:val="18"/>
                <w:szCs w:val="18"/>
              </w:rPr>
              <w:t xml:space="preserve">: </w:t>
            </w:r>
            <w:r w:rsidRPr="006A41D4">
              <w:rPr>
                <w:rFonts w:ascii="Arial Narrow" w:hAnsi="Arial Narrow"/>
                <w:sz w:val="18"/>
                <w:szCs w:val="18"/>
              </w:rPr>
              <w:t xml:space="preserve">patients with DM and age ≥60; DM with micro-albuminuria; moderate or severe CKD; previous diagnosis of FH; hypertension (≥180/110 mmHg) and severe hypercholesterolaemia (TC&gt;7.5 mmol/L) </w:t>
            </w:r>
          </w:p>
          <w:p w:rsidR="000629EA"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6A41D4">
              <w:rPr>
                <w:rFonts w:ascii="Arial Narrow" w:hAnsi="Arial Narrow"/>
                <w:sz w:val="18"/>
                <w:szCs w:val="18"/>
              </w:rPr>
              <w:t xml:space="preserve">For patients aged ≥ 45 years, or ≥ 35 for ATSI risk is based on the estimates of the 5-year </w:t>
            </w:r>
            <w:r>
              <w:rPr>
                <w:rFonts w:ascii="Arial Narrow" w:hAnsi="Arial Narrow"/>
                <w:sz w:val="18"/>
                <w:szCs w:val="18"/>
              </w:rPr>
              <w:t>AR</w:t>
            </w:r>
            <w:r w:rsidRPr="006A41D4">
              <w:rPr>
                <w:rFonts w:ascii="Arial Narrow" w:hAnsi="Arial Narrow"/>
                <w:sz w:val="18"/>
                <w:szCs w:val="18"/>
              </w:rPr>
              <w:t xml:space="preserve"> of CVD:</w:t>
            </w:r>
          </w:p>
          <w:p w:rsidR="000629EA" w:rsidRDefault="000629EA" w:rsidP="0094783C">
            <w:pPr>
              <w:rPr>
                <w:rFonts w:ascii="Arial Narrow" w:hAnsi="Arial Narrow"/>
                <w:sz w:val="18"/>
                <w:szCs w:val="18"/>
              </w:rPr>
            </w:pPr>
            <w:r w:rsidRPr="006A41D4">
              <w:rPr>
                <w:rFonts w:ascii="Arial Narrow" w:hAnsi="Arial Narrow"/>
                <w:sz w:val="18"/>
                <w:szCs w:val="18"/>
              </w:rPr>
              <w:t xml:space="preserve">high risk is &gt; 15%; </w:t>
            </w:r>
          </w:p>
          <w:p w:rsidR="000629EA" w:rsidRPr="006A41D4" w:rsidRDefault="000629EA" w:rsidP="0094783C">
            <w:pPr>
              <w:rPr>
                <w:rFonts w:ascii="Arial Narrow" w:hAnsi="Arial Narrow"/>
                <w:sz w:val="18"/>
                <w:szCs w:val="18"/>
              </w:rPr>
            </w:pPr>
            <w:r w:rsidRPr="006A41D4">
              <w:rPr>
                <w:rFonts w:ascii="Arial Narrow" w:hAnsi="Arial Narrow"/>
                <w:sz w:val="18"/>
                <w:szCs w:val="18"/>
              </w:rPr>
              <w:t xml:space="preserve">moderate AR is 10%-15%; </w:t>
            </w:r>
          </w:p>
          <w:p w:rsidR="000629EA" w:rsidRDefault="000629EA" w:rsidP="0094783C">
            <w:pPr>
              <w:rPr>
                <w:rFonts w:ascii="Arial Narrow" w:hAnsi="Arial Narrow"/>
                <w:sz w:val="18"/>
                <w:szCs w:val="18"/>
              </w:rPr>
            </w:pPr>
            <w:r w:rsidRPr="006A41D4">
              <w:rPr>
                <w:rFonts w:ascii="Arial Narrow" w:hAnsi="Arial Narrow"/>
                <w:sz w:val="18"/>
                <w:szCs w:val="18"/>
              </w:rPr>
              <w:t>low risk is &lt;10%</w:t>
            </w:r>
          </w:p>
          <w:p w:rsidR="000629EA" w:rsidRPr="006A41D4" w:rsidRDefault="000629EA" w:rsidP="0094783C">
            <w:pPr>
              <w:rPr>
                <w:rFonts w:ascii="Arial Narrow" w:hAnsi="Arial Narrow"/>
                <w:b/>
                <w:sz w:val="18"/>
                <w:szCs w:val="18"/>
              </w:rPr>
            </w:pPr>
          </w:p>
          <w:p w:rsidR="000629EA" w:rsidRPr="006A41D4" w:rsidRDefault="000629EA" w:rsidP="0094783C">
            <w:pPr>
              <w:rPr>
                <w:rFonts w:ascii="Arial Narrow" w:hAnsi="Arial Narrow"/>
                <w:b/>
                <w:sz w:val="18"/>
                <w:szCs w:val="18"/>
              </w:rPr>
            </w:pPr>
            <w:r w:rsidRPr="006A41D4">
              <w:rPr>
                <w:rFonts w:ascii="Arial Narrow" w:hAnsi="Arial Narrow"/>
                <w:b/>
                <w:sz w:val="18"/>
                <w:szCs w:val="18"/>
              </w:rPr>
              <w:t>Secondary prevention</w:t>
            </w:r>
          </w:p>
          <w:p w:rsidR="000629EA" w:rsidRPr="006A41D4" w:rsidRDefault="000629EA" w:rsidP="0094783C">
            <w:pPr>
              <w:rPr>
                <w:rFonts w:ascii="Arial Narrow" w:hAnsi="Arial Narrow"/>
                <w:sz w:val="18"/>
                <w:szCs w:val="18"/>
              </w:rPr>
            </w:pPr>
            <w:r w:rsidRPr="006A41D4">
              <w:rPr>
                <w:rFonts w:ascii="Arial Narrow" w:hAnsi="Arial Narrow"/>
                <w:sz w:val="18"/>
                <w:szCs w:val="18"/>
              </w:rPr>
              <w:t>existing CHD=high risk</w:t>
            </w:r>
          </w:p>
        </w:tc>
        <w:tc>
          <w:tcPr>
            <w:tcW w:w="2693" w:type="dxa"/>
          </w:tcPr>
          <w:p w:rsidR="000629EA" w:rsidRPr="006A41D4" w:rsidRDefault="000629EA" w:rsidP="0094783C">
            <w:pPr>
              <w:rPr>
                <w:rFonts w:ascii="Arial Narrow" w:hAnsi="Arial Narrow"/>
                <w:sz w:val="18"/>
                <w:szCs w:val="18"/>
              </w:rPr>
            </w:pPr>
            <w:r w:rsidRPr="006A41D4">
              <w:rPr>
                <w:rFonts w:ascii="Arial Narrow" w:hAnsi="Arial Narrow"/>
                <w:b/>
                <w:sz w:val="18"/>
                <w:szCs w:val="18"/>
              </w:rPr>
              <w:t xml:space="preserve">Recommended targets for lipid </w:t>
            </w:r>
            <w:r w:rsidRPr="006A41D4">
              <w:rPr>
                <w:rFonts w:ascii="Arial Narrow" w:hAnsi="Arial Narrow"/>
                <w:sz w:val="18"/>
                <w:szCs w:val="18"/>
              </w:rPr>
              <w:t>control in patients with high to moderate risk of CVD events</w:t>
            </w:r>
          </w:p>
          <w:p w:rsidR="000629EA"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6A41D4">
              <w:rPr>
                <w:rFonts w:ascii="Arial Narrow" w:hAnsi="Arial Narrow"/>
                <w:sz w:val="18"/>
                <w:szCs w:val="18"/>
              </w:rPr>
              <w:t>TC &lt;4.0 mmol/L;</w:t>
            </w:r>
          </w:p>
          <w:p w:rsidR="000629EA" w:rsidRPr="006A41D4" w:rsidRDefault="000629EA" w:rsidP="0094783C">
            <w:pPr>
              <w:rPr>
                <w:rFonts w:ascii="Arial Narrow" w:hAnsi="Arial Narrow"/>
                <w:sz w:val="18"/>
                <w:szCs w:val="18"/>
              </w:rPr>
            </w:pPr>
            <w:r w:rsidRPr="006A41D4">
              <w:rPr>
                <w:rFonts w:ascii="Arial Narrow" w:hAnsi="Arial Narrow"/>
                <w:sz w:val="18"/>
                <w:szCs w:val="18"/>
              </w:rPr>
              <w:t>HDL-C ≥1.0 mmol/L;</w:t>
            </w:r>
          </w:p>
          <w:p w:rsidR="000629EA" w:rsidRPr="006A41D4" w:rsidRDefault="000629EA" w:rsidP="0094783C">
            <w:pPr>
              <w:rPr>
                <w:rFonts w:ascii="Arial Narrow" w:hAnsi="Arial Narrow"/>
                <w:sz w:val="18"/>
                <w:szCs w:val="18"/>
              </w:rPr>
            </w:pPr>
            <w:r w:rsidRPr="006A41D4">
              <w:rPr>
                <w:rFonts w:ascii="Arial Narrow" w:hAnsi="Arial Narrow"/>
                <w:sz w:val="18"/>
                <w:szCs w:val="18"/>
              </w:rPr>
              <w:t>LDL-C &lt;2.0 mmol/L;</w:t>
            </w:r>
          </w:p>
          <w:p w:rsidR="000629EA" w:rsidRPr="006A41D4" w:rsidRDefault="000629EA" w:rsidP="0094783C">
            <w:pPr>
              <w:rPr>
                <w:rFonts w:ascii="Arial Narrow" w:hAnsi="Arial Narrow"/>
                <w:sz w:val="18"/>
                <w:szCs w:val="18"/>
              </w:rPr>
            </w:pPr>
            <w:r w:rsidRPr="006A41D4">
              <w:rPr>
                <w:rFonts w:ascii="Arial Narrow" w:hAnsi="Arial Narrow"/>
                <w:sz w:val="18"/>
                <w:szCs w:val="18"/>
              </w:rPr>
              <w:t>Non HDL-C &lt;2.5 mmol/L;</w:t>
            </w:r>
          </w:p>
          <w:p w:rsidR="000629EA" w:rsidRPr="006A41D4" w:rsidRDefault="000629EA" w:rsidP="0094783C">
            <w:pPr>
              <w:rPr>
                <w:rFonts w:ascii="Arial Narrow" w:hAnsi="Arial Narrow"/>
                <w:sz w:val="18"/>
                <w:szCs w:val="18"/>
              </w:rPr>
            </w:pPr>
            <w:r w:rsidRPr="006A41D4">
              <w:rPr>
                <w:rFonts w:ascii="Arial Narrow" w:hAnsi="Arial Narrow"/>
                <w:sz w:val="18"/>
                <w:szCs w:val="18"/>
              </w:rPr>
              <w:t>TG &lt;2.0 mmol/L.</w:t>
            </w:r>
          </w:p>
        </w:tc>
        <w:tc>
          <w:tcPr>
            <w:tcW w:w="2693" w:type="dxa"/>
          </w:tcPr>
          <w:p w:rsidR="000629EA" w:rsidRPr="006A41D4" w:rsidRDefault="000629EA" w:rsidP="0094783C">
            <w:pPr>
              <w:rPr>
                <w:rFonts w:ascii="Arial Narrow" w:hAnsi="Arial Narrow"/>
                <w:sz w:val="18"/>
                <w:szCs w:val="18"/>
              </w:rPr>
            </w:pPr>
            <w:r w:rsidRPr="006A41D4">
              <w:rPr>
                <w:rFonts w:ascii="Arial Narrow" w:hAnsi="Arial Narrow"/>
                <w:sz w:val="18"/>
                <w:szCs w:val="18"/>
                <w:u w:val="single"/>
              </w:rPr>
              <w:t>High risk category</w:t>
            </w:r>
            <w:r w:rsidRPr="006A41D4">
              <w:rPr>
                <w:rFonts w:ascii="Arial Narrow" w:hAnsi="Arial Narrow"/>
                <w:sz w:val="18"/>
                <w:szCs w:val="18"/>
              </w:rPr>
              <w:t>: both BP-lowering and lipid-lowering agents for all patients, unless</w:t>
            </w:r>
          </w:p>
          <w:p w:rsidR="000629EA" w:rsidRPr="006A41D4" w:rsidRDefault="000629EA" w:rsidP="0094783C">
            <w:pPr>
              <w:rPr>
                <w:rFonts w:ascii="Arial Narrow" w:hAnsi="Arial Narrow"/>
                <w:sz w:val="18"/>
                <w:szCs w:val="18"/>
              </w:rPr>
            </w:pPr>
            <w:r w:rsidRPr="006A41D4">
              <w:rPr>
                <w:rFonts w:ascii="Arial Narrow" w:hAnsi="Arial Narrow"/>
                <w:sz w:val="18"/>
                <w:szCs w:val="18"/>
              </w:rPr>
              <w:t>contraindicated or clinically inappropriate;</w:t>
            </w:r>
          </w:p>
          <w:p w:rsidR="000629EA" w:rsidRPr="006A41D4"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6A41D4">
              <w:rPr>
                <w:rFonts w:ascii="Arial Narrow" w:hAnsi="Arial Narrow"/>
                <w:sz w:val="18"/>
                <w:szCs w:val="18"/>
              </w:rPr>
              <w:t xml:space="preserve">Both BP-lowering and lipid-lowering agents are recommended for </w:t>
            </w:r>
            <w:r w:rsidRPr="006A41D4">
              <w:rPr>
                <w:rFonts w:ascii="Arial Narrow" w:hAnsi="Arial Narrow"/>
                <w:sz w:val="18"/>
                <w:szCs w:val="18"/>
                <w:u w:val="single"/>
              </w:rPr>
              <w:t>moderate risk</w:t>
            </w:r>
            <w:r w:rsidRPr="006A41D4">
              <w:rPr>
                <w:rFonts w:ascii="Arial Narrow" w:hAnsi="Arial Narrow"/>
                <w:sz w:val="18"/>
                <w:szCs w:val="18"/>
              </w:rPr>
              <w:t xml:space="preserve"> category, if the risk remains elevated after lifestyle interventions. </w:t>
            </w:r>
          </w:p>
          <w:p w:rsidR="000629EA" w:rsidRPr="006A41D4"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6A41D4">
              <w:rPr>
                <w:rFonts w:ascii="Arial Narrow" w:hAnsi="Arial Narrow"/>
                <w:b/>
                <w:sz w:val="18"/>
                <w:szCs w:val="18"/>
              </w:rPr>
              <w:t>Statins</w:t>
            </w:r>
            <w:r w:rsidRPr="006A41D4">
              <w:rPr>
                <w:rFonts w:ascii="Arial Narrow" w:hAnsi="Arial Narrow"/>
                <w:sz w:val="18"/>
                <w:szCs w:val="18"/>
              </w:rPr>
              <w:t xml:space="preserve"> should be used as the first-line therapy; </w:t>
            </w:r>
            <w:r w:rsidRPr="006A41D4">
              <w:rPr>
                <w:rFonts w:ascii="Arial Narrow" w:hAnsi="Arial Narrow"/>
                <w:i/>
                <w:sz w:val="18"/>
                <w:szCs w:val="18"/>
              </w:rPr>
              <w:t>no recommendations on the statin potency or dose are included in the guidelines, see GSLLD.</w:t>
            </w:r>
          </w:p>
        </w:tc>
        <w:tc>
          <w:tcPr>
            <w:tcW w:w="2693" w:type="dxa"/>
          </w:tcPr>
          <w:p w:rsidR="000629EA" w:rsidRPr="006A41D4" w:rsidRDefault="000629EA" w:rsidP="0094783C">
            <w:pPr>
              <w:rPr>
                <w:rFonts w:ascii="Arial Narrow" w:hAnsi="Arial Narrow"/>
                <w:sz w:val="18"/>
                <w:szCs w:val="18"/>
              </w:rPr>
            </w:pPr>
            <w:r w:rsidRPr="006A41D4">
              <w:rPr>
                <w:rFonts w:ascii="Arial Narrow" w:hAnsi="Arial Narrow"/>
                <w:sz w:val="18"/>
                <w:szCs w:val="18"/>
              </w:rPr>
              <w:t>If LDL-C levels are not sufficiently reduced on maximally tolera</w:t>
            </w:r>
            <w:r>
              <w:rPr>
                <w:rFonts w:ascii="Arial Narrow" w:hAnsi="Arial Narrow"/>
                <w:sz w:val="18"/>
                <w:szCs w:val="18"/>
              </w:rPr>
              <w:t xml:space="preserve">ted dose of statin, one or more </w:t>
            </w:r>
            <w:r w:rsidRPr="006A41D4">
              <w:rPr>
                <w:rFonts w:ascii="Arial Narrow" w:hAnsi="Arial Narrow"/>
                <w:sz w:val="18"/>
                <w:szCs w:val="18"/>
              </w:rPr>
              <w:t>of the following may be added:</w:t>
            </w:r>
          </w:p>
          <w:p w:rsidR="000629EA" w:rsidRPr="006A41D4" w:rsidRDefault="000629EA" w:rsidP="0094783C">
            <w:pPr>
              <w:rPr>
                <w:rFonts w:ascii="Arial Narrow" w:hAnsi="Arial Narrow"/>
                <w:sz w:val="18"/>
                <w:szCs w:val="18"/>
              </w:rPr>
            </w:pPr>
            <w:r w:rsidRPr="006A41D4">
              <w:rPr>
                <w:rFonts w:ascii="Arial Narrow" w:hAnsi="Arial Narrow"/>
                <w:sz w:val="18"/>
                <w:szCs w:val="18"/>
              </w:rPr>
              <w:t xml:space="preserve">• </w:t>
            </w:r>
            <w:r w:rsidRPr="006A41D4">
              <w:rPr>
                <w:rFonts w:ascii="Arial Narrow" w:hAnsi="Arial Narrow"/>
                <w:b/>
                <w:sz w:val="18"/>
                <w:szCs w:val="18"/>
              </w:rPr>
              <w:t>ezetimibe</w:t>
            </w:r>
          </w:p>
          <w:p w:rsidR="000629EA" w:rsidRPr="006A41D4" w:rsidRDefault="000629EA" w:rsidP="0094783C">
            <w:pPr>
              <w:rPr>
                <w:rFonts w:ascii="Arial Narrow" w:hAnsi="Arial Narrow"/>
                <w:sz w:val="18"/>
                <w:szCs w:val="18"/>
              </w:rPr>
            </w:pPr>
            <w:r w:rsidRPr="006A41D4">
              <w:rPr>
                <w:rFonts w:ascii="Arial Narrow" w:hAnsi="Arial Narrow"/>
                <w:sz w:val="18"/>
                <w:szCs w:val="18"/>
              </w:rPr>
              <w:t>• bile acid binding resin</w:t>
            </w:r>
          </w:p>
          <w:p w:rsidR="000629EA" w:rsidRPr="006A41D4" w:rsidRDefault="000629EA" w:rsidP="0094783C">
            <w:pPr>
              <w:rPr>
                <w:rFonts w:ascii="Arial Narrow" w:hAnsi="Arial Narrow"/>
                <w:b/>
                <w:sz w:val="18"/>
                <w:szCs w:val="18"/>
              </w:rPr>
            </w:pPr>
            <w:r w:rsidRPr="006A41D4">
              <w:rPr>
                <w:rFonts w:ascii="Arial Narrow" w:hAnsi="Arial Narrow"/>
                <w:sz w:val="18"/>
                <w:szCs w:val="18"/>
              </w:rPr>
              <w:t>• nicotinic acid</w:t>
            </w:r>
            <w:r w:rsidRPr="006A41D4">
              <w:rPr>
                <w:rFonts w:ascii="Arial Narrow" w:hAnsi="Arial Narrow"/>
                <w:b/>
                <w:sz w:val="18"/>
                <w:szCs w:val="18"/>
              </w:rPr>
              <w:t xml:space="preserve"> </w:t>
            </w:r>
          </w:p>
          <w:p w:rsidR="000629EA" w:rsidRPr="006A41D4" w:rsidRDefault="000629EA" w:rsidP="0094783C">
            <w:pPr>
              <w:rPr>
                <w:rFonts w:ascii="Arial Narrow" w:hAnsi="Arial Narrow"/>
                <w:sz w:val="18"/>
                <w:szCs w:val="18"/>
              </w:rPr>
            </w:pPr>
          </w:p>
        </w:tc>
      </w:tr>
      <w:tr w:rsidR="000629EA" w:rsidRPr="006A41D4" w:rsidTr="0094783C">
        <w:tc>
          <w:tcPr>
            <w:tcW w:w="2122" w:type="dxa"/>
          </w:tcPr>
          <w:p w:rsidR="000629EA" w:rsidRPr="006A41D4" w:rsidRDefault="000629EA" w:rsidP="0094783C">
            <w:pPr>
              <w:rPr>
                <w:rFonts w:ascii="Arial Narrow" w:hAnsi="Arial Narrow"/>
                <w:b/>
                <w:sz w:val="18"/>
                <w:szCs w:val="18"/>
              </w:rPr>
            </w:pPr>
            <w:r w:rsidRPr="006A41D4">
              <w:rPr>
                <w:rFonts w:ascii="Arial Narrow" w:hAnsi="Arial Narrow"/>
                <w:sz w:val="18"/>
                <w:szCs w:val="18"/>
              </w:rPr>
              <w:t xml:space="preserve">American College of Cardiology/American Heart Association (ACC/AHA-2013) </w:t>
            </w:r>
            <w:r w:rsidRPr="006A41D4">
              <w:rPr>
                <w:rFonts w:ascii="Arial Narrow" w:hAnsi="Arial Narrow"/>
                <w:b/>
                <w:sz w:val="18"/>
                <w:szCs w:val="18"/>
              </w:rPr>
              <w:t xml:space="preserve">USA </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Pr>
                <w:rFonts w:ascii="Arial Narrow" w:hAnsi="Arial Narrow"/>
                <w:sz w:val="18"/>
                <w:szCs w:val="18"/>
              </w:rPr>
              <w:t xml:space="preserve">The </w:t>
            </w:r>
            <w:r w:rsidRPr="007273C8">
              <w:rPr>
                <w:rFonts w:ascii="Arial Narrow" w:hAnsi="Arial Narrow"/>
                <w:sz w:val="18"/>
                <w:szCs w:val="18"/>
              </w:rPr>
              <w:t>ACC Clinical Expert Consensus on the Role of Non-Statin Therapies</w:t>
            </w:r>
            <w:r>
              <w:rPr>
                <w:rFonts w:ascii="Arial Narrow" w:hAnsi="Arial Narrow"/>
                <w:sz w:val="18"/>
                <w:szCs w:val="18"/>
              </w:rPr>
              <w:t xml:space="preserve"> (2016) </w:t>
            </w:r>
            <w:r w:rsidRPr="007273C8">
              <w:rPr>
                <w:rFonts w:ascii="Arial Narrow" w:hAnsi="Arial Narrow"/>
                <w:b/>
                <w:sz w:val="18"/>
                <w:szCs w:val="18"/>
              </w:rPr>
              <w:t>USA</w:t>
            </w:r>
          </w:p>
        </w:tc>
        <w:tc>
          <w:tcPr>
            <w:tcW w:w="2268" w:type="dxa"/>
          </w:tcPr>
          <w:p w:rsidR="000629EA" w:rsidRDefault="000629EA" w:rsidP="0094783C">
            <w:pPr>
              <w:autoSpaceDE w:val="0"/>
              <w:autoSpaceDN w:val="0"/>
              <w:adjustRightInd w:val="0"/>
              <w:ind w:right="-108"/>
              <w:rPr>
                <w:rFonts w:ascii="Arial Narrow" w:hAnsi="Arial Narrow"/>
                <w:sz w:val="18"/>
                <w:szCs w:val="18"/>
              </w:rPr>
            </w:pPr>
            <w:r w:rsidRPr="006A41D4">
              <w:rPr>
                <w:rFonts w:ascii="Arial Narrow" w:hAnsi="Arial Narrow"/>
                <w:sz w:val="18"/>
                <w:szCs w:val="18"/>
              </w:rPr>
              <w:t xml:space="preserve">Pooled Cohort Equations to estimate 10-year ASCVD risk </w:t>
            </w:r>
            <w:r>
              <w:rPr>
                <w:rFonts w:ascii="Arial Narrow" w:hAnsi="Arial Narrow"/>
                <w:sz w:val="18"/>
                <w:szCs w:val="18"/>
              </w:rPr>
              <w:t>for patients 40-75 years of age.</w:t>
            </w:r>
          </w:p>
          <w:p w:rsidR="000629EA" w:rsidRPr="006A41D4" w:rsidRDefault="000629EA" w:rsidP="0094783C">
            <w:pPr>
              <w:autoSpaceDE w:val="0"/>
              <w:autoSpaceDN w:val="0"/>
              <w:adjustRightInd w:val="0"/>
              <w:ind w:right="-108"/>
              <w:rPr>
                <w:rFonts w:ascii="Arial Narrow" w:hAnsi="Arial Narrow"/>
                <w:sz w:val="18"/>
                <w:szCs w:val="18"/>
              </w:rPr>
            </w:pPr>
            <w:r>
              <w:rPr>
                <w:rFonts w:ascii="Arial Narrow" w:hAnsi="Arial Narrow"/>
                <w:sz w:val="18"/>
                <w:szCs w:val="18"/>
              </w:rPr>
              <w:t xml:space="preserve">      </w:t>
            </w:r>
            <w:r w:rsidRPr="001D11BF">
              <w:rPr>
                <w:rFonts w:ascii="Arial Narrow" w:hAnsi="Arial Narrow"/>
                <w:sz w:val="18"/>
                <w:szCs w:val="18"/>
              </w:rPr>
              <w:t xml:space="preserve">End points: </w:t>
            </w:r>
            <w:r w:rsidRPr="006A41D4">
              <w:rPr>
                <w:rFonts w:ascii="Arial Narrow" w:hAnsi="Arial Narrow"/>
                <w:sz w:val="18"/>
                <w:szCs w:val="18"/>
              </w:rPr>
              <w:t>probability of CHD death, nonfatal MI, fatal or nonfatal stroke</w:t>
            </w:r>
          </w:p>
          <w:p w:rsidR="000629EA" w:rsidRPr="006A41D4" w:rsidRDefault="000629EA" w:rsidP="0094783C">
            <w:pPr>
              <w:rPr>
                <w:rFonts w:ascii="Arial Narrow" w:hAnsi="Arial Narrow"/>
                <w:sz w:val="18"/>
                <w:szCs w:val="18"/>
              </w:rPr>
            </w:pPr>
          </w:p>
        </w:tc>
        <w:tc>
          <w:tcPr>
            <w:tcW w:w="2551" w:type="dxa"/>
          </w:tcPr>
          <w:p w:rsidR="000629EA" w:rsidRPr="00077373" w:rsidRDefault="000629EA" w:rsidP="0094783C">
            <w:pPr>
              <w:rPr>
                <w:rFonts w:ascii="Arial Narrow" w:hAnsi="Arial Narrow"/>
                <w:sz w:val="18"/>
                <w:szCs w:val="18"/>
              </w:rPr>
            </w:pPr>
            <w:r w:rsidRPr="00077373">
              <w:rPr>
                <w:rFonts w:ascii="Arial Narrow" w:hAnsi="Arial Narrow"/>
                <w:sz w:val="18"/>
                <w:szCs w:val="18"/>
              </w:rPr>
              <w:t>Identified 4 primary statin benefit groups:</w:t>
            </w:r>
          </w:p>
          <w:p w:rsidR="000629EA" w:rsidRPr="00E710B6" w:rsidRDefault="000629EA" w:rsidP="0094783C">
            <w:pPr>
              <w:rPr>
                <w:rFonts w:ascii="Arial Narrow" w:hAnsi="Arial Narrow"/>
                <w:b/>
                <w:sz w:val="18"/>
                <w:szCs w:val="18"/>
              </w:rPr>
            </w:pPr>
            <w:r w:rsidRPr="006A41D4">
              <w:rPr>
                <w:rFonts w:ascii="Arial Narrow" w:hAnsi="Arial Narrow"/>
                <w:b/>
                <w:sz w:val="18"/>
                <w:szCs w:val="18"/>
              </w:rPr>
              <w:t>Secondary prevention</w:t>
            </w:r>
          </w:p>
          <w:p w:rsidR="000629EA" w:rsidRDefault="000629EA" w:rsidP="0094783C">
            <w:pPr>
              <w:rPr>
                <w:rFonts w:ascii="Arial Narrow" w:hAnsi="Arial Narrow"/>
                <w:sz w:val="18"/>
                <w:szCs w:val="18"/>
              </w:rPr>
            </w:pPr>
            <w:r w:rsidRPr="00077373">
              <w:rPr>
                <w:rFonts w:ascii="Arial Narrow" w:hAnsi="Arial Narrow"/>
                <w:sz w:val="18"/>
                <w:szCs w:val="18"/>
              </w:rPr>
              <w:t>1) Individuals with clinical ASCVD</w:t>
            </w:r>
          </w:p>
          <w:p w:rsidR="000629EA" w:rsidRDefault="000629EA" w:rsidP="0094783C">
            <w:pPr>
              <w:rPr>
                <w:rFonts w:ascii="Arial Narrow" w:hAnsi="Arial Narrow"/>
                <w:sz w:val="18"/>
                <w:szCs w:val="18"/>
              </w:rPr>
            </w:pPr>
          </w:p>
          <w:p w:rsidR="000629EA" w:rsidRPr="00E710B6" w:rsidRDefault="000629EA" w:rsidP="0094783C">
            <w:pPr>
              <w:autoSpaceDE w:val="0"/>
              <w:autoSpaceDN w:val="0"/>
              <w:adjustRightInd w:val="0"/>
              <w:rPr>
                <w:rFonts w:ascii="Arial Narrow" w:hAnsi="Arial Narrow"/>
                <w:b/>
                <w:sz w:val="18"/>
                <w:szCs w:val="18"/>
              </w:rPr>
            </w:pPr>
            <w:r w:rsidRPr="00077373">
              <w:rPr>
                <w:rFonts w:ascii="Arial Narrow" w:hAnsi="Arial Narrow"/>
                <w:sz w:val="18"/>
                <w:szCs w:val="18"/>
              </w:rPr>
              <w:t xml:space="preserve"> </w:t>
            </w:r>
            <w:r w:rsidRPr="006A41D4">
              <w:rPr>
                <w:rFonts w:ascii="Arial Narrow" w:hAnsi="Arial Narrow"/>
                <w:b/>
                <w:sz w:val="18"/>
                <w:szCs w:val="18"/>
              </w:rPr>
              <w:t>Primary prevention</w:t>
            </w:r>
          </w:p>
          <w:p w:rsidR="000629EA" w:rsidRPr="00077373" w:rsidRDefault="000629EA" w:rsidP="0094783C">
            <w:pPr>
              <w:rPr>
                <w:rFonts w:ascii="Arial Narrow" w:hAnsi="Arial Narrow"/>
                <w:sz w:val="18"/>
                <w:szCs w:val="18"/>
              </w:rPr>
            </w:pPr>
            <w:r w:rsidRPr="00077373">
              <w:rPr>
                <w:rFonts w:ascii="Arial Narrow" w:hAnsi="Arial Narrow"/>
                <w:sz w:val="18"/>
                <w:szCs w:val="18"/>
              </w:rPr>
              <w:t>2) Individuals (adults ≥21 y.o)</w:t>
            </w:r>
            <w:r>
              <w:rPr>
                <w:rFonts w:ascii="Arial Narrow" w:hAnsi="Arial Narrow"/>
                <w:sz w:val="18"/>
                <w:szCs w:val="18"/>
              </w:rPr>
              <w:t xml:space="preserve"> </w:t>
            </w:r>
            <w:r w:rsidRPr="00077373">
              <w:rPr>
                <w:rFonts w:ascii="Arial Narrow" w:hAnsi="Arial Narrow"/>
                <w:sz w:val="18"/>
                <w:szCs w:val="18"/>
              </w:rPr>
              <w:t>with p</w:t>
            </w:r>
            <w:r>
              <w:rPr>
                <w:rFonts w:ascii="Arial Narrow" w:hAnsi="Arial Narrow"/>
                <w:sz w:val="18"/>
                <w:szCs w:val="18"/>
              </w:rPr>
              <w:t>rimary elevations of LDL-C &gt;190</w:t>
            </w:r>
            <w:r w:rsidRPr="00077373">
              <w:rPr>
                <w:rFonts w:ascii="Arial Narrow" w:hAnsi="Arial Narrow"/>
                <w:sz w:val="18"/>
                <w:szCs w:val="18"/>
              </w:rPr>
              <w:t>mg/dL</w:t>
            </w:r>
            <w:r>
              <w:rPr>
                <w:rFonts w:ascii="Arial Narrow" w:hAnsi="Arial Narrow"/>
                <w:sz w:val="18"/>
                <w:szCs w:val="18"/>
              </w:rPr>
              <w:t xml:space="preserve"> (4.9mmol/L)</w:t>
            </w:r>
            <w:r w:rsidRPr="00077373">
              <w:rPr>
                <w:rFonts w:ascii="Arial Narrow" w:hAnsi="Arial Narrow"/>
                <w:sz w:val="18"/>
                <w:szCs w:val="18"/>
              </w:rPr>
              <w:t xml:space="preserve">  </w:t>
            </w:r>
          </w:p>
          <w:p w:rsidR="000629EA" w:rsidRPr="00077373" w:rsidRDefault="000629EA" w:rsidP="0094783C">
            <w:pPr>
              <w:rPr>
                <w:rFonts w:ascii="Arial Narrow" w:hAnsi="Arial Narrow"/>
                <w:sz w:val="18"/>
                <w:szCs w:val="18"/>
              </w:rPr>
            </w:pPr>
          </w:p>
          <w:p w:rsidR="000629EA" w:rsidRPr="00077373" w:rsidRDefault="000629EA" w:rsidP="0094783C">
            <w:pPr>
              <w:rPr>
                <w:rFonts w:ascii="Arial Narrow" w:hAnsi="Arial Narrow"/>
                <w:sz w:val="18"/>
                <w:szCs w:val="18"/>
              </w:rPr>
            </w:pPr>
            <w:r w:rsidRPr="00077373">
              <w:rPr>
                <w:rFonts w:ascii="Arial Narrow" w:hAnsi="Arial Narrow"/>
                <w:sz w:val="18"/>
                <w:szCs w:val="18"/>
              </w:rPr>
              <w:t xml:space="preserve">3) Individuals with </w:t>
            </w:r>
            <w:r>
              <w:rPr>
                <w:rFonts w:ascii="Arial Narrow" w:hAnsi="Arial Narrow"/>
                <w:sz w:val="18"/>
                <w:szCs w:val="18"/>
              </w:rPr>
              <w:t>DM</w:t>
            </w:r>
            <w:r w:rsidRPr="00077373">
              <w:rPr>
                <w:rFonts w:ascii="Arial Narrow" w:hAnsi="Arial Narrow"/>
                <w:sz w:val="18"/>
                <w:szCs w:val="18"/>
              </w:rPr>
              <w:t>, without clinical ASCVD, aged 40-75 with LDL-C 70-189 mg/dL</w:t>
            </w:r>
            <w:r>
              <w:rPr>
                <w:rFonts w:ascii="Arial Narrow" w:hAnsi="Arial Narrow"/>
                <w:sz w:val="18"/>
                <w:szCs w:val="18"/>
              </w:rPr>
              <w:t xml:space="preserve"> (1.8-4.9 mmol/L)</w:t>
            </w:r>
          </w:p>
          <w:p w:rsidR="000629EA" w:rsidRPr="00077373" w:rsidRDefault="000629EA" w:rsidP="0094783C">
            <w:pPr>
              <w:rPr>
                <w:rFonts w:ascii="Arial Narrow" w:hAnsi="Arial Narrow"/>
                <w:sz w:val="18"/>
                <w:szCs w:val="18"/>
              </w:rPr>
            </w:pPr>
          </w:p>
          <w:p w:rsidR="000629EA" w:rsidRPr="00077373" w:rsidRDefault="000629EA" w:rsidP="0094783C">
            <w:pPr>
              <w:rPr>
                <w:rFonts w:ascii="Arial Narrow" w:hAnsi="Arial Narrow"/>
                <w:sz w:val="18"/>
                <w:szCs w:val="18"/>
              </w:rPr>
            </w:pPr>
            <w:r w:rsidRPr="00077373">
              <w:rPr>
                <w:rFonts w:ascii="Arial Narrow" w:hAnsi="Arial Narrow"/>
                <w:sz w:val="18"/>
                <w:szCs w:val="18"/>
              </w:rPr>
              <w:t xml:space="preserve">4) Individuals without clinical ASCVD or </w:t>
            </w:r>
            <w:r>
              <w:rPr>
                <w:rFonts w:ascii="Arial Narrow" w:hAnsi="Arial Narrow"/>
                <w:sz w:val="18"/>
                <w:szCs w:val="18"/>
              </w:rPr>
              <w:t>DM</w:t>
            </w:r>
            <w:r w:rsidRPr="00077373">
              <w:rPr>
                <w:rFonts w:ascii="Arial Narrow" w:hAnsi="Arial Narrow"/>
                <w:sz w:val="18"/>
                <w:szCs w:val="18"/>
              </w:rPr>
              <w:t xml:space="preserve"> with LDL-C 70-189</w:t>
            </w:r>
            <w:r>
              <w:rPr>
                <w:rFonts w:ascii="Arial Narrow" w:hAnsi="Arial Narrow"/>
                <w:sz w:val="18"/>
                <w:szCs w:val="18"/>
              </w:rPr>
              <w:t xml:space="preserve"> mg/dL(1.8-4.9 mmol/L) </w:t>
            </w:r>
            <w:r w:rsidRPr="00077373">
              <w:rPr>
                <w:rFonts w:ascii="Arial Narrow" w:hAnsi="Arial Narrow"/>
                <w:sz w:val="18"/>
                <w:szCs w:val="18"/>
              </w:rPr>
              <w:t>and estimated 10-y ASCVD risk ≥7.5%</w:t>
            </w:r>
          </w:p>
          <w:p w:rsidR="000629EA" w:rsidRPr="006A41D4" w:rsidRDefault="000629EA" w:rsidP="0094783C">
            <w:pPr>
              <w:rPr>
                <w:rFonts w:ascii="Arial Narrow" w:hAnsi="Arial Narrow"/>
                <w:sz w:val="18"/>
                <w:szCs w:val="18"/>
              </w:rPr>
            </w:pPr>
          </w:p>
        </w:tc>
        <w:tc>
          <w:tcPr>
            <w:tcW w:w="2693" w:type="dxa"/>
          </w:tcPr>
          <w:p w:rsidR="000629EA" w:rsidRDefault="000629EA" w:rsidP="0094783C">
            <w:pPr>
              <w:rPr>
                <w:rFonts w:ascii="Arial Narrow" w:hAnsi="Arial Narrow"/>
                <w:i/>
                <w:sz w:val="18"/>
                <w:szCs w:val="18"/>
              </w:rPr>
            </w:pPr>
            <w:r w:rsidRPr="006A41D4">
              <w:rPr>
                <w:rFonts w:ascii="Arial Narrow" w:hAnsi="Arial Narrow"/>
                <w:sz w:val="18"/>
                <w:szCs w:val="18"/>
              </w:rPr>
              <w:t>Not applicable</w:t>
            </w:r>
            <w:r>
              <w:rPr>
                <w:rFonts w:ascii="Arial Narrow" w:hAnsi="Arial Narrow"/>
                <w:sz w:val="18"/>
                <w:szCs w:val="18"/>
              </w:rPr>
              <w:t xml:space="preserve">; </w:t>
            </w:r>
            <w:r w:rsidRPr="00BC4E73">
              <w:rPr>
                <w:rFonts w:ascii="Arial Narrow" w:hAnsi="Arial Narrow"/>
                <w:i/>
                <w:sz w:val="18"/>
                <w:szCs w:val="18"/>
              </w:rPr>
              <w:t>fixed statin intensity approach is recommended instead</w:t>
            </w:r>
            <w:r>
              <w:rPr>
                <w:rFonts w:ascii="Arial Narrow" w:hAnsi="Arial Narrow"/>
                <w:i/>
                <w:sz w:val="18"/>
                <w:szCs w:val="18"/>
              </w:rPr>
              <w:t>.</w:t>
            </w:r>
          </w:p>
          <w:p w:rsidR="000629EA" w:rsidRDefault="000629EA" w:rsidP="0094783C">
            <w:pPr>
              <w:rPr>
                <w:rFonts w:ascii="Arial Narrow" w:hAnsi="Arial Narrow"/>
                <w:i/>
                <w:sz w:val="18"/>
                <w:szCs w:val="18"/>
              </w:rPr>
            </w:pPr>
          </w:p>
          <w:p w:rsidR="000629EA" w:rsidRDefault="000629EA" w:rsidP="0094783C">
            <w:pPr>
              <w:rPr>
                <w:rFonts w:ascii="Arial Narrow" w:hAnsi="Arial Narrow"/>
                <w:sz w:val="18"/>
                <w:szCs w:val="18"/>
              </w:rPr>
            </w:pPr>
            <w:r w:rsidRPr="00BB4823">
              <w:rPr>
                <w:rFonts w:ascii="Arial Narrow" w:hAnsi="Arial Narrow"/>
                <w:sz w:val="18"/>
                <w:szCs w:val="18"/>
              </w:rPr>
              <w:t xml:space="preserve">The expected response to a moderate-potency statin is LDL-C reduction of 30-50%, while the expected response to a high-potency statin is LDL-C reduction of ≥ 50%.  </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p>
          <w:p w:rsidR="000629EA" w:rsidRPr="007273C8" w:rsidRDefault="000629EA" w:rsidP="0094783C">
            <w:pPr>
              <w:rPr>
                <w:rFonts w:ascii="Arial Narrow" w:hAnsi="Arial Narrow"/>
                <w:i/>
                <w:sz w:val="18"/>
                <w:szCs w:val="18"/>
              </w:rPr>
            </w:pPr>
            <w:r w:rsidRPr="007273C8">
              <w:rPr>
                <w:rFonts w:ascii="Arial Narrow" w:hAnsi="Arial Narrow"/>
                <w:i/>
                <w:sz w:val="18"/>
                <w:szCs w:val="18"/>
              </w:rPr>
              <w:t>The 2016 ACC Clinical Expert Consensus re-introduced lipid goals in the decision pathways.</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7273C8">
              <w:rPr>
                <w:rFonts w:ascii="Arial Narrow" w:hAnsi="Arial Narrow"/>
                <w:sz w:val="18"/>
                <w:szCs w:val="18"/>
              </w:rPr>
              <w:t xml:space="preserve">Depending on the primary or secondary prevention status, comorbidities and the baseline LDL-C level, the lipid goals are set either at LDL-C &lt;70mg/dL (1.8 mmol/L)  or LDL-C &lt;100mg/dL (2.6 mmol/L). For </w:t>
            </w:r>
            <w:r w:rsidRPr="007273C8">
              <w:rPr>
                <w:rFonts w:ascii="Arial Narrow" w:hAnsi="Arial Narrow"/>
                <w:sz w:val="18"/>
                <w:szCs w:val="18"/>
              </w:rPr>
              <w:lastRenderedPageBreak/>
              <w:t>patients with diabetes the lipid goal is defined as</w:t>
            </w:r>
            <w:r w:rsidR="00440BE0">
              <w:rPr>
                <w:rFonts w:ascii="Arial Narrow" w:hAnsi="Arial Narrow"/>
                <w:sz w:val="18"/>
                <w:szCs w:val="18"/>
              </w:rPr>
              <w:t xml:space="preserve"> non-</w:t>
            </w:r>
            <w:r w:rsidRPr="007273C8">
              <w:rPr>
                <w:rFonts w:ascii="Arial Narrow" w:hAnsi="Arial Narrow"/>
                <w:sz w:val="18"/>
                <w:szCs w:val="18"/>
              </w:rPr>
              <w:t>HDL-C &lt;130 mg/dL (3.4 mmol/L)</w:t>
            </w:r>
            <w:r>
              <w:rPr>
                <w:rFonts w:ascii="Arial Narrow" w:hAnsi="Arial Narrow"/>
                <w:sz w:val="18"/>
                <w:szCs w:val="18"/>
              </w:rPr>
              <w:t>.</w:t>
            </w:r>
          </w:p>
          <w:p w:rsidR="000629EA" w:rsidRPr="006A41D4" w:rsidRDefault="000629EA" w:rsidP="0094783C">
            <w:pPr>
              <w:rPr>
                <w:rFonts w:ascii="Arial Narrow" w:hAnsi="Arial Narrow"/>
                <w:sz w:val="18"/>
                <w:szCs w:val="18"/>
              </w:rPr>
            </w:pPr>
            <w:r w:rsidRPr="00D6570E">
              <w:rPr>
                <w:rFonts w:ascii="Arial Narrow" w:hAnsi="Arial Narrow"/>
                <w:sz w:val="18"/>
                <w:szCs w:val="18"/>
              </w:rPr>
              <w:t>Non–LDL-C targets</w:t>
            </w:r>
            <w:r>
              <w:rPr>
                <w:rFonts w:ascii="Arial Narrow" w:hAnsi="Arial Narrow"/>
                <w:sz w:val="18"/>
                <w:szCs w:val="18"/>
              </w:rPr>
              <w:t xml:space="preserve"> are not  discussed</w:t>
            </w:r>
          </w:p>
        </w:tc>
        <w:tc>
          <w:tcPr>
            <w:tcW w:w="2693" w:type="dxa"/>
          </w:tcPr>
          <w:p w:rsidR="000629EA" w:rsidRDefault="000629EA" w:rsidP="0094783C">
            <w:pPr>
              <w:autoSpaceDE w:val="0"/>
              <w:autoSpaceDN w:val="0"/>
              <w:adjustRightInd w:val="0"/>
              <w:rPr>
                <w:rFonts w:ascii="Arial Narrow" w:hAnsi="Arial Narrow"/>
                <w:b/>
                <w:sz w:val="18"/>
                <w:szCs w:val="18"/>
              </w:rPr>
            </w:pPr>
            <w:r w:rsidRPr="006A41D4">
              <w:rPr>
                <w:rFonts w:ascii="Arial Narrow" w:hAnsi="Arial Narrow"/>
                <w:b/>
                <w:sz w:val="18"/>
                <w:szCs w:val="18"/>
              </w:rPr>
              <w:lastRenderedPageBreak/>
              <w:t>Primary prevention</w:t>
            </w:r>
          </w:p>
          <w:p w:rsidR="000629EA" w:rsidRPr="00E710B6" w:rsidRDefault="000629EA" w:rsidP="0094783C">
            <w:pPr>
              <w:autoSpaceDE w:val="0"/>
              <w:autoSpaceDN w:val="0"/>
              <w:adjustRightInd w:val="0"/>
              <w:rPr>
                <w:rFonts w:ascii="Arial Narrow" w:hAnsi="Arial Narrow" w:cs="HelveticaNeue-Condensed"/>
                <w:sz w:val="18"/>
                <w:szCs w:val="18"/>
              </w:rPr>
            </w:pPr>
            <w:r>
              <w:rPr>
                <w:rFonts w:ascii="Arial Narrow" w:hAnsi="Arial Narrow" w:cs="HelveticaNeue-Condensed"/>
                <w:sz w:val="18"/>
                <w:szCs w:val="18"/>
              </w:rPr>
              <w:t xml:space="preserve">Adults ≥21 years of age with </w:t>
            </w:r>
            <w:r w:rsidRPr="00E710B6">
              <w:rPr>
                <w:rFonts w:ascii="Arial Narrow" w:hAnsi="Arial Narrow" w:cs="HelveticaNeue-Condensed"/>
                <w:sz w:val="18"/>
                <w:szCs w:val="18"/>
              </w:rPr>
              <w:t>LDL-C ≥</w:t>
            </w:r>
            <w:r>
              <w:rPr>
                <w:rFonts w:ascii="Arial Narrow" w:hAnsi="Arial Narrow"/>
                <w:sz w:val="18"/>
                <w:szCs w:val="18"/>
              </w:rPr>
              <w:t>4.9mmol/L</w:t>
            </w:r>
            <w:r w:rsidRPr="00077373">
              <w:rPr>
                <w:rFonts w:ascii="Arial Narrow" w:hAnsi="Arial Narrow"/>
                <w:sz w:val="18"/>
                <w:szCs w:val="18"/>
              </w:rPr>
              <w:t xml:space="preserve">  </w:t>
            </w:r>
            <w:r w:rsidRPr="00E710B6">
              <w:rPr>
                <w:rFonts w:ascii="Arial Narrow" w:hAnsi="Arial Narrow" w:cs="HelveticaNeue-Condensed"/>
                <w:sz w:val="18"/>
                <w:szCs w:val="18"/>
              </w:rPr>
              <w:t xml:space="preserve"> </w:t>
            </w:r>
          </w:p>
          <w:p w:rsidR="000629EA" w:rsidRDefault="000629EA" w:rsidP="0094783C">
            <w:pPr>
              <w:autoSpaceDE w:val="0"/>
              <w:autoSpaceDN w:val="0"/>
              <w:adjustRightInd w:val="0"/>
              <w:rPr>
                <w:rFonts w:ascii="Arial Narrow" w:hAnsi="Arial Narrow" w:cs="HelveticaNeue-Condensed"/>
                <w:sz w:val="18"/>
                <w:szCs w:val="18"/>
              </w:rPr>
            </w:pPr>
            <w:r w:rsidRPr="00E710B6">
              <w:rPr>
                <w:rFonts w:ascii="Arial Narrow" w:hAnsi="Arial Narrow" w:cs="HelveticaNeue-Condensed"/>
                <w:sz w:val="18"/>
                <w:szCs w:val="18"/>
              </w:rPr>
              <w:t>• High-intensity statin therapy (or maximum tolerated dose) unless contraindicated</w:t>
            </w:r>
            <w:r>
              <w:rPr>
                <w:rFonts w:ascii="Arial Narrow" w:hAnsi="Arial Narrow" w:cs="HelveticaNeue-Condensed"/>
                <w:sz w:val="18"/>
                <w:szCs w:val="18"/>
              </w:rPr>
              <w:t>;</w:t>
            </w:r>
          </w:p>
          <w:p w:rsidR="000629EA" w:rsidRDefault="000629EA" w:rsidP="0094783C">
            <w:pPr>
              <w:autoSpaceDE w:val="0"/>
              <w:autoSpaceDN w:val="0"/>
              <w:adjustRightInd w:val="0"/>
              <w:rPr>
                <w:rFonts w:ascii="Arial Narrow" w:hAnsi="Arial Narrow" w:cs="HelveticaNeue-Condensed"/>
                <w:sz w:val="18"/>
                <w:szCs w:val="18"/>
              </w:rPr>
            </w:pPr>
          </w:p>
          <w:p w:rsidR="000629EA" w:rsidRDefault="000629EA" w:rsidP="0094783C">
            <w:pPr>
              <w:rPr>
                <w:rFonts w:ascii="Arial Narrow" w:hAnsi="Arial Narrow"/>
                <w:sz w:val="18"/>
                <w:szCs w:val="18"/>
              </w:rPr>
            </w:pPr>
            <w:r>
              <w:rPr>
                <w:rFonts w:ascii="Arial Narrow" w:hAnsi="Arial Narrow"/>
                <w:sz w:val="18"/>
                <w:szCs w:val="18"/>
              </w:rPr>
              <w:t>A</w:t>
            </w:r>
            <w:r w:rsidRPr="00921B85">
              <w:rPr>
                <w:rFonts w:ascii="Arial Narrow" w:hAnsi="Arial Narrow"/>
                <w:sz w:val="18"/>
                <w:szCs w:val="18"/>
              </w:rPr>
              <w:t xml:space="preserve">dults 40-75 </w:t>
            </w:r>
            <w:r>
              <w:rPr>
                <w:rFonts w:ascii="Arial Narrow" w:hAnsi="Arial Narrow"/>
                <w:sz w:val="18"/>
                <w:szCs w:val="18"/>
              </w:rPr>
              <w:t>y.o</w:t>
            </w:r>
            <w:r w:rsidRPr="00921B85">
              <w:rPr>
                <w:rFonts w:ascii="Arial Narrow" w:hAnsi="Arial Narrow"/>
                <w:sz w:val="18"/>
                <w:szCs w:val="18"/>
              </w:rPr>
              <w:t xml:space="preserve">, without ASCVD or </w:t>
            </w:r>
            <w:r>
              <w:rPr>
                <w:rFonts w:ascii="Arial Narrow" w:hAnsi="Arial Narrow"/>
                <w:sz w:val="18"/>
                <w:szCs w:val="18"/>
              </w:rPr>
              <w:t>DM;</w:t>
            </w:r>
            <w:r w:rsidRPr="00921B85">
              <w:rPr>
                <w:rFonts w:ascii="Arial Narrow" w:hAnsi="Arial Narrow"/>
                <w:sz w:val="18"/>
                <w:szCs w:val="18"/>
              </w:rPr>
              <w:t xml:space="preserve"> LDL-C </w:t>
            </w:r>
            <w:r>
              <w:rPr>
                <w:rFonts w:ascii="Arial Narrow" w:hAnsi="Arial Narrow"/>
                <w:sz w:val="18"/>
                <w:szCs w:val="18"/>
              </w:rPr>
              <w:t>1.8-4.9 mmol/L</w:t>
            </w:r>
          </w:p>
          <w:p w:rsidR="000629EA" w:rsidRDefault="000629EA" w:rsidP="0094783C">
            <w:pPr>
              <w:rPr>
                <w:rFonts w:ascii="Arial Narrow" w:hAnsi="Arial Narrow"/>
                <w:sz w:val="18"/>
                <w:szCs w:val="18"/>
              </w:rPr>
            </w:pPr>
            <w:r w:rsidRPr="00921B85">
              <w:rPr>
                <w:rFonts w:ascii="Arial Narrow" w:hAnsi="Arial Narrow"/>
                <w:sz w:val="18"/>
                <w:szCs w:val="18"/>
              </w:rPr>
              <w:t>•If 10-y ASCVD risk ≥7.5%, consider moderate- to</w:t>
            </w:r>
            <w:r>
              <w:rPr>
                <w:rFonts w:ascii="Arial Narrow" w:hAnsi="Arial Narrow"/>
                <w:sz w:val="18"/>
                <w:szCs w:val="18"/>
              </w:rPr>
              <w:t xml:space="preserve"> high intensity statin therapy </w:t>
            </w:r>
          </w:p>
          <w:p w:rsidR="000629EA" w:rsidRPr="00921B85"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Pr>
                <w:rFonts w:ascii="Arial Narrow" w:hAnsi="Arial Narrow"/>
                <w:sz w:val="18"/>
                <w:szCs w:val="18"/>
              </w:rPr>
              <w:t>A</w:t>
            </w:r>
            <w:r w:rsidRPr="00921B85">
              <w:rPr>
                <w:rFonts w:ascii="Arial Narrow" w:hAnsi="Arial Narrow"/>
                <w:sz w:val="18"/>
                <w:szCs w:val="18"/>
              </w:rPr>
              <w:t xml:space="preserve">dults 40-75 </w:t>
            </w:r>
            <w:r>
              <w:rPr>
                <w:rFonts w:ascii="Arial Narrow" w:hAnsi="Arial Narrow"/>
                <w:sz w:val="18"/>
                <w:szCs w:val="18"/>
              </w:rPr>
              <w:t>y.o.</w:t>
            </w:r>
            <w:r>
              <w:rPr>
                <w:rFonts w:ascii="Arial Narrow" w:hAnsi="Arial Narrow"/>
                <w:b/>
                <w:sz w:val="18"/>
                <w:szCs w:val="18"/>
              </w:rPr>
              <w:t xml:space="preserve"> </w:t>
            </w:r>
            <w:r>
              <w:rPr>
                <w:rFonts w:ascii="Arial Narrow" w:hAnsi="Arial Narrow"/>
                <w:sz w:val="18"/>
                <w:szCs w:val="18"/>
              </w:rPr>
              <w:t xml:space="preserve">with DM; </w:t>
            </w:r>
            <w:r w:rsidRPr="00921B85">
              <w:rPr>
                <w:rFonts w:ascii="Arial Narrow" w:hAnsi="Arial Narrow"/>
                <w:sz w:val="18"/>
                <w:szCs w:val="18"/>
              </w:rPr>
              <w:t xml:space="preserve">LDL-C </w:t>
            </w:r>
            <w:r>
              <w:rPr>
                <w:rFonts w:ascii="Arial Narrow" w:hAnsi="Arial Narrow"/>
                <w:sz w:val="18"/>
                <w:szCs w:val="18"/>
              </w:rPr>
              <w:t>1.8-4.9 mmol/L</w:t>
            </w:r>
          </w:p>
          <w:p w:rsidR="000629EA" w:rsidRPr="00921B85"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921B85">
              <w:rPr>
                <w:rFonts w:ascii="Arial Narrow" w:hAnsi="Arial Narrow"/>
                <w:sz w:val="18"/>
                <w:szCs w:val="18"/>
              </w:rPr>
              <w:t xml:space="preserve">Moderate-intensity statin therapy </w:t>
            </w:r>
          </w:p>
          <w:p w:rsidR="000629EA" w:rsidRDefault="000629EA" w:rsidP="0094783C">
            <w:pPr>
              <w:rPr>
                <w:rFonts w:ascii="Arial Narrow" w:hAnsi="Arial Narrow"/>
                <w:sz w:val="18"/>
                <w:szCs w:val="18"/>
              </w:rPr>
            </w:pPr>
            <w:r w:rsidRPr="00921B85">
              <w:rPr>
                <w:rFonts w:ascii="Arial Narrow" w:hAnsi="Arial Narrow"/>
                <w:sz w:val="18"/>
                <w:szCs w:val="18"/>
              </w:rPr>
              <w:t>• High-intensity statin therapy if estimated 10-y ASCVD risk</w:t>
            </w:r>
            <w:r>
              <w:rPr>
                <w:rFonts w:ascii="Arial Narrow" w:hAnsi="Arial Narrow"/>
                <w:sz w:val="18"/>
                <w:szCs w:val="18"/>
              </w:rPr>
              <w:t xml:space="preserve"> </w:t>
            </w:r>
            <w:r w:rsidRPr="00921B85">
              <w:rPr>
                <w:rFonts w:ascii="Arial Narrow" w:hAnsi="Arial Narrow"/>
                <w:sz w:val="18"/>
                <w:szCs w:val="18"/>
              </w:rPr>
              <w:t>≥7.5%, unless contraindicated</w:t>
            </w:r>
          </w:p>
          <w:p w:rsidR="000629EA" w:rsidRPr="00921B85" w:rsidRDefault="000629EA" w:rsidP="0094783C">
            <w:pPr>
              <w:rPr>
                <w:rFonts w:ascii="Arial Narrow" w:hAnsi="Arial Narrow"/>
                <w:sz w:val="18"/>
                <w:szCs w:val="18"/>
              </w:rPr>
            </w:pPr>
          </w:p>
          <w:p w:rsidR="000629EA" w:rsidRDefault="000629EA" w:rsidP="0094783C">
            <w:pPr>
              <w:rPr>
                <w:rFonts w:ascii="Arial Narrow" w:hAnsi="Arial Narrow"/>
                <w:b/>
                <w:sz w:val="18"/>
                <w:szCs w:val="18"/>
              </w:rPr>
            </w:pPr>
            <w:r w:rsidRPr="006A41D4">
              <w:rPr>
                <w:rFonts w:ascii="Arial Narrow" w:hAnsi="Arial Narrow"/>
                <w:b/>
                <w:sz w:val="18"/>
                <w:szCs w:val="18"/>
              </w:rPr>
              <w:lastRenderedPageBreak/>
              <w:t>Secondary prevention</w:t>
            </w:r>
          </w:p>
          <w:p w:rsidR="000629EA"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BB4823">
              <w:rPr>
                <w:rFonts w:ascii="Arial Narrow" w:hAnsi="Arial Narrow"/>
                <w:sz w:val="18"/>
                <w:szCs w:val="18"/>
              </w:rPr>
              <w:t>High-intensity statin in patients ≤75 years of age</w:t>
            </w:r>
            <w:r>
              <w:rPr>
                <w:rFonts w:ascii="Arial Narrow" w:hAnsi="Arial Narrow"/>
                <w:sz w:val="18"/>
                <w:szCs w:val="18"/>
              </w:rPr>
              <w:t>;</w:t>
            </w:r>
          </w:p>
          <w:p w:rsidR="000629EA" w:rsidRPr="006A41D4" w:rsidRDefault="000629EA" w:rsidP="0094783C">
            <w:pPr>
              <w:rPr>
                <w:rFonts w:ascii="Arial Narrow" w:hAnsi="Arial Narrow"/>
                <w:sz w:val="18"/>
                <w:szCs w:val="18"/>
              </w:rPr>
            </w:pPr>
            <w:r>
              <w:rPr>
                <w:rFonts w:ascii="Arial Narrow" w:hAnsi="Arial Narrow"/>
                <w:sz w:val="18"/>
                <w:szCs w:val="18"/>
              </w:rPr>
              <w:t xml:space="preserve">•  </w:t>
            </w:r>
            <w:r w:rsidRPr="0066641A">
              <w:rPr>
                <w:rFonts w:ascii="Arial Narrow" w:hAnsi="Arial Narrow"/>
                <w:sz w:val="18"/>
                <w:szCs w:val="18"/>
              </w:rPr>
              <w:t xml:space="preserve">Moderate-intensity statin </w:t>
            </w:r>
            <w:r>
              <w:rPr>
                <w:rFonts w:ascii="Arial Narrow" w:hAnsi="Arial Narrow"/>
                <w:sz w:val="18"/>
                <w:szCs w:val="18"/>
              </w:rPr>
              <w:t>i</w:t>
            </w:r>
            <w:r w:rsidRPr="0066641A">
              <w:rPr>
                <w:rFonts w:ascii="Arial Narrow" w:hAnsi="Arial Narrow"/>
                <w:sz w:val="18"/>
                <w:szCs w:val="18"/>
              </w:rPr>
              <w:t xml:space="preserve">n </w:t>
            </w:r>
            <w:r>
              <w:rPr>
                <w:rFonts w:ascii="Arial Narrow" w:hAnsi="Arial Narrow"/>
                <w:sz w:val="18"/>
                <w:szCs w:val="18"/>
              </w:rPr>
              <w:t>patients</w:t>
            </w:r>
            <w:r w:rsidRPr="0066641A">
              <w:rPr>
                <w:rFonts w:ascii="Arial Narrow" w:hAnsi="Arial Narrow"/>
                <w:sz w:val="18"/>
                <w:szCs w:val="18"/>
              </w:rPr>
              <w:t xml:space="preserve"> &gt;75 years of age</w:t>
            </w:r>
          </w:p>
        </w:tc>
        <w:tc>
          <w:tcPr>
            <w:tcW w:w="2693" w:type="dxa"/>
          </w:tcPr>
          <w:p w:rsidR="000629EA" w:rsidRPr="006A41D4" w:rsidRDefault="000629EA" w:rsidP="0094783C">
            <w:pPr>
              <w:rPr>
                <w:rFonts w:ascii="Arial Narrow" w:hAnsi="Arial Narrow"/>
                <w:sz w:val="18"/>
                <w:szCs w:val="18"/>
              </w:rPr>
            </w:pPr>
            <w:r w:rsidRPr="009538FC">
              <w:rPr>
                <w:rFonts w:ascii="Arial Narrow" w:hAnsi="Arial Narrow"/>
                <w:sz w:val="18"/>
                <w:szCs w:val="18"/>
              </w:rPr>
              <w:lastRenderedPageBreak/>
              <w:t xml:space="preserve">In high-risk individuals receiving maximum tolerated intensity of statin therapy who continue to have a less than- desired therapeutic response, addition of a </w:t>
            </w:r>
            <w:r w:rsidRPr="009F3CA5">
              <w:rPr>
                <w:rFonts w:ascii="Arial Narrow" w:hAnsi="Arial Narrow"/>
                <w:b/>
                <w:sz w:val="18"/>
                <w:szCs w:val="18"/>
              </w:rPr>
              <w:t>nonstatin cholesterol-lowering drug</w:t>
            </w:r>
            <w:r w:rsidRPr="009538FC">
              <w:rPr>
                <w:rFonts w:ascii="Arial Narrow" w:hAnsi="Arial Narrow"/>
                <w:sz w:val="18"/>
                <w:szCs w:val="18"/>
              </w:rPr>
              <w:t>(s) may be considered if the ASCVD risk-reduction benefits outweigh the potential for adverse effects.</w:t>
            </w:r>
          </w:p>
        </w:tc>
      </w:tr>
      <w:tr w:rsidR="000629EA" w:rsidRPr="006A41D4" w:rsidTr="0094783C">
        <w:tc>
          <w:tcPr>
            <w:tcW w:w="2122" w:type="dxa"/>
          </w:tcPr>
          <w:p w:rsidR="000629EA" w:rsidRPr="006A41D4" w:rsidRDefault="000629EA" w:rsidP="0094783C">
            <w:pPr>
              <w:rPr>
                <w:rFonts w:ascii="Arial Narrow" w:hAnsi="Arial Narrow"/>
                <w:sz w:val="18"/>
                <w:szCs w:val="18"/>
              </w:rPr>
            </w:pPr>
            <w:r w:rsidRPr="007273C8">
              <w:rPr>
                <w:rFonts w:ascii="Arial Narrow" w:hAnsi="Arial Narrow"/>
                <w:sz w:val="18"/>
                <w:szCs w:val="18"/>
              </w:rPr>
              <w:lastRenderedPageBreak/>
              <w:t>National Lipid Association recommendations</w:t>
            </w:r>
            <w:r>
              <w:rPr>
                <w:rFonts w:ascii="Arial Narrow" w:hAnsi="Arial Narrow"/>
                <w:sz w:val="18"/>
                <w:szCs w:val="18"/>
              </w:rPr>
              <w:t xml:space="preserve"> (updates from 2014-2015) </w:t>
            </w:r>
            <w:r w:rsidRPr="007273C8">
              <w:rPr>
                <w:rFonts w:ascii="Arial Narrow" w:hAnsi="Arial Narrow"/>
                <w:b/>
                <w:sz w:val="18"/>
                <w:szCs w:val="18"/>
              </w:rPr>
              <w:t>USA</w:t>
            </w:r>
          </w:p>
        </w:tc>
        <w:tc>
          <w:tcPr>
            <w:tcW w:w="2268" w:type="dxa"/>
          </w:tcPr>
          <w:p w:rsidR="000629EA"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7273C8">
              <w:rPr>
                <w:rFonts w:ascii="Arial Narrow" w:hAnsi="Arial Narrow"/>
                <w:sz w:val="18"/>
                <w:szCs w:val="18"/>
              </w:rPr>
              <w:t>Framingham Risk Score to estimate 10-y or long-term and lifetime ASCVD risk</w:t>
            </w:r>
          </w:p>
          <w:p w:rsidR="000629EA" w:rsidRDefault="000629EA" w:rsidP="0094783C">
            <w:pPr>
              <w:rPr>
                <w:rFonts w:ascii="Arial Narrow" w:hAnsi="Arial Narrow"/>
                <w:sz w:val="18"/>
                <w:szCs w:val="18"/>
              </w:rPr>
            </w:pPr>
            <w:r>
              <w:rPr>
                <w:rFonts w:ascii="Arial Narrow" w:hAnsi="Arial Narrow"/>
                <w:sz w:val="18"/>
                <w:szCs w:val="18"/>
              </w:rPr>
              <w:t xml:space="preserve">        </w:t>
            </w:r>
            <w:r w:rsidRPr="001D11BF">
              <w:rPr>
                <w:rFonts w:ascii="Arial Narrow" w:hAnsi="Arial Narrow"/>
                <w:sz w:val="18"/>
                <w:szCs w:val="18"/>
              </w:rPr>
              <w:t xml:space="preserve">End points: </w:t>
            </w:r>
            <w:r>
              <w:rPr>
                <w:rFonts w:ascii="Arial Narrow" w:hAnsi="Arial Narrow"/>
                <w:sz w:val="18"/>
                <w:szCs w:val="18"/>
              </w:rPr>
              <w:t xml:space="preserve">probability </w:t>
            </w:r>
            <w:r w:rsidRPr="001D11BF">
              <w:rPr>
                <w:rFonts w:ascii="Arial Narrow" w:hAnsi="Arial Narrow"/>
                <w:sz w:val="18"/>
                <w:szCs w:val="18"/>
              </w:rPr>
              <w:t xml:space="preserve">CHD death, </w:t>
            </w:r>
            <w:r>
              <w:rPr>
                <w:rFonts w:ascii="Arial Narrow" w:hAnsi="Arial Narrow"/>
                <w:sz w:val="18"/>
                <w:szCs w:val="18"/>
              </w:rPr>
              <w:t xml:space="preserve">  </w:t>
            </w:r>
            <w:r w:rsidRPr="001D11BF">
              <w:rPr>
                <w:rFonts w:ascii="Arial Narrow" w:hAnsi="Arial Narrow"/>
                <w:sz w:val="18"/>
                <w:szCs w:val="18"/>
              </w:rPr>
              <w:t>nonfatal MI</w:t>
            </w:r>
          </w:p>
          <w:p w:rsidR="000629EA" w:rsidRPr="007273C8"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7273C8">
              <w:rPr>
                <w:rFonts w:ascii="Arial Narrow" w:hAnsi="Arial Narrow"/>
                <w:sz w:val="18"/>
                <w:szCs w:val="18"/>
              </w:rPr>
              <w:t>Pooled Cohort Equations (ACC/AHA) to estimate 10-y ASCVD risk</w:t>
            </w:r>
            <w:r>
              <w:rPr>
                <w:rFonts w:ascii="Arial Narrow" w:hAnsi="Arial Narrow"/>
                <w:sz w:val="18"/>
                <w:szCs w:val="18"/>
              </w:rPr>
              <w:t xml:space="preserve">; </w:t>
            </w:r>
          </w:p>
          <w:p w:rsidR="000629EA" w:rsidRPr="006A41D4" w:rsidRDefault="000629EA" w:rsidP="0094783C">
            <w:pPr>
              <w:rPr>
                <w:rFonts w:ascii="Arial Narrow" w:hAnsi="Arial Narrow"/>
                <w:sz w:val="18"/>
                <w:szCs w:val="18"/>
              </w:rPr>
            </w:pPr>
            <w:r>
              <w:rPr>
                <w:rFonts w:ascii="Arial Narrow" w:hAnsi="Arial Narrow"/>
                <w:sz w:val="18"/>
                <w:szCs w:val="18"/>
              </w:rPr>
              <w:t xml:space="preserve">         </w:t>
            </w:r>
            <w:r w:rsidRPr="001D11BF">
              <w:rPr>
                <w:rFonts w:ascii="Arial Narrow" w:hAnsi="Arial Narrow"/>
                <w:sz w:val="18"/>
                <w:szCs w:val="18"/>
              </w:rPr>
              <w:t xml:space="preserve">End points: </w:t>
            </w:r>
            <w:r w:rsidRPr="006A41D4">
              <w:rPr>
                <w:rFonts w:ascii="Arial Narrow" w:hAnsi="Arial Narrow"/>
                <w:sz w:val="18"/>
                <w:szCs w:val="18"/>
              </w:rPr>
              <w:t>probability of CHD death, nonfatal MI, fatal or nonfatal stroke</w:t>
            </w:r>
          </w:p>
        </w:tc>
        <w:tc>
          <w:tcPr>
            <w:tcW w:w="2551" w:type="dxa"/>
          </w:tcPr>
          <w:p w:rsidR="000629EA" w:rsidRPr="001D11BF" w:rsidRDefault="000629EA" w:rsidP="0094783C">
            <w:pPr>
              <w:rPr>
                <w:rFonts w:ascii="Arial Narrow" w:hAnsi="Arial Narrow"/>
                <w:b/>
                <w:sz w:val="18"/>
                <w:szCs w:val="18"/>
              </w:rPr>
            </w:pPr>
            <w:r w:rsidRPr="001D11BF">
              <w:rPr>
                <w:rFonts w:ascii="Arial Narrow" w:hAnsi="Arial Narrow"/>
                <w:b/>
                <w:sz w:val="18"/>
                <w:szCs w:val="18"/>
              </w:rPr>
              <w:t>Major risk factors for ASCVD:</w:t>
            </w:r>
          </w:p>
          <w:p w:rsidR="000629EA" w:rsidRPr="001D11BF"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Age: Male </w:t>
            </w:r>
            <w:r w:rsidRPr="00CA04B8">
              <w:rPr>
                <w:rFonts w:ascii="Arial Narrow" w:hAnsi="Arial Narrow"/>
                <w:sz w:val="18"/>
                <w:szCs w:val="18"/>
              </w:rPr>
              <w:t>≥</w:t>
            </w:r>
            <w:r>
              <w:rPr>
                <w:rFonts w:ascii="Arial Narrow" w:hAnsi="Arial Narrow"/>
                <w:sz w:val="18"/>
                <w:szCs w:val="18"/>
              </w:rPr>
              <w:t xml:space="preserve">45 years; Female </w:t>
            </w:r>
            <w:r w:rsidRPr="00CA04B8">
              <w:rPr>
                <w:rFonts w:ascii="Arial Narrow" w:hAnsi="Arial Narrow"/>
                <w:sz w:val="18"/>
                <w:szCs w:val="18"/>
              </w:rPr>
              <w:t>≥</w:t>
            </w:r>
            <w:r w:rsidRPr="001D11BF">
              <w:rPr>
                <w:rFonts w:ascii="Arial Narrow" w:hAnsi="Arial Narrow"/>
                <w:sz w:val="18"/>
                <w:szCs w:val="18"/>
              </w:rPr>
              <w:t>55 years</w:t>
            </w:r>
          </w:p>
          <w:p w:rsidR="000629EA" w:rsidRPr="001D11BF"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1D11BF">
              <w:rPr>
                <w:rFonts w:ascii="Arial Narrow" w:hAnsi="Arial Narrow"/>
                <w:sz w:val="18"/>
                <w:szCs w:val="18"/>
              </w:rPr>
              <w:t>Family history of early CHD: &lt;55 years of age in a male first-degree relative, or &lt;65 years of age in a</w:t>
            </w:r>
          </w:p>
          <w:p w:rsidR="000629EA" w:rsidRPr="001D11BF" w:rsidRDefault="000629EA" w:rsidP="0094783C">
            <w:pPr>
              <w:rPr>
                <w:rFonts w:ascii="Arial Narrow" w:hAnsi="Arial Narrow"/>
                <w:sz w:val="18"/>
                <w:szCs w:val="18"/>
              </w:rPr>
            </w:pPr>
            <w:r w:rsidRPr="001D11BF">
              <w:rPr>
                <w:rFonts w:ascii="Arial Narrow" w:hAnsi="Arial Narrow"/>
                <w:sz w:val="18"/>
                <w:szCs w:val="18"/>
              </w:rPr>
              <w:t>female first-degree relative</w:t>
            </w:r>
          </w:p>
          <w:p w:rsidR="000629EA" w:rsidRPr="001D11BF"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1D11BF">
              <w:rPr>
                <w:rFonts w:ascii="Arial Narrow" w:hAnsi="Arial Narrow"/>
                <w:sz w:val="18"/>
                <w:szCs w:val="18"/>
              </w:rPr>
              <w:t xml:space="preserve"> Current cigarette smoking</w:t>
            </w:r>
          </w:p>
          <w:p w:rsidR="000629EA" w:rsidRPr="001D11BF"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High blood pressure (140/90 mmHg</w:t>
            </w:r>
            <w:r w:rsidRPr="001D11BF">
              <w:rPr>
                <w:rFonts w:ascii="Arial Narrow" w:hAnsi="Arial Narrow"/>
                <w:sz w:val="18"/>
                <w:szCs w:val="18"/>
              </w:rPr>
              <w:t>)</w:t>
            </w:r>
          </w:p>
          <w:p w:rsidR="000629EA" w:rsidRDefault="000629EA" w:rsidP="0094783C">
            <w:pPr>
              <w:rPr>
                <w:rFonts w:ascii="Arial Narrow" w:hAnsi="Arial Narrow"/>
                <w:sz w:val="18"/>
                <w:szCs w:val="18"/>
              </w:rPr>
            </w:pPr>
            <w:r w:rsidRPr="00921B85">
              <w:rPr>
                <w:rFonts w:ascii="Arial Narrow" w:hAnsi="Arial Narrow"/>
                <w:sz w:val="18"/>
                <w:szCs w:val="18"/>
              </w:rPr>
              <w:t>•</w:t>
            </w:r>
            <w:r>
              <w:rPr>
                <w:rFonts w:ascii="Arial Narrow" w:hAnsi="Arial Narrow"/>
                <w:sz w:val="18"/>
                <w:szCs w:val="18"/>
              </w:rPr>
              <w:t xml:space="preserve"> </w:t>
            </w:r>
            <w:r w:rsidRPr="001D11BF">
              <w:rPr>
                <w:rFonts w:ascii="Arial Narrow" w:hAnsi="Arial Narrow"/>
                <w:sz w:val="18"/>
                <w:szCs w:val="18"/>
              </w:rPr>
              <w:t xml:space="preserve"> Low HDL-C: male &lt;40 mg/dL; female &lt;50 mg/dL</w:t>
            </w:r>
          </w:p>
          <w:p w:rsidR="000629EA"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077373">
              <w:rPr>
                <w:rFonts w:ascii="Arial Narrow" w:hAnsi="Arial Narrow"/>
                <w:sz w:val="18"/>
                <w:szCs w:val="18"/>
              </w:rPr>
              <w:t xml:space="preserve">Identified </w:t>
            </w:r>
            <w:r w:rsidRPr="000057F5">
              <w:rPr>
                <w:rFonts w:ascii="Arial Narrow" w:hAnsi="Arial Narrow"/>
                <w:b/>
                <w:sz w:val="18"/>
                <w:szCs w:val="18"/>
              </w:rPr>
              <w:t>4 ASCVD risk groups (low, moderate, high and very high)</w:t>
            </w:r>
            <w:r>
              <w:rPr>
                <w:rFonts w:ascii="Arial Narrow" w:hAnsi="Arial Narrow"/>
                <w:sz w:val="18"/>
                <w:szCs w:val="18"/>
              </w:rPr>
              <w:t xml:space="preserve"> the risk is assigned according to the number of major risk factors; AR scores; presence of DM, CKD, or s</w:t>
            </w:r>
            <w:r w:rsidRPr="00A26808">
              <w:rPr>
                <w:rFonts w:ascii="Arial Narrow" w:hAnsi="Arial Narrow"/>
                <w:sz w:val="18"/>
                <w:szCs w:val="18"/>
              </w:rPr>
              <w:t>evere hypercholesterolemia LDL-C ≥190 mg/dL</w:t>
            </w:r>
            <w:r>
              <w:rPr>
                <w:rFonts w:ascii="Arial Narrow" w:hAnsi="Arial Narrow"/>
                <w:sz w:val="18"/>
                <w:szCs w:val="18"/>
              </w:rPr>
              <w:t>(4.9 mmol/L).</w:t>
            </w:r>
          </w:p>
        </w:tc>
        <w:tc>
          <w:tcPr>
            <w:tcW w:w="2693" w:type="dxa"/>
          </w:tcPr>
          <w:p w:rsidR="000629EA" w:rsidRDefault="000629EA" w:rsidP="0094783C">
            <w:pPr>
              <w:rPr>
                <w:rFonts w:ascii="Arial Narrow" w:hAnsi="Arial Narrow"/>
                <w:sz w:val="18"/>
                <w:szCs w:val="18"/>
              </w:rPr>
            </w:pPr>
            <w:r w:rsidRPr="006A41D4">
              <w:rPr>
                <w:rFonts w:ascii="Arial Narrow" w:hAnsi="Arial Narrow"/>
                <w:b/>
                <w:sz w:val="18"/>
                <w:szCs w:val="18"/>
              </w:rPr>
              <w:t xml:space="preserve">Recommended targets for lipid </w:t>
            </w:r>
            <w:r w:rsidRPr="006A41D4">
              <w:rPr>
                <w:rFonts w:ascii="Arial Narrow" w:hAnsi="Arial Narrow"/>
                <w:sz w:val="18"/>
                <w:szCs w:val="18"/>
              </w:rPr>
              <w:t>control</w:t>
            </w:r>
            <w:r w:rsidRPr="00D6570E">
              <w:rPr>
                <w:rFonts w:ascii="Arial Narrow" w:hAnsi="Arial Narrow"/>
                <w:sz w:val="18"/>
                <w:szCs w:val="18"/>
              </w:rPr>
              <w:t xml:space="preserve"> </w:t>
            </w:r>
          </w:p>
          <w:p w:rsidR="000629EA" w:rsidRDefault="000629EA" w:rsidP="0094783C">
            <w:pPr>
              <w:rPr>
                <w:rFonts w:ascii="Arial Narrow" w:hAnsi="Arial Narrow"/>
                <w:sz w:val="18"/>
                <w:szCs w:val="18"/>
              </w:rPr>
            </w:pPr>
            <w:r w:rsidRPr="00D6570E">
              <w:rPr>
                <w:rFonts w:ascii="Arial Narrow" w:hAnsi="Arial Narrow"/>
                <w:sz w:val="18"/>
                <w:szCs w:val="18"/>
              </w:rPr>
              <w:t>LDL-C &lt;100 mg/dL</w:t>
            </w:r>
            <w:r>
              <w:rPr>
                <w:rFonts w:ascii="Arial Narrow" w:hAnsi="Arial Narrow"/>
                <w:sz w:val="18"/>
                <w:szCs w:val="18"/>
              </w:rPr>
              <w:t xml:space="preserve"> </w:t>
            </w:r>
            <w:r w:rsidRPr="007273C8">
              <w:rPr>
                <w:rFonts w:ascii="Arial Narrow" w:hAnsi="Arial Narrow"/>
                <w:sz w:val="18"/>
                <w:szCs w:val="18"/>
              </w:rPr>
              <w:t>(2.6 mmol/L)</w:t>
            </w:r>
            <w:r w:rsidRPr="00D6570E">
              <w:rPr>
                <w:rFonts w:ascii="Arial Narrow" w:hAnsi="Arial Narrow"/>
                <w:sz w:val="18"/>
                <w:szCs w:val="18"/>
              </w:rPr>
              <w:t xml:space="preserve"> for low, medium and high risk categories and</w:t>
            </w:r>
            <w:r>
              <w:rPr>
                <w:rFonts w:ascii="Arial Narrow" w:hAnsi="Arial Narrow"/>
                <w:sz w:val="18"/>
                <w:szCs w:val="18"/>
              </w:rPr>
              <w:t xml:space="preserve"> </w:t>
            </w:r>
          </w:p>
          <w:p w:rsidR="000629EA" w:rsidRDefault="000629EA" w:rsidP="0094783C">
            <w:pPr>
              <w:rPr>
                <w:rFonts w:ascii="Arial Narrow" w:hAnsi="Arial Narrow"/>
                <w:sz w:val="18"/>
                <w:szCs w:val="18"/>
              </w:rPr>
            </w:pPr>
            <w:r w:rsidRPr="00D6570E">
              <w:rPr>
                <w:rFonts w:ascii="Arial Narrow" w:hAnsi="Arial Narrow"/>
                <w:sz w:val="18"/>
                <w:szCs w:val="18"/>
              </w:rPr>
              <w:t xml:space="preserve">LDL-C &lt;70 mg/dL </w:t>
            </w:r>
            <w:r w:rsidRPr="007273C8">
              <w:rPr>
                <w:rFonts w:ascii="Arial Narrow" w:hAnsi="Arial Narrow"/>
                <w:sz w:val="18"/>
                <w:szCs w:val="18"/>
              </w:rPr>
              <w:t xml:space="preserve">(1.8 mmol/L)  </w:t>
            </w:r>
            <w:r>
              <w:rPr>
                <w:rFonts w:ascii="Arial Narrow" w:hAnsi="Arial Narrow"/>
                <w:sz w:val="18"/>
                <w:szCs w:val="18"/>
              </w:rPr>
              <w:t>for very high risk category</w:t>
            </w:r>
            <w:r w:rsidRPr="00D6570E">
              <w:rPr>
                <w:rFonts w:ascii="Arial Narrow" w:hAnsi="Arial Narrow"/>
                <w:sz w:val="18"/>
                <w:szCs w:val="18"/>
              </w:rPr>
              <w:t xml:space="preserve">; </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D6570E">
              <w:rPr>
                <w:rFonts w:ascii="Arial Narrow" w:hAnsi="Arial Narrow"/>
                <w:sz w:val="18"/>
                <w:szCs w:val="18"/>
              </w:rPr>
              <w:t>non-HDL-C &lt;130 mg/dL</w:t>
            </w:r>
            <w:r>
              <w:rPr>
                <w:rFonts w:ascii="Arial Narrow" w:hAnsi="Arial Narrow"/>
                <w:sz w:val="18"/>
                <w:szCs w:val="18"/>
              </w:rPr>
              <w:t>(</w:t>
            </w:r>
            <w:r w:rsidRPr="007273C8">
              <w:rPr>
                <w:rFonts w:ascii="Arial Narrow" w:hAnsi="Arial Narrow"/>
                <w:sz w:val="18"/>
                <w:szCs w:val="18"/>
              </w:rPr>
              <w:t>3.4 mmol/L)</w:t>
            </w:r>
            <w:r w:rsidRPr="00D6570E">
              <w:rPr>
                <w:rFonts w:ascii="Arial Narrow" w:hAnsi="Arial Narrow"/>
                <w:sz w:val="18"/>
                <w:szCs w:val="18"/>
              </w:rPr>
              <w:t xml:space="preserve"> for low, medium and high risk categories and </w:t>
            </w:r>
          </w:p>
          <w:p w:rsidR="000629EA" w:rsidRDefault="000629EA" w:rsidP="0094783C">
            <w:pPr>
              <w:rPr>
                <w:rFonts w:ascii="Arial Narrow" w:hAnsi="Arial Narrow"/>
                <w:sz w:val="18"/>
                <w:szCs w:val="18"/>
              </w:rPr>
            </w:pPr>
            <w:r w:rsidRPr="00D6570E">
              <w:rPr>
                <w:rFonts w:ascii="Arial Narrow" w:hAnsi="Arial Narrow"/>
                <w:sz w:val="18"/>
                <w:szCs w:val="18"/>
              </w:rPr>
              <w:t>non-HDL-C &lt;100 mg/dL</w:t>
            </w:r>
            <w:r>
              <w:rPr>
                <w:rFonts w:ascii="Arial Narrow" w:hAnsi="Arial Narrow"/>
                <w:sz w:val="18"/>
                <w:szCs w:val="18"/>
              </w:rPr>
              <w:t xml:space="preserve"> </w:t>
            </w:r>
            <w:r w:rsidRPr="007273C8">
              <w:rPr>
                <w:rFonts w:ascii="Arial Narrow" w:hAnsi="Arial Narrow"/>
                <w:sz w:val="18"/>
                <w:szCs w:val="18"/>
              </w:rPr>
              <w:t>(2.6 mmol/L)</w:t>
            </w:r>
            <w:r w:rsidRPr="00D6570E">
              <w:rPr>
                <w:rFonts w:ascii="Arial Narrow" w:hAnsi="Arial Narrow"/>
                <w:sz w:val="18"/>
                <w:szCs w:val="18"/>
              </w:rPr>
              <w:t xml:space="preserve"> </w:t>
            </w:r>
            <w:r>
              <w:rPr>
                <w:rFonts w:ascii="Arial Narrow" w:hAnsi="Arial Narrow"/>
                <w:sz w:val="18"/>
                <w:szCs w:val="18"/>
              </w:rPr>
              <w:t xml:space="preserve"> for very high risk category</w:t>
            </w:r>
            <w:r w:rsidRPr="00D6570E">
              <w:rPr>
                <w:rFonts w:ascii="Arial Narrow" w:hAnsi="Arial Narrow"/>
                <w:sz w:val="18"/>
                <w:szCs w:val="18"/>
              </w:rPr>
              <w:t xml:space="preserve"> </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D6570E">
              <w:rPr>
                <w:rFonts w:ascii="Arial Narrow" w:hAnsi="Arial Narrow"/>
                <w:sz w:val="18"/>
                <w:szCs w:val="18"/>
              </w:rPr>
              <w:t xml:space="preserve">ApoB (apolipoprotein) can be considered as an optional (secondary) target </w:t>
            </w:r>
          </w:p>
          <w:p w:rsidR="000629EA"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D6570E">
              <w:rPr>
                <w:rFonts w:ascii="Arial Narrow" w:hAnsi="Arial Narrow"/>
                <w:sz w:val="18"/>
                <w:szCs w:val="18"/>
              </w:rPr>
              <w:t>TGs become the primary target if ≥500 mg/dL.</w:t>
            </w:r>
          </w:p>
        </w:tc>
        <w:tc>
          <w:tcPr>
            <w:tcW w:w="2693" w:type="dxa"/>
          </w:tcPr>
          <w:p w:rsidR="000629EA" w:rsidRDefault="000629EA" w:rsidP="0094783C">
            <w:pPr>
              <w:rPr>
                <w:rFonts w:ascii="Arial Narrow" w:hAnsi="Arial Narrow"/>
                <w:sz w:val="18"/>
                <w:szCs w:val="18"/>
              </w:rPr>
            </w:pPr>
            <w:r w:rsidRPr="00E85046">
              <w:rPr>
                <w:rFonts w:ascii="Arial Narrow" w:hAnsi="Arial Narrow"/>
                <w:b/>
                <w:sz w:val="18"/>
                <w:szCs w:val="18"/>
              </w:rPr>
              <w:t>Statin</w:t>
            </w:r>
            <w:r>
              <w:rPr>
                <w:rFonts w:ascii="Arial Narrow" w:hAnsi="Arial Narrow"/>
                <w:b/>
                <w:sz w:val="18"/>
                <w:szCs w:val="18"/>
              </w:rPr>
              <w:t xml:space="preserve"> </w:t>
            </w:r>
            <w:r>
              <w:rPr>
                <w:rFonts w:ascii="Arial Narrow" w:hAnsi="Arial Narrow"/>
                <w:sz w:val="18"/>
                <w:szCs w:val="18"/>
              </w:rPr>
              <w:t xml:space="preserve">is recommended for </w:t>
            </w:r>
            <w:r w:rsidRPr="00D6570E">
              <w:rPr>
                <w:rFonts w:ascii="Arial Narrow" w:hAnsi="Arial Narrow"/>
                <w:b/>
                <w:sz w:val="18"/>
                <w:szCs w:val="18"/>
              </w:rPr>
              <w:t>primary prevention</w:t>
            </w:r>
            <w:r>
              <w:rPr>
                <w:rFonts w:ascii="Arial Narrow" w:hAnsi="Arial Narrow"/>
                <w:sz w:val="18"/>
                <w:szCs w:val="18"/>
              </w:rPr>
              <w:t xml:space="preserve"> in patients </w:t>
            </w:r>
            <w:r w:rsidRPr="00D6570E">
              <w:rPr>
                <w:rFonts w:ascii="Arial Narrow" w:hAnsi="Arial Narrow"/>
                <w:b/>
                <w:sz w:val="18"/>
                <w:szCs w:val="18"/>
              </w:rPr>
              <w:t>without DM</w:t>
            </w:r>
            <w:r>
              <w:rPr>
                <w:rFonts w:ascii="Arial Narrow" w:hAnsi="Arial Narrow"/>
                <w:sz w:val="18"/>
                <w:szCs w:val="18"/>
              </w:rPr>
              <w:t xml:space="preserve"> if </w:t>
            </w:r>
          </w:p>
          <w:p w:rsidR="000629EA" w:rsidRDefault="000629EA" w:rsidP="0094783C">
            <w:pPr>
              <w:rPr>
                <w:rFonts w:ascii="Arial Narrow" w:hAnsi="Arial Narrow"/>
                <w:sz w:val="18"/>
                <w:szCs w:val="18"/>
              </w:rPr>
            </w:pPr>
            <w:r w:rsidRPr="00772CE7">
              <w:rPr>
                <w:rFonts w:ascii="Arial Narrow" w:hAnsi="Arial Narrow"/>
                <w:sz w:val="18"/>
                <w:szCs w:val="18"/>
              </w:rPr>
              <w:t xml:space="preserve">LDL-C ≥190 </w:t>
            </w:r>
            <w:r>
              <w:rPr>
                <w:rFonts w:ascii="Arial Narrow" w:hAnsi="Arial Narrow"/>
                <w:sz w:val="18"/>
                <w:szCs w:val="18"/>
              </w:rPr>
              <w:t xml:space="preserve">mg/dL; </w:t>
            </w:r>
          </w:p>
          <w:p w:rsidR="000629EA" w:rsidRPr="00772CE7" w:rsidRDefault="000629EA" w:rsidP="0094783C">
            <w:pPr>
              <w:rPr>
                <w:rFonts w:ascii="Arial Narrow" w:hAnsi="Arial Narrow"/>
                <w:sz w:val="18"/>
                <w:szCs w:val="18"/>
              </w:rPr>
            </w:pPr>
            <w:r w:rsidRPr="00772CE7">
              <w:rPr>
                <w:rFonts w:ascii="Arial Narrow" w:hAnsi="Arial Narrow"/>
                <w:sz w:val="18"/>
                <w:szCs w:val="18"/>
              </w:rPr>
              <w:t>≥2 clinical risk factors and:</w:t>
            </w:r>
          </w:p>
          <w:p w:rsidR="000629EA" w:rsidRPr="00772CE7" w:rsidRDefault="000629EA" w:rsidP="0094783C">
            <w:pPr>
              <w:rPr>
                <w:rFonts w:ascii="Arial Narrow" w:hAnsi="Arial Narrow"/>
                <w:sz w:val="18"/>
                <w:szCs w:val="18"/>
              </w:rPr>
            </w:pPr>
            <w:r w:rsidRPr="00E85046">
              <w:rPr>
                <w:rFonts w:ascii="Arial Narrow" w:hAnsi="Arial Narrow"/>
                <w:b/>
                <w:sz w:val="18"/>
                <w:szCs w:val="18"/>
              </w:rPr>
              <w:t>High risk</w:t>
            </w:r>
            <w:r w:rsidRPr="00772CE7">
              <w:rPr>
                <w:rFonts w:ascii="Arial Narrow" w:hAnsi="Arial Narrow"/>
                <w:sz w:val="18"/>
                <w:szCs w:val="18"/>
              </w:rPr>
              <w:t xml:space="preserve"> (10-</w:t>
            </w:r>
            <w:r>
              <w:rPr>
                <w:rFonts w:ascii="Arial Narrow" w:hAnsi="Arial Narrow"/>
                <w:sz w:val="18"/>
                <w:szCs w:val="18"/>
              </w:rPr>
              <w:t>y risk &gt;20%) and LDL-C ≥100 mg/</w:t>
            </w:r>
            <w:r w:rsidRPr="00772CE7">
              <w:rPr>
                <w:rFonts w:ascii="Arial Narrow" w:hAnsi="Arial Narrow"/>
                <w:sz w:val="18"/>
                <w:szCs w:val="18"/>
              </w:rPr>
              <w:t>dL (≥70 mg/dL optional):</w:t>
            </w:r>
          </w:p>
          <w:p w:rsidR="000629EA" w:rsidRPr="00772CE7" w:rsidRDefault="000629EA" w:rsidP="0094783C">
            <w:pPr>
              <w:rPr>
                <w:rFonts w:ascii="Arial Narrow" w:hAnsi="Arial Narrow"/>
                <w:sz w:val="18"/>
                <w:szCs w:val="18"/>
              </w:rPr>
            </w:pPr>
            <w:r w:rsidRPr="00E85046">
              <w:rPr>
                <w:rFonts w:ascii="Arial Narrow" w:hAnsi="Arial Narrow"/>
                <w:b/>
                <w:sz w:val="18"/>
                <w:szCs w:val="18"/>
              </w:rPr>
              <w:t>Intermediate risk</w:t>
            </w:r>
            <w:r>
              <w:rPr>
                <w:rFonts w:ascii="Arial Narrow" w:hAnsi="Arial Narrow"/>
                <w:sz w:val="18"/>
                <w:szCs w:val="18"/>
              </w:rPr>
              <w:t xml:space="preserve"> (10-y risk, 10%–20%) and </w:t>
            </w:r>
            <w:r w:rsidRPr="00772CE7">
              <w:rPr>
                <w:rFonts w:ascii="Arial Narrow" w:hAnsi="Arial Narrow"/>
                <w:sz w:val="18"/>
                <w:szCs w:val="18"/>
              </w:rPr>
              <w:t>LDL-C ≥130 mg/dL (≥100 mg/dL optional):</w:t>
            </w:r>
          </w:p>
          <w:p w:rsidR="000629EA" w:rsidRDefault="000629EA" w:rsidP="0094783C">
            <w:pPr>
              <w:rPr>
                <w:rFonts w:ascii="Arial Narrow" w:hAnsi="Arial Narrow"/>
                <w:sz w:val="18"/>
                <w:szCs w:val="18"/>
              </w:rPr>
            </w:pPr>
            <w:r w:rsidRPr="00772CE7">
              <w:rPr>
                <w:rFonts w:ascii="Arial Narrow" w:hAnsi="Arial Narrow"/>
                <w:sz w:val="18"/>
                <w:szCs w:val="18"/>
              </w:rPr>
              <w:t xml:space="preserve">statin may </w:t>
            </w:r>
            <w:r>
              <w:rPr>
                <w:rFonts w:ascii="Arial Narrow" w:hAnsi="Arial Narrow"/>
                <w:sz w:val="18"/>
                <w:szCs w:val="18"/>
              </w:rPr>
              <w:t xml:space="preserve">be </w:t>
            </w:r>
            <w:r w:rsidRPr="00772CE7">
              <w:rPr>
                <w:rFonts w:ascii="Arial Narrow" w:hAnsi="Arial Narrow"/>
                <w:sz w:val="18"/>
                <w:szCs w:val="18"/>
              </w:rPr>
              <w:t>consider</w:t>
            </w:r>
            <w:r>
              <w:rPr>
                <w:rFonts w:ascii="Arial Narrow" w:hAnsi="Arial Narrow"/>
                <w:sz w:val="18"/>
                <w:szCs w:val="18"/>
              </w:rPr>
              <w:t>ed in</w:t>
            </w:r>
          </w:p>
          <w:p w:rsidR="000629EA" w:rsidRDefault="000629EA" w:rsidP="0094783C">
            <w:pPr>
              <w:rPr>
                <w:rFonts w:ascii="Arial Narrow" w:hAnsi="Arial Narrow"/>
                <w:sz w:val="18"/>
                <w:szCs w:val="18"/>
              </w:rPr>
            </w:pPr>
            <w:r w:rsidRPr="00E85046">
              <w:rPr>
                <w:rFonts w:ascii="Arial Narrow" w:hAnsi="Arial Narrow"/>
                <w:b/>
                <w:sz w:val="18"/>
                <w:szCs w:val="18"/>
              </w:rPr>
              <w:t>Low risk</w:t>
            </w:r>
            <w:r w:rsidRPr="00772CE7">
              <w:rPr>
                <w:rFonts w:ascii="Arial Narrow" w:hAnsi="Arial Narrow"/>
                <w:sz w:val="18"/>
                <w:szCs w:val="18"/>
              </w:rPr>
              <w:t xml:space="preserve"> (10-</w:t>
            </w:r>
            <w:r>
              <w:rPr>
                <w:rFonts w:ascii="Arial Narrow" w:hAnsi="Arial Narrow"/>
                <w:sz w:val="18"/>
                <w:szCs w:val="18"/>
              </w:rPr>
              <w:t>y risk &lt;10%) and LDL-C ≥160 mg/dL;</w:t>
            </w:r>
          </w:p>
          <w:p w:rsidR="000629EA" w:rsidRDefault="000629EA" w:rsidP="0094783C">
            <w:pPr>
              <w:rPr>
                <w:rFonts w:ascii="Arial Narrow" w:hAnsi="Arial Narrow"/>
                <w:b/>
                <w:sz w:val="18"/>
                <w:szCs w:val="18"/>
              </w:rPr>
            </w:pPr>
          </w:p>
          <w:p w:rsidR="000629EA" w:rsidRDefault="000629EA" w:rsidP="0094783C">
            <w:pPr>
              <w:rPr>
                <w:rFonts w:ascii="Arial Narrow" w:hAnsi="Arial Narrow"/>
                <w:sz w:val="18"/>
                <w:szCs w:val="18"/>
              </w:rPr>
            </w:pPr>
            <w:r w:rsidRPr="00E85046">
              <w:rPr>
                <w:rFonts w:ascii="Arial Narrow" w:hAnsi="Arial Narrow"/>
                <w:b/>
                <w:sz w:val="18"/>
                <w:szCs w:val="18"/>
              </w:rPr>
              <w:t>Statin</w:t>
            </w:r>
            <w:r>
              <w:rPr>
                <w:rFonts w:ascii="Arial Narrow" w:hAnsi="Arial Narrow"/>
                <w:sz w:val="18"/>
                <w:szCs w:val="18"/>
              </w:rPr>
              <w:t xml:space="preserve"> is recommended for </w:t>
            </w:r>
            <w:r w:rsidRPr="00D6570E">
              <w:rPr>
                <w:rFonts w:ascii="Arial Narrow" w:hAnsi="Arial Narrow"/>
                <w:b/>
                <w:sz w:val="18"/>
                <w:szCs w:val="18"/>
              </w:rPr>
              <w:t xml:space="preserve">primary prevention </w:t>
            </w:r>
            <w:r w:rsidRPr="00D6570E">
              <w:rPr>
                <w:rFonts w:ascii="Arial Narrow" w:hAnsi="Arial Narrow"/>
                <w:sz w:val="18"/>
                <w:szCs w:val="18"/>
              </w:rPr>
              <w:t>in patients</w:t>
            </w:r>
            <w:r w:rsidRPr="00D6570E">
              <w:rPr>
                <w:rFonts w:ascii="Arial Narrow" w:hAnsi="Arial Narrow"/>
                <w:b/>
                <w:sz w:val="18"/>
                <w:szCs w:val="18"/>
              </w:rPr>
              <w:t xml:space="preserve"> with DM</w:t>
            </w:r>
            <w:r>
              <w:rPr>
                <w:rFonts w:ascii="Arial Narrow" w:hAnsi="Arial Narrow"/>
                <w:sz w:val="18"/>
                <w:szCs w:val="18"/>
              </w:rPr>
              <w:t xml:space="preserve"> if </w:t>
            </w:r>
          </w:p>
          <w:p w:rsidR="000629EA" w:rsidRDefault="000629EA" w:rsidP="0094783C">
            <w:pPr>
              <w:rPr>
                <w:rFonts w:ascii="Arial Narrow" w:hAnsi="Arial Narrow"/>
                <w:sz w:val="18"/>
                <w:szCs w:val="18"/>
              </w:rPr>
            </w:pPr>
            <w:r w:rsidRPr="00D6570E">
              <w:rPr>
                <w:rFonts w:ascii="Arial Narrow" w:hAnsi="Arial Narrow"/>
                <w:sz w:val="18"/>
                <w:szCs w:val="18"/>
              </w:rPr>
              <w:t>LDL-C ≥100 mg/dL</w:t>
            </w:r>
            <w:r>
              <w:rPr>
                <w:rFonts w:ascii="Arial Narrow" w:hAnsi="Arial Narrow"/>
                <w:sz w:val="18"/>
                <w:szCs w:val="18"/>
              </w:rPr>
              <w:t>and optionally if LDL-C ≥70 mg/dL</w:t>
            </w:r>
            <w:r w:rsidRPr="00D6570E">
              <w:rPr>
                <w:rFonts w:ascii="Arial Narrow" w:hAnsi="Arial Narrow"/>
                <w:sz w:val="18"/>
                <w:szCs w:val="18"/>
              </w:rPr>
              <w:t>with high risk features</w:t>
            </w:r>
            <w:r>
              <w:rPr>
                <w:rFonts w:ascii="Arial Narrow" w:hAnsi="Arial Narrow"/>
                <w:sz w:val="18"/>
                <w:szCs w:val="18"/>
              </w:rPr>
              <w:t>;</w:t>
            </w:r>
          </w:p>
          <w:p w:rsidR="000629EA" w:rsidRDefault="000629EA" w:rsidP="0094783C">
            <w:pPr>
              <w:rPr>
                <w:rFonts w:ascii="Arial Narrow" w:hAnsi="Arial Narrow"/>
                <w:b/>
                <w:sz w:val="18"/>
                <w:szCs w:val="18"/>
              </w:rPr>
            </w:pPr>
            <w:r w:rsidRPr="00E85046">
              <w:rPr>
                <w:rFonts w:ascii="Arial Narrow" w:hAnsi="Arial Narrow"/>
                <w:b/>
                <w:sz w:val="18"/>
                <w:szCs w:val="18"/>
              </w:rPr>
              <w:t>Statin</w:t>
            </w:r>
            <w:r>
              <w:rPr>
                <w:rFonts w:ascii="Arial Narrow" w:hAnsi="Arial Narrow"/>
                <w:sz w:val="18"/>
                <w:szCs w:val="18"/>
              </w:rPr>
              <w:t xml:space="preserve"> is recommended for </w:t>
            </w:r>
            <w:r>
              <w:rPr>
                <w:rFonts w:ascii="Arial Narrow" w:hAnsi="Arial Narrow"/>
                <w:b/>
                <w:sz w:val="18"/>
                <w:szCs w:val="18"/>
              </w:rPr>
              <w:t>secondary</w:t>
            </w:r>
            <w:r w:rsidRPr="00D6570E">
              <w:rPr>
                <w:rFonts w:ascii="Arial Narrow" w:hAnsi="Arial Narrow"/>
                <w:b/>
                <w:sz w:val="18"/>
                <w:szCs w:val="18"/>
              </w:rPr>
              <w:t xml:space="preserve"> prevention</w:t>
            </w:r>
            <w:r>
              <w:rPr>
                <w:rFonts w:ascii="Arial Narrow" w:hAnsi="Arial Narrow"/>
                <w:b/>
                <w:sz w:val="18"/>
                <w:szCs w:val="18"/>
              </w:rPr>
              <w:t xml:space="preserve"> </w:t>
            </w:r>
          </w:p>
          <w:p w:rsidR="000629EA" w:rsidRPr="006A41D4" w:rsidRDefault="000629EA" w:rsidP="0094783C">
            <w:pPr>
              <w:rPr>
                <w:rFonts w:ascii="Arial Narrow" w:hAnsi="Arial Narrow"/>
                <w:sz w:val="18"/>
                <w:szCs w:val="18"/>
              </w:rPr>
            </w:pPr>
            <w:r w:rsidRPr="00D6570E">
              <w:rPr>
                <w:rFonts w:ascii="Arial Narrow" w:hAnsi="Arial Narrow"/>
                <w:sz w:val="18"/>
                <w:szCs w:val="18"/>
              </w:rPr>
              <w:t>If LDL-C ≥100 mg/dL</w:t>
            </w:r>
            <w:r w:rsidRPr="007273C8">
              <w:rPr>
                <w:rFonts w:ascii="Arial Narrow" w:hAnsi="Arial Narrow"/>
                <w:sz w:val="18"/>
                <w:szCs w:val="18"/>
              </w:rPr>
              <w:t>(2.6 mmol/L)</w:t>
            </w:r>
            <w:r w:rsidRPr="00D6570E">
              <w:rPr>
                <w:rFonts w:ascii="Arial Narrow" w:hAnsi="Arial Narrow"/>
                <w:sz w:val="18"/>
                <w:szCs w:val="18"/>
              </w:rPr>
              <w:t xml:space="preserve"> </w:t>
            </w:r>
            <w:r>
              <w:rPr>
                <w:rFonts w:ascii="Arial Narrow" w:hAnsi="Arial Narrow"/>
                <w:sz w:val="18"/>
                <w:szCs w:val="18"/>
              </w:rPr>
              <w:t xml:space="preserve"> </w:t>
            </w:r>
          </w:p>
        </w:tc>
        <w:tc>
          <w:tcPr>
            <w:tcW w:w="2693" w:type="dxa"/>
          </w:tcPr>
          <w:p w:rsidR="000629EA" w:rsidRDefault="000629EA" w:rsidP="0094783C">
            <w:pPr>
              <w:rPr>
                <w:rFonts w:ascii="Arial Narrow" w:hAnsi="Arial Narrow"/>
                <w:sz w:val="18"/>
                <w:szCs w:val="18"/>
              </w:rPr>
            </w:pPr>
            <w:r w:rsidRPr="009F3CA5">
              <w:rPr>
                <w:rFonts w:ascii="Arial Narrow" w:hAnsi="Arial Narrow"/>
                <w:sz w:val="18"/>
                <w:szCs w:val="18"/>
              </w:rPr>
              <w:t xml:space="preserve">Combination therapy with statins a second (or third) agent may be considered for patients in high- or very high-risk categories with recurrent or progressive ASCVD; patients with recent acute coronary syndromes, and patients with familial hypercholesterolemia (FH) who have not reached their treatment goals to maximally tolerated statin therapy. </w:t>
            </w:r>
            <w:r w:rsidRPr="009F3CA5">
              <w:rPr>
                <w:rFonts w:ascii="Arial Narrow" w:hAnsi="Arial Narrow"/>
                <w:b/>
                <w:sz w:val="18"/>
                <w:szCs w:val="18"/>
              </w:rPr>
              <w:t>Drugs used in combination with statin</w:t>
            </w:r>
            <w:r w:rsidRPr="009F3CA5">
              <w:rPr>
                <w:rFonts w:ascii="Arial Narrow" w:hAnsi="Arial Narrow"/>
                <w:sz w:val="18"/>
                <w:szCs w:val="18"/>
              </w:rPr>
              <w:t xml:space="preserve"> are (in order of preference) </w:t>
            </w:r>
          </w:p>
          <w:p w:rsidR="000629EA" w:rsidRDefault="000629EA" w:rsidP="0094783C">
            <w:pPr>
              <w:ind w:left="318"/>
              <w:rPr>
                <w:rFonts w:ascii="Arial Narrow" w:hAnsi="Arial Narrow"/>
                <w:sz w:val="18"/>
                <w:szCs w:val="18"/>
              </w:rPr>
            </w:pPr>
            <w:r w:rsidRPr="009F3CA5">
              <w:rPr>
                <w:rFonts w:ascii="Arial Narrow" w:hAnsi="Arial Narrow"/>
                <w:b/>
                <w:sz w:val="18"/>
                <w:szCs w:val="18"/>
              </w:rPr>
              <w:t>ezetimibe</w:t>
            </w:r>
            <w:r w:rsidRPr="009F3CA5">
              <w:rPr>
                <w:rFonts w:ascii="Arial Narrow" w:hAnsi="Arial Narrow"/>
                <w:sz w:val="18"/>
                <w:szCs w:val="18"/>
              </w:rPr>
              <w:t xml:space="preserve">, </w:t>
            </w:r>
          </w:p>
          <w:p w:rsidR="000629EA" w:rsidRDefault="000629EA" w:rsidP="0094783C">
            <w:pPr>
              <w:ind w:left="318"/>
              <w:rPr>
                <w:rFonts w:ascii="Arial Narrow" w:hAnsi="Arial Narrow"/>
                <w:sz w:val="18"/>
                <w:szCs w:val="18"/>
              </w:rPr>
            </w:pPr>
            <w:r w:rsidRPr="009F3CA5">
              <w:rPr>
                <w:rFonts w:ascii="Arial Narrow" w:hAnsi="Arial Narrow"/>
                <w:sz w:val="18"/>
                <w:szCs w:val="18"/>
              </w:rPr>
              <w:t xml:space="preserve">bile acid sequestrants, and </w:t>
            </w:r>
          </w:p>
          <w:p w:rsidR="000629EA" w:rsidRPr="006A41D4" w:rsidRDefault="000629EA" w:rsidP="0094783C">
            <w:pPr>
              <w:ind w:left="318"/>
              <w:rPr>
                <w:rFonts w:ascii="Arial Narrow" w:hAnsi="Arial Narrow"/>
                <w:sz w:val="18"/>
                <w:szCs w:val="18"/>
              </w:rPr>
            </w:pPr>
            <w:r w:rsidRPr="009F3CA5">
              <w:rPr>
                <w:rFonts w:ascii="Arial Narrow" w:hAnsi="Arial Narrow"/>
                <w:sz w:val="18"/>
                <w:szCs w:val="18"/>
              </w:rPr>
              <w:t>extended release niacin.</w:t>
            </w:r>
          </w:p>
        </w:tc>
      </w:tr>
      <w:tr w:rsidR="000629EA" w:rsidRPr="006A41D4" w:rsidTr="0094783C">
        <w:tc>
          <w:tcPr>
            <w:tcW w:w="2122" w:type="dxa"/>
          </w:tcPr>
          <w:p w:rsidR="000629EA" w:rsidRDefault="000629EA" w:rsidP="0094783C">
            <w:pPr>
              <w:rPr>
                <w:rFonts w:ascii="Arial Narrow" w:hAnsi="Arial Narrow"/>
                <w:b/>
                <w:sz w:val="18"/>
                <w:szCs w:val="18"/>
              </w:rPr>
            </w:pPr>
            <w:r>
              <w:rPr>
                <w:rFonts w:ascii="Arial Narrow" w:hAnsi="Arial Narrow"/>
                <w:sz w:val="18"/>
                <w:szCs w:val="18"/>
              </w:rPr>
              <w:t xml:space="preserve">Canadian </w:t>
            </w:r>
            <w:r w:rsidRPr="003026BA">
              <w:rPr>
                <w:rFonts w:ascii="Arial Narrow" w:hAnsi="Arial Narrow"/>
                <w:sz w:val="18"/>
                <w:szCs w:val="18"/>
              </w:rPr>
              <w:t>Cardiovascular Society</w:t>
            </w:r>
            <w:r>
              <w:rPr>
                <w:rFonts w:ascii="Arial Narrow" w:hAnsi="Arial Narrow"/>
                <w:sz w:val="18"/>
                <w:szCs w:val="18"/>
              </w:rPr>
              <w:t>, the 2012</w:t>
            </w:r>
            <w:r w:rsidRPr="003026BA">
              <w:rPr>
                <w:rFonts w:ascii="Arial Narrow" w:hAnsi="Arial Narrow"/>
                <w:b/>
                <w:sz w:val="18"/>
                <w:szCs w:val="18"/>
              </w:rPr>
              <w:t xml:space="preserve"> </w:t>
            </w:r>
            <w:r w:rsidRPr="003026BA">
              <w:rPr>
                <w:rFonts w:ascii="Arial Narrow" w:hAnsi="Arial Narrow"/>
                <w:sz w:val="18"/>
                <w:szCs w:val="18"/>
              </w:rPr>
              <w:t>update</w:t>
            </w:r>
            <w:r>
              <w:rPr>
                <w:rFonts w:ascii="Arial Narrow" w:hAnsi="Arial Narrow"/>
                <w:sz w:val="18"/>
                <w:szCs w:val="18"/>
              </w:rPr>
              <w:t xml:space="preserve"> of 2009 </w:t>
            </w:r>
            <w:r w:rsidR="006B1476">
              <w:rPr>
                <w:rFonts w:ascii="Arial Narrow" w:hAnsi="Arial Narrow"/>
                <w:sz w:val="18"/>
                <w:szCs w:val="18"/>
              </w:rPr>
              <w:t>guidelines</w:t>
            </w:r>
          </w:p>
          <w:p w:rsidR="000629EA" w:rsidRDefault="000629EA" w:rsidP="0094783C">
            <w:pPr>
              <w:rPr>
                <w:rFonts w:ascii="Arial Narrow" w:hAnsi="Arial Narrow"/>
                <w:b/>
                <w:sz w:val="18"/>
                <w:szCs w:val="18"/>
              </w:rPr>
            </w:pPr>
            <w:r w:rsidRPr="003026BA">
              <w:rPr>
                <w:rFonts w:ascii="Arial Narrow" w:hAnsi="Arial Narrow"/>
                <w:b/>
                <w:sz w:val="18"/>
                <w:szCs w:val="18"/>
              </w:rPr>
              <w:t>Canada</w:t>
            </w: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Default="00F54960" w:rsidP="0094783C">
            <w:pPr>
              <w:rPr>
                <w:rFonts w:ascii="Arial Narrow" w:hAnsi="Arial Narrow"/>
                <w:b/>
                <w:sz w:val="18"/>
                <w:szCs w:val="18"/>
              </w:rPr>
            </w:pPr>
          </w:p>
          <w:p w:rsidR="00F54960" w:rsidRPr="007273C8" w:rsidRDefault="00F54960" w:rsidP="0094783C">
            <w:pPr>
              <w:rPr>
                <w:rFonts w:ascii="Arial Narrow" w:hAnsi="Arial Narrow"/>
                <w:sz w:val="18"/>
                <w:szCs w:val="18"/>
              </w:rPr>
            </w:pPr>
          </w:p>
        </w:tc>
        <w:tc>
          <w:tcPr>
            <w:tcW w:w="2268" w:type="dxa"/>
          </w:tcPr>
          <w:p w:rsidR="000629EA" w:rsidRDefault="000629EA" w:rsidP="0094783C">
            <w:pPr>
              <w:rPr>
                <w:rFonts w:ascii="Arial Narrow" w:hAnsi="Arial Narrow"/>
                <w:sz w:val="18"/>
                <w:szCs w:val="18"/>
              </w:rPr>
            </w:pPr>
            <w:r w:rsidRPr="003026BA">
              <w:rPr>
                <w:rFonts w:ascii="Arial Narrow" w:hAnsi="Arial Narrow"/>
                <w:sz w:val="18"/>
                <w:szCs w:val="18"/>
              </w:rPr>
              <w:t>The 10-year risk of developing “total” cardiovascular events assessed with Framingham Risk Score (FRS), modified for a family history of premature coronary disease</w:t>
            </w:r>
          </w:p>
          <w:p w:rsidR="000629EA" w:rsidRPr="003026BA" w:rsidRDefault="000629EA" w:rsidP="0094783C">
            <w:pPr>
              <w:rPr>
                <w:rFonts w:ascii="Arial Narrow" w:hAnsi="Arial Narrow"/>
                <w:sz w:val="18"/>
                <w:szCs w:val="18"/>
              </w:rPr>
            </w:pPr>
            <w:r>
              <w:rPr>
                <w:rFonts w:ascii="Arial Narrow" w:hAnsi="Arial Narrow"/>
                <w:sz w:val="18"/>
                <w:szCs w:val="18"/>
              </w:rPr>
              <w:t xml:space="preserve">     </w:t>
            </w:r>
            <w:r w:rsidRPr="001D11BF">
              <w:rPr>
                <w:rFonts w:ascii="Arial Narrow" w:hAnsi="Arial Narrow"/>
                <w:sz w:val="18"/>
                <w:szCs w:val="18"/>
              </w:rPr>
              <w:t xml:space="preserve">End points: </w:t>
            </w:r>
            <w:r>
              <w:rPr>
                <w:rFonts w:ascii="Arial Narrow" w:hAnsi="Arial Narrow"/>
                <w:sz w:val="18"/>
                <w:szCs w:val="18"/>
              </w:rPr>
              <w:t xml:space="preserve">CHD death, MI, coronary </w:t>
            </w:r>
            <w:r w:rsidRPr="003026BA">
              <w:rPr>
                <w:rFonts w:ascii="Arial Narrow" w:hAnsi="Arial Narrow"/>
                <w:sz w:val="18"/>
                <w:szCs w:val="18"/>
              </w:rPr>
              <w:t>insufficiency, angina,</w:t>
            </w:r>
          </w:p>
          <w:p w:rsidR="000629EA" w:rsidRPr="003026BA" w:rsidRDefault="000629EA" w:rsidP="0094783C">
            <w:pPr>
              <w:rPr>
                <w:rFonts w:ascii="Arial Narrow" w:hAnsi="Arial Narrow"/>
                <w:sz w:val="18"/>
                <w:szCs w:val="18"/>
              </w:rPr>
            </w:pPr>
            <w:r w:rsidRPr="003026BA">
              <w:rPr>
                <w:rFonts w:ascii="Arial Narrow" w:hAnsi="Arial Narrow"/>
                <w:sz w:val="18"/>
                <w:szCs w:val="18"/>
              </w:rPr>
              <w:t>ischemic or haemorrhagic</w:t>
            </w:r>
          </w:p>
          <w:p w:rsidR="000629EA" w:rsidRPr="003026BA" w:rsidRDefault="000629EA" w:rsidP="0094783C">
            <w:pPr>
              <w:rPr>
                <w:rFonts w:ascii="Arial Narrow" w:hAnsi="Arial Narrow"/>
                <w:sz w:val="18"/>
                <w:szCs w:val="18"/>
              </w:rPr>
            </w:pPr>
            <w:r w:rsidRPr="003026BA">
              <w:rPr>
                <w:rFonts w:ascii="Arial Narrow" w:hAnsi="Arial Narrow"/>
                <w:sz w:val="18"/>
                <w:szCs w:val="18"/>
              </w:rPr>
              <w:t>stroke, transient ischemic</w:t>
            </w:r>
          </w:p>
          <w:p w:rsidR="000629EA" w:rsidRPr="003026BA" w:rsidRDefault="000629EA" w:rsidP="0094783C">
            <w:pPr>
              <w:rPr>
                <w:rFonts w:ascii="Arial Narrow" w:hAnsi="Arial Narrow"/>
                <w:sz w:val="18"/>
                <w:szCs w:val="18"/>
              </w:rPr>
            </w:pPr>
            <w:r w:rsidRPr="003026BA">
              <w:rPr>
                <w:rFonts w:ascii="Arial Narrow" w:hAnsi="Arial Narrow"/>
                <w:sz w:val="18"/>
                <w:szCs w:val="18"/>
              </w:rPr>
              <w:t>attack, peripheral artery</w:t>
            </w:r>
          </w:p>
          <w:p w:rsidR="000629EA" w:rsidRPr="006A41D4" w:rsidRDefault="000629EA" w:rsidP="0094783C">
            <w:pPr>
              <w:rPr>
                <w:rFonts w:ascii="Arial Narrow" w:hAnsi="Arial Narrow"/>
                <w:sz w:val="18"/>
                <w:szCs w:val="18"/>
              </w:rPr>
            </w:pPr>
            <w:r w:rsidRPr="003026BA">
              <w:rPr>
                <w:rFonts w:ascii="Arial Narrow" w:hAnsi="Arial Narrow"/>
                <w:sz w:val="18"/>
                <w:szCs w:val="18"/>
              </w:rPr>
              <w:t>disease, heart failure</w:t>
            </w:r>
          </w:p>
        </w:tc>
        <w:tc>
          <w:tcPr>
            <w:tcW w:w="2551" w:type="dxa"/>
          </w:tcPr>
          <w:p w:rsidR="000629EA" w:rsidRDefault="000629EA" w:rsidP="0094783C">
            <w:pPr>
              <w:rPr>
                <w:rFonts w:ascii="Arial Narrow" w:hAnsi="Arial Narrow"/>
                <w:b/>
                <w:sz w:val="18"/>
                <w:szCs w:val="18"/>
              </w:rPr>
            </w:pPr>
            <w:r>
              <w:rPr>
                <w:rFonts w:ascii="Arial Narrow" w:hAnsi="Arial Narrow"/>
                <w:b/>
                <w:sz w:val="18"/>
                <w:szCs w:val="18"/>
              </w:rPr>
              <w:t>High r</w:t>
            </w:r>
            <w:r w:rsidRPr="001D11BF">
              <w:rPr>
                <w:rFonts w:ascii="Arial Narrow" w:hAnsi="Arial Narrow"/>
                <w:b/>
                <w:sz w:val="18"/>
                <w:szCs w:val="18"/>
              </w:rPr>
              <w:t>isk factors:</w:t>
            </w:r>
          </w:p>
          <w:p w:rsidR="000629EA" w:rsidRPr="000057F5" w:rsidRDefault="000629EA" w:rsidP="0094783C">
            <w:pPr>
              <w:rPr>
                <w:rFonts w:ascii="Arial Narrow" w:hAnsi="Arial Narrow"/>
                <w:sz w:val="18"/>
                <w:szCs w:val="18"/>
              </w:rPr>
            </w:pPr>
            <w:r w:rsidRPr="000057F5">
              <w:rPr>
                <w:rFonts w:ascii="Arial Narrow" w:hAnsi="Arial Narrow"/>
                <w:sz w:val="18"/>
                <w:szCs w:val="18"/>
              </w:rPr>
              <w:t>• Clinical vascular disease</w:t>
            </w:r>
          </w:p>
          <w:p w:rsidR="000629EA" w:rsidRPr="000057F5" w:rsidRDefault="000629EA" w:rsidP="0094783C">
            <w:pPr>
              <w:rPr>
                <w:rFonts w:ascii="Arial Narrow" w:hAnsi="Arial Narrow"/>
                <w:sz w:val="18"/>
                <w:szCs w:val="18"/>
              </w:rPr>
            </w:pPr>
            <w:r w:rsidRPr="000057F5">
              <w:rPr>
                <w:rFonts w:ascii="Arial Narrow" w:hAnsi="Arial Narrow"/>
                <w:sz w:val="18"/>
                <w:szCs w:val="18"/>
              </w:rPr>
              <w:t>• Abdominal Aortic Aneurysm</w:t>
            </w:r>
          </w:p>
          <w:p w:rsidR="000629EA" w:rsidRPr="000057F5" w:rsidRDefault="000629EA" w:rsidP="0094783C">
            <w:pPr>
              <w:rPr>
                <w:rFonts w:ascii="Arial Narrow" w:hAnsi="Arial Narrow"/>
                <w:sz w:val="18"/>
                <w:szCs w:val="18"/>
              </w:rPr>
            </w:pPr>
            <w:r w:rsidRPr="000057F5">
              <w:rPr>
                <w:rFonts w:ascii="Arial Narrow" w:hAnsi="Arial Narrow"/>
                <w:sz w:val="18"/>
                <w:szCs w:val="18"/>
              </w:rPr>
              <w:t>• Diabetes and age ≥ 40 yrs or &gt;15 yrs duration and age ≥ 30</w:t>
            </w:r>
          </w:p>
          <w:p w:rsidR="000629EA" w:rsidRPr="000057F5" w:rsidRDefault="000629EA" w:rsidP="0094783C">
            <w:pPr>
              <w:rPr>
                <w:rFonts w:ascii="Arial Narrow" w:hAnsi="Arial Narrow"/>
                <w:sz w:val="18"/>
                <w:szCs w:val="18"/>
              </w:rPr>
            </w:pPr>
            <w:r w:rsidRPr="000057F5">
              <w:rPr>
                <w:rFonts w:ascii="Arial Narrow" w:hAnsi="Arial Narrow"/>
                <w:sz w:val="18"/>
                <w:szCs w:val="18"/>
              </w:rPr>
              <w:t xml:space="preserve">yrs or microvascular disease </w:t>
            </w:r>
          </w:p>
          <w:p w:rsidR="000629EA" w:rsidRPr="000057F5" w:rsidRDefault="000629EA" w:rsidP="0094783C">
            <w:pPr>
              <w:rPr>
                <w:rFonts w:ascii="Arial Narrow" w:hAnsi="Arial Narrow"/>
                <w:sz w:val="18"/>
                <w:szCs w:val="18"/>
              </w:rPr>
            </w:pPr>
            <w:r w:rsidRPr="000057F5">
              <w:rPr>
                <w:rFonts w:ascii="Arial Narrow" w:hAnsi="Arial Narrow"/>
                <w:sz w:val="18"/>
                <w:szCs w:val="18"/>
              </w:rPr>
              <w:t xml:space="preserve">• Chronic kidney disease </w:t>
            </w:r>
          </w:p>
          <w:p w:rsidR="000629EA" w:rsidRDefault="000629EA" w:rsidP="0094783C">
            <w:pPr>
              <w:rPr>
                <w:rFonts w:ascii="Arial Narrow" w:hAnsi="Arial Narrow"/>
                <w:sz w:val="18"/>
                <w:szCs w:val="18"/>
              </w:rPr>
            </w:pPr>
            <w:r w:rsidRPr="000057F5">
              <w:rPr>
                <w:rFonts w:ascii="Arial Narrow" w:hAnsi="Arial Narrow"/>
                <w:sz w:val="18"/>
                <w:szCs w:val="18"/>
              </w:rPr>
              <w:t>• High risk hypertension</w:t>
            </w:r>
          </w:p>
          <w:p w:rsidR="000629EA" w:rsidRPr="00CA04B8" w:rsidRDefault="000629EA" w:rsidP="0094783C">
            <w:pPr>
              <w:rPr>
                <w:rFonts w:ascii="Arial Narrow" w:hAnsi="Arial Narrow"/>
                <w:sz w:val="18"/>
                <w:szCs w:val="18"/>
              </w:rPr>
            </w:pPr>
          </w:p>
          <w:p w:rsidR="000629EA" w:rsidRPr="006A41D4" w:rsidRDefault="000629EA" w:rsidP="0094783C">
            <w:pPr>
              <w:rPr>
                <w:rFonts w:ascii="Arial Narrow" w:hAnsi="Arial Narrow"/>
                <w:sz w:val="18"/>
                <w:szCs w:val="18"/>
              </w:rPr>
            </w:pPr>
            <w:r w:rsidRPr="00077373">
              <w:rPr>
                <w:rFonts w:ascii="Arial Narrow" w:hAnsi="Arial Narrow"/>
                <w:sz w:val="18"/>
                <w:szCs w:val="18"/>
              </w:rPr>
              <w:t xml:space="preserve">Identified </w:t>
            </w:r>
            <w:r w:rsidRPr="000057F5">
              <w:rPr>
                <w:rFonts w:ascii="Arial Narrow" w:hAnsi="Arial Narrow"/>
                <w:b/>
                <w:sz w:val="18"/>
                <w:szCs w:val="18"/>
              </w:rPr>
              <w:t>3 ASCVD risk groups</w:t>
            </w:r>
            <w:r>
              <w:rPr>
                <w:rFonts w:ascii="Arial Narrow" w:hAnsi="Arial Narrow"/>
                <w:sz w:val="18"/>
                <w:szCs w:val="18"/>
              </w:rPr>
              <w:t xml:space="preserve"> </w:t>
            </w:r>
            <w:r w:rsidRPr="000057F5">
              <w:rPr>
                <w:rFonts w:ascii="Arial Narrow" w:hAnsi="Arial Narrow"/>
                <w:b/>
                <w:sz w:val="18"/>
                <w:szCs w:val="18"/>
              </w:rPr>
              <w:t>(low, intermediate and high risk)</w:t>
            </w:r>
            <w:r>
              <w:rPr>
                <w:rFonts w:ascii="Arial Narrow" w:hAnsi="Arial Narrow"/>
                <w:sz w:val="18"/>
                <w:szCs w:val="18"/>
              </w:rPr>
              <w:t xml:space="preserve"> the risk is assigned according to the number of major risk factors; AR scores; presence of DM, CKD, or high risk</w:t>
            </w:r>
            <w:r w:rsidRPr="00A26808">
              <w:rPr>
                <w:rFonts w:ascii="Arial Narrow" w:hAnsi="Arial Narrow"/>
                <w:sz w:val="18"/>
                <w:szCs w:val="18"/>
              </w:rPr>
              <w:t xml:space="preserve"> hyper</w:t>
            </w:r>
            <w:r>
              <w:rPr>
                <w:rFonts w:ascii="Arial Narrow" w:hAnsi="Arial Narrow"/>
                <w:sz w:val="18"/>
                <w:szCs w:val="18"/>
              </w:rPr>
              <w:t>tension</w:t>
            </w:r>
          </w:p>
        </w:tc>
        <w:tc>
          <w:tcPr>
            <w:tcW w:w="2693" w:type="dxa"/>
          </w:tcPr>
          <w:p w:rsidR="000629EA" w:rsidRDefault="000629EA" w:rsidP="0094783C">
            <w:pPr>
              <w:rPr>
                <w:rFonts w:ascii="Arial Narrow" w:hAnsi="Arial Narrow"/>
                <w:b/>
                <w:sz w:val="18"/>
                <w:szCs w:val="18"/>
              </w:rPr>
            </w:pPr>
            <w:r>
              <w:rPr>
                <w:rFonts w:ascii="Arial Narrow" w:hAnsi="Arial Narrow"/>
                <w:sz w:val="18"/>
                <w:szCs w:val="18"/>
              </w:rPr>
              <w:t>No separate targets for primary and secondary prevention population</w:t>
            </w:r>
            <w:r>
              <w:rPr>
                <w:rFonts w:ascii="Arial Narrow" w:hAnsi="Arial Narrow"/>
                <w:b/>
                <w:sz w:val="18"/>
                <w:szCs w:val="18"/>
              </w:rPr>
              <w:t>.</w:t>
            </w:r>
          </w:p>
          <w:p w:rsidR="000629EA" w:rsidRDefault="000629EA" w:rsidP="0094783C">
            <w:pPr>
              <w:rPr>
                <w:rFonts w:ascii="Arial Narrow" w:hAnsi="Arial Narrow"/>
                <w:sz w:val="18"/>
                <w:szCs w:val="18"/>
              </w:rPr>
            </w:pPr>
            <w:r w:rsidRPr="006A41D4">
              <w:rPr>
                <w:rFonts w:ascii="Arial Narrow" w:hAnsi="Arial Narrow"/>
                <w:b/>
                <w:sz w:val="18"/>
                <w:szCs w:val="18"/>
              </w:rPr>
              <w:t xml:space="preserve">Recommended </w:t>
            </w:r>
            <w:r w:rsidRPr="00E866BA">
              <w:rPr>
                <w:rFonts w:ascii="Arial Narrow" w:hAnsi="Arial Narrow"/>
                <w:b/>
                <w:sz w:val="18"/>
                <w:szCs w:val="18"/>
              </w:rPr>
              <w:t xml:space="preserve">primary </w:t>
            </w:r>
            <w:r w:rsidRPr="006A41D4">
              <w:rPr>
                <w:rFonts w:ascii="Arial Narrow" w:hAnsi="Arial Narrow"/>
                <w:b/>
                <w:sz w:val="18"/>
                <w:szCs w:val="18"/>
              </w:rPr>
              <w:t xml:space="preserve">targets for lipid </w:t>
            </w:r>
            <w:r w:rsidRPr="006A41D4">
              <w:rPr>
                <w:rFonts w:ascii="Arial Narrow" w:hAnsi="Arial Narrow"/>
                <w:sz w:val="18"/>
                <w:szCs w:val="18"/>
              </w:rPr>
              <w:t>control</w:t>
            </w:r>
            <w:r w:rsidRPr="00D6570E">
              <w:rPr>
                <w:rFonts w:ascii="Arial Narrow" w:hAnsi="Arial Narrow"/>
                <w:sz w:val="18"/>
                <w:szCs w:val="18"/>
              </w:rPr>
              <w:t xml:space="preserve"> </w:t>
            </w:r>
            <w:r>
              <w:rPr>
                <w:rFonts w:ascii="Arial Narrow" w:hAnsi="Arial Narrow"/>
                <w:sz w:val="18"/>
                <w:szCs w:val="18"/>
              </w:rPr>
              <w:t>for high and intermediate risk</w:t>
            </w:r>
            <w:r w:rsidRPr="00E866BA">
              <w:rPr>
                <w:rFonts w:ascii="Arial Narrow" w:hAnsi="Arial Narrow"/>
                <w:sz w:val="18"/>
                <w:szCs w:val="18"/>
              </w:rPr>
              <w:t xml:space="preserve"> </w:t>
            </w:r>
            <w:r>
              <w:rPr>
                <w:rFonts w:ascii="Arial Narrow" w:hAnsi="Arial Narrow"/>
                <w:sz w:val="18"/>
                <w:szCs w:val="18"/>
              </w:rPr>
              <w:t xml:space="preserve"> groups are</w:t>
            </w:r>
          </w:p>
          <w:p w:rsidR="000629EA" w:rsidRDefault="000629EA" w:rsidP="0094783C">
            <w:pPr>
              <w:rPr>
                <w:rFonts w:ascii="Arial Narrow" w:hAnsi="Arial Narrow"/>
                <w:sz w:val="18"/>
                <w:szCs w:val="18"/>
              </w:rPr>
            </w:pPr>
            <w:r w:rsidRPr="00E866BA">
              <w:rPr>
                <w:rFonts w:ascii="Arial Narrow" w:hAnsi="Arial Narrow"/>
                <w:sz w:val="18"/>
                <w:szCs w:val="18"/>
              </w:rPr>
              <w:t xml:space="preserve">LDL-C ≤2.0 mmol/L or </w:t>
            </w:r>
          </w:p>
          <w:p w:rsidR="000629EA" w:rsidRDefault="000629EA" w:rsidP="0094783C">
            <w:pPr>
              <w:rPr>
                <w:rFonts w:ascii="Arial Narrow" w:hAnsi="Arial Narrow"/>
                <w:sz w:val="18"/>
                <w:szCs w:val="18"/>
              </w:rPr>
            </w:pPr>
            <w:r w:rsidRPr="00E866BA">
              <w:rPr>
                <w:rFonts w:ascii="Arial Narrow" w:hAnsi="Arial Narrow"/>
                <w:sz w:val="18"/>
                <w:szCs w:val="18"/>
              </w:rPr>
              <w:t>≥ 50% reduction o</w:t>
            </w:r>
            <w:r>
              <w:rPr>
                <w:rFonts w:ascii="Arial Narrow" w:hAnsi="Arial Narrow"/>
                <w:sz w:val="18"/>
                <w:szCs w:val="18"/>
              </w:rPr>
              <w:t>f LDL-C from untreated baseline;</w:t>
            </w:r>
          </w:p>
          <w:p w:rsidR="000629EA" w:rsidRDefault="000629EA" w:rsidP="0094783C">
            <w:pPr>
              <w:rPr>
                <w:rFonts w:ascii="Arial Narrow" w:hAnsi="Arial Narrow"/>
                <w:sz w:val="18"/>
                <w:szCs w:val="18"/>
              </w:rPr>
            </w:pPr>
            <w:r w:rsidRPr="00E866BA">
              <w:rPr>
                <w:rFonts w:ascii="Arial Narrow" w:hAnsi="Arial Narrow"/>
                <w:sz w:val="18"/>
                <w:szCs w:val="18"/>
              </w:rPr>
              <w:t xml:space="preserve">Alternate targets include </w:t>
            </w:r>
          </w:p>
          <w:p w:rsidR="000629EA" w:rsidRDefault="000629EA" w:rsidP="0094783C">
            <w:pPr>
              <w:rPr>
                <w:rFonts w:ascii="Arial Narrow" w:hAnsi="Arial Narrow"/>
                <w:sz w:val="18"/>
                <w:szCs w:val="18"/>
              </w:rPr>
            </w:pPr>
            <w:r w:rsidRPr="00E866BA">
              <w:rPr>
                <w:rFonts w:ascii="Arial Narrow" w:hAnsi="Arial Narrow"/>
                <w:sz w:val="18"/>
                <w:szCs w:val="18"/>
              </w:rPr>
              <w:t xml:space="preserve">apo B ≤0.8 g/L or </w:t>
            </w:r>
          </w:p>
          <w:p w:rsidR="000629EA" w:rsidRDefault="000629EA" w:rsidP="0094783C">
            <w:pPr>
              <w:rPr>
                <w:rFonts w:ascii="Arial Narrow" w:hAnsi="Arial Narrow"/>
                <w:sz w:val="18"/>
                <w:szCs w:val="18"/>
              </w:rPr>
            </w:pPr>
            <w:r w:rsidRPr="00E866BA">
              <w:rPr>
                <w:rFonts w:ascii="Arial Narrow" w:hAnsi="Arial Narrow"/>
                <w:sz w:val="18"/>
                <w:szCs w:val="18"/>
              </w:rPr>
              <w:t>non-HDL-C ≤2.6mmol/L</w:t>
            </w:r>
          </w:p>
          <w:p w:rsidR="000629EA" w:rsidRPr="006A41D4" w:rsidRDefault="000629EA" w:rsidP="0094783C">
            <w:pPr>
              <w:rPr>
                <w:rFonts w:ascii="Arial Narrow" w:hAnsi="Arial Narrow"/>
                <w:sz w:val="18"/>
                <w:szCs w:val="18"/>
              </w:rPr>
            </w:pPr>
            <w:r>
              <w:rPr>
                <w:rFonts w:ascii="Arial Narrow" w:hAnsi="Arial Narrow"/>
                <w:sz w:val="18"/>
                <w:szCs w:val="18"/>
              </w:rPr>
              <w:t xml:space="preserve">For the low risk group for whom treatment is recommended, the target is </w:t>
            </w:r>
            <w:r w:rsidRPr="00E866BA">
              <w:rPr>
                <w:rFonts w:ascii="Arial Narrow" w:hAnsi="Arial Narrow"/>
                <w:sz w:val="18"/>
                <w:szCs w:val="18"/>
              </w:rPr>
              <w:t>≥ 50% reduction o</w:t>
            </w:r>
            <w:r>
              <w:rPr>
                <w:rFonts w:ascii="Arial Narrow" w:hAnsi="Arial Narrow"/>
                <w:sz w:val="18"/>
                <w:szCs w:val="18"/>
              </w:rPr>
              <w:t>f LDL-C from untreated baseline;</w:t>
            </w:r>
          </w:p>
        </w:tc>
        <w:tc>
          <w:tcPr>
            <w:tcW w:w="2693" w:type="dxa"/>
          </w:tcPr>
          <w:p w:rsidR="000629EA" w:rsidRDefault="000629EA" w:rsidP="0094783C">
            <w:pPr>
              <w:rPr>
                <w:rFonts w:ascii="Arial Narrow" w:hAnsi="Arial Narrow"/>
                <w:sz w:val="18"/>
                <w:szCs w:val="18"/>
              </w:rPr>
            </w:pPr>
            <w:r w:rsidRPr="00E85046">
              <w:rPr>
                <w:rFonts w:ascii="Arial Narrow" w:hAnsi="Arial Narrow"/>
                <w:b/>
                <w:sz w:val="18"/>
                <w:szCs w:val="18"/>
              </w:rPr>
              <w:t>Statin</w:t>
            </w:r>
            <w:r>
              <w:rPr>
                <w:rFonts w:ascii="Arial Narrow" w:hAnsi="Arial Narrow"/>
                <w:sz w:val="18"/>
                <w:szCs w:val="18"/>
              </w:rPr>
              <w:t xml:space="preserve"> is recommended for </w:t>
            </w:r>
            <w:r w:rsidRPr="000057F5">
              <w:rPr>
                <w:rFonts w:ascii="Arial Narrow" w:hAnsi="Arial Narrow"/>
                <w:b/>
                <w:sz w:val="18"/>
                <w:szCs w:val="18"/>
              </w:rPr>
              <w:t>high risk</w:t>
            </w:r>
            <w:r>
              <w:rPr>
                <w:rFonts w:ascii="Arial Narrow" w:hAnsi="Arial Narrow"/>
                <w:sz w:val="18"/>
                <w:szCs w:val="18"/>
              </w:rPr>
              <w:t xml:space="preserve"> patients with any of the high risk factors and:</w:t>
            </w:r>
          </w:p>
          <w:p w:rsidR="000629EA" w:rsidRPr="000057F5" w:rsidRDefault="000629EA" w:rsidP="0094783C">
            <w:pPr>
              <w:rPr>
                <w:rFonts w:ascii="Arial Narrow" w:hAnsi="Arial Narrow"/>
                <w:sz w:val="18"/>
                <w:szCs w:val="18"/>
              </w:rPr>
            </w:pPr>
            <w:r w:rsidRPr="000057F5">
              <w:rPr>
                <w:rFonts w:ascii="Arial Narrow" w:hAnsi="Arial Narrow"/>
                <w:sz w:val="18"/>
                <w:szCs w:val="18"/>
              </w:rPr>
              <w:t>FRS ≥ 20%</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E85046">
              <w:rPr>
                <w:rFonts w:ascii="Arial Narrow" w:hAnsi="Arial Narrow"/>
                <w:b/>
                <w:sz w:val="18"/>
                <w:szCs w:val="18"/>
              </w:rPr>
              <w:t>Statin</w:t>
            </w:r>
            <w:r>
              <w:rPr>
                <w:rFonts w:ascii="Arial Narrow" w:hAnsi="Arial Narrow"/>
                <w:sz w:val="18"/>
                <w:szCs w:val="18"/>
              </w:rPr>
              <w:t xml:space="preserve"> is recommended for </w:t>
            </w:r>
            <w:r w:rsidRPr="00157CCE">
              <w:rPr>
                <w:rFonts w:ascii="Arial Narrow" w:hAnsi="Arial Narrow"/>
                <w:b/>
                <w:sz w:val="18"/>
                <w:szCs w:val="18"/>
              </w:rPr>
              <w:t>intermediate risk</w:t>
            </w:r>
            <w:r>
              <w:rPr>
                <w:rFonts w:ascii="Arial Narrow" w:hAnsi="Arial Narrow"/>
                <w:sz w:val="18"/>
                <w:szCs w:val="18"/>
              </w:rPr>
              <w:t xml:space="preserve"> group of patients with no high risk factors; </w:t>
            </w:r>
          </w:p>
          <w:p w:rsidR="000629EA" w:rsidRDefault="000629EA" w:rsidP="0094783C">
            <w:pPr>
              <w:rPr>
                <w:rFonts w:ascii="Arial Narrow" w:hAnsi="Arial Narrow"/>
                <w:sz w:val="18"/>
                <w:szCs w:val="18"/>
              </w:rPr>
            </w:pPr>
            <w:r w:rsidRPr="003B683A">
              <w:rPr>
                <w:rFonts w:ascii="Arial Narrow" w:hAnsi="Arial Narrow"/>
                <w:sz w:val="18"/>
                <w:szCs w:val="18"/>
              </w:rPr>
              <w:t>FRS 10%-19%</w:t>
            </w:r>
            <w:r>
              <w:rPr>
                <w:rFonts w:ascii="Arial Narrow" w:hAnsi="Arial Narrow"/>
                <w:sz w:val="18"/>
                <w:szCs w:val="18"/>
              </w:rPr>
              <w:t xml:space="preserve"> and</w:t>
            </w:r>
          </w:p>
          <w:p w:rsidR="000629EA" w:rsidRDefault="000629EA" w:rsidP="0094783C">
            <w:pPr>
              <w:rPr>
                <w:rFonts w:ascii="Arial Narrow" w:hAnsi="Arial Narrow"/>
                <w:sz w:val="18"/>
                <w:szCs w:val="18"/>
              </w:rPr>
            </w:pPr>
            <w:r w:rsidRPr="003B683A">
              <w:rPr>
                <w:rFonts w:ascii="Arial Narrow" w:hAnsi="Arial Narrow"/>
                <w:sz w:val="18"/>
                <w:szCs w:val="18"/>
              </w:rPr>
              <w:t>LDL-C ≥3.5 mmol/L</w:t>
            </w:r>
          </w:p>
          <w:p w:rsidR="000629EA" w:rsidRDefault="000629EA" w:rsidP="0094783C">
            <w:pPr>
              <w:rPr>
                <w:rFonts w:ascii="Arial Narrow" w:hAnsi="Arial Narrow"/>
                <w:b/>
                <w:sz w:val="18"/>
                <w:szCs w:val="18"/>
              </w:rPr>
            </w:pPr>
          </w:p>
          <w:p w:rsidR="000629EA" w:rsidRDefault="000629EA" w:rsidP="0094783C">
            <w:pPr>
              <w:rPr>
                <w:rFonts w:ascii="Arial Narrow" w:hAnsi="Arial Narrow"/>
                <w:sz w:val="18"/>
                <w:szCs w:val="18"/>
              </w:rPr>
            </w:pPr>
            <w:r w:rsidRPr="00E85046">
              <w:rPr>
                <w:rFonts w:ascii="Arial Narrow" w:hAnsi="Arial Narrow"/>
                <w:b/>
                <w:sz w:val="18"/>
                <w:szCs w:val="18"/>
              </w:rPr>
              <w:t>Statin</w:t>
            </w:r>
            <w:r>
              <w:rPr>
                <w:rFonts w:ascii="Arial Narrow" w:hAnsi="Arial Narrow"/>
                <w:sz w:val="18"/>
                <w:szCs w:val="18"/>
              </w:rPr>
              <w:t xml:space="preserve"> is recommended for </w:t>
            </w:r>
            <w:r>
              <w:rPr>
                <w:rFonts w:ascii="Arial Narrow" w:hAnsi="Arial Narrow"/>
                <w:b/>
                <w:sz w:val="18"/>
                <w:szCs w:val="18"/>
              </w:rPr>
              <w:t>low</w:t>
            </w:r>
            <w:r w:rsidRPr="000057F5">
              <w:rPr>
                <w:rFonts w:ascii="Arial Narrow" w:hAnsi="Arial Narrow"/>
                <w:b/>
                <w:sz w:val="18"/>
                <w:szCs w:val="18"/>
              </w:rPr>
              <w:t xml:space="preserve"> risk</w:t>
            </w:r>
            <w:r>
              <w:rPr>
                <w:rFonts w:ascii="Arial Narrow" w:hAnsi="Arial Narrow"/>
                <w:b/>
                <w:sz w:val="18"/>
                <w:szCs w:val="18"/>
              </w:rPr>
              <w:t xml:space="preserve"> </w:t>
            </w:r>
            <w:r w:rsidRPr="00157CCE">
              <w:rPr>
                <w:rFonts w:ascii="Arial Narrow" w:hAnsi="Arial Narrow"/>
                <w:sz w:val="18"/>
                <w:szCs w:val="18"/>
              </w:rPr>
              <w:t>patients</w:t>
            </w:r>
            <w:r>
              <w:rPr>
                <w:rFonts w:ascii="Arial Narrow" w:hAnsi="Arial Narrow"/>
                <w:sz w:val="18"/>
                <w:szCs w:val="18"/>
              </w:rPr>
              <w:t xml:space="preserve"> with </w:t>
            </w:r>
            <w:r w:rsidRPr="003B683A">
              <w:rPr>
                <w:rFonts w:ascii="Arial Narrow" w:hAnsi="Arial Narrow"/>
                <w:sz w:val="18"/>
                <w:szCs w:val="18"/>
              </w:rPr>
              <w:t xml:space="preserve">FRS </w:t>
            </w:r>
            <w:r>
              <w:rPr>
                <w:rFonts w:ascii="Arial Narrow" w:hAnsi="Arial Narrow"/>
                <w:sz w:val="18"/>
                <w:szCs w:val="18"/>
              </w:rPr>
              <w:t>&lt;10% and</w:t>
            </w:r>
          </w:p>
          <w:p w:rsidR="000629EA" w:rsidRPr="006A41D4" w:rsidRDefault="000629EA" w:rsidP="0094783C">
            <w:pPr>
              <w:rPr>
                <w:rFonts w:ascii="Arial Narrow" w:hAnsi="Arial Narrow"/>
                <w:sz w:val="18"/>
                <w:szCs w:val="18"/>
              </w:rPr>
            </w:pPr>
            <w:r w:rsidRPr="00157CCE">
              <w:rPr>
                <w:rFonts w:ascii="Arial Narrow" w:hAnsi="Arial Narrow"/>
                <w:sz w:val="18"/>
                <w:szCs w:val="18"/>
              </w:rPr>
              <w:t xml:space="preserve">LDL-C  ≥ 5 mmol/L  or </w:t>
            </w:r>
            <w:r>
              <w:rPr>
                <w:rFonts w:ascii="Arial Narrow" w:hAnsi="Arial Narrow"/>
                <w:sz w:val="18"/>
                <w:szCs w:val="18"/>
              </w:rPr>
              <w:t xml:space="preserve">if </w:t>
            </w:r>
            <w:r w:rsidRPr="00157CCE">
              <w:rPr>
                <w:rFonts w:ascii="Arial Narrow" w:hAnsi="Arial Narrow"/>
                <w:sz w:val="18"/>
                <w:szCs w:val="18"/>
              </w:rPr>
              <w:t>there is evidence of genetic dyslipidaemia</w:t>
            </w:r>
          </w:p>
        </w:tc>
        <w:tc>
          <w:tcPr>
            <w:tcW w:w="2693" w:type="dxa"/>
          </w:tcPr>
          <w:p w:rsidR="000629EA" w:rsidRPr="00B57A14" w:rsidRDefault="000629EA" w:rsidP="00B57A14">
            <w:pPr>
              <w:rPr>
                <w:rFonts w:ascii="Arial Narrow" w:hAnsi="Arial Narrow"/>
                <w:b/>
                <w:sz w:val="18"/>
                <w:szCs w:val="18"/>
              </w:rPr>
            </w:pPr>
            <w:r w:rsidRPr="00E866BA">
              <w:rPr>
                <w:rFonts w:ascii="Arial Narrow" w:hAnsi="Arial Narrow"/>
                <w:sz w:val="18"/>
                <w:szCs w:val="18"/>
              </w:rPr>
              <w:t xml:space="preserve">Combination therapy with statins: </w:t>
            </w:r>
            <w:r w:rsidR="00B57A14" w:rsidRPr="00B732E5">
              <w:rPr>
                <w:rFonts w:ascii="Arial Narrow" w:hAnsi="Arial Narrow"/>
                <w:sz w:val="18"/>
                <w:szCs w:val="18"/>
              </w:rPr>
              <w:t>For subjects who do not tolerate statin therapy or only at low dose, favourable effects on LDL-C can be achieved with</w:t>
            </w:r>
            <w:r w:rsidR="00B57A14">
              <w:rPr>
                <w:rFonts w:ascii="Arial Narrow" w:hAnsi="Arial Narrow"/>
                <w:b/>
                <w:sz w:val="18"/>
                <w:szCs w:val="18"/>
              </w:rPr>
              <w:t xml:space="preserve"> </w:t>
            </w:r>
            <w:r w:rsidR="00B57A14" w:rsidRPr="00B57A14">
              <w:rPr>
                <w:rFonts w:ascii="Arial Narrow" w:hAnsi="Arial Narrow"/>
                <w:b/>
                <w:sz w:val="18"/>
                <w:szCs w:val="18"/>
              </w:rPr>
              <w:t>ezetimibe, bile acid resins, or niacin</w:t>
            </w:r>
          </w:p>
        </w:tc>
      </w:tr>
      <w:tr w:rsidR="000629EA" w:rsidRPr="006A41D4" w:rsidTr="0094783C">
        <w:tc>
          <w:tcPr>
            <w:tcW w:w="2122" w:type="dxa"/>
          </w:tcPr>
          <w:p w:rsidR="000629EA" w:rsidRDefault="000629EA" w:rsidP="0094783C">
            <w:pPr>
              <w:rPr>
                <w:rFonts w:ascii="Arial Narrow" w:hAnsi="Arial Narrow"/>
                <w:sz w:val="18"/>
                <w:szCs w:val="18"/>
              </w:rPr>
            </w:pPr>
            <w:r w:rsidRPr="00C55E68">
              <w:rPr>
                <w:rFonts w:ascii="Arial Narrow" w:hAnsi="Arial Narrow"/>
                <w:sz w:val="18"/>
                <w:szCs w:val="18"/>
              </w:rPr>
              <w:lastRenderedPageBreak/>
              <w:t xml:space="preserve">NICE </w:t>
            </w:r>
            <w:r>
              <w:rPr>
                <w:rFonts w:ascii="Arial Narrow" w:hAnsi="Arial Narrow"/>
                <w:sz w:val="18"/>
                <w:szCs w:val="18"/>
              </w:rPr>
              <w:t>c</w:t>
            </w:r>
            <w:r w:rsidRPr="00C55E68">
              <w:rPr>
                <w:rFonts w:ascii="Arial Narrow" w:hAnsi="Arial Narrow"/>
                <w:sz w:val="18"/>
                <w:szCs w:val="18"/>
              </w:rPr>
              <w:t>linical guideline</w:t>
            </w:r>
            <w:r>
              <w:rPr>
                <w:rFonts w:ascii="Arial Narrow" w:hAnsi="Arial Narrow"/>
                <w:sz w:val="18"/>
                <w:szCs w:val="18"/>
              </w:rPr>
              <w:t xml:space="preserve"> </w:t>
            </w:r>
            <w:r w:rsidRPr="00C55E68">
              <w:rPr>
                <w:rFonts w:ascii="Arial Narrow" w:hAnsi="Arial Narrow"/>
                <w:sz w:val="18"/>
                <w:szCs w:val="18"/>
              </w:rPr>
              <w:t>CG181</w:t>
            </w:r>
            <w:r>
              <w:rPr>
                <w:rFonts w:ascii="Arial Narrow" w:hAnsi="Arial Narrow"/>
                <w:sz w:val="18"/>
                <w:szCs w:val="18"/>
              </w:rPr>
              <w:t xml:space="preserve"> for c</w:t>
            </w:r>
            <w:r w:rsidRPr="00C55E68">
              <w:rPr>
                <w:rFonts w:ascii="Arial Narrow" w:hAnsi="Arial Narrow"/>
                <w:sz w:val="18"/>
                <w:szCs w:val="18"/>
              </w:rPr>
              <w:t>ardiovascular disease: risk assessment and reduction, including lipid modification</w:t>
            </w:r>
            <w:r>
              <w:rPr>
                <w:rFonts w:ascii="Arial Narrow" w:hAnsi="Arial Narrow"/>
                <w:sz w:val="18"/>
                <w:szCs w:val="18"/>
              </w:rPr>
              <w:t xml:space="preserve">, the </w:t>
            </w:r>
            <w:r w:rsidRPr="00C55E68">
              <w:rPr>
                <w:rFonts w:ascii="Arial Narrow" w:hAnsi="Arial Narrow"/>
                <w:sz w:val="18"/>
                <w:szCs w:val="18"/>
              </w:rPr>
              <w:t>2014</w:t>
            </w:r>
            <w:r>
              <w:rPr>
                <w:rFonts w:ascii="Arial Narrow" w:hAnsi="Arial Narrow"/>
                <w:sz w:val="18"/>
                <w:szCs w:val="18"/>
              </w:rPr>
              <w:t xml:space="preserve"> replacement of CG67</w:t>
            </w:r>
          </w:p>
          <w:p w:rsidR="000629EA" w:rsidRPr="00C55E68" w:rsidRDefault="000629EA" w:rsidP="0094783C">
            <w:pPr>
              <w:rPr>
                <w:rFonts w:ascii="Arial Narrow" w:hAnsi="Arial Narrow"/>
                <w:b/>
                <w:sz w:val="18"/>
                <w:szCs w:val="18"/>
              </w:rPr>
            </w:pPr>
            <w:r w:rsidRPr="00C55E68">
              <w:rPr>
                <w:rFonts w:ascii="Arial Narrow" w:hAnsi="Arial Narrow"/>
                <w:b/>
                <w:sz w:val="18"/>
                <w:szCs w:val="18"/>
              </w:rPr>
              <w:t xml:space="preserve">United Kingdom  </w:t>
            </w:r>
          </w:p>
          <w:p w:rsidR="000629EA" w:rsidRDefault="000629EA" w:rsidP="0094783C">
            <w:pPr>
              <w:rPr>
                <w:rFonts w:ascii="Arial Narrow" w:hAnsi="Arial Narrow"/>
                <w:sz w:val="18"/>
                <w:szCs w:val="18"/>
              </w:rPr>
            </w:pPr>
          </w:p>
        </w:tc>
        <w:tc>
          <w:tcPr>
            <w:tcW w:w="2268" w:type="dxa"/>
          </w:tcPr>
          <w:p w:rsidR="000629EA" w:rsidRDefault="000629EA" w:rsidP="0094783C">
            <w:pPr>
              <w:rPr>
                <w:rFonts w:ascii="Arial Narrow" w:hAnsi="Arial Narrow"/>
                <w:sz w:val="18"/>
                <w:szCs w:val="18"/>
              </w:rPr>
            </w:pPr>
            <w:r w:rsidRPr="003026BA">
              <w:rPr>
                <w:rFonts w:ascii="Arial Narrow" w:hAnsi="Arial Narrow"/>
                <w:sz w:val="18"/>
                <w:szCs w:val="18"/>
              </w:rPr>
              <w:t>The 10-year</w:t>
            </w:r>
            <w:r w:rsidRPr="00C55E68">
              <w:rPr>
                <w:rFonts w:ascii="Arial Narrow" w:hAnsi="Arial Narrow"/>
                <w:sz w:val="18"/>
                <w:szCs w:val="18"/>
              </w:rPr>
              <w:t xml:space="preserve"> risk assessment tool QRISK2</w:t>
            </w:r>
          </w:p>
          <w:p w:rsidR="000629EA" w:rsidRPr="00C55E68" w:rsidRDefault="000629EA" w:rsidP="0094783C">
            <w:pPr>
              <w:autoSpaceDE w:val="0"/>
              <w:autoSpaceDN w:val="0"/>
              <w:adjustRightInd w:val="0"/>
              <w:rPr>
                <w:rFonts w:ascii="HelveticaNeue-Condensed" w:hAnsi="HelveticaNeue-Condensed" w:cs="HelveticaNeue-Condensed"/>
                <w:sz w:val="16"/>
                <w:szCs w:val="16"/>
              </w:rPr>
            </w:pPr>
            <w:r>
              <w:rPr>
                <w:rFonts w:ascii="Arial Narrow" w:hAnsi="Arial Narrow"/>
                <w:sz w:val="18"/>
                <w:szCs w:val="18"/>
              </w:rPr>
              <w:t xml:space="preserve">     </w:t>
            </w:r>
            <w:r w:rsidRPr="001D11BF">
              <w:rPr>
                <w:rFonts w:ascii="Arial Narrow" w:hAnsi="Arial Narrow"/>
                <w:sz w:val="18"/>
                <w:szCs w:val="18"/>
              </w:rPr>
              <w:t xml:space="preserve">End points: </w:t>
            </w:r>
            <w:r>
              <w:rPr>
                <w:rFonts w:ascii="HelveticaNeue-Condensed" w:hAnsi="HelveticaNeue-Condensed" w:cs="HelveticaNeue-Condensed"/>
                <w:sz w:val="16"/>
                <w:szCs w:val="16"/>
              </w:rPr>
              <w:t>CHD death, CHD (MI or angina), stroke, or transient ischemic attack</w:t>
            </w:r>
          </w:p>
        </w:tc>
        <w:tc>
          <w:tcPr>
            <w:tcW w:w="2551" w:type="dxa"/>
          </w:tcPr>
          <w:p w:rsidR="000629EA" w:rsidRDefault="000629EA" w:rsidP="0094783C">
            <w:pPr>
              <w:rPr>
                <w:rFonts w:ascii="Arial Narrow" w:hAnsi="Arial Narrow"/>
                <w:sz w:val="18"/>
                <w:szCs w:val="18"/>
              </w:rPr>
            </w:pPr>
            <w:r w:rsidRPr="008A366A">
              <w:rPr>
                <w:rFonts w:ascii="Arial Narrow" w:hAnsi="Arial Narrow"/>
                <w:sz w:val="18"/>
                <w:szCs w:val="18"/>
              </w:rPr>
              <w:t xml:space="preserve">Guidelines differentiate between </w:t>
            </w:r>
            <w:r w:rsidRPr="008A366A">
              <w:rPr>
                <w:rFonts w:ascii="Arial Narrow" w:hAnsi="Arial Narrow"/>
                <w:b/>
                <w:sz w:val="18"/>
                <w:szCs w:val="18"/>
              </w:rPr>
              <w:t>primary and secondary prevention</w:t>
            </w:r>
            <w:r w:rsidRPr="008A366A">
              <w:rPr>
                <w:rFonts w:ascii="Arial Narrow" w:hAnsi="Arial Narrow"/>
                <w:sz w:val="18"/>
                <w:szCs w:val="18"/>
              </w:rPr>
              <w:t xml:space="preserve"> populations</w:t>
            </w:r>
            <w:r>
              <w:rPr>
                <w:rFonts w:ascii="Arial Narrow" w:hAnsi="Arial Narrow"/>
                <w:sz w:val="18"/>
                <w:szCs w:val="18"/>
              </w:rPr>
              <w:t>;</w:t>
            </w:r>
          </w:p>
          <w:p w:rsidR="000629EA" w:rsidRDefault="000629EA" w:rsidP="0094783C">
            <w:pPr>
              <w:rPr>
                <w:rFonts w:ascii="Arial Narrow" w:hAnsi="Arial Narrow"/>
                <w:sz w:val="18"/>
                <w:szCs w:val="18"/>
              </w:rPr>
            </w:pPr>
          </w:p>
          <w:p w:rsidR="000629EA" w:rsidRPr="008A366A" w:rsidRDefault="000629EA" w:rsidP="0094783C">
            <w:pPr>
              <w:rPr>
                <w:rFonts w:ascii="Arial Narrow" w:hAnsi="Arial Narrow"/>
                <w:sz w:val="18"/>
                <w:szCs w:val="18"/>
              </w:rPr>
            </w:pPr>
            <w:r>
              <w:rPr>
                <w:rFonts w:ascii="Arial Narrow" w:hAnsi="Arial Narrow"/>
                <w:sz w:val="18"/>
                <w:szCs w:val="18"/>
              </w:rPr>
              <w:t>A 10 year</w:t>
            </w:r>
            <w:r w:rsidRPr="008A366A">
              <w:rPr>
                <w:rFonts w:ascii="Arial Narrow" w:hAnsi="Arial Narrow"/>
                <w:sz w:val="18"/>
                <w:szCs w:val="18"/>
              </w:rPr>
              <w:t xml:space="preserve"> </w:t>
            </w:r>
            <w:r>
              <w:rPr>
                <w:rFonts w:ascii="Arial Narrow" w:hAnsi="Arial Narrow"/>
                <w:sz w:val="18"/>
                <w:szCs w:val="18"/>
              </w:rPr>
              <w:t>t</w:t>
            </w:r>
            <w:r w:rsidRPr="008A366A">
              <w:rPr>
                <w:rFonts w:ascii="Arial Narrow" w:hAnsi="Arial Narrow"/>
                <w:sz w:val="18"/>
                <w:szCs w:val="18"/>
              </w:rPr>
              <w:t xml:space="preserve">hreshold for the high risk of CVD is 10% </w:t>
            </w:r>
          </w:p>
        </w:tc>
        <w:tc>
          <w:tcPr>
            <w:tcW w:w="2693" w:type="dxa"/>
          </w:tcPr>
          <w:p w:rsidR="000629EA" w:rsidRDefault="000629EA" w:rsidP="0094783C">
            <w:pPr>
              <w:rPr>
                <w:rFonts w:ascii="Arial Narrow" w:hAnsi="Arial Narrow"/>
                <w:sz w:val="18"/>
                <w:szCs w:val="18"/>
              </w:rPr>
            </w:pPr>
            <w:r>
              <w:rPr>
                <w:rFonts w:ascii="Arial Narrow" w:hAnsi="Arial Narrow"/>
                <w:sz w:val="18"/>
                <w:szCs w:val="18"/>
              </w:rPr>
              <w:t xml:space="preserve">No lipid targets; However the primary outcome of therapy is assessed in </w:t>
            </w:r>
            <w:r w:rsidRPr="00D224B1">
              <w:rPr>
                <w:rFonts w:ascii="Arial Narrow" w:hAnsi="Arial Narrow"/>
                <w:sz w:val="18"/>
                <w:szCs w:val="18"/>
              </w:rPr>
              <w:t>non-HDL cholesterol</w:t>
            </w:r>
            <w:r>
              <w:rPr>
                <w:rFonts w:ascii="Arial Narrow" w:hAnsi="Arial Narrow"/>
                <w:sz w:val="18"/>
                <w:szCs w:val="18"/>
              </w:rPr>
              <w:t>, rather than in LDL-C reduction. Other lipid to m</w:t>
            </w:r>
            <w:r w:rsidRPr="00D224B1">
              <w:rPr>
                <w:rFonts w:ascii="Arial Narrow" w:hAnsi="Arial Narrow"/>
                <w:sz w:val="18"/>
                <w:szCs w:val="18"/>
              </w:rPr>
              <w:t xml:space="preserve">easure </w:t>
            </w:r>
            <w:r>
              <w:rPr>
                <w:rFonts w:ascii="Arial Narrow" w:hAnsi="Arial Narrow"/>
                <w:sz w:val="18"/>
                <w:szCs w:val="18"/>
              </w:rPr>
              <w:t>are TC</w:t>
            </w:r>
            <w:r w:rsidRPr="00D224B1">
              <w:rPr>
                <w:rFonts w:ascii="Arial Narrow" w:hAnsi="Arial Narrow"/>
                <w:sz w:val="18"/>
                <w:szCs w:val="18"/>
              </w:rPr>
              <w:t xml:space="preserve"> and </w:t>
            </w:r>
            <w:r>
              <w:rPr>
                <w:rFonts w:ascii="Arial Narrow" w:hAnsi="Arial Narrow"/>
                <w:sz w:val="18"/>
                <w:szCs w:val="18"/>
              </w:rPr>
              <w:t>HDL-C.</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Pr>
                <w:rFonts w:ascii="Arial Narrow" w:hAnsi="Arial Narrow"/>
                <w:sz w:val="18"/>
                <w:szCs w:val="18"/>
              </w:rPr>
              <w:t>H</w:t>
            </w:r>
            <w:r w:rsidRPr="00D224B1">
              <w:rPr>
                <w:rFonts w:ascii="Arial Narrow" w:hAnsi="Arial Narrow"/>
                <w:sz w:val="18"/>
                <w:szCs w:val="18"/>
              </w:rPr>
              <w:t xml:space="preserve">igh-intensity treatment </w:t>
            </w:r>
            <w:r>
              <w:rPr>
                <w:rFonts w:ascii="Arial Narrow" w:hAnsi="Arial Narrow"/>
                <w:sz w:val="18"/>
                <w:szCs w:val="18"/>
              </w:rPr>
              <w:t xml:space="preserve">with atorvastatin 80mg should </w:t>
            </w:r>
            <w:r w:rsidRPr="00D224B1">
              <w:rPr>
                <w:rFonts w:ascii="Arial Narrow" w:hAnsi="Arial Narrow"/>
                <w:sz w:val="18"/>
                <w:szCs w:val="18"/>
              </w:rPr>
              <w:t xml:space="preserve">aim for </w:t>
            </w:r>
          </w:p>
          <w:p w:rsidR="000629EA" w:rsidRDefault="000629EA" w:rsidP="0094783C">
            <w:pPr>
              <w:rPr>
                <w:rFonts w:ascii="Arial Narrow" w:hAnsi="Arial Narrow"/>
                <w:sz w:val="18"/>
                <w:szCs w:val="18"/>
              </w:rPr>
            </w:pPr>
            <w:r w:rsidRPr="00D224B1">
              <w:rPr>
                <w:rFonts w:ascii="Arial Narrow" w:hAnsi="Arial Narrow"/>
                <w:sz w:val="18"/>
                <w:szCs w:val="18"/>
              </w:rPr>
              <w:t>≥ 40% reduction in non-HDL cholesterol.</w:t>
            </w:r>
          </w:p>
        </w:tc>
        <w:tc>
          <w:tcPr>
            <w:tcW w:w="2693" w:type="dxa"/>
          </w:tcPr>
          <w:p w:rsidR="000629EA" w:rsidRDefault="000629EA" w:rsidP="0094783C">
            <w:pPr>
              <w:rPr>
                <w:rFonts w:ascii="Arial Narrow" w:hAnsi="Arial Narrow"/>
                <w:sz w:val="18"/>
                <w:szCs w:val="18"/>
              </w:rPr>
            </w:pPr>
            <w:r w:rsidRPr="00296D88">
              <w:rPr>
                <w:rFonts w:ascii="Arial Narrow" w:hAnsi="Arial Narrow"/>
                <w:sz w:val="18"/>
                <w:szCs w:val="18"/>
              </w:rPr>
              <w:t>For the</w:t>
            </w:r>
            <w:r w:rsidRPr="00296D88">
              <w:rPr>
                <w:rFonts w:ascii="Arial Narrow" w:hAnsi="Arial Narrow"/>
                <w:b/>
                <w:sz w:val="18"/>
                <w:szCs w:val="18"/>
              </w:rPr>
              <w:t xml:space="preserve"> primary prevention</w:t>
            </w:r>
            <w:r>
              <w:rPr>
                <w:rFonts w:ascii="Arial Narrow" w:hAnsi="Arial Narrow"/>
                <w:b/>
                <w:sz w:val="18"/>
                <w:szCs w:val="18"/>
              </w:rPr>
              <w:t xml:space="preserve"> subgroup </w:t>
            </w:r>
            <w:r w:rsidRPr="00296D88">
              <w:rPr>
                <w:rFonts w:ascii="Arial Narrow" w:hAnsi="Arial Narrow"/>
                <w:sz w:val="18"/>
                <w:szCs w:val="18"/>
              </w:rPr>
              <w:t>of</w:t>
            </w:r>
            <w:r w:rsidRPr="00296D88">
              <w:rPr>
                <w:rFonts w:ascii="Arial Narrow" w:hAnsi="Arial Narrow"/>
                <w:b/>
                <w:sz w:val="18"/>
                <w:szCs w:val="18"/>
              </w:rPr>
              <w:t xml:space="preserve"> </w:t>
            </w:r>
            <w:r w:rsidRPr="00296D88">
              <w:rPr>
                <w:rFonts w:ascii="Arial Narrow" w:hAnsi="Arial Narrow"/>
                <w:sz w:val="18"/>
                <w:szCs w:val="18"/>
              </w:rPr>
              <w:t>adults with type 1 diabetes; type 2 diabetes and CKD (if some specific conditions are met)</w:t>
            </w:r>
            <w:r>
              <w:rPr>
                <w:rFonts w:ascii="Arial Narrow" w:hAnsi="Arial Narrow"/>
                <w:sz w:val="18"/>
                <w:szCs w:val="18"/>
              </w:rPr>
              <w:t xml:space="preserve"> attempt</w:t>
            </w:r>
            <w:r w:rsidRPr="00296D88">
              <w:rPr>
                <w:rFonts w:ascii="Arial Narrow" w:hAnsi="Arial Narrow"/>
                <w:sz w:val="18"/>
                <w:szCs w:val="18"/>
              </w:rPr>
              <w:t xml:space="preserve"> lifestyle </w:t>
            </w:r>
            <w:r>
              <w:rPr>
                <w:rFonts w:ascii="Arial Narrow" w:hAnsi="Arial Narrow"/>
                <w:sz w:val="18"/>
                <w:szCs w:val="18"/>
              </w:rPr>
              <w:t>first.</w:t>
            </w:r>
            <w:r w:rsidRPr="00296D88">
              <w:rPr>
                <w:rFonts w:ascii="Arial Narrow" w:hAnsi="Arial Narrow"/>
                <w:sz w:val="18"/>
                <w:szCs w:val="18"/>
              </w:rPr>
              <w:t xml:space="preserve"> If </w:t>
            </w:r>
            <w:r>
              <w:rPr>
                <w:rFonts w:ascii="Arial Narrow" w:hAnsi="Arial Narrow"/>
                <w:sz w:val="18"/>
                <w:szCs w:val="18"/>
              </w:rPr>
              <w:t>ineffective or inappropriate o</w:t>
            </w:r>
            <w:r w:rsidRPr="00296D88">
              <w:rPr>
                <w:rFonts w:ascii="Arial Narrow" w:hAnsi="Arial Narrow"/>
                <w:sz w:val="18"/>
                <w:szCs w:val="18"/>
              </w:rPr>
              <w:t xml:space="preserve">ffer statin treatment </w:t>
            </w:r>
          </w:p>
          <w:p w:rsidR="000629EA" w:rsidRDefault="000629EA" w:rsidP="0094783C">
            <w:pPr>
              <w:rPr>
                <w:rFonts w:ascii="Arial Narrow" w:hAnsi="Arial Narrow"/>
                <w:sz w:val="18"/>
                <w:szCs w:val="18"/>
              </w:rPr>
            </w:pPr>
            <w:r>
              <w:rPr>
                <w:rFonts w:ascii="Arial Narrow" w:hAnsi="Arial Narrow"/>
                <w:sz w:val="18"/>
                <w:szCs w:val="18"/>
              </w:rPr>
              <w:t xml:space="preserve">•  </w:t>
            </w:r>
            <w:r w:rsidRPr="00296D88">
              <w:rPr>
                <w:rFonts w:ascii="Arial Narrow" w:hAnsi="Arial Narrow"/>
                <w:sz w:val="18"/>
                <w:szCs w:val="18"/>
              </w:rPr>
              <w:t>atorvastatin 20 mg</w:t>
            </w:r>
            <w:r>
              <w:rPr>
                <w:rFonts w:ascii="Arial Narrow" w:hAnsi="Arial Narrow"/>
                <w:sz w:val="18"/>
                <w:szCs w:val="18"/>
              </w:rPr>
              <w:t>;</w:t>
            </w:r>
            <w:r w:rsidRPr="00296D88">
              <w:rPr>
                <w:rFonts w:ascii="Arial Narrow" w:hAnsi="Arial Narrow"/>
                <w:sz w:val="18"/>
                <w:szCs w:val="18"/>
              </w:rPr>
              <w:t xml:space="preserve"> </w:t>
            </w:r>
          </w:p>
          <w:p w:rsidR="000629EA" w:rsidRPr="00296D88" w:rsidRDefault="000629EA" w:rsidP="0094783C">
            <w:pPr>
              <w:rPr>
                <w:rFonts w:ascii="Arial Narrow" w:hAnsi="Arial Narrow"/>
                <w:sz w:val="18"/>
                <w:szCs w:val="18"/>
              </w:rPr>
            </w:pPr>
            <w:r>
              <w:rPr>
                <w:rFonts w:ascii="Arial Narrow" w:hAnsi="Arial Narrow"/>
                <w:sz w:val="18"/>
                <w:szCs w:val="18"/>
              </w:rPr>
              <w:t>F</w:t>
            </w:r>
            <w:r w:rsidRPr="00296D88">
              <w:rPr>
                <w:rFonts w:ascii="Arial Narrow" w:hAnsi="Arial Narrow"/>
                <w:sz w:val="18"/>
                <w:szCs w:val="18"/>
              </w:rPr>
              <w:t>or other categories of people with</w:t>
            </w:r>
            <w:r>
              <w:rPr>
                <w:rFonts w:ascii="Arial Narrow" w:hAnsi="Arial Narrow"/>
                <w:sz w:val="18"/>
                <w:szCs w:val="18"/>
              </w:rPr>
              <w:t xml:space="preserve"> </w:t>
            </w:r>
            <w:r w:rsidRPr="00296D88">
              <w:rPr>
                <w:rFonts w:ascii="Arial Narrow" w:hAnsi="Arial Narrow"/>
                <w:sz w:val="18"/>
                <w:szCs w:val="18"/>
              </w:rPr>
              <w:t>10-year risk</w:t>
            </w:r>
            <w:r>
              <w:rPr>
                <w:rFonts w:ascii="Arial Narrow" w:hAnsi="Arial Narrow"/>
                <w:sz w:val="18"/>
                <w:szCs w:val="18"/>
              </w:rPr>
              <w:t xml:space="preserve"> </w:t>
            </w:r>
            <w:r w:rsidRPr="00296D88">
              <w:rPr>
                <w:rFonts w:ascii="Arial Narrow" w:hAnsi="Arial Narrow"/>
                <w:sz w:val="18"/>
                <w:szCs w:val="18"/>
              </w:rPr>
              <w:t xml:space="preserve">≥ 10% </w:t>
            </w:r>
            <w:r>
              <w:rPr>
                <w:rFonts w:ascii="Arial Narrow" w:hAnsi="Arial Narrow"/>
                <w:sz w:val="18"/>
                <w:szCs w:val="18"/>
              </w:rPr>
              <w:t>attempt</w:t>
            </w:r>
            <w:r w:rsidRPr="00296D88">
              <w:rPr>
                <w:rFonts w:ascii="Arial Narrow" w:hAnsi="Arial Narrow"/>
                <w:sz w:val="18"/>
                <w:szCs w:val="18"/>
              </w:rPr>
              <w:t xml:space="preserve"> lifestyle modification and management of </w:t>
            </w:r>
            <w:r>
              <w:rPr>
                <w:rFonts w:ascii="Arial Narrow" w:hAnsi="Arial Narrow"/>
                <w:sz w:val="18"/>
                <w:szCs w:val="18"/>
              </w:rPr>
              <w:t>other modifiable CVD risks;</w:t>
            </w:r>
          </w:p>
          <w:p w:rsidR="000629EA" w:rsidRPr="00296D88" w:rsidRDefault="000629EA" w:rsidP="0094783C">
            <w:pPr>
              <w:rPr>
                <w:rFonts w:ascii="Arial Narrow" w:hAnsi="Arial Narrow"/>
                <w:sz w:val="18"/>
                <w:szCs w:val="18"/>
              </w:rPr>
            </w:pPr>
            <w:r>
              <w:rPr>
                <w:rFonts w:ascii="Arial Narrow" w:hAnsi="Arial Narrow"/>
                <w:sz w:val="18"/>
                <w:szCs w:val="18"/>
              </w:rPr>
              <w:t xml:space="preserve">then </w:t>
            </w:r>
            <w:r w:rsidRPr="00296D88">
              <w:rPr>
                <w:rFonts w:ascii="Arial Narrow" w:hAnsi="Arial Narrow"/>
                <w:sz w:val="18"/>
                <w:szCs w:val="18"/>
              </w:rPr>
              <w:t>start statin treatment with</w:t>
            </w:r>
          </w:p>
          <w:p w:rsidR="000629EA" w:rsidRDefault="000629EA" w:rsidP="0094783C">
            <w:pPr>
              <w:rPr>
                <w:rFonts w:ascii="Arial Narrow" w:hAnsi="Arial Narrow"/>
                <w:sz w:val="18"/>
                <w:szCs w:val="18"/>
              </w:rPr>
            </w:pPr>
            <w:r>
              <w:rPr>
                <w:rFonts w:ascii="Arial Narrow" w:hAnsi="Arial Narrow"/>
                <w:sz w:val="18"/>
                <w:szCs w:val="18"/>
              </w:rPr>
              <w:t xml:space="preserve">• </w:t>
            </w:r>
            <w:r w:rsidRPr="00296D88">
              <w:rPr>
                <w:rFonts w:ascii="Arial Narrow" w:hAnsi="Arial Narrow"/>
                <w:sz w:val="18"/>
                <w:szCs w:val="18"/>
              </w:rPr>
              <w:t>atorvastatin 20 mg</w:t>
            </w:r>
            <w:r>
              <w:rPr>
                <w:rFonts w:ascii="Arial Narrow" w:hAnsi="Arial Narrow"/>
                <w:sz w:val="18"/>
                <w:szCs w:val="18"/>
              </w:rPr>
              <w:t>;</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sidRPr="00296D88">
              <w:rPr>
                <w:rFonts w:ascii="Arial Narrow" w:hAnsi="Arial Narrow"/>
                <w:sz w:val="18"/>
                <w:szCs w:val="18"/>
              </w:rPr>
              <w:t>For the</w:t>
            </w:r>
            <w:r w:rsidRPr="00296D88">
              <w:rPr>
                <w:rFonts w:ascii="Arial Narrow" w:hAnsi="Arial Narrow"/>
                <w:b/>
                <w:sz w:val="18"/>
                <w:szCs w:val="18"/>
              </w:rPr>
              <w:t xml:space="preserve"> </w:t>
            </w:r>
            <w:r>
              <w:rPr>
                <w:rFonts w:ascii="Arial Narrow" w:hAnsi="Arial Narrow"/>
                <w:b/>
                <w:sz w:val="18"/>
                <w:szCs w:val="18"/>
              </w:rPr>
              <w:t>secondary</w:t>
            </w:r>
            <w:r w:rsidRPr="00296D88">
              <w:rPr>
                <w:rFonts w:ascii="Arial Narrow" w:hAnsi="Arial Narrow"/>
                <w:b/>
                <w:sz w:val="18"/>
                <w:szCs w:val="18"/>
              </w:rPr>
              <w:t xml:space="preserve"> prevention</w:t>
            </w:r>
            <w:r>
              <w:rPr>
                <w:rFonts w:ascii="Arial Narrow" w:hAnsi="Arial Narrow"/>
                <w:b/>
                <w:sz w:val="18"/>
                <w:szCs w:val="18"/>
              </w:rPr>
              <w:t xml:space="preserve"> subgroup </w:t>
            </w:r>
            <w:r>
              <w:rPr>
                <w:rFonts w:ascii="Arial Narrow" w:hAnsi="Arial Narrow"/>
                <w:sz w:val="18"/>
                <w:szCs w:val="18"/>
              </w:rPr>
              <w:t>of adults with diagnosed CV</w:t>
            </w:r>
            <w:r w:rsidRPr="00296D88">
              <w:rPr>
                <w:rFonts w:ascii="Arial Narrow" w:hAnsi="Arial Narrow"/>
                <w:sz w:val="18"/>
                <w:szCs w:val="18"/>
              </w:rPr>
              <w:t>D</w:t>
            </w:r>
          </w:p>
          <w:p w:rsidR="000629EA" w:rsidRPr="00D224B1" w:rsidRDefault="000629EA" w:rsidP="0094783C">
            <w:pPr>
              <w:rPr>
                <w:rFonts w:ascii="Arial Narrow" w:hAnsi="Arial Narrow"/>
                <w:sz w:val="18"/>
                <w:szCs w:val="18"/>
              </w:rPr>
            </w:pPr>
            <w:r w:rsidRPr="00D224B1">
              <w:rPr>
                <w:rFonts w:ascii="Arial Narrow" w:hAnsi="Arial Narrow"/>
                <w:sz w:val="18"/>
                <w:szCs w:val="18"/>
              </w:rPr>
              <w:t>Start statin treatment with</w:t>
            </w:r>
          </w:p>
          <w:p w:rsidR="000629EA" w:rsidRPr="00D224B1" w:rsidRDefault="000629EA" w:rsidP="0094783C">
            <w:pPr>
              <w:rPr>
                <w:rFonts w:ascii="Arial Narrow" w:hAnsi="Arial Narrow"/>
                <w:sz w:val="18"/>
                <w:szCs w:val="18"/>
              </w:rPr>
            </w:pPr>
            <w:r>
              <w:rPr>
                <w:rFonts w:ascii="Arial Narrow" w:hAnsi="Arial Narrow"/>
                <w:sz w:val="18"/>
                <w:szCs w:val="18"/>
              </w:rPr>
              <w:t xml:space="preserve">• </w:t>
            </w:r>
            <w:r w:rsidRPr="00D224B1">
              <w:rPr>
                <w:rFonts w:ascii="Arial Narrow" w:hAnsi="Arial Narrow"/>
                <w:sz w:val="18"/>
                <w:szCs w:val="18"/>
              </w:rPr>
              <w:t>atorvastatin 80 mg or</w:t>
            </w:r>
          </w:p>
          <w:p w:rsidR="000629EA" w:rsidRPr="00E85046" w:rsidRDefault="000629EA" w:rsidP="0094783C">
            <w:pPr>
              <w:rPr>
                <w:rFonts w:ascii="Arial Narrow" w:hAnsi="Arial Narrow"/>
                <w:b/>
                <w:sz w:val="18"/>
                <w:szCs w:val="18"/>
              </w:rPr>
            </w:pPr>
            <w:r>
              <w:rPr>
                <w:rFonts w:ascii="Arial Narrow" w:hAnsi="Arial Narrow"/>
                <w:sz w:val="18"/>
                <w:szCs w:val="18"/>
              </w:rPr>
              <w:t xml:space="preserve">• </w:t>
            </w:r>
            <w:r w:rsidRPr="00D224B1">
              <w:rPr>
                <w:rFonts w:ascii="Arial Narrow" w:hAnsi="Arial Narrow"/>
                <w:sz w:val="18"/>
                <w:szCs w:val="18"/>
              </w:rPr>
              <w:t>a lower dose if potential drug interactions and/or high risk of adverse effects are likely</w:t>
            </w:r>
          </w:p>
        </w:tc>
        <w:tc>
          <w:tcPr>
            <w:tcW w:w="2693" w:type="dxa"/>
          </w:tcPr>
          <w:p w:rsidR="000629EA" w:rsidRDefault="000629EA" w:rsidP="0094783C">
            <w:pPr>
              <w:rPr>
                <w:rFonts w:ascii="Arial Narrow" w:hAnsi="Arial Narrow"/>
                <w:sz w:val="18"/>
                <w:szCs w:val="18"/>
              </w:rPr>
            </w:pPr>
            <w:r>
              <w:rPr>
                <w:rFonts w:ascii="Arial Narrow" w:hAnsi="Arial Narrow"/>
                <w:sz w:val="18"/>
                <w:szCs w:val="18"/>
              </w:rPr>
              <w:t xml:space="preserve">Combination therapy. </w:t>
            </w:r>
          </w:p>
          <w:p w:rsidR="000629EA" w:rsidRDefault="000629EA" w:rsidP="0094783C">
            <w:pPr>
              <w:rPr>
                <w:rFonts w:ascii="Arial Narrow" w:hAnsi="Arial Narrow"/>
                <w:sz w:val="18"/>
                <w:szCs w:val="18"/>
              </w:rPr>
            </w:pPr>
            <w:r w:rsidRPr="00D224B1">
              <w:rPr>
                <w:rFonts w:ascii="Arial Narrow" w:hAnsi="Arial Narrow"/>
                <w:b/>
                <w:sz w:val="18"/>
                <w:szCs w:val="18"/>
              </w:rPr>
              <w:t>Do not offer the combination of a bile acid sequestrant</w:t>
            </w:r>
            <w:r w:rsidRPr="00D224B1">
              <w:rPr>
                <w:rFonts w:ascii="Arial Narrow" w:hAnsi="Arial Narrow"/>
                <w:sz w:val="18"/>
                <w:szCs w:val="18"/>
              </w:rPr>
              <w:t xml:space="preserve"> (anion exchange resin), </w:t>
            </w:r>
            <w:r w:rsidRPr="00D224B1">
              <w:rPr>
                <w:rFonts w:ascii="Arial Narrow" w:hAnsi="Arial Narrow"/>
                <w:b/>
                <w:sz w:val="18"/>
                <w:szCs w:val="18"/>
              </w:rPr>
              <w:t>fibrate, nicotinic acid</w:t>
            </w:r>
            <w:r w:rsidRPr="00D224B1">
              <w:rPr>
                <w:rFonts w:ascii="Arial Narrow" w:hAnsi="Arial Narrow"/>
                <w:sz w:val="18"/>
                <w:szCs w:val="18"/>
              </w:rPr>
              <w:t xml:space="preserve"> or </w:t>
            </w:r>
            <w:r w:rsidRPr="00D224B1">
              <w:rPr>
                <w:rFonts w:ascii="Arial Narrow" w:hAnsi="Arial Narrow"/>
                <w:b/>
                <w:sz w:val="18"/>
                <w:szCs w:val="18"/>
              </w:rPr>
              <w:t>omega-3 fatty acid</w:t>
            </w:r>
            <w:r>
              <w:rPr>
                <w:rFonts w:ascii="Arial Narrow" w:hAnsi="Arial Narrow"/>
                <w:sz w:val="18"/>
                <w:szCs w:val="18"/>
              </w:rPr>
              <w:t xml:space="preserve"> compound </w:t>
            </w:r>
            <w:r w:rsidRPr="00D224B1">
              <w:rPr>
                <w:rFonts w:ascii="Arial Narrow" w:hAnsi="Arial Narrow"/>
                <w:b/>
                <w:sz w:val="18"/>
                <w:szCs w:val="18"/>
              </w:rPr>
              <w:t>with a statin</w:t>
            </w:r>
            <w:r>
              <w:rPr>
                <w:rFonts w:ascii="Arial Narrow" w:hAnsi="Arial Narrow"/>
                <w:sz w:val="18"/>
                <w:szCs w:val="18"/>
              </w:rPr>
              <w:t xml:space="preserve"> for the </w:t>
            </w:r>
            <w:r w:rsidRPr="00D224B1">
              <w:rPr>
                <w:rFonts w:ascii="Arial Narrow" w:hAnsi="Arial Narrow"/>
                <w:sz w:val="18"/>
                <w:szCs w:val="18"/>
              </w:rPr>
              <w:t>primary or secondary prevention of CVD</w:t>
            </w:r>
            <w:r>
              <w:rPr>
                <w:rFonts w:ascii="Arial Narrow" w:hAnsi="Arial Narrow"/>
                <w:sz w:val="18"/>
                <w:szCs w:val="18"/>
              </w:rPr>
              <w:t>.</w:t>
            </w:r>
          </w:p>
          <w:p w:rsidR="000629EA" w:rsidRDefault="000629EA" w:rsidP="0094783C">
            <w:pPr>
              <w:rPr>
                <w:rFonts w:ascii="Arial Narrow" w:hAnsi="Arial Narrow"/>
                <w:i/>
                <w:sz w:val="18"/>
                <w:szCs w:val="18"/>
              </w:rPr>
            </w:pPr>
            <w:r w:rsidRPr="00D224B1">
              <w:rPr>
                <w:rFonts w:ascii="Arial Narrow" w:hAnsi="Arial Narrow"/>
                <w:b/>
                <w:sz w:val="18"/>
                <w:szCs w:val="18"/>
              </w:rPr>
              <w:t>Ezetimibe</w:t>
            </w:r>
            <w:r w:rsidRPr="00D224B1">
              <w:rPr>
                <w:rFonts w:ascii="Arial Narrow" w:hAnsi="Arial Narrow"/>
                <w:sz w:val="18"/>
                <w:szCs w:val="18"/>
              </w:rPr>
              <w:t xml:space="preserve"> treatment is initiated in line with ezetimibe for the treatment of primary hyper-cholesterolaemia guidelines (TA385</w:t>
            </w:r>
            <w:r>
              <w:rPr>
                <w:rFonts w:ascii="Arial Narrow" w:hAnsi="Arial Narrow"/>
                <w:sz w:val="18"/>
                <w:szCs w:val="18"/>
              </w:rPr>
              <w:t xml:space="preserve">), </w:t>
            </w:r>
            <w:r w:rsidRPr="00BC641E">
              <w:rPr>
                <w:rFonts w:ascii="Arial Narrow" w:hAnsi="Arial Narrow"/>
                <w:i/>
                <w:sz w:val="18"/>
                <w:szCs w:val="18"/>
              </w:rPr>
              <w:t xml:space="preserve">which recommends ezetimibe if </w:t>
            </w:r>
          </w:p>
          <w:p w:rsidR="000629EA" w:rsidRDefault="000629EA" w:rsidP="0094783C">
            <w:pPr>
              <w:rPr>
                <w:rFonts w:ascii="Arial Narrow" w:hAnsi="Arial Narrow"/>
                <w:sz w:val="18"/>
                <w:szCs w:val="18"/>
              </w:rPr>
            </w:pPr>
            <w:r>
              <w:rPr>
                <w:rFonts w:ascii="Arial Narrow" w:hAnsi="Arial Narrow"/>
                <w:i/>
                <w:sz w:val="18"/>
                <w:szCs w:val="18"/>
              </w:rPr>
              <w:t xml:space="preserve">a) </w:t>
            </w:r>
            <w:r w:rsidRPr="00BC641E">
              <w:rPr>
                <w:rFonts w:ascii="Arial Narrow" w:hAnsi="Arial Narrow"/>
                <w:i/>
                <w:sz w:val="18"/>
                <w:szCs w:val="18"/>
              </w:rPr>
              <w:t xml:space="preserve">LDL-C is not appropriately controlled </w:t>
            </w:r>
            <w:r>
              <w:rPr>
                <w:rFonts w:ascii="Arial Narrow" w:hAnsi="Arial Narrow"/>
                <w:i/>
                <w:sz w:val="18"/>
                <w:szCs w:val="18"/>
              </w:rPr>
              <w:t>(</w:t>
            </w:r>
            <w:r w:rsidRPr="00BC641E">
              <w:rPr>
                <w:rFonts w:ascii="Arial Narrow" w:hAnsi="Arial Narrow"/>
                <w:i/>
                <w:sz w:val="18"/>
                <w:szCs w:val="18"/>
              </w:rPr>
              <w:t>according to CG181</w:t>
            </w:r>
            <w:r>
              <w:rPr>
                <w:rFonts w:ascii="Arial Narrow" w:hAnsi="Arial Narrow"/>
                <w:i/>
                <w:sz w:val="18"/>
                <w:szCs w:val="18"/>
              </w:rPr>
              <w:t xml:space="preserve">) </w:t>
            </w:r>
            <w:r w:rsidRPr="00BC641E">
              <w:rPr>
                <w:rFonts w:ascii="Arial Narrow" w:hAnsi="Arial Narrow"/>
                <w:sz w:val="18"/>
                <w:szCs w:val="18"/>
              </w:rPr>
              <w:t>either after appropriate dose titration of initial statin therapy or because dose titration is limited by intolerance to the initial statin therapy</w:t>
            </w:r>
            <w:r>
              <w:rPr>
                <w:rFonts w:ascii="Arial Narrow" w:hAnsi="Arial Narrow"/>
                <w:sz w:val="18"/>
                <w:szCs w:val="18"/>
              </w:rPr>
              <w:t>.</w:t>
            </w:r>
          </w:p>
          <w:p w:rsidR="000629EA" w:rsidRPr="00E866BA" w:rsidRDefault="000629EA" w:rsidP="0094783C">
            <w:pPr>
              <w:rPr>
                <w:rFonts w:ascii="Arial Narrow" w:hAnsi="Arial Narrow"/>
                <w:sz w:val="18"/>
                <w:szCs w:val="18"/>
              </w:rPr>
            </w:pPr>
            <w:r>
              <w:rPr>
                <w:rFonts w:ascii="Arial Narrow" w:hAnsi="Arial Narrow"/>
                <w:sz w:val="18"/>
                <w:szCs w:val="18"/>
              </w:rPr>
              <w:t xml:space="preserve">b) </w:t>
            </w:r>
            <w:r w:rsidRPr="00BC641E">
              <w:rPr>
                <w:rFonts w:ascii="Arial Narrow" w:hAnsi="Arial Narrow"/>
                <w:sz w:val="18"/>
                <w:szCs w:val="18"/>
              </w:rPr>
              <w:t>a change from initial statin therapy to an alternative statin is being considered</w:t>
            </w:r>
          </w:p>
        </w:tc>
      </w:tr>
      <w:tr w:rsidR="000629EA" w:rsidRPr="006A41D4" w:rsidTr="0094783C">
        <w:tc>
          <w:tcPr>
            <w:tcW w:w="2122" w:type="dxa"/>
          </w:tcPr>
          <w:p w:rsidR="000629EA" w:rsidRDefault="000629EA" w:rsidP="0094783C">
            <w:pPr>
              <w:rPr>
                <w:rFonts w:ascii="Arial Narrow" w:hAnsi="Arial Narrow"/>
                <w:sz w:val="18"/>
                <w:szCs w:val="18"/>
              </w:rPr>
            </w:pPr>
            <w:r w:rsidRPr="00B06082">
              <w:rPr>
                <w:rFonts w:ascii="Arial Narrow" w:hAnsi="Arial Narrow"/>
                <w:sz w:val="18"/>
                <w:szCs w:val="18"/>
              </w:rPr>
              <w:t>European Society of Cardiology (ESC) and European Atherosclerosis Society (EAS) task force</w:t>
            </w:r>
            <w:r>
              <w:rPr>
                <w:rFonts w:ascii="Arial Narrow" w:hAnsi="Arial Narrow"/>
                <w:sz w:val="18"/>
                <w:szCs w:val="18"/>
              </w:rPr>
              <w:t>, the 2016 update of the 2011 guidelines.</w:t>
            </w:r>
          </w:p>
          <w:p w:rsidR="000629EA" w:rsidRPr="00B06082" w:rsidRDefault="000629EA" w:rsidP="0094783C">
            <w:pPr>
              <w:rPr>
                <w:rFonts w:ascii="Arial Narrow" w:hAnsi="Arial Narrow"/>
                <w:b/>
                <w:sz w:val="18"/>
                <w:szCs w:val="18"/>
              </w:rPr>
            </w:pPr>
            <w:r w:rsidRPr="00B06082">
              <w:rPr>
                <w:rFonts w:ascii="Arial Narrow" w:hAnsi="Arial Narrow"/>
                <w:b/>
                <w:sz w:val="18"/>
                <w:szCs w:val="18"/>
              </w:rPr>
              <w:t xml:space="preserve">European Union </w:t>
            </w:r>
          </w:p>
        </w:tc>
        <w:tc>
          <w:tcPr>
            <w:tcW w:w="2268" w:type="dxa"/>
          </w:tcPr>
          <w:p w:rsidR="000629EA" w:rsidRPr="00B06082" w:rsidRDefault="000629EA" w:rsidP="0094783C">
            <w:pPr>
              <w:rPr>
                <w:rFonts w:ascii="Arial Narrow" w:hAnsi="Arial Narrow"/>
                <w:sz w:val="18"/>
                <w:szCs w:val="18"/>
              </w:rPr>
            </w:pPr>
            <w:r>
              <w:rPr>
                <w:rFonts w:ascii="Arial Narrow" w:hAnsi="Arial Narrow"/>
                <w:sz w:val="18"/>
                <w:szCs w:val="18"/>
              </w:rPr>
              <w:t xml:space="preserve">The 10 year </w:t>
            </w:r>
            <w:r w:rsidRPr="00B06082">
              <w:rPr>
                <w:rFonts w:ascii="Arial Narrow" w:hAnsi="Arial Narrow"/>
                <w:sz w:val="18"/>
                <w:szCs w:val="18"/>
              </w:rPr>
              <w:t>Systematic COronary Risk Evaluation assessment tool</w:t>
            </w:r>
            <w:r>
              <w:rPr>
                <w:rFonts w:ascii="Arial Narrow" w:hAnsi="Arial Narrow"/>
                <w:sz w:val="18"/>
                <w:szCs w:val="18"/>
              </w:rPr>
              <w:t xml:space="preserve"> </w:t>
            </w:r>
            <w:r w:rsidRPr="00B06082">
              <w:rPr>
                <w:rFonts w:ascii="Arial Narrow" w:hAnsi="Arial Narrow"/>
                <w:sz w:val="18"/>
                <w:szCs w:val="18"/>
              </w:rPr>
              <w:t xml:space="preserve">(SCORE), </w:t>
            </w:r>
          </w:p>
          <w:p w:rsidR="000629EA" w:rsidRPr="003026BA" w:rsidRDefault="000629EA" w:rsidP="0094783C">
            <w:pPr>
              <w:rPr>
                <w:rFonts w:ascii="Arial Narrow" w:hAnsi="Arial Narrow"/>
                <w:sz w:val="18"/>
                <w:szCs w:val="18"/>
              </w:rPr>
            </w:pPr>
            <w:r w:rsidRPr="00B06082">
              <w:rPr>
                <w:rFonts w:ascii="Arial Narrow" w:hAnsi="Arial Narrow"/>
                <w:sz w:val="18"/>
                <w:szCs w:val="18"/>
              </w:rPr>
              <w:t>designed to a</w:t>
            </w:r>
            <w:r>
              <w:rPr>
                <w:rFonts w:ascii="Arial Narrow" w:hAnsi="Arial Narrow"/>
                <w:sz w:val="18"/>
                <w:szCs w:val="18"/>
              </w:rPr>
              <w:t xml:space="preserve">ssess the risk of a first fatal </w:t>
            </w:r>
            <w:r w:rsidRPr="00B06082">
              <w:rPr>
                <w:rFonts w:ascii="Arial Narrow" w:hAnsi="Arial Narrow"/>
                <w:sz w:val="18"/>
                <w:szCs w:val="18"/>
              </w:rPr>
              <w:t>atherosclerotic event, whether</w:t>
            </w:r>
            <w:r>
              <w:rPr>
                <w:rFonts w:ascii="Arial Narrow" w:hAnsi="Arial Narrow"/>
                <w:sz w:val="18"/>
                <w:szCs w:val="18"/>
              </w:rPr>
              <w:t xml:space="preserve"> heart attack, stroke, or other </w:t>
            </w:r>
            <w:r w:rsidRPr="00B06082">
              <w:rPr>
                <w:rFonts w:ascii="Arial Narrow" w:hAnsi="Arial Narrow"/>
                <w:sz w:val="18"/>
                <w:szCs w:val="18"/>
              </w:rPr>
              <w:t>occlusive arterial disease,</w:t>
            </w:r>
            <w:r>
              <w:rPr>
                <w:rFonts w:ascii="Arial Narrow" w:hAnsi="Arial Narrow"/>
                <w:sz w:val="18"/>
                <w:szCs w:val="18"/>
              </w:rPr>
              <w:t xml:space="preserve"> including sudden cardiac death</w:t>
            </w:r>
          </w:p>
        </w:tc>
        <w:tc>
          <w:tcPr>
            <w:tcW w:w="2551" w:type="dxa"/>
          </w:tcPr>
          <w:p w:rsidR="000629EA" w:rsidRDefault="000629EA" w:rsidP="0094783C">
            <w:pPr>
              <w:rPr>
                <w:rFonts w:ascii="Arial Narrow" w:hAnsi="Arial Narrow"/>
                <w:b/>
                <w:sz w:val="18"/>
                <w:szCs w:val="18"/>
              </w:rPr>
            </w:pPr>
            <w:r w:rsidRPr="00077373">
              <w:rPr>
                <w:rFonts w:ascii="Arial Narrow" w:hAnsi="Arial Narrow"/>
                <w:sz w:val="18"/>
                <w:szCs w:val="18"/>
              </w:rPr>
              <w:t xml:space="preserve">Identified </w:t>
            </w:r>
            <w:r w:rsidRPr="000057F5">
              <w:rPr>
                <w:rFonts w:ascii="Arial Narrow" w:hAnsi="Arial Narrow"/>
                <w:b/>
                <w:sz w:val="18"/>
                <w:szCs w:val="18"/>
              </w:rPr>
              <w:t>4 risk groups</w:t>
            </w:r>
            <w:r>
              <w:rPr>
                <w:rFonts w:ascii="Arial Narrow" w:hAnsi="Arial Narrow"/>
                <w:b/>
                <w:sz w:val="18"/>
                <w:szCs w:val="18"/>
              </w:rPr>
              <w:t>:</w:t>
            </w:r>
          </w:p>
          <w:p w:rsidR="000629EA" w:rsidRPr="00B06082" w:rsidRDefault="000629EA" w:rsidP="0094783C">
            <w:pPr>
              <w:rPr>
                <w:rFonts w:ascii="Arial Narrow" w:hAnsi="Arial Narrow"/>
                <w:sz w:val="18"/>
                <w:szCs w:val="18"/>
              </w:rPr>
            </w:pPr>
            <w:r w:rsidRPr="00B06082">
              <w:rPr>
                <w:rFonts w:ascii="Arial Narrow" w:hAnsi="Arial Narrow"/>
                <w:b/>
                <w:sz w:val="18"/>
                <w:szCs w:val="18"/>
              </w:rPr>
              <w:t>Very high risk</w:t>
            </w:r>
            <w:r w:rsidRPr="00B06082">
              <w:rPr>
                <w:rFonts w:ascii="Arial Narrow" w:hAnsi="Arial Narrow"/>
                <w:sz w:val="18"/>
                <w:szCs w:val="18"/>
              </w:rPr>
              <w:t>:</w:t>
            </w:r>
          </w:p>
          <w:p w:rsidR="000629EA" w:rsidRDefault="000629EA" w:rsidP="0094783C">
            <w:pPr>
              <w:rPr>
                <w:rFonts w:ascii="Arial Narrow" w:hAnsi="Arial Narrow"/>
                <w:sz w:val="18"/>
                <w:szCs w:val="18"/>
              </w:rPr>
            </w:pPr>
            <w:r>
              <w:rPr>
                <w:rFonts w:ascii="Arial Narrow" w:hAnsi="Arial Narrow"/>
                <w:sz w:val="18"/>
                <w:szCs w:val="18"/>
              </w:rPr>
              <w:t xml:space="preserve">• Diagnosed CVD; • Severe CKD </w:t>
            </w:r>
          </w:p>
          <w:p w:rsidR="000629EA" w:rsidRPr="00B06082" w:rsidRDefault="000629EA" w:rsidP="0094783C">
            <w:pPr>
              <w:rPr>
                <w:rFonts w:ascii="Arial Narrow" w:hAnsi="Arial Narrow"/>
                <w:sz w:val="18"/>
                <w:szCs w:val="18"/>
              </w:rPr>
            </w:pPr>
            <w:r w:rsidRPr="00B06082">
              <w:rPr>
                <w:rFonts w:ascii="Arial Narrow" w:hAnsi="Arial Narrow"/>
                <w:sz w:val="18"/>
                <w:szCs w:val="18"/>
              </w:rPr>
              <w:t xml:space="preserve">• Type 2 </w:t>
            </w:r>
            <w:r>
              <w:rPr>
                <w:rFonts w:ascii="Arial Narrow" w:hAnsi="Arial Narrow"/>
                <w:sz w:val="18"/>
                <w:szCs w:val="18"/>
              </w:rPr>
              <w:t>DM</w:t>
            </w:r>
            <w:r w:rsidRPr="00B06082">
              <w:rPr>
                <w:rFonts w:ascii="Arial Narrow" w:hAnsi="Arial Narrow"/>
                <w:sz w:val="18"/>
                <w:szCs w:val="18"/>
              </w:rPr>
              <w:t xml:space="preserve"> or type 1 </w:t>
            </w:r>
            <w:r>
              <w:rPr>
                <w:rFonts w:ascii="Arial Narrow" w:hAnsi="Arial Narrow"/>
                <w:sz w:val="18"/>
                <w:szCs w:val="18"/>
              </w:rPr>
              <w:t>DM</w:t>
            </w:r>
            <w:r w:rsidRPr="00B06082">
              <w:rPr>
                <w:rFonts w:ascii="Arial Narrow" w:hAnsi="Arial Narrow"/>
                <w:sz w:val="18"/>
                <w:szCs w:val="18"/>
              </w:rPr>
              <w:t xml:space="preserve"> with target organ damage;</w:t>
            </w:r>
          </w:p>
          <w:p w:rsidR="000629EA" w:rsidRPr="00B06082" w:rsidRDefault="000629EA" w:rsidP="0094783C">
            <w:pPr>
              <w:rPr>
                <w:rFonts w:ascii="Arial Narrow" w:hAnsi="Arial Narrow"/>
                <w:sz w:val="18"/>
                <w:szCs w:val="18"/>
              </w:rPr>
            </w:pPr>
            <w:r>
              <w:rPr>
                <w:rFonts w:ascii="Arial Narrow" w:hAnsi="Arial Narrow"/>
                <w:sz w:val="18"/>
                <w:szCs w:val="18"/>
              </w:rPr>
              <w:t>• 10 year risk SCORE ≥10%.</w:t>
            </w:r>
          </w:p>
          <w:p w:rsidR="000629EA" w:rsidRPr="00B06082" w:rsidRDefault="000629EA" w:rsidP="0094783C">
            <w:pPr>
              <w:rPr>
                <w:rFonts w:ascii="Arial Narrow" w:hAnsi="Arial Narrow"/>
                <w:sz w:val="18"/>
                <w:szCs w:val="18"/>
              </w:rPr>
            </w:pPr>
            <w:r w:rsidRPr="009736C3">
              <w:rPr>
                <w:rFonts w:ascii="Arial Narrow" w:hAnsi="Arial Narrow"/>
                <w:b/>
                <w:sz w:val="18"/>
                <w:szCs w:val="18"/>
              </w:rPr>
              <w:t>High risk</w:t>
            </w:r>
            <w:r w:rsidRPr="00B06082">
              <w:rPr>
                <w:rFonts w:ascii="Arial Narrow" w:hAnsi="Arial Narrow"/>
                <w:sz w:val="18"/>
                <w:szCs w:val="18"/>
              </w:rPr>
              <w:t>:</w:t>
            </w:r>
          </w:p>
          <w:p w:rsidR="000629EA" w:rsidRPr="00B06082" w:rsidRDefault="000629EA" w:rsidP="0094783C">
            <w:pPr>
              <w:rPr>
                <w:rFonts w:ascii="Arial Narrow" w:hAnsi="Arial Narrow"/>
                <w:sz w:val="18"/>
                <w:szCs w:val="18"/>
              </w:rPr>
            </w:pPr>
            <w:r w:rsidRPr="00B06082">
              <w:rPr>
                <w:rFonts w:ascii="Arial Narrow" w:hAnsi="Arial Narrow"/>
                <w:sz w:val="18"/>
                <w:szCs w:val="18"/>
              </w:rPr>
              <w:t>• Markedly elevated single risk factors e.g. in familial hyper-cholesterolaemia; cholesterol &gt;8 mmol/L (&gt;310 mg/dL) or severe hypertension (BP ≥180/110 mmHg)</w:t>
            </w:r>
          </w:p>
          <w:p w:rsidR="000629EA" w:rsidRPr="00B06082" w:rsidRDefault="000629EA" w:rsidP="0094783C">
            <w:pPr>
              <w:rPr>
                <w:rFonts w:ascii="Arial Narrow" w:hAnsi="Arial Narrow"/>
                <w:sz w:val="18"/>
                <w:szCs w:val="18"/>
              </w:rPr>
            </w:pPr>
            <w:r w:rsidRPr="00B06082">
              <w:rPr>
                <w:rFonts w:ascii="Arial Narrow" w:hAnsi="Arial Narrow"/>
                <w:sz w:val="18"/>
                <w:szCs w:val="18"/>
              </w:rPr>
              <w:t>• most patients with DM</w:t>
            </w:r>
          </w:p>
          <w:p w:rsidR="000629EA" w:rsidRDefault="000629EA" w:rsidP="0094783C">
            <w:pPr>
              <w:rPr>
                <w:rFonts w:ascii="Arial Narrow" w:hAnsi="Arial Narrow"/>
                <w:sz w:val="18"/>
                <w:szCs w:val="18"/>
              </w:rPr>
            </w:pPr>
            <w:r w:rsidRPr="00B06082">
              <w:rPr>
                <w:rFonts w:ascii="Arial Narrow" w:hAnsi="Arial Narrow"/>
                <w:sz w:val="18"/>
                <w:szCs w:val="18"/>
              </w:rPr>
              <w:t xml:space="preserve">• moderate CKD </w:t>
            </w:r>
          </w:p>
          <w:p w:rsidR="000629EA" w:rsidRPr="00B06082" w:rsidRDefault="000629EA" w:rsidP="0094783C">
            <w:pPr>
              <w:ind w:right="-108"/>
              <w:rPr>
                <w:rFonts w:ascii="Arial Narrow" w:hAnsi="Arial Narrow"/>
                <w:sz w:val="18"/>
                <w:szCs w:val="18"/>
              </w:rPr>
            </w:pPr>
            <w:r w:rsidRPr="00B06082">
              <w:rPr>
                <w:rFonts w:ascii="Arial Narrow" w:hAnsi="Arial Narrow"/>
                <w:sz w:val="18"/>
                <w:szCs w:val="18"/>
              </w:rPr>
              <w:t>• 10 year risk SCORE ≥5% to &lt;10%</w:t>
            </w:r>
          </w:p>
          <w:p w:rsidR="000629EA" w:rsidRPr="00B06082" w:rsidRDefault="000629EA" w:rsidP="0094783C">
            <w:pPr>
              <w:rPr>
                <w:rFonts w:ascii="Arial Narrow" w:hAnsi="Arial Narrow"/>
                <w:sz w:val="18"/>
                <w:szCs w:val="18"/>
              </w:rPr>
            </w:pPr>
            <w:r w:rsidRPr="009736C3">
              <w:rPr>
                <w:rFonts w:ascii="Arial Narrow" w:hAnsi="Arial Narrow"/>
                <w:b/>
                <w:sz w:val="18"/>
                <w:szCs w:val="18"/>
              </w:rPr>
              <w:t>Moderate risk</w:t>
            </w:r>
            <w:r w:rsidRPr="00B06082">
              <w:rPr>
                <w:rFonts w:ascii="Arial Narrow" w:hAnsi="Arial Narrow"/>
                <w:sz w:val="18"/>
                <w:szCs w:val="18"/>
              </w:rPr>
              <w:t>:</w:t>
            </w:r>
          </w:p>
          <w:p w:rsidR="000629EA" w:rsidRPr="00B06082" w:rsidRDefault="000629EA" w:rsidP="0094783C">
            <w:pPr>
              <w:rPr>
                <w:rFonts w:ascii="Arial Narrow" w:hAnsi="Arial Narrow"/>
                <w:sz w:val="18"/>
                <w:szCs w:val="18"/>
              </w:rPr>
            </w:pPr>
            <w:r w:rsidRPr="00B06082">
              <w:rPr>
                <w:rFonts w:ascii="Arial Narrow" w:hAnsi="Arial Narrow"/>
                <w:sz w:val="18"/>
                <w:szCs w:val="18"/>
              </w:rPr>
              <w:t>•10 year risk SCORE ≥1% to &lt;</w:t>
            </w:r>
            <w:r>
              <w:rPr>
                <w:rFonts w:ascii="Arial Narrow" w:hAnsi="Arial Narrow"/>
                <w:sz w:val="18"/>
                <w:szCs w:val="18"/>
              </w:rPr>
              <w:t>5%;</w:t>
            </w:r>
          </w:p>
          <w:p w:rsidR="000629EA" w:rsidRPr="009736C3" w:rsidRDefault="000629EA" w:rsidP="0094783C">
            <w:pPr>
              <w:rPr>
                <w:rFonts w:ascii="Arial Narrow" w:hAnsi="Arial Narrow"/>
                <w:b/>
                <w:sz w:val="18"/>
                <w:szCs w:val="18"/>
              </w:rPr>
            </w:pPr>
            <w:r w:rsidRPr="009736C3">
              <w:rPr>
                <w:rFonts w:ascii="Arial Narrow" w:hAnsi="Arial Narrow"/>
                <w:b/>
                <w:sz w:val="18"/>
                <w:szCs w:val="18"/>
              </w:rPr>
              <w:t>Low risk:</w:t>
            </w:r>
          </w:p>
          <w:p w:rsidR="000629EA" w:rsidRPr="008A366A" w:rsidRDefault="000629EA" w:rsidP="0094783C">
            <w:pPr>
              <w:rPr>
                <w:rFonts w:ascii="Arial Narrow" w:hAnsi="Arial Narrow"/>
                <w:sz w:val="18"/>
                <w:szCs w:val="18"/>
              </w:rPr>
            </w:pPr>
            <w:r w:rsidRPr="00B06082">
              <w:rPr>
                <w:rFonts w:ascii="Arial Narrow" w:hAnsi="Arial Narrow"/>
                <w:sz w:val="18"/>
                <w:szCs w:val="18"/>
              </w:rPr>
              <w:t>•10 year risk SCORE &lt;1%</w:t>
            </w:r>
          </w:p>
        </w:tc>
        <w:tc>
          <w:tcPr>
            <w:tcW w:w="2693" w:type="dxa"/>
          </w:tcPr>
          <w:p w:rsidR="000629EA" w:rsidRDefault="000629EA" w:rsidP="0094783C">
            <w:pPr>
              <w:rPr>
                <w:rFonts w:ascii="Arial Narrow" w:hAnsi="Arial Narrow"/>
                <w:b/>
                <w:sz w:val="18"/>
                <w:szCs w:val="18"/>
              </w:rPr>
            </w:pPr>
            <w:r w:rsidRPr="006A41D4">
              <w:rPr>
                <w:rFonts w:ascii="Arial Narrow" w:hAnsi="Arial Narrow"/>
                <w:b/>
                <w:sz w:val="18"/>
                <w:szCs w:val="18"/>
              </w:rPr>
              <w:t xml:space="preserve">Recommended </w:t>
            </w:r>
            <w:r w:rsidRPr="00E866BA">
              <w:rPr>
                <w:rFonts w:ascii="Arial Narrow" w:hAnsi="Arial Narrow"/>
                <w:b/>
                <w:sz w:val="18"/>
                <w:szCs w:val="18"/>
              </w:rPr>
              <w:t xml:space="preserve">primary </w:t>
            </w:r>
            <w:r w:rsidRPr="006A41D4">
              <w:rPr>
                <w:rFonts w:ascii="Arial Narrow" w:hAnsi="Arial Narrow"/>
                <w:b/>
                <w:sz w:val="18"/>
                <w:szCs w:val="18"/>
              </w:rPr>
              <w:t xml:space="preserve">targets for lipid </w:t>
            </w:r>
            <w:r w:rsidRPr="006A41D4">
              <w:rPr>
                <w:rFonts w:ascii="Arial Narrow" w:hAnsi="Arial Narrow"/>
                <w:sz w:val="18"/>
                <w:szCs w:val="18"/>
              </w:rPr>
              <w:t>control</w:t>
            </w:r>
            <w:r>
              <w:rPr>
                <w:rFonts w:ascii="Arial Narrow" w:hAnsi="Arial Narrow"/>
                <w:sz w:val="18"/>
                <w:szCs w:val="18"/>
              </w:rPr>
              <w:t>:</w:t>
            </w:r>
          </w:p>
          <w:p w:rsidR="000629EA" w:rsidRPr="00B06082" w:rsidRDefault="000629EA" w:rsidP="0094783C">
            <w:pPr>
              <w:rPr>
                <w:rFonts w:ascii="Arial Narrow" w:hAnsi="Arial Narrow"/>
                <w:sz w:val="18"/>
                <w:szCs w:val="18"/>
              </w:rPr>
            </w:pPr>
            <w:r w:rsidRPr="00B06082">
              <w:rPr>
                <w:rFonts w:ascii="Arial Narrow" w:hAnsi="Arial Narrow"/>
                <w:b/>
                <w:sz w:val="18"/>
                <w:szCs w:val="18"/>
              </w:rPr>
              <w:t>Very high risk</w:t>
            </w:r>
            <w:r w:rsidRPr="00B06082">
              <w:rPr>
                <w:rFonts w:ascii="Arial Narrow" w:hAnsi="Arial Narrow"/>
                <w:sz w:val="18"/>
                <w:szCs w:val="18"/>
              </w:rPr>
              <w:t>:</w:t>
            </w:r>
          </w:p>
          <w:p w:rsidR="000629EA" w:rsidRDefault="000629EA" w:rsidP="0094783C">
            <w:pPr>
              <w:rPr>
                <w:rFonts w:ascii="Arial Narrow" w:hAnsi="Arial Narrow"/>
                <w:sz w:val="18"/>
                <w:szCs w:val="18"/>
              </w:rPr>
            </w:pPr>
            <w:r>
              <w:rPr>
                <w:rFonts w:ascii="Arial Narrow" w:hAnsi="Arial Narrow"/>
                <w:sz w:val="18"/>
                <w:szCs w:val="18"/>
              </w:rPr>
              <w:t xml:space="preserve">&lt;1.8 mmol/L </w:t>
            </w:r>
            <w:r w:rsidRPr="003741DC">
              <w:rPr>
                <w:rFonts w:ascii="Arial Narrow" w:hAnsi="Arial Narrow"/>
                <w:sz w:val="18"/>
                <w:szCs w:val="18"/>
              </w:rPr>
              <w:t>(70 mg/dL)</w:t>
            </w:r>
            <w:r>
              <w:rPr>
                <w:rFonts w:ascii="Arial Narrow" w:hAnsi="Arial Narrow"/>
                <w:sz w:val="18"/>
                <w:szCs w:val="18"/>
              </w:rPr>
              <w:t xml:space="preserve"> or</w:t>
            </w:r>
          </w:p>
          <w:p w:rsidR="000629EA" w:rsidRDefault="000629EA" w:rsidP="0094783C">
            <w:pPr>
              <w:rPr>
                <w:rFonts w:ascii="Arial Narrow" w:hAnsi="Arial Narrow"/>
                <w:sz w:val="18"/>
                <w:szCs w:val="18"/>
              </w:rPr>
            </w:pPr>
            <w:r>
              <w:rPr>
                <w:rFonts w:ascii="Arial Narrow" w:hAnsi="Arial Narrow"/>
                <w:sz w:val="18"/>
                <w:szCs w:val="18"/>
              </w:rPr>
              <w:t xml:space="preserve"> </w:t>
            </w:r>
            <w:r w:rsidRPr="00C43762">
              <w:rPr>
                <w:rFonts w:ascii="Arial Narrow" w:hAnsi="Arial Narrow"/>
                <w:sz w:val="18"/>
                <w:szCs w:val="18"/>
              </w:rPr>
              <w:t xml:space="preserve">at least 50% if the baseline </w:t>
            </w:r>
            <w:r>
              <w:rPr>
                <w:rFonts w:ascii="Arial Narrow" w:hAnsi="Arial Narrow"/>
                <w:sz w:val="18"/>
                <w:szCs w:val="18"/>
              </w:rPr>
              <w:t>LDL-C is between 1.8 and 3.5 mmol/L;</w:t>
            </w:r>
          </w:p>
          <w:p w:rsidR="000629EA" w:rsidRPr="00B06082" w:rsidRDefault="000629EA" w:rsidP="0094783C">
            <w:pPr>
              <w:rPr>
                <w:rFonts w:ascii="Arial Narrow" w:hAnsi="Arial Narrow"/>
                <w:sz w:val="18"/>
                <w:szCs w:val="18"/>
              </w:rPr>
            </w:pPr>
            <w:r w:rsidRPr="009736C3">
              <w:rPr>
                <w:rFonts w:ascii="Arial Narrow" w:hAnsi="Arial Narrow"/>
                <w:b/>
                <w:sz w:val="18"/>
                <w:szCs w:val="18"/>
              </w:rPr>
              <w:t>High risk</w:t>
            </w:r>
            <w:r w:rsidRPr="00B06082">
              <w:rPr>
                <w:rFonts w:ascii="Arial Narrow" w:hAnsi="Arial Narrow"/>
                <w:sz w:val="18"/>
                <w:szCs w:val="18"/>
              </w:rPr>
              <w:t>:</w:t>
            </w:r>
          </w:p>
          <w:p w:rsidR="000629EA" w:rsidRDefault="000629EA" w:rsidP="0094783C">
            <w:pPr>
              <w:rPr>
                <w:rFonts w:ascii="Arial Narrow" w:hAnsi="Arial Narrow"/>
                <w:sz w:val="18"/>
                <w:szCs w:val="18"/>
              </w:rPr>
            </w:pPr>
            <w:r>
              <w:rPr>
                <w:rFonts w:ascii="Arial Narrow" w:hAnsi="Arial Narrow"/>
                <w:sz w:val="18"/>
                <w:szCs w:val="18"/>
              </w:rPr>
              <w:t xml:space="preserve">&lt;2.6 mmol/L </w:t>
            </w:r>
            <w:r w:rsidRPr="00C43762">
              <w:rPr>
                <w:rFonts w:ascii="Arial Narrow" w:hAnsi="Arial Narrow"/>
                <w:sz w:val="18"/>
                <w:szCs w:val="18"/>
              </w:rPr>
              <w:t>(100 mg/dL)</w:t>
            </w:r>
            <w:r>
              <w:rPr>
                <w:rFonts w:ascii="Arial Narrow" w:hAnsi="Arial Narrow"/>
                <w:sz w:val="18"/>
                <w:szCs w:val="18"/>
              </w:rPr>
              <w:t xml:space="preserve"> or</w:t>
            </w:r>
          </w:p>
          <w:p w:rsidR="000629EA" w:rsidRDefault="000629EA" w:rsidP="0094783C">
            <w:pPr>
              <w:rPr>
                <w:rFonts w:ascii="Arial Narrow" w:hAnsi="Arial Narrow"/>
                <w:sz w:val="18"/>
                <w:szCs w:val="18"/>
              </w:rPr>
            </w:pPr>
            <w:r w:rsidRPr="0024153B">
              <w:rPr>
                <w:rFonts w:ascii="Arial Narrow" w:hAnsi="Arial Narrow"/>
                <w:sz w:val="18"/>
                <w:szCs w:val="18"/>
              </w:rPr>
              <w:t xml:space="preserve">at least 50% if the baseline </w:t>
            </w:r>
            <w:r>
              <w:rPr>
                <w:rFonts w:ascii="Arial Narrow" w:hAnsi="Arial Narrow"/>
                <w:sz w:val="18"/>
                <w:szCs w:val="18"/>
              </w:rPr>
              <w:t xml:space="preserve">LDL-C </w:t>
            </w:r>
            <w:r w:rsidRPr="0024153B">
              <w:rPr>
                <w:rFonts w:ascii="Arial Narrow" w:hAnsi="Arial Narrow"/>
                <w:sz w:val="18"/>
                <w:szCs w:val="18"/>
              </w:rPr>
              <w:t>is between 2.6 and 5.2 mmol/L</w:t>
            </w:r>
          </w:p>
          <w:p w:rsidR="000629EA" w:rsidRDefault="000629EA" w:rsidP="0094783C">
            <w:pPr>
              <w:rPr>
                <w:rFonts w:ascii="Arial Narrow" w:hAnsi="Arial Narrow"/>
                <w:b/>
                <w:sz w:val="18"/>
                <w:szCs w:val="18"/>
              </w:rPr>
            </w:pPr>
            <w:r>
              <w:rPr>
                <w:rFonts w:ascii="Arial Narrow" w:hAnsi="Arial Narrow"/>
                <w:b/>
                <w:sz w:val="18"/>
                <w:szCs w:val="18"/>
              </w:rPr>
              <w:t xml:space="preserve">Low to </w:t>
            </w:r>
            <w:r w:rsidRPr="009736C3">
              <w:rPr>
                <w:rFonts w:ascii="Arial Narrow" w:hAnsi="Arial Narrow"/>
                <w:b/>
                <w:sz w:val="18"/>
                <w:szCs w:val="18"/>
              </w:rPr>
              <w:t>Moderate risk</w:t>
            </w:r>
            <w:r>
              <w:rPr>
                <w:rFonts w:ascii="Arial Narrow" w:hAnsi="Arial Narrow"/>
                <w:b/>
                <w:sz w:val="18"/>
                <w:szCs w:val="18"/>
              </w:rPr>
              <w:t>:</w:t>
            </w:r>
          </w:p>
          <w:p w:rsidR="000629EA" w:rsidRDefault="000629EA" w:rsidP="0094783C">
            <w:pPr>
              <w:rPr>
                <w:rFonts w:ascii="Arial Narrow" w:hAnsi="Arial Narrow"/>
                <w:sz w:val="18"/>
                <w:szCs w:val="18"/>
              </w:rPr>
            </w:pPr>
            <w:r>
              <w:rPr>
                <w:rFonts w:ascii="Arial Narrow" w:hAnsi="Arial Narrow"/>
                <w:sz w:val="18"/>
                <w:szCs w:val="18"/>
              </w:rPr>
              <w:t xml:space="preserve">&lt;3.0 mmol/L </w:t>
            </w:r>
            <w:r w:rsidRPr="0024153B">
              <w:rPr>
                <w:rFonts w:ascii="Arial Narrow" w:hAnsi="Arial Narrow"/>
                <w:sz w:val="18"/>
                <w:szCs w:val="18"/>
              </w:rPr>
              <w:t>(115 mg/dL)</w:t>
            </w:r>
          </w:p>
          <w:p w:rsidR="000629EA" w:rsidRDefault="000629EA" w:rsidP="0094783C">
            <w:pPr>
              <w:rPr>
                <w:rFonts w:ascii="Arial Narrow" w:hAnsi="Arial Narrow"/>
                <w:sz w:val="18"/>
                <w:szCs w:val="18"/>
              </w:rPr>
            </w:pPr>
          </w:p>
          <w:p w:rsidR="000629EA" w:rsidRDefault="000629EA" w:rsidP="0094783C">
            <w:pPr>
              <w:rPr>
                <w:rFonts w:ascii="Arial Narrow" w:hAnsi="Arial Narrow"/>
                <w:sz w:val="18"/>
                <w:szCs w:val="18"/>
              </w:rPr>
            </w:pPr>
            <w:r>
              <w:rPr>
                <w:rFonts w:ascii="Arial Narrow" w:hAnsi="Arial Narrow"/>
                <w:sz w:val="18"/>
                <w:szCs w:val="18"/>
              </w:rPr>
              <w:t>SCORE r</w:t>
            </w:r>
            <w:r w:rsidRPr="007854D4">
              <w:rPr>
                <w:rFonts w:ascii="Arial Narrow" w:hAnsi="Arial Narrow"/>
                <w:sz w:val="18"/>
                <w:szCs w:val="18"/>
              </w:rPr>
              <w:t xml:space="preserve">equires TC value to be entered; and the </w:t>
            </w:r>
            <w:r>
              <w:rPr>
                <w:rFonts w:ascii="Arial Narrow" w:hAnsi="Arial Narrow"/>
                <w:sz w:val="18"/>
                <w:szCs w:val="18"/>
              </w:rPr>
              <w:t xml:space="preserve">AR </w:t>
            </w:r>
            <w:r w:rsidRPr="007854D4">
              <w:rPr>
                <w:rFonts w:ascii="Arial Narrow" w:hAnsi="Arial Narrow"/>
                <w:sz w:val="18"/>
                <w:szCs w:val="18"/>
              </w:rPr>
              <w:t>charts are available for TC:HDL-C ratio; electronic version exists for HDL-C inputs.</w:t>
            </w:r>
          </w:p>
        </w:tc>
        <w:tc>
          <w:tcPr>
            <w:tcW w:w="2693" w:type="dxa"/>
          </w:tcPr>
          <w:p w:rsidR="000629EA" w:rsidRPr="00296D88" w:rsidRDefault="000629EA" w:rsidP="0094783C">
            <w:pPr>
              <w:rPr>
                <w:rFonts w:ascii="Arial Narrow" w:hAnsi="Arial Narrow"/>
                <w:sz w:val="18"/>
                <w:szCs w:val="18"/>
              </w:rPr>
            </w:pPr>
            <w:r>
              <w:rPr>
                <w:rFonts w:ascii="Arial Narrow" w:hAnsi="Arial Narrow"/>
                <w:sz w:val="18"/>
                <w:szCs w:val="18"/>
              </w:rPr>
              <w:t>S</w:t>
            </w:r>
            <w:r w:rsidRPr="007854D4">
              <w:rPr>
                <w:rFonts w:ascii="Arial Narrow" w:hAnsi="Arial Narrow"/>
                <w:sz w:val="18"/>
                <w:szCs w:val="18"/>
              </w:rPr>
              <w:t>tatin doses and the type of statin should reflect the degree of LDL-C reduction that is required to reach the target LDL-C</w:t>
            </w:r>
            <w:r>
              <w:rPr>
                <w:rFonts w:ascii="Arial Narrow" w:hAnsi="Arial Narrow"/>
                <w:sz w:val="18"/>
                <w:szCs w:val="18"/>
              </w:rPr>
              <w:t xml:space="preserve"> (refer to Table A5.1 in Appendix)</w:t>
            </w:r>
          </w:p>
        </w:tc>
        <w:tc>
          <w:tcPr>
            <w:tcW w:w="2693" w:type="dxa"/>
          </w:tcPr>
          <w:p w:rsidR="000629EA" w:rsidRPr="007854D4" w:rsidRDefault="000629EA" w:rsidP="0094783C">
            <w:pPr>
              <w:rPr>
                <w:rFonts w:ascii="Arial Narrow" w:hAnsi="Arial Narrow"/>
                <w:sz w:val="18"/>
                <w:szCs w:val="18"/>
              </w:rPr>
            </w:pPr>
            <w:r w:rsidRPr="007854D4">
              <w:rPr>
                <w:rFonts w:ascii="Arial Narrow" w:hAnsi="Arial Narrow"/>
                <w:sz w:val="18"/>
                <w:szCs w:val="18"/>
              </w:rPr>
              <w:t>Should the target value have not been met</w:t>
            </w:r>
            <w:r w:rsidRPr="007854D4">
              <w:rPr>
                <w:rFonts w:ascii="Arial Narrow" w:hAnsi="Arial Narrow"/>
                <w:b/>
                <w:sz w:val="18"/>
                <w:szCs w:val="18"/>
              </w:rPr>
              <w:t>, statin combination</w:t>
            </w:r>
            <w:r w:rsidRPr="007854D4">
              <w:rPr>
                <w:rFonts w:ascii="Arial Narrow" w:hAnsi="Arial Narrow"/>
                <w:sz w:val="18"/>
                <w:szCs w:val="18"/>
              </w:rPr>
              <w:t xml:space="preserve"> </w:t>
            </w:r>
            <w:r w:rsidRPr="007854D4">
              <w:rPr>
                <w:rFonts w:ascii="Arial Narrow" w:hAnsi="Arial Narrow"/>
                <w:b/>
                <w:sz w:val="18"/>
                <w:szCs w:val="18"/>
              </w:rPr>
              <w:t>with</w:t>
            </w:r>
            <w:r w:rsidRPr="007854D4">
              <w:rPr>
                <w:rFonts w:ascii="Arial Narrow" w:hAnsi="Arial Narrow"/>
                <w:sz w:val="18"/>
                <w:szCs w:val="18"/>
              </w:rPr>
              <w:t xml:space="preserve"> </w:t>
            </w:r>
            <w:r w:rsidRPr="007854D4">
              <w:rPr>
                <w:rFonts w:ascii="Arial Narrow" w:hAnsi="Arial Narrow"/>
                <w:b/>
                <w:sz w:val="18"/>
                <w:szCs w:val="18"/>
              </w:rPr>
              <w:t xml:space="preserve">a cholesterol absorption inhibitor </w:t>
            </w:r>
            <w:r w:rsidRPr="007854D4">
              <w:rPr>
                <w:rFonts w:ascii="Arial Narrow" w:hAnsi="Arial Narrow"/>
                <w:sz w:val="18"/>
                <w:szCs w:val="18"/>
              </w:rPr>
              <w:t xml:space="preserve">(ezetimibe) should be considered first </w:t>
            </w:r>
            <w:r w:rsidRPr="007854D4">
              <w:rPr>
                <w:rFonts w:ascii="Arial Narrow" w:hAnsi="Arial Narrow"/>
                <w:b/>
                <w:sz w:val="18"/>
                <w:szCs w:val="18"/>
              </w:rPr>
              <w:t>followed by the statin combination with a bile acid sequestrant</w:t>
            </w:r>
            <w:r w:rsidRPr="007854D4">
              <w:rPr>
                <w:rFonts w:ascii="Arial Narrow" w:hAnsi="Arial Narrow"/>
                <w:sz w:val="18"/>
                <w:szCs w:val="18"/>
              </w:rPr>
              <w:t xml:space="preserve">. </w:t>
            </w:r>
          </w:p>
          <w:p w:rsidR="000629EA" w:rsidRPr="007854D4" w:rsidRDefault="000629EA" w:rsidP="0094783C">
            <w:pPr>
              <w:rPr>
                <w:rFonts w:ascii="Arial Narrow" w:hAnsi="Arial Narrow"/>
                <w:sz w:val="18"/>
                <w:szCs w:val="18"/>
              </w:rPr>
            </w:pPr>
            <w:r w:rsidRPr="007854D4">
              <w:rPr>
                <w:rFonts w:ascii="Arial Narrow" w:hAnsi="Arial Narrow"/>
                <w:sz w:val="18"/>
                <w:szCs w:val="18"/>
              </w:rPr>
              <w:t>In patients at very high-risk, with</w:t>
            </w:r>
          </w:p>
          <w:p w:rsidR="000629EA" w:rsidRPr="007854D4" w:rsidRDefault="000629EA" w:rsidP="0094783C">
            <w:pPr>
              <w:rPr>
                <w:rFonts w:ascii="Arial Narrow" w:hAnsi="Arial Narrow"/>
                <w:sz w:val="18"/>
                <w:szCs w:val="18"/>
              </w:rPr>
            </w:pPr>
            <w:r w:rsidRPr="007854D4">
              <w:rPr>
                <w:rFonts w:ascii="Arial Narrow" w:hAnsi="Arial Narrow"/>
                <w:sz w:val="18"/>
                <w:szCs w:val="18"/>
              </w:rPr>
              <w:t>persistent high LDL-C despite</w:t>
            </w:r>
          </w:p>
          <w:p w:rsidR="000629EA" w:rsidRPr="007854D4" w:rsidRDefault="000629EA" w:rsidP="0094783C">
            <w:pPr>
              <w:rPr>
                <w:rFonts w:ascii="Arial Narrow" w:hAnsi="Arial Narrow"/>
                <w:sz w:val="18"/>
                <w:szCs w:val="18"/>
              </w:rPr>
            </w:pPr>
            <w:r w:rsidRPr="007854D4">
              <w:rPr>
                <w:rFonts w:ascii="Arial Narrow" w:hAnsi="Arial Narrow"/>
                <w:sz w:val="18"/>
                <w:szCs w:val="18"/>
              </w:rPr>
              <w:t>treatment with maximal tolerated</w:t>
            </w:r>
          </w:p>
          <w:p w:rsidR="000629EA" w:rsidRPr="007854D4" w:rsidRDefault="000629EA" w:rsidP="0094783C">
            <w:pPr>
              <w:rPr>
                <w:rFonts w:ascii="Arial Narrow" w:hAnsi="Arial Narrow"/>
                <w:sz w:val="18"/>
                <w:szCs w:val="18"/>
              </w:rPr>
            </w:pPr>
            <w:r w:rsidRPr="007854D4">
              <w:rPr>
                <w:rFonts w:ascii="Arial Narrow" w:hAnsi="Arial Narrow"/>
                <w:sz w:val="18"/>
                <w:szCs w:val="18"/>
              </w:rPr>
              <w:t>statin dose, in combination with</w:t>
            </w:r>
          </w:p>
          <w:p w:rsidR="000629EA" w:rsidRDefault="000629EA" w:rsidP="0094783C">
            <w:pPr>
              <w:rPr>
                <w:rFonts w:ascii="Arial Narrow" w:hAnsi="Arial Narrow"/>
                <w:sz w:val="18"/>
                <w:szCs w:val="18"/>
              </w:rPr>
            </w:pPr>
            <w:r w:rsidRPr="007854D4">
              <w:rPr>
                <w:rFonts w:ascii="Arial Narrow" w:hAnsi="Arial Narrow"/>
                <w:sz w:val="18"/>
                <w:szCs w:val="18"/>
              </w:rPr>
              <w:t xml:space="preserve">ezetimibe or in patients with statin intolerance, </w:t>
            </w:r>
            <w:r w:rsidRPr="007854D4">
              <w:rPr>
                <w:rFonts w:ascii="Arial Narrow" w:hAnsi="Arial Narrow"/>
                <w:b/>
                <w:sz w:val="18"/>
                <w:szCs w:val="18"/>
              </w:rPr>
              <w:t>a PCSK9 inhibitor may be considered</w:t>
            </w:r>
            <w:r w:rsidRPr="007854D4">
              <w:rPr>
                <w:rFonts w:ascii="Arial Narrow" w:hAnsi="Arial Narrow"/>
                <w:sz w:val="18"/>
                <w:szCs w:val="18"/>
              </w:rPr>
              <w:t>.</w:t>
            </w:r>
          </w:p>
        </w:tc>
      </w:tr>
    </w:tbl>
    <w:p w:rsidR="000629EA" w:rsidRDefault="000629EA" w:rsidP="006C5A0D">
      <w:pPr>
        <w:spacing w:after="0" w:line="240" w:lineRule="auto"/>
        <w:sectPr w:rsidR="000629EA" w:rsidSect="000629EA">
          <w:pgSz w:w="16838" w:h="11906" w:orient="landscape"/>
          <w:pgMar w:top="1440" w:right="1440" w:bottom="1361" w:left="1440" w:header="709" w:footer="709" w:gutter="0"/>
          <w:cols w:space="708"/>
          <w:docGrid w:linePitch="360"/>
        </w:sectPr>
      </w:pPr>
      <w:r w:rsidRPr="00077373">
        <w:rPr>
          <w:rFonts w:ascii="Arial Narrow" w:hAnsi="Arial Narrow"/>
          <w:sz w:val="18"/>
          <w:szCs w:val="18"/>
        </w:rPr>
        <w:t>ASCVD</w:t>
      </w:r>
      <w:r>
        <w:rPr>
          <w:rFonts w:ascii="Arial Narrow" w:hAnsi="Arial Narrow"/>
          <w:sz w:val="18"/>
          <w:szCs w:val="18"/>
        </w:rPr>
        <w:t>=</w:t>
      </w:r>
      <w:r w:rsidRPr="00077373">
        <w:t xml:space="preserve"> </w:t>
      </w:r>
      <w:r w:rsidRPr="00077373">
        <w:rPr>
          <w:rFonts w:ascii="Arial Narrow" w:hAnsi="Arial Narrow"/>
          <w:sz w:val="18"/>
          <w:szCs w:val="18"/>
        </w:rPr>
        <w:t>atherosclerotic</w:t>
      </w:r>
      <w:r>
        <w:rPr>
          <w:rFonts w:ascii="Arial Narrow" w:hAnsi="Arial Narrow"/>
          <w:sz w:val="18"/>
          <w:szCs w:val="18"/>
        </w:rPr>
        <w:t xml:space="preserve"> cardiovascular disease; </w:t>
      </w:r>
      <w:r w:rsidRPr="00077373">
        <w:rPr>
          <w:rFonts w:ascii="Arial Narrow" w:hAnsi="Arial Narrow"/>
          <w:sz w:val="18"/>
          <w:szCs w:val="18"/>
        </w:rPr>
        <w:t>TC= total cholesterol; DM=diabetes mellitus; HDL-C high-density lipoprotein cholesterol; LDL-C low-density lipoprotein cholesterol; TG=triglycerides; ATSI= Aboriginal and Torres Strait Islanders; CKD=chronic kidney disease; GSLLD=General Statement for Lipid-Lowering Drugs</w:t>
      </w:r>
      <w:r w:rsidR="00B5083B">
        <w:rPr>
          <w:rFonts w:ascii="Arial Narrow" w:hAnsi="Arial Narrow"/>
          <w:sz w:val="18"/>
          <w:szCs w:val="18"/>
        </w:rPr>
        <w:t xml:space="preserve">; </w:t>
      </w:r>
    </w:p>
    <w:p w:rsidR="00991588" w:rsidRDefault="00ED03D7" w:rsidP="004577A6">
      <w:pPr>
        <w:spacing w:after="0" w:line="240" w:lineRule="auto"/>
        <w:jc w:val="both"/>
        <w:rPr>
          <w:lang w:eastAsia="zh-CN"/>
        </w:rPr>
      </w:pPr>
      <w:r>
        <w:rPr>
          <w:lang w:eastAsia="zh-CN"/>
        </w:rPr>
        <w:lastRenderedPageBreak/>
        <w:t xml:space="preserve">Authors of </w:t>
      </w:r>
      <w:r w:rsidR="003C600F">
        <w:rPr>
          <w:lang w:eastAsia="zh-CN"/>
        </w:rPr>
        <w:t xml:space="preserve">all </w:t>
      </w:r>
      <w:r w:rsidR="00861AE5" w:rsidRPr="00861AE5">
        <w:rPr>
          <w:lang w:eastAsia="zh-CN"/>
        </w:rPr>
        <w:t xml:space="preserve">guidelines </w:t>
      </w:r>
      <w:r w:rsidR="00861AE5">
        <w:rPr>
          <w:lang w:eastAsia="zh-CN"/>
        </w:rPr>
        <w:t xml:space="preserve">included in Table 1.1 </w:t>
      </w:r>
      <w:r w:rsidR="00861AE5" w:rsidRPr="00861AE5">
        <w:rPr>
          <w:lang w:eastAsia="zh-CN"/>
        </w:rPr>
        <w:t xml:space="preserve">share </w:t>
      </w:r>
      <w:r w:rsidR="00861AE5">
        <w:rPr>
          <w:lang w:eastAsia="zh-CN"/>
        </w:rPr>
        <w:t>the view that management o</w:t>
      </w:r>
      <w:r w:rsidR="00B33B16">
        <w:rPr>
          <w:lang w:eastAsia="zh-CN"/>
        </w:rPr>
        <w:t>f hyperlipidaemia,</w:t>
      </w:r>
      <w:r w:rsidR="00861AE5">
        <w:rPr>
          <w:lang w:eastAsia="zh-CN"/>
        </w:rPr>
        <w:t xml:space="preserve"> </w:t>
      </w:r>
      <w:r w:rsidR="00B33B16">
        <w:rPr>
          <w:lang w:eastAsia="zh-CN"/>
        </w:rPr>
        <w:t xml:space="preserve">as a modifiable risk factor, </w:t>
      </w:r>
      <w:r w:rsidR="00861AE5">
        <w:rPr>
          <w:lang w:eastAsia="zh-CN"/>
        </w:rPr>
        <w:t xml:space="preserve">should be undertaken </w:t>
      </w:r>
      <w:r w:rsidR="00E26DB1">
        <w:rPr>
          <w:lang w:eastAsia="zh-CN"/>
        </w:rPr>
        <w:t>in the context of</w:t>
      </w:r>
      <w:r w:rsidR="00861AE5">
        <w:rPr>
          <w:lang w:eastAsia="zh-CN"/>
        </w:rPr>
        <w:t xml:space="preserve"> </w:t>
      </w:r>
      <w:r w:rsidR="00DB6B48">
        <w:rPr>
          <w:lang w:eastAsia="zh-CN"/>
        </w:rPr>
        <w:t>the</w:t>
      </w:r>
      <w:r w:rsidR="00E26DB1">
        <w:rPr>
          <w:lang w:eastAsia="zh-CN"/>
        </w:rPr>
        <w:t xml:space="preserve"> </w:t>
      </w:r>
      <w:r w:rsidR="00861AE5" w:rsidRPr="00861AE5">
        <w:rPr>
          <w:lang w:eastAsia="zh-CN"/>
        </w:rPr>
        <w:t>absolute risk</w:t>
      </w:r>
      <w:r w:rsidR="00E26DB1">
        <w:rPr>
          <w:lang w:eastAsia="zh-CN"/>
        </w:rPr>
        <w:t xml:space="preserve"> </w:t>
      </w:r>
      <w:r>
        <w:rPr>
          <w:lang w:eastAsia="zh-CN"/>
        </w:rPr>
        <w:t xml:space="preserve">of </w:t>
      </w:r>
      <w:r w:rsidR="004577A6">
        <w:rPr>
          <w:lang w:eastAsia="zh-CN"/>
        </w:rPr>
        <w:t>cardiovascular disease (</w:t>
      </w:r>
      <w:r w:rsidRPr="00861AE5">
        <w:rPr>
          <w:lang w:eastAsia="zh-CN"/>
        </w:rPr>
        <w:t>CVD</w:t>
      </w:r>
      <w:r w:rsidR="004577A6">
        <w:rPr>
          <w:lang w:eastAsia="zh-CN"/>
        </w:rPr>
        <w:t>)</w:t>
      </w:r>
      <w:r w:rsidR="00E26DB1">
        <w:rPr>
          <w:lang w:eastAsia="zh-CN"/>
        </w:rPr>
        <w:t xml:space="preserve"> for each patient with their unique combination of inherited and behavioural risk factors</w:t>
      </w:r>
      <w:r w:rsidR="00861AE5">
        <w:rPr>
          <w:lang w:eastAsia="zh-CN"/>
        </w:rPr>
        <w:t>.</w:t>
      </w:r>
      <w:r w:rsidR="00E26DB1">
        <w:rPr>
          <w:lang w:eastAsia="zh-CN"/>
        </w:rPr>
        <w:t xml:space="preserve"> The </w:t>
      </w:r>
      <w:r w:rsidR="00DB6B48">
        <w:rPr>
          <w:lang w:eastAsia="zh-CN"/>
        </w:rPr>
        <w:t xml:space="preserve">Australian primary prevention </w:t>
      </w:r>
      <w:r w:rsidR="00E26DB1">
        <w:rPr>
          <w:lang w:eastAsia="zh-CN"/>
        </w:rPr>
        <w:t xml:space="preserve">NVDPA-2012 guidelines continue the trend of </w:t>
      </w:r>
      <w:r w:rsidR="00B33B16">
        <w:rPr>
          <w:lang w:eastAsia="zh-CN"/>
        </w:rPr>
        <w:t>mov</w:t>
      </w:r>
      <w:r w:rsidR="00E26DB1">
        <w:rPr>
          <w:lang w:eastAsia="zh-CN"/>
        </w:rPr>
        <w:t>ing</w:t>
      </w:r>
      <w:r w:rsidR="00B33B16">
        <w:rPr>
          <w:lang w:eastAsia="zh-CN"/>
        </w:rPr>
        <w:t xml:space="preserve"> away from managing isolated risk factors, such as hypertension and dyslipidaemia, towards assessment and management of absolute CVD risk</w:t>
      </w:r>
      <w:r w:rsidR="00E26DB1">
        <w:rPr>
          <w:lang w:eastAsia="zh-CN"/>
        </w:rPr>
        <w:t xml:space="preserve"> (</w:t>
      </w:r>
      <w:r w:rsidR="00E26DB1" w:rsidRPr="00E26DB1">
        <w:rPr>
          <w:lang w:eastAsia="zh-CN"/>
        </w:rPr>
        <w:t>Nelson 2013</w:t>
      </w:r>
      <w:r w:rsidR="00E26DB1">
        <w:rPr>
          <w:lang w:eastAsia="zh-CN"/>
        </w:rPr>
        <w:t>)</w:t>
      </w:r>
      <w:r w:rsidR="00B33B16">
        <w:rPr>
          <w:lang w:eastAsia="zh-CN"/>
        </w:rPr>
        <w:t xml:space="preserve">. </w:t>
      </w:r>
    </w:p>
    <w:p w:rsidR="00991588" w:rsidRDefault="00991588" w:rsidP="004577A6">
      <w:pPr>
        <w:spacing w:after="0" w:line="240" w:lineRule="auto"/>
        <w:jc w:val="both"/>
        <w:rPr>
          <w:lang w:eastAsia="zh-CN"/>
        </w:rPr>
      </w:pPr>
    </w:p>
    <w:p w:rsidR="00991588" w:rsidRDefault="00991588" w:rsidP="004577A6">
      <w:pPr>
        <w:pStyle w:val="Heading4"/>
        <w:spacing w:before="0" w:line="240" w:lineRule="auto"/>
        <w:rPr>
          <w:lang w:eastAsia="zh-CN"/>
        </w:rPr>
      </w:pPr>
      <w:r>
        <w:rPr>
          <w:lang w:eastAsia="zh-CN"/>
        </w:rPr>
        <w:t xml:space="preserve">Risk assessment </w:t>
      </w:r>
      <w:r w:rsidR="007F1C04">
        <w:rPr>
          <w:lang w:eastAsia="zh-CN"/>
        </w:rPr>
        <w:t>tools</w:t>
      </w:r>
      <w:r>
        <w:rPr>
          <w:lang w:eastAsia="zh-CN"/>
        </w:rPr>
        <w:t xml:space="preserve"> </w:t>
      </w:r>
    </w:p>
    <w:p w:rsidR="00991588" w:rsidRDefault="00991588" w:rsidP="004577A6">
      <w:pPr>
        <w:spacing w:after="0" w:line="240" w:lineRule="auto"/>
        <w:jc w:val="both"/>
        <w:rPr>
          <w:lang w:eastAsia="zh-CN"/>
        </w:rPr>
      </w:pPr>
      <w:r>
        <w:rPr>
          <w:lang w:eastAsia="zh-CN"/>
        </w:rPr>
        <w:t>Recently</w:t>
      </w:r>
      <w:r w:rsidR="00E26DB1">
        <w:rPr>
          <w:lang w:eastAsia="zh-CN"/>
        </w:rPr>
        <w:t xml:space="preserve"> t</w:t>
      </w:r>
      <w:r w:rsidR="00861AE5">
        <w:rPr>
          <w:lang w:eastAsia="zh-CN"/>
        </w:rPr>
        <w:t>he</w:t>
      </w:r>
      <w:r w:rsidR="00E26DB1">
        <w:rPr>
          <w:lang w:eastAsia="zh-CN"/>
        </w:rPr>
        <w:t xml:space="preserve">re has been a proliferation of the country-specific </w:t>
      </w:r>
      <w:r w:rsidR="00DB6B48">
        <w:rPr>
          <w:lang w:eastAsia="zh-CN"/>
        </w:rPr>
        <w:t>absolute risk assessment tools. Some of the tools</w:t>
      </w:r>
      <w:r w:rsidR="00CA493D">
        <w:rPr>
          <w:lang w:eastAsia="zh-CN"/>
        </w:rPr>
        <w:t xml:space="preserve"> (e.g. Australian</w:t>
      </w:r>
      <w:r w:rsidR="00DB6B48">
        <w:rPr>
          <w:lang w:eastAsia="zh-CN"/>
        </w:rPr>
        <w:t xml:space="preserve"> </w:t>
      </w:r>
      <w:r w:rsidR="00CA493D" w:rsidRPr="00CA493D">
        <w:rPr>
          <w:lang w:eastAsia="zh-CN"/>
        </w:rPr>
        <w:t>Absolute Cardiovascular Disease Risk Assessment tool</w:t>
      </w:r>
      <w:r w:rsidR="00CA493D">
        <w:rPr>
          <w:lang w:eastAsia="zh-CN"/>
        </w:rPr>
        <w:t>; European “SCORE”)</w:t>
      </w:r>
      <w:r w:rsidR="00CA493D" w:rsidRPr="00CA493D">
        <w:rPr>
          <w:lang w:eastAsia="zh-CN"/>
        </w:rPr>
        <w:t xml:space="preserve"> </w:t>
      </w:r>
      <w:r w:rsidR="00DB6B48">
        <w:rPr>
          <w:lang w:eastAsia="zh-CN"/>
        </w:rPr>
        <w:t xml:space="preserve">are based on the </w:t>
      </w:r>
      <w:r w:rsidR="00CA493D" w:rsidRPr="00CA493D">
        <w:rPr>
          <w:lang w:eastAsia="zh-CN"/>
        </w:rPr>
        <w:t>Framingham Risk Equation (FRE),</w:t>
      </w:r>
      <w:r w:rsidR="00CA493D" w:rsidRPr="003F4B0E">
        <w:rPr>
          <w:lang w:eastAsia="zh-CN"/>
        </w:rPr>
        <w:t xml:space="preserve"> </w:t>
      </w:r>
      <w:r w:rsidR="00CA493D" w:rsidRPr="00CA493D">
        <w:rPr>
          <w:lang w:eastAsia="zh-CN"/>
        </w:rPr>
        <w:t>while other</w:t>
      </w:r>
      <w:r w:rsidR="006E27FC">
        <w:rPr>
          <w:lang w:eastAsia="zh-CN"/>
        </w:rPr>
        <w:t xml:space="preserve"> </w:t>
      </w:r>
      <w:r w:rsidR="00CA493D">
        <w:rPr>
          <w:lang w:eastAsia="zh-CN"/>
        </w:rPr>
        <w:t>were newly developed (e.g. “</w:t>
      </w:r>
      <w:r w:rsidR="00CA493D" w:rsidRPr="00CA493D">
        <w:rPr>
          <w:lang w:eastAsia="zh-CN"/>
        </w:rPr>
        <w:t>Pooled Cohort Equations</w:t>
      </w:r>
      <w:r w:rsidR="00CA493D">
        <w:rPr>
          <w:lang w:eastAsia="zh-CN"/>
        </w:rPr>
        <w:t>”</w:t>
      </w:r>
      <w:r w:rsidR="006E27FC">
        <w:rPr>
          <w:lang w:eastAsia="zh-CN"/>
        </w:rPr>
        <w:t xml:space="preserve"> in US and QRISK2</w:t>
      </w:r>
      <w:r w:rsidR="006E27FC" w:rsidRPr="006E27FC">
        <w:rPr>
          <w:lang w:eastAsia="zh-CN"/>
        </w:rPr>
        <w:t xml:space="preserve"> </w:t>
      </w:r>
      <w:r w:rsidR="006E27FC">
        <w:rPr>
          <w:lang w:eastAsia="zh-CN"/>
        </w:rPr>
        <w:t>in UK</w:t>
      </w:r>
      <w:r w:rsidR="00CA493D">
        <w:rPr>
          <w:lang w:eastAsia="zh-CN"/>
        </w:rPr>
        <w:t>)</w:t>
      </w:r>
      <w:r w:rsidR="006E27FC">
        <w:rPr>
          <w:lang w:eastAsia="zh-CN"/>
        </w:rPr>
        <w:t xml:space="preserve">. </w:t>
      </w:r>
      <w:r w:rsidR="00DB6B48">
        <w:rPr>
          <w:lang w:eastAsia="zh-CN"/>
        </w:rPr>
        <w:t xml:space="preserve">The tools </w:t>
      </w:r>
      <w:r w:rsidR="006E27FC">
        <w:rPr>
          <w:lang w:eastAsia="zh-CN"/>
        </w:rPr>
        <w:t xml:space="preserve">also </w:t>
      </w:r>
      <w:r w:rsidR="00DB6B48">
        <w:rPr>
          <w:lang w:eastAsia="zh-CN"/>
        </w:rPr>
        <w:t xml:space="preserve">vary with respect to </w:t>
      </w:r>
      <w:r w:rsidR="006E27FC">
        <w:rPr>
          <w:lang w:eastAsia="zh-CN"/>
        </w:rPr>
        <w:t xml:space="preserve">the time </w:t>
      </w:r>
      <w:r w:rsidR="00B732E5">
        <w:rPr>
          <w:lang w:eastAsia="zh-CN"/>
        </w:rPr>
        <w:t xml:space="preserve">horizon for the risk estimate. </w:t>
      </w:r>
      <w:r w:rsidR="00B732E5" w:rsidRPr="00B732E5">
        <w:rPr>
          <w:lang w:eastAsia="zh-CN"/>
        </w:rPr>
        <w:t xml:space="preserve">Both the NICE approach and the ACC/AHA guideline offer statin therapy on the basis of an </w:t>
      </w:r>
      <w:r w:rsidR="00B732E5">
        <w:rPr>
          <w:lang w:eastAsia="zh-CN"/>
        </w:rPr>
        <w:t xml:space="preserve">estimated 10-year risk of ASCVD. </w:t>
      </w:r>
      <w:r w:rsidR="00B732E5" w:rsidRPr="00B732E5">
        <w:rPr>
          <w:lang w:eastAsia="zh-CN"/>
        </w:rPr>
        <w:t xml:space="preserve">In comparison, the Australian NVDPA-2012 guidelines are based on 5 year risk assessment. </w:t>
      </w:r>
      <w:r w:rsidR="00F26D3B">
        <w:rPr>
          <w:lang w:eastAsia="zh-CN"/>
        </w:rPr>
        <w:t xml:space="preserve">There are substantial differences in the </w:t>
      </w:r>
      <w:r w:rsidR="00F26D3B" w:rsidRPr="00861AE5">
        <w:rPr>
          <w:lang w:eastAsia="zh-CN"/>
        </w:rPr>
        <w:t>CVD</w:t>
      </w:r>
      <w:r w:rsidR="00F26D3B">
        <w:rPr>
          <w:lang w:eastAsia="zh-CN"/>
        </w:rPr>
        <w:t xml:space="preserve"> </w:t>
      </w:r>
      <w:r w:rsidR="006E27FC">
        <w:rPr>
          <w:lang w:eastAsia="zh-CN"/>
        </w:rPr>
        <w:t>risk</w:t>
      </w:r>
      <w:r w:rsidR="00F26D3B">
        <w:rPr>
          <w:lang w:eastAsia="zh-CN"/>
        </w:rPr>
        <w:t>s that can be assessed</w:t>
      </w:r>
      <w:r w:rsidR="008010FC">
        <w:rPr>
          <w:lang w:eastAsia="zh-CN"/>
        </w:rPr>
        <w:t xml:space="preserve">; these may include only the </w:t>
      </w:r>
      <w:r w:rsidR="00854046">
        <w:rPr>
          <w:lang w:eastAsia="zh-CN"/>
        </w:rPr>
        <w:t xml:space="preserve">first </w:t>
      </w:r>
      <w:r w:rsidR="008010FC">
        <w:rPr>
          <w:lang w:eastAsia="zh-CN"/>
        </w:rPr>
        <w:t xml:space="preserve">fatal </w:t>
      </w:r>
      <w:r w:rsidR="00854046">
        <w:rPr>
          <w:lang w:eastAsia="zh-CN"/>
        </w:rPr>
        <w:t>atherosclerotic event (</w:t>
      </w:r>
      <w:r w:rsidR="008010FC">
        <w:rPr>
          <w:lang w:eastAsia="zh-CN"/>
        </w:rPr>
        <w:t>European “SCORE”</w:t>
      </w:r>
      <w:r w:rsidR="00854046">
        <w:rPr>
          <w:lang w:eastAsia="zh-CN"/>
        </w:rPr>
        <w:t>)</w:t>
      </w:r>
      <w:r w:rsidR="008010FC">
        <w:rPr>
          <w:lang w:eastAsia="zh-CN"/>
        </w:rPr>
        <w:t>, or</w:t>
      </w:r>
      <w:r w:rsidR="00854046">
        <w:rPr>
          <w:lang w:eastAsia="zh-CN"/>
        </w:rPr>
        <w:t xml:space="preserve"> a</w:t>
      </w:r>
      <w:r>
        <w:rPr>
          <w:lang w:eastAsia="zh-CN"/>
        </w:rPr>
        <w:t xml:space="preserve"> selected number</w:t>
      </w:r>
      <w:r w:rsidR="00854046">
        <w:rPr>
          <w:lang w:eastAsia="zh-CN"/>
        </w:rPr>
        <w:t xml:space="preserve"> of fatal and non-fatal CV events (QRISK2; Canadian version of FRE; “</w:t>
      </w:r>
      <w:r w:rsidR="00854046" w:rsidRPr="00CA493D">
        <w:rPr>
          <w:lang w:eastAsia="zh-CN"/>
        </w:rPr>
        <w:t>Pooled Cohort Equations</w:t>
      </w:r>
      <w:r w:rsidR="00854046">
        <w:rPr>
          <w:lang w:eastAsia="zh-CN"/>
        </w:rPr>
        <w:t>”</w:t>
      </w:r>
      <w:r w:rsidR="003F4B0E">
        <w:rPr>
          <w:lang w:eastAsia="zh-CN"/>
        </w:rPr>
        <w:t>,</w:t>
      </w:r>
      <w:r w:rsidR="00854046">
        <w:rPr>
          <w:lang w:eastAsia="zh-CN"/>
        </w:rPr>
        <w:t xml:space="preserve"> </w:t>
      </w:r>
      <w:r w:rsidR="003F4B0E">
        <w:rPr>
          <w:lang w:eastAsia="zh-CN"/>
        </w:rPr>
        <w:t xml:space="preserve">Australian </w:t>
      </w:r>
      <w:r w:rsidR="003F4B0E" w:rsidRPr="00CA493D">
        <w:rPr>
          <w:lang w:eastAsia="zh-CN"/>
        </w:rPr>
        <w:t>Risk Assessment tool</w:t>
      </w:r>
      <w:r w:rsidR="00854046">
        <w:rPr>
          <w:lang w:eastAsia="zh-CN"/>
        </w:rPr>
        <w:t>)</w:t>
      </w:r>
      <w:r w:rsidR="003F4B0E">
        <w:rPr>
          <w:lang w:eastAsia="zh-CN"/>
        </w:rPr>
        <w:t xml:space="preserve"> that vary in degree of comprehensiveness and result in the vastly different populations assumed to be at risk of </w:t>
      </w:r>
      <w:r>
        <w:rPr>
          <w:lang w:eastAsia="zh-CN"/>
        </w:rPr>
        <w:t xml:space="preserve">an </w:t>
      </w:r>
      <w:r w:rsidR="003F4B0E">
        <w:rPr>
          <w:lang w:eastAsia="zh-CN"/>
        </w:rPr>
        <w:t xml:space="preserve">CV event. </w:t>
      </w:r>
      <w:r w:rsidR="00B732E5" w:rsidRPr="00B732E5">
        <w:rPr>
          <w:lang w:eastAsia="zh-CN"/>
        </w:rPr>
        <w:t xml:space="preserve">The risk threshold of ≥10% for treatment initiation is set by </w:t>
      </w:r>
      <w:r w:rsidR="00B732E5">
        <w:rPr>
          <w:lang w:eastAsia="zh-CN"/>
        </w:rPr>
        <w:t xml:space="preserve">Australian, Canadian </w:t>
      </w:r>
      <w:r w:rsidR="00B732E5" w:rsidRPr="00B732E5">
        <w:rPr>
          <w:lang w:eastAsia="zh-CN"/>
        </w:rPr>
        <w:t>and NICE guidelines, in contrast to the ≥7.5% threshold set by ACC/AHA, which is the lowest threshold in all other leading international guidelines.</w:t>
      </w:r>
    </w:p>
    <w:p w:rsidR="008513AE" w:rsidRDefault="008513AE" w:rsidP="004577A6">
      <w:pPr>
        <w:spacing w:after="0" w:line="240" w:lineRule="auto"/>
        <w:jc w:val="both"/>
        <w:rPr>
          <w:lang w:eastAsia="zh-CN"/>
        </w:rPr>
      </w:pPr>
    </w:p>
    <w:p w:rsidR="00991588" w:rsidRDefault="00991588" w:rsidP="004577A6">
      <w:pPr>
        <w:pStyle w:val="Heading4"/>
        <w:spacing w:before="0" w:line="240" w:lineRule="auto"/>
        <w:rPr>
          <w:lang w:eastAsia="zh-CN"/>
        </w:rPr>
      </w:pPr>
      <w:r>
        <w:rPr>
          <w:lang w:eastAsia="zh-CN"/>
        </w:rPr>
        <w:t>Categories of risk</w:t>
      </w:r>
    </w:p>
    <w:p w:rsidR="007F1C04" w:rsidRDefault="00991588" w:rsidP="004577A6">
      <w:pPr>
        <w:spacing w:after="0" w:line="240" w:lineRule="auto"/>
        <w:jc w:val="both"/>
        <w:rPr>
          <w:lang w:eastAsia="zh-CN"/>
        </w:rPr>
      </w:pPr>
      <w:r>
        <w:rPr>
          <w:lang w:eastAsia="zh-CN"/>
        </w:rPr>
        <w:t xml:space="preserve">All guidelines use a combination of </w:t>
      </w:r>
      <w:r w:rsidR="00130255">
        <w:rPr>
          <w:lang w:eastAsia="zh-CN"/>
        </w:rPr>
        <w:t>an</w:t>
      </w:r>
      <w:r>
        <w:rPr>
          <w:lang w:eastAsia="zh-CN"/>
        </w:rPr>
        <w:t xml:space="preserve"> absolute risk score and other risk factors (e.g. </w:t>
      </w:r>
      <w:r w:rsidRPr="00991588">
        <w:rPr>
          <w:lang w:eastAsia="zh-CN"/>
        </w:rPr>
        <w:t xml:space="preserve">diabetes mellitus </w:t>
      </w:r>
      <w:r>
        <w:rPr>
          <w:lang w:eastAsia="zh-CN"/>
        </w:rPr>
        <w:t>(</w:t>
      </w:r>
      <w:r w:rsidRPr="00991588">
        <w:rPr>
          <w:lang w:eastAsia="zh-CN"/>
        </w:rPr>
        <w:t>DM</w:t>
      </w:r>
      <w:r>
        <w:rPr>
          <w:lang w:eastAsia="zh-CN"/>
        </w:rPr>
        <w:t>);</w:t>
      </w:r>
      <w:r w:rsidRPr="00991588">
        <w:rPr>
          <w:lang w:eastAsia="zh-CN"/>
        </w:rPr>
        <w:t xml:space="preserve"> </w:t>
      </w:r>
      <w:r>
        <w:rPr>
          <w:lang w:eastAsia="zh-CN"/>
        </w:rPr>
        <w:t>chronic kidney disease (</w:t>
      </w:r>
      <w:r w:rsidRPr="00991588">
        <w:rPr>
          <w:lang w:eastAsia="zh-CN"/>
        </w:rPr>
        <w:t>CKD</w:t>
      </w:r>
      <w:r>
        <w:rPr>
          <w:lang w:eastAsia="zh-CN"/>
        </w:rPr>
        <w:t>)</w:t>
      </w:r>
      <w:r w:rsidRPr="00991588">
        <w:rPr>
          <w:lang w:eastAsia="zh-CN"/>
        </w:rPr>
        <w:t xml:space="preserve">; </w:t>
      </w:r>
      <w:r>
        <w:rPr>
          <w:lang w:eastAsia="zh-CN"/>
        </w:rPr>
        <w:t>familial hypercholesterolaemia (</w:t>
      </w:r>
      <w:r w:rsidRPr="00991588">
        <w:rPr>
          <w:lang w:eastAsia="zh-CN"/>
        </w:rPr>
        <w:t>FH</w:t>
      </w:r>
      <w:r>
        <w:rPr>
          <w:lang w:eastAsia="zh-CN"/>
        </w:rPr>
        <w:t>)</w:t>
      </w:r>
      <w:r w:rsidR="009B0361">
        <w:rPr>
          <w:lang w:eastAsia="zh-CN"/>
        </w:rPr>
        <w:t>;</w:t>
      </w:r>
      <w:r w:rsidRPr="00991588">
        <w:rPr>
          <w:lang w:eastAsia="zh-CN"/>
        </w:rPr>
        <w:t xml:space="preserve"> </w:t>
      </w:r>
      <w:r w:rsidR="009B0361">
        <w:rPr>
          <w:lang w:eastAsia="zh-CN"/>
        </w:rPr>
        <w:t xml:space="preserve">or </w:t>
      </w:r>
      <w:r w:rsidRPr="00991588">
        <w:rPr>
          <w:lang w:eastAsia="zh-CN"/>
        </w:rPr>
        <w:t>hypertension</w:t>
      </w:r>
      <w:r w:rsidR="009B0361">
        <w:rPr>
          <w:lang w:eastAsia="zh-CN"/>
        </w:rPr>
        <w:t>)</w:t>
      </w:r>
      <w:r w:rsidRPr="00991588">
        <w:rPr>
          <w:lang w:eastAsia="zh-CN"/>
        </w:rPr>
        <w:t xml:space="preserve"> </w:t>
      </w:r>
      <w:r w:rsidR="009B0361">
        <w:rPr>
          <w:lang w:eastAsia="zh-CN"/>
        </w:rPr>
        <w:t xml:space="preserve">to assign a risk category to patients. The number of risk subgroups </w:t>
      </w:r>
      <w:r w:rsidR="00130255">
        <w:rPr>
          <w:lang w:eastAsia="zh-CN"/>
        </w:rPr>
        <w:t>varied</w:t>
      </w:r>
      <w:r w:rsidR="009B0361">
        <w:rPr>
          <w:lang w:eastAsia="zh-CN"/>
        </w:rPr>
        <w:t xml:space="preserve"> from three in Australian and Canadian guidelines (high, medium and low) to four in the US </w:t>
      </w:r>
      <w:r w:rsidR="009B0361" w:rsidRPr="009B0361">
        <w:rPr>
          <w:lang w:eastAsia="zh-CN"/>
        </w:rPr>
        <w:t>National Lipid Association</w:t>
      </w:r>
      <w:r w:rsidR="009B0361">
        <w:rPr>
          <w:lang w:eastAsia="zh-CN"/>
        </w:rPr>
        <w:t xml:space="preserve"> (NLA)</w:t>
      </w:r>
      <w:r w:rsidR="009B0361" w:rsidRPr="009B0361">
        <w:rPr>
          <w:lang w:eastAsia="zh-CN"/>
        </w:rPr>
        <w:t xml:space="preserve"> recommendations</w:t>
      </w:r>
      <w:r w:rsidR="009B0361">
        <w:rPr>
          <w:lang w:eastAsia="zh-CN"/>
        </w:rPr>
        <w:t xml:space="preserve"> and the European ESC/EAS guidelines (very high, high, moderate and low). The UK NICE guidelines differentiated population </w:t>
      </w:r>
      <w:r w:rsidR="00F11391">
        <w:rPr>
          <w:lang w:eastAsia="zh-CN"/>
        </w:rPr>
        <w:t xml:space="preserve">only </w:t>
      </w:r>
      <w:r w:rsidR="009B0361">
        <w:rPr>
          <w:lang w:eastAsia="zh-CN"/>
        </w:rPr>
        <w:t>into the primary and secondary prevention subgroups</w:t>
      </w:r>
      <w:r w:rsidR="00F11391">
        <w:rPr>
          <w:lang w:eastAsia="zh-CN"/>
        </w:rPr>
        <w:t xml:space="preserve">, although a </w:t>
      </w:r>
      <w:r w:rsidR="00F11391" w:rsidRPr="00F11391">
        <w:rPr>
          <w:lang w:eastAsia="zh-CN"/>
        </w:rPr>
        <w:t xml:space="preserve">10 year threshold </w:t>
      </w:r>
      <w:r w:rsidR="00F11391">
        <w:rPr>
          <w:lang w:eastAsia="zh-CN"/>
        </w:rPr>
        <w:t xml:space="preserve">of </w:t>
      </w:r>
      <w:r w:rsidR="00F11391" w:rsidRPr="00F11391">
        <w:rPr>
          <w:lang w:eastAsia="zh-CN"/>
        </w:rPr>
        <w:t xml:space="preserve">10% </w:t>
      </w:r>
      <w:r w:rsidR="00F11391">
        <w:rPr>
          <w:lang w:eastAsia="zh-CN"/>
        </w:rPr>
        <w:t xml:space="preserve">was used to identify </w:t>
      </w:r>
      <w:r w:rsidR="00F11391" w:rsidRPr="00F11391">
        <w:rPr>
          <w:lang w:eastAsia="zh-CN"/>
        </w:rPr>
        <w:t xml:space="preserve">high risk of CVD </w:t>
      </w:r>
      <w:r w:rsidR="00F11391">
        <w:rPr>
          <w:lang w:eastAsia="zh-CN"/>
        </w:rPr>
        <w:t>in primary prevention population.</w:t>
      </w:r>
      <w:r w:rsidR="00F11391" w:rsidRPr="00F11391">
        <w:rPr>
          <w:lang w:eastAsia="zh-CN"/>
        </w:rPr>
        <w:t xml:space="preserve"> </w:t>
      </w:r>
      <w:r w:rsidR="00F11391">
        <w:rPr>
          <w:lang w:eastAsia="zh-CN"/>
        </w:rPr>
        <w:t>Th</w:t>
      </w:r>
      <w:r w:rsidR="00130255">
        <w:rPr>
          <w:lang w:eastAsia="zh-CN"/>
        </w:rPr>
        <w:t>e</w:t>
      </w:r>
      <w:r w:rsidR="00F11391">
        <w:rPr>
          <w:lang w:eastAsia="zh-CN"/>
        </w:rPr>
        <w:t xml:space="preserve"> guidelines that separated primary </w:t>
      </w:r>
      <w:r w:rsidR="00130255">
        <w:rPr>
          <w:lang w:eastAsia="zh-CN"/>
        </w:rPr>
        <w:t>from</w:t>
      </w:r>
      <w:r w:rsidR="00F11391">
        <w:rPr>
          <w:lang w:eastAsia="zh-CN"/>
        </w:rPr>
        <w:t xml:space="preserve"> secondary prevention population </w:t>
      </w:r>
      <w:r w:rsidR="00130255">
        <w:rPr>
          <w:lang w:eastAsia="zh-CN"/>
        </w:rPr>
        <w:t xml:space="preserve">(all but the European ESC/EAS and Canadian guidelines) </w:t>
      </w:r>
      <w:r w:rsidR="00F11391">
        <w:rPr>
          <w:lang w:eastAsia="zh-CN"/>
        </w:rPr>
        <w:t xml:space="preserve">assigned the latter into the high risk subgroup. </w:t>
      </w:r>
      <w:r w:rsidR="00130255">
        <w:rPr>
          <w:lang w:eastAsia="zh-CN"/>
        </w:rPr>
        <w:t xml:space="preserve">Most of the guidelines included at least one baseline lipid value as a </w:t>
      </w:r>
      <w:r w:rsidR="003C600F">
        <w:rPr>
          <w:lang w:eastAsia="zh-CN"/>
        </w:rPr>
        <w:t>criterion</w:t>
      </w:r>
      <w:r w:rsidR="00130255">
        <w:rPr>
          <w:lang w:eastAsia="zh-CN"/>
        </w:rPr>
        <w:t xml:space="preserve"> for assigning the degree of risk (the lipids included TC</w:t>
      </w:r>
      <w:r w:rsidR="007F1C04">
        <w:rPr>
          <w:lang w:eastAsia="zh-CN"/>
        </w:rPr>
        <w:t xml:space="preserve"> </w:t>
      </w:r>
      <w:r w:rsidR="00130255">
        <w:rPr>
          <w:lang w:eastAsia="zh-CN"/>
        </w:rPr>
        <w:t xml:space="preserve">in Australian </w:t>
      </w:r>
      <w:r w:rsidR="007F1C04">
        <w:rPr>
          <w:lang w:eastAsia="zh-CN"/>
        </w:rPr>
        <w:t>and European guidelines</w:t>
      </w:r>
      <w:r w:rsidR="00130255">
        <w:rPr>
          <w:lang w:eastAsia="zh-CN"/>
        </w:rPr>
        <w:t>,</w:t>
      </w:r>
      <w:r w:rsidR="007F1C04">
        <w:rPr>
          <w:lang w:eastAsia="zh-CN"/>
        </w:rPr>
        <w:t xml:space="preserve"> LDL-C in both American (NLA and ACC/AHA) g</w:t>
      </w:r>
      <w:r w:rsidR="007F1C04" w:rsidRPr="007F1C04">
        <w:rPr>
          <w:lang w:eastAsia="zh-CN"/>
        </w:rPr>
        <w:t>uideline</w:t>
      </w:r>
      <w:r w:rsidR="007F1C04">
        <w:rPr>
          <w:lang w:eastAsia="zh-CN"/>
        </w:rPr>
        <w:t>s; Canadian guidelines favoured blood pressure (BP) over lipids and NICE did not elaborate on risk categories</w:t>
      </w:r>
      <w:r w:rsidR="003C600F">
        <w:rPr>
          <w:lang w:eastAsia="zh-CN"/>
        </w:rPr>
        <w:t>)</w:t>
      </w:r>
      <w:r w:rsidR="007F1C04">
        <w:rPr>
          <w:lang w:eastAsia="zh-CN"/>
        </w:rPr>
        <w:t xml:space="preserve">. </w:t>
      </w:r>
    </w:p>
    <w:p w:rsidR="008513AE" w:rsidRDefault="008513AE" w:rsidP="004577A6">
      <w:pPr>
        <w:spacing w:after="0" w:line="240" w:lineRule="auto"/>
        <w:jc w:val="both"/>
        <w:rPr>
          <w:lang w:eastAsia="zh-CN"/>
        </w:rPr>
      </w:pPr>
    </w:p>
    <w:p w:rsidR="007F1C04" w:rsidRDefault="007F1C04" w:rsidP="004577A6">
      <w:pPr>
        <w:pStyle w:val="Heading4"/>
        <w:spacing w:before="0" w:line="240" w:lineRule="auto"/>
        <w:rPr>
          <w:lang w:eastAsia="zh-CN"/>
        </w:rPr>
      </w:pPr>
      <w:r>
        <w:rPr>
          <w:lang w:eastAsia="zh-CN"/>
        </w:rPr>
        <w:t>Cholesterol treatment targets</w:t>
      </w:r>
    </w:p>
    <w:p w:rsidR="00DF6C9E" w:rsidRDefault="007F1C04" w:rsidP="004577A6">
      <w:pPr>
        <w:spacing w:after="0" w:line="240" w:lineRule="auto"/>
        <w:jc w:val="both"/>
        <w:rPr>
          <w:lang w:eastAsia="zh-CN"/>
        </w:rPr>
      </w:pPr>
      <w:r>
        <w:rPr>
          <w:lang w:eastAsia="zh-CN"/>
        </w:rPr>
        <w:t xml:space="preserve">Most of </w:t>
      </w:r>
      <w:r w:rsidR="003C600F">
        <w:rPr>
          <w:lang w:eastAsia="zh-CN"/>
        </w:rPr>
        <w:t xml:space="preserve">the guidelines included lipid targets at least for high and moderate risk categories. </w:t>
      </w:r>
      <w:r w:rsidR="004577A6" w:rsidRPr="001B1998">
        <w:rPr>
          <w:rFonts w:cs="Times New Roman"/>
        </w:rPr>
        <w:t>Low Density Lipoprotein-Cholesterol</w:t>
      </w:r>
      <w:r w:rsidR="004577A6">
        <w:rPr>
          <w:lang w:eastAsia="zh-CN"/>
        </w:rPr>
        <w:t xml:space="preserve"> (</w:t>
      </w:r>
      <w:r w:rsidR="003C600F">
        <w:rPr>
          <w:lang w:eastAsia="zh-CN"/>
        </w:rPr>
        <w:t>LDL-C</w:t>
      </w:r>
      <w:r w:rsidR="004577A6">
        <w:rPr>
          <w:lang w:eastAsia="zh-CN"/>
        </w:rPr>
        <w:t>)</w:t>
      </w:r>
      <w:r w:rsidR="003C600F">
        <w:rPr>
          <w:lang w:eastAsia="zh-CN"/>
        </w:rPr>
        <w:t xml:space="preserve"> was a primary target in NLA recommendations, European and Canadian guidelines, however secondary targets in terms of </w:t>
      </w:r>
      <w:r w:rsidR="004577A6">
        <w:rPr>
          <w:lang w:eastAsia="zh-CN"/>
        </w:rPr>
        <w:t>non-</w:t>
      </w:r>
      <w:r w:rsidR="004577A6">
        <w:rPr>
          <w:rFonts w:cs="Times New Roman"/>
        </w:rPr>
        <w:t>High</w:t>
      </w:r>
      <w:r w:rsidR="004577A6" w:rsidRPr="001B1998">
        <w:rPr>
          <w:rFonts w:cs="Times New Roman"/>
        </w:rPr>
        <w:t xml:space="preserve"> Density Lipoprotein-Cholesterol</w:t>
      </w:r>
      <w:r w:rsidR="004577A6">
        <w:rPr>
          <w:lang w:eastAsia="zh-CN"/>
        </w:rPr>
        <w:t xml:space="preserve"> (non-HDL-C) </w:t>
      </w:r>
      <w:r w:rsidR="003C600F">
        <w:rPr>
          <w:lang w:eastAsia="zh-CN"/>
        </w:rPr>
        <w:t xml:space="preserve">were </w:t>
      </w:r>
      <w:r w:rsidR="005D7A8C">
        <w:rPr>
          <w:lang w:eastAsia="zh-CN"/>
        </w:rPr>
        <w:t xml:space="preserve">also </w:t>
      </w:r>
      <w:r w:rsidR="003C600F">
        <w:rPr>
          <w:lang w:eastAsia="zh-CN"/>
        </w:rPr>
        <w:t xml:space="preserve">suggested </w:t>
      </w:r>
      <w:r w:rsidR="005D7A8C">
        <w:rPr>
          <w:lang w:eastAsia="zh-CN"/>
        </w:rPr>
        <w:t xml:space="preserve">in NLA recommendations and Canadian guidelines. The Australian Guidelines included cholesterol treatment targets for each lipid metric (TC, HDL-C; LDL-C; non-HDL-C) and </w:t>
      </w:r>
      <w:r w:rsidR="005D7A8C" w:rsidRPr="005D7A8C">
        <w:rPr>
          <w:lang w:eastAsia="zh-CN"/>
        </w:rPr>
        <w:t>triglycerides</w:t>
      </w:r>
      <w:r w:rsidR="005D7A8C">
        <w:rPr>
          <w:lang w:eastAsia="zh-CN"/>
        </w:rPr>
        <w:t xml:space="preserve"> (TG). </w:t>
      </w:r>
    </w:p>
    <w:p w:rsidR="00DF6C9E" w:rsidRDefault="00DF6C9E" w:rsidP="004577A6">
      <w:pPr>
        <w:spacing w:after="0" w:line="240" w:lineRule="auto"/>
        <w:jc w:val="both"/>
        <w:rPr>
          <w:lang w:eastAsia="zh-CN"/>
        </w:rPr>
      </w:pPr>
    </w:p>
    <w:p w:rsidR="00CE0574" w:rsidRDefault="00CE0574" w:rsidP="004577A6">
      <w:pPr>
        <w:spacing w:after="0" w:line="240" w:lineRule="auto"/>
        <w:jc w:val="both"/>
      </w:pPr>
      <w:r>
        <w:rPr>
          <w:lang w:eastAsia="zh-CN"/>
        </w:rPr>
        <w:t xml:space="preserve">However, even if the </w:t>
      </w:r>
      <w:r>
        <w:t xml:space="preserve">target LDL-C levels are recommended, they are not necessarily consistent across the guidelines. </w:t>
      </w:r>
    </w:p>
    <w:p w:rsidR="00CE0574" w:rsidRDefault="00CE0574" w:rsidP="004577A6">
      <w:pPr>
        <w:pStyle w:val="ListParagraph"/>
        <w:numPr>
          <w:ilvl w:val="0"/>
          <w:numId w:val="21"/>
        </w:numPr>
        <w:spacing w:after="0" w:line="240" w:lineRule="auto"/>
        <w:jc w:val="both"/>
      </w:pPr>
      <w:r>
        <w:t xml:space="preserve">European: very high risk (&lt; 1.8 mmol/L); high risk (&lt; 2.6 mmol/L); moderate risk (&lt; 3.0 mmol/L) </w:t>
      </w:r>
    </w:p>
    <w:p w:rsidR="00CE0574" w:rsidRDefault="00CE0574" w:rsidP="004577A6">
      <w:pPr>
        <w:pStyle w:val="ListParagraph"/>
        <w:numPr>
          <w:ilvl w:val="0"/>
          <w:numId w:val="21"/>
        </w:numPr>
        <w:spacing w:after="0" w:line="240" w:lineRule="auto"/>
        <w:jc w:val="both"/>
      </w:pPr>
      <w:r>
        <w:t>NLA: very high risk (&lt; 1.8 mmol/L); high, intermediate and low risk (&lt; 2.6 mmol/L);</w:t>
      </w:r>
    </w:p>
    <w:p w:rsidR="00CE0574" w:rsidRDefault="00CE0574" w:rsidP="004577A6">
      <w:pPr>
        <w:pStyle w:val="ListParagraph"/>
        <w:numPr>
          <w:ilvl w:val="0"/>
          <w:numId w:val="21"/>
        </w:numPr>
        <w:spacing w:after="0" w:line="240" w:lineRule="auto"/>
        <w:jc w:val="both"/>
      </w:pPr>
      <w:r>
        <w:lastRenderedPageBreak/>
        <w:t xml:space="preserve">Canadian guidelines: high to intermediate risk (&lt; 2.0 mmol/L); </w:t>
      </w:r>
    </w:p>
    <w:p w:rsidR="00CE0574" w:rsidRDefault="00CE0574" w:rsidP="004577A6">
      <w:pPr>
        <w:pStyle w:val="ListParagraph"/>
        <w:numPr>
          <w:ilvl w:val="0"/>
          <w:numId w:val="21"/>
        </w:numPr>
        <w:spacing w:after="0" w:line="240" w:lineRule="auto"/>
        <w:jc w:val="both"/>
      </w:pPr>
      <w:r>
        <w:t>Australian guidelines:  high to moderate risk (&lt; 2.0 mmol/L);</w:t>
      </w:r>
    </w:p>
    <w:p w:rsidR="00CE0574" w:rsidRDefault="00CE0574" w:rsidP="004577A6">
      <w:pPr>
        <w:spacing w:after="0" w:line="240" w:lineRule="auto"/>
        <w:jc w:val="both"/>
        <w:rPr>
          <w:lang w:eastAsia="zh-CN"/>
        </w:rPr>
      </w:pPr>
    </w:p>
    <w:p w:rsidR="00994B0F" w:rsidRDefault="00DF6C9E" w:rsidP="00DF6C9E">
      <w:pPr>
        <w:spacing w:after="0" w:line="240" w:lineRule="auto"/>
        <w:jc w:val="both"/>
      </w:pPr>
      <w:r w:rsidRPr="00843F4E">
        <w:t xml:space="preserve">The </w:t>
      </w:r>
      <w:r>
        <w:t>2013 ACC/AHA g</w:t>
      </w:r>
      <w:r w:rsidRPr="00843F4E">
        <w:t>uideline</w:t>
      </w:r>
      <w:r>
        <w:t>s</w:t>
      </w:r>
      <w:r w:rsidRPr="00843F4E">
        <w:t xml:space="preserve"> endorses a paradigm shift in strategies for reducing atherosclerotic cardiovascular disease (ASCVD) events by lowering blood cholesterol. </w:t>
      </w:r>
      <w:r>
        <w:t>Contrary to all</w:t>
      </w:r>
      <w:r w:rsidRPr="00843F4E">
        <w:t xml:space="preserve"> previous </w:t>
      </w:r>
      <w:r>
        <w:t xml:space="preserve">(both US and international) </w:t>
      </w:r>
      <w:r w:rsidRPr="00843F4E">
        <w:t xml:space="preserve">guidelines </w:t>
      </w:r>
      <w:r>
        <w:t>that primarily</w:t>
      </w:r>
      <w:r w:rsidRPr="00843F4E">
        <w:t xml:space="preserve"> focused on decreas</w:t>
      </w:r>
      <w:r>
        <w:t xml:space="preserve">ing </w:t>
      </w:r>
      <w:r w:rsidRPr="00843F4E">
        <w:t xml:space="preserve">low-density lipoprotein to specific target levels, the </w:t>
      </w:r>
      <w:r>
        <w:t xml:space="preserve">new </w:t>
      </w:r>
      <w:r w:rsidRPr="00843F4E">
        <w:t>guideline</w:t>
      </w:r>
      <w:r>
        <w:t>s</w:t>
      </w:r>
      <w:r w:rsidRPr="00843F4E">
        <w:t xml:space="preserve"> proposes instead implementation of cholesterol-lowering treatment using evidenced-based intensity of stat</w:t>
      </w:r>
      <w:r>
        <w:t>in therapy without such targets</w:t>
      </w:r>
      <w:r w:rsidRPr="00843F4E">
        <w:t xml:space="preserve"> </w:t>
      </w:r>
      <w:r>
        <w:t xml:space="preserve">(Smith 2014). </w:t>
      </w:r>
      <w:r w:rsidR="003D1414" w:rsidRPr="003D1414">
        <w:t>The expected response to a moderate-potency statin is LDL-C reduction of 30-50%, while the expected response to a high-potency statin is LDL-C reduction of ≥ 50%.</w:t>
      </w:r>
      <w:r w:rsidR="003D1414">
        <w:t xml:space="preserve"> </w:t>
      </w:r>
      <w:r>
        <w:rPr>
          <w:lang w:eastAsia="zh-CN"/>
        </w:rPr>
        <w:t xml:space="preserve">Consistent with </w:t>
      </w:r>
      <w:r>
        <w:t>t</w:t>
      </w:r>
      <w:r w:rsidRPr="00843F4E">
        <w:t xml:space="preserve">he </w:t>
      </w:r>
      <w:r>
        <w:t>2013 ACC/AHA g</w:t>
      </w:r>
      <w:r w:rsidRPr="00843F4E">
        <w:t>uideline</w:t>
      </w:r>
      <w:r>
        <w:t>s,</w:t>
      </w:r>
      <w:r>
        <w:rPr>
          <w:lang w:eastAsia="zh-CN"/>
        </w:rPr>
        <w:t xml:space="preserve"> </w:t>
      </w:r>
      <w:r w:rsidR="003D1414">
        <w:rPr>
          <w:lang w:eastAsia="zh-CN"/>
        </w:rPr>
        <w:t xml:space="preserve">the 2014 </w:t>
      </w:r>
      <w:r w:rsidR="00843F4E">
        <w:rPr>
          <w:lang w:eastAsia="zh-CN"/>
        </w:rPr>
        <w:t xml:space="preserve">NICE guidelines did not suggest any lipid targets </w:t>
      </w:r>
      <w:r>
        <w:rPr>
          <w:lang w:eastAsia="zh-CN"/>
        </w:rPr>
        <w:t xml:space="preserve">either </w:t>
      </w:r>
      <w:r w:rsidR="00843F4E">
        <w:rPr>
          <w:lang w:eastAsia="zh-CN"/>
        </w:rPr>
        <w:t>but stated that high-intensity treatment with atorvastatin 80mg should aim for ≥ 40% reduction in non-HDL cholesterol</w:t>
      </w:r>
      <w:r>
        <w:rPr>
          <w:lang w:eastAsia="zh-CN"/>
        </w:rPr>
        <w:t xml:space="preserve">, </w:t>
      </w:r>
      <w:r w:rsidR="00843F4E">
        <w:rPr>
          <w:lang w:eastAsia="zh-CN"/>
        </w:rPr>
        <w:t>therefor</w:t>
      </w:r>
      <w:r>
        <w:rPr>
          <w:lang w:eastAsia="zh-CN"/>
        </w:rPr>
        <w:t>e</w:t>
      </w:r>
      <w:r w:rsidR="00843F4E">
        <w:rPr>
          <w:lang w:eastAsia="zh-CN"/>
        </w:rPr>
        <w:t xml:space="preserve"> </w:t>
      </w:r>
      <w:r w:rsidR="003D1414">
        <w:rPr>
          <w:lang w:eastAsia="zh-CN"/>
        </w:rPr>
        <w:t xml:space="preserve">completely </w:t>
      </w:r>
      <w:r w:rsidR="00843F4E">
        <w:rPr>
          <w:lang w:eastAsia="zh-CN"/>
        </w:rPr>
        <w:t xml:space="preserve">eschewing </w:t>
      </w:r>
      <w:r w:rsidR="003D1414">
        <w:rPr>
          <w:lang w:eastAsia="zh-CN"/>
        </w:rPr>
        <w:t xml:space="preserve">the </w:t>
      </w:r>
      <w:r w:rsidR="00843F4E">
        <w:rPr>
          <w:lang w:eastAsia="zh-CN"/>
        </w:rPr>
        <w:t>LDL-C</w:t>
      </w:r>
      <w:r w:rsidR="003D1414">
        <w:rPr>
          <w:lang w:eastAsia="zh-CN"/>
        </w:rPr>
        <w:t xml:space="preserve"> metric</w:t>
      </w:r>
      <w:r w:rsidR="00843F4E">
        <w:rPr>
          <w:lang w:eastAsia="zh-CN"/>
        </w:rPr>
        <w:t xml:space="preserve">. </w:t>
      </w:r>
    </w:p>
    <w:p w:rsidR="00994B0F" w:rsidRDefault="00994B0F" w:rsidP="008513AE">
      <w:pPr>
        <w:spacing w:after="0" w:line="240" w:lineRule="auto"/>
        <w:jc w:val="both"/>
        <w:rPr>
          <w:lang w:eastAsia="zh-CN"/>
        </w:rPr>
      </w:pPr>
    </w:p>
    <w:p w:rsidR="00834A8F" w:rsidRPr="003E2C8B" w:rsidRDefault="00834A8F" w:rsidP="00440BE0">
      <w:pPr>
        <w:spacing w:after="0" w:line="240" w:lineRule="auto"/>
        <w:jc w:val="both"/>
      </w:pPr>
      <w:r>
        <w:t>It was argued that the absence of cholesterol goals leaves the physician in the dark for setting an individualized statin dose, deciding on appropriateness of combination therapy and evaluating the adequacy of the risk reduction from therapy (Smith</w:t>
      </w:r>
      <w:r w:rsidR="00E7221C">
        <w:t xml:space="preserve"> </w:t>
      </w:r>
      <w:r>
        <w:t xml:space="preserve">2014). Responding to these concerns, the </w:t>
      </w:r>
      <w:r w:rsidRPr="00834A8F">
        <w:t xml:space="preserve">2016 ACC Clinical Expert Consensus </w:t>
      </w:r>
      <w:r w:rsidR="00440BE0">
        <w:t>on the r</w:t>
      </w:r>
      <w:r>
        <w:t xml:space="preserve">ole of non-statin </w:t>
      </w:r>
      <w:r w:rsidR="00440BE0">
        <w:t xml:space="preserve">therapies </w:t>
      </w:r>
      <w:r w:rsidRPr="00834A8F">
        <w:t xml:space="preserve">re-introduced </w:t>
      </w:r>
      <w:r w:rsidR="00440BE0">
        <w:t>LDL-cholesterol</w:t>
      </w:r>
      <w:r w:rsidRPr="00834A8F">
        <w:t xml:space="preserve"> goals in the decision pathways.</w:t>
      </w:r>
      <w:r w:rsidR="00440BE0">
        <w:t xml:space="preserve"> </w:t>
      </w:r>
      <w:r w:rsidR="00440BE0" w:rsidRPr="00440BE0">
        <w:t>Depending on the primary or secondary prevention status, comorbidities and the baseline LDL-C level, the lipid goals are set either at LDL-C &lt;</w:t>
      </w:r>
      <w:r w:rsidR="00440BE0">
        <w:t>1.8 mmol/L</w:t>
      </w:r>
      <w:r w:rsidR="00440BE0" w:rsidRPr="00440BE0">
        <w:t xml:space="preserve">  or LDL-C &lt;</w:t>
      </w:r>
      <w:r w:rsidR="00440BE0">
        <w:t>2.6 mmol/L</w:t>
      </w:r>
      <w:r w:rsidR="00440BE0" w:rsidRPr="00440BE0">
        <w:t xml:space="preserve">. For patients with diabetes the lipid goal is defined as </w:t>
      </w:r>
      <w:r w:rsidR="00440BE0">
        <w:t>non-</w:t>
      </w:r>
      <w:r w:rsidR="00440BE0" w:rsidRPr="00440BE0">
        <w:t>HDL-C &lt;</w:t>
      </w:r>
      <w:r w:rsidR="00440BE0">
        <w:t>3.4 mmol/L</w:t>
      </w:r>
      <w:r w:rsidR="00440BE0" w:rsidRPr="00440BE0">
        <w:t>.</w:t>
      </w:r>
    </w:p>
    <w:p w:rsidR="00834A8F" w:rsidRDefault="00834A8F" w:rsidP="00834A8F">
      <w:pPr>
        <w:spacing w:after="0"/>
        <w:jc w:val="both"/>
      </w:pPr>
    </w:p>
    <w:p w:rsidR="00CE0574" w:rsidRDefault="00CE0574" w:rsidP="00CE0574">
      <w:pPr>
        <w:pStyle w:val="Heading4"/>
        <w:rPr>
          <w:lang w:eastAsia="zh-CN"/>
        </w:rPr>
      </w:pPr>
      <w:r w:rsidRPr="00CE0574">
        <w:rPr>
          <w:lang w:eastAsia="zh-CN"/>
        </w:rPr>
        <w:t>Recommended lipid lowering therapy</w:t>
      </w:r>
    </w:p>
    <w:p w:rsidR="0056516E" w:rsidRDefault="00CE0574" w:rsidP="003F3229">
      <w:pPr>
        <w:jc w:val="both"/>
      </w:pPr>
      <w:r>
        <w:rPr>
          <w:lang w:eastAsia="zh-CN"/>
        </w:rPr>
        <w:t>All guidelines</w:t>
      </w:r>
      <w:r>
        <w:t xml:space="preserve"> recommend lifestyle and dietary modification in primary prevention population to establish eligibility for pharmaceutical treatment. Patients from the high risk subgroup</w:t>
      </w:r>
      <w:r w:rsidR="00093AF4">
        <w:t>s</w:t>
      </w:r>
      <w:r>
        <w:t xml:space="preserve"> </w:t>
      </w:r>
      <w:r w:rsidR="00093AF4">
        <w:t>may be</w:t>
      </w:r>
      <w:r>
        <w:t xml:space="preserve"> </w:t>
      </w:r>
      <w:r w:rsidR="00093AF4">
        <w:t>offered</w:t>
      </w:r>
      <w:r>
        <w:t xml:space="preserve"> lipid-lowering drugs</w:t>
      </w:r>
      <w:r w:rsidR="00093AF4">
        <w:t xml:space="preserve"> on the first presentation. </w:t>
      </w:r>
      <w:r>
        <w:t xml:space="preserve"> Statins are universally suggested as the first line therapy, unless</w:t>
      </w:r>
      <w:r w:rsidR="00093AF4">
        <w:t xml:space="preserve"> poorly tolerated or contraindicated</w:t>
      </w:r>
      <w:r>
        <w:t xml:space="preserve">. </w:t>
      </w:r>
      <w:r w:rsidR="00093AF4">
        <w:t>There are di</w:t>
      </w:r>
      <w:r w:rsidR="00416DBD">
        <w:t>fferences</w:t>
      </w:r>
      <w:r w:rsidR="00093AF4">
        <w:t xml:space="preserve"> in the suggested strategies of managing statin intolerance, ranging from prescribing a non-statin alternative to </w:t>
      </w:r>
      <w:r w:rsidR="00416DBD">
        <w:t xml:space="preserve">the </w:t>
      </w:r>
      <w:r w:rsidR="00093AF4">
        <w:t>repeated attempts to reintroduc</w:t>
      </w:r>
      <w:r w:rsidR="00416DBD">
        <w:t>e</w:t>
      </w:r>
      <w:r w:rsidR="00093AF4">
        <w:t xml:space="preserve"> patients to statin</w:t>
      </w:r>
      <w:r w:rsidR="00416DBD">
        <w:t>s</w:t>
      </w:r>
      <w:r w:rsidR="00093AF4">
        <w:t xml:space="preserve"> by reducing the dose, taking drug-free periods</w:t>
      </w:r>
      <w:r w:rsidR="00416DBD">
        <w:t xml:space="preserve"> and</w:t>
      </w:r>
      <w:r w:rsidR="00093AF4">
        <w:t xml:space="preserve"> altering a statin. The 2013 ACC/AHA are the most specific in their recommendations towards the choice of </w:t>
      </w:r>
      <w:r w:rsidR="00416DBD">
        <w:t xml:space="preserve">a </w:t>
      </w:r>
      <w:r w:rsidR="00093AF4">
        <w:t>statin</w:t>
      </w:r>
      <w:r w:rsidR="00416DBD">
        <w:t xml:space="preserve"> of particular potency for each of the four “statin benefit” groups of patients</w:t>
      </w:r>
      <w:r w:rsidR="00093AF4">
        <w:t>.</w:t>
      </w:r>
      <w:r w:rsidR="00416DBD" w:rsidRPr="00416DBD">
        <w:t xml:space="preserve"> </w:t>
      </w:r>
      <w:r w:rsidR="00416DBD">
        <w:t xml:space="preserve">This approach influenced the 2014 NICE guidelines that are even more specific in recommending atorvastatin 20 mg or 80 mg for the primary and secondary prevention populations respectively. </w:t>
      </w:r>
      <w:r w:rsidR="00B57A14">
        <w:t xml:space="preserve">The most </w:t>
      </w:r>
      <w:r w:rsidR="003F3229">
        <w:t>conflicting</w:t>
      </w:r>
      <w:r w:rsidR="00B57A14">
        <w:t xml:space="preserve"> recommendation</w:t>
      </w:r>
      <w:r w:rsidR="003F3229">
        <w:t>s</w:t>
      </w:r>
      <w:r w:rsidR="00B57A14">
        <w:t xml:space="preserve"> </w:t>
      </w:r>
      <w:r w:rsidR="003F3229">
        <w:t>across</w:t>
      </w:r>
      <w:r w:rsidR="00B57A14">
        <w:t xml:space="preserve"> the guidelines relates to non-statin cholesterol lowering medications</w:t>
      </w:r>
      <w:r w:rsidR="00B5083B">
        <w:t>.</w:t>
      </w:r>
      <w:r w:rsidR="00B57A14">
        <w:t xml:space="preserve"> </w:t>
      </w:r>
      <w:r w:rsidR="00B5083B">
        <w:t xml:space="preserve">Consistent with </w:t>
      </w:r>
      <w:r w:rsidR="003F3229">
        <w:t xml:space="preserve">the </w:t>
      </w:r>
      <w:r w:rsidR="003F3229" w:rsidRPr="003F3229">
        <w:t>General Statement for Lipid-Lowering Drugs</w:t>
      </w:r>
      <w:r w:rsidR="00AE20B2">
        <w:t xml:space="preserve"> (GSLLD),</w:t>
      </w:r>
      <w:r w:rsidR="003F3229">
        <w:t xml:space="preserve"> if LDL-C levels are not sufficiently reduced on maximally tolerated dose of statin, the Australian guidelines recommend a combination of statin with one or more of alternative drugs: ezetimibe, bile acid binding resin, or nicotinic acid.</w:t>
      </w:r>
      <w:r w:rsidR="003F3229" w:rsidRPr="003F3229">
        <w:t xml:space="preserve"> </w:t>
      </w:r>
      <w:r w:rsidR="00E87ED9">
        <w:t>The Canadian guidelines and the 2014 NLA recommendations are essentially the same, except the latter limit</w:t>
      </w:r>
      <w:r w:rsidR="00AE20B2">
        <w:t>s a</w:t>
      </w:r>
      <w:r w:rsidR="00E87ED9">
        <w:t xml:space="preserve"> combination therapy to high- and very-high risk categories. </w:t>
      </w:r>
    </w:p>
    <w:p w:rsidR="003F3229" w:rsidRDefault="003F3229" w:rsidP="003F3229">
      <w:pPr>
        <w:jc w:val="both"/>
      </w:pPr>
      <w:r>
        <w:t xml:space="preserve">The 2013 ACC/AHA guideline takes a similar position with respect to </w:t>
      </w:r>
      <w:r w:rsidRPr="003F3229">
        <w:t>high-risk individuals</w:t>
      </w:r>
      <w:r w:rsidR="00545FC4">
        <w:t>, if they continue to have a less than</w:t>
      </w:r>
      <w:r w:rsidRPr="003F3229">
        <w:t xml:space="preserve"> desired therapeutic response, </w:t>
      </w:r>
      <w:r w:rsidR="00545FC4">
        <w:t>after</w:t>
      </w:r>
      <w:r>
        <w:t xml:space="preserve"> </w:t>
      </w:r>
      <w:r w:rsidRPr="003F3229">
        <w:t>receiving maximum tolerated intensity of statin</w:t>
      </w:r>
      <w:r w:rsidR="00545FC4">
        <w:t>. In such instances</w:t>
      </w:r>
      <w:r w:rsidRPr="003F3229">
        <w:t xml:space="preserve"> addition of a non</w:t>
      </w:r>
      <w:r w:rsidR="00545FC4">
        <w:t>-</w:t>
      </w:r>
      <w:r w:rsidRPr="003F3229">
        <w:t>statin cholesterol-lowering drug(s) may be considered</w:t>
      </w:r>
      <w:r w:rsidR="00545FC4">
        <w:t>.</w:t>
      </w:r>
      <w:r w:rsidRPr="003F3229">
        <w:t xml:space="preserve"> </w:t>
      </w:r>
      <w:r w:rsidR="00545FC4">
        <w:t xml:space="preserve">The guidelines did not elaborate on the possible </w:t>
      </w:r>
      <w:r w:rsidR="00545FC4" w:rsidRPr="003F3229">
        <w:t>non</w:t>
      </w:r>
      <w:r w:rsidR="00545FC4">
        <w:t>-</w:t>
      </w:r>
      <w:r w:rsidR="00545FC4" w:rsidRPr="003F3229">
        <w:t xml:space="preserve">statin </w:t>
      </w:r>
      <w:r w:rsidR="00545FC4">
        <w:t>options but, by referring to the “</w:t>
      </w:r>
      <w:r w:rsidR="00545FC4" w:rsidRPr="003F3229">
        <w:t>desired therapeutic response</w:t>
      </w:r>
      <w:r w:rsidR="00545FC4">
        <w:t>”, revealed the lack of a substitute to the recommended lipid goal and the associated uncertainty in clinical decision making. The purpose of</w:t>
      </w:r>
      <w:r w:rsidR="00BC0F34">
        <w:t xml:space="preserve"> the</w:t>
      </w:r>
      <w:r w:rsidR="00545FC4">
        <w:t xml:space="preserve"> </w:t>
      </w:r>
      <w:r w:rsidR="00545FC4" w:rsidRPr="00834A8F">
        <w:t>2016 ACC Clinical Expert Consensus</w:t>
      </w:r>
      <w:r w:rsidR="00545FC4">
        <w:t xml:space="preserve"> statement was to address this problem</w:t>
      </w:r>
      <w:r w:rsidR="00BC0F34">
        <w:t xml:space="preserve"> by including</w:t>
      </w:r>
      <w:r w:rsidR="00BC0F34" w:rsidRPr="00BC0F34">
        <w:t xml:space="preserve"> an optional non-statin medication </w:t>
      </w:r>
      <w:r w:rsidR="00BC0F34">
        <w:t>f</w:t>
      </w:r>
      <w:r w:rsidR="00BC0F34" w:rsidRPr="00BC0F34">
        <w:t>or the patients who did not achieved a 50% LDL-C reduction (or, alternatively, a lipid goal)</w:t>
      </w:r>
      <w:r w:rsidR="00BC0F34">
        <w:t>.</w:t>
      </w:r>
    </w:p>
    <w:p w:rsidR="00CE0574" w:rsidRDefault="00BC0F34" w:rsidP="003F3229">
      <w:pPr>
        <w:jc w:val="both"/>
      </w:pPr>
      <w:r w:rsidRPr="00BC0F34">
        <w:lastRenderedPageBreak/>
        <w:t xml:space="preserve">Ezetimibe </w:t>
      </w:r>
      <w:r>
        <w:t>was</w:t>
      </w:r>
      <w:r w:rsidRPr="00BC0F34">
        <w:t xml:space="preserve"> suggested as either the first choice of the non-statin second line medications or the only option in four out of </w:t>
      </w:r>
      <w:r>
        <w:t>six</w:t>
      </w:r>
      <w:r w:rsidRPr="00BC0F34">
        <w:t xml:space="preserve"> pathways</w:t>
      </w:r>
      <w:r>
        <w:t xml:space="preserve"> outlined in the </w:t>
      </w:r>
      <w:r w:rsidRPr="00834A8F">
        <w:t>2016 ACC Clinical Expert Consensus</w:t>
      </w:r>
      <w:r>
        <w:t xml:space="preserve"> statement</w:t>
      </w:r>
      <w:r w:rsidRPr="00BC0F34">
        <w:t>. However, bile acid sequestrants can be used instead as the second line therapy if a pa</w:t>
      </w:r>
      <w:r>
        <w:t>tient is ezetimibe intolerant and with</w:t>
      </w:r>
      <w:r w:rsidRPr="00BC0F34">
        <w:t xml:space="preserve"> TG&lt;300 mg/dL.</w:t>
      </w:r>
      <w:r>
        <w:t xml:space="preserve"> </w:t>
      </w:r>
      <w:r w:rsidR="000D508E">
        <w:t>Across the subgroups, t</w:t>
      </w:r>
      <w:r w:rsidRPr="00BC0F34">
        <w:t>he</w:t>
      </w:r>
      <w:r>
        <w:t xml:space="preserve"> statement is inconsistent in </w:t>
      </w:r>
      <w:r w:rsidR="000D508E">
        <w:t xml:space="preserve">introducing </w:t>
      </w:r>
      <w:r>
        <w:t>the</w:t>
      </w:r>
      <w:r w:rsidRPr="00BC0F34">
        <w:t xml:space="preserve"> requirement for the patients to be on the maximum tolerated dose of statin to be considered for ezetimibe treatment.</w:t>
      </w:r>
      <w:r w:rsidR="000D508E">
        <w:t xml:space="preserve"> T</w:t>
      </w:r>
      <w:r w:rsidR="000D508E" w:rsidRPr="000D508E">
        <w:t xml:space="preserve">he Expert Panel </w:t>
      </w:r>
      <w:r w:rsidR="000D508E">
        <w:t>also included a</w:t>
      </w:r>
      <w:r w:rsidR="000D508E" w:rsidRPr="000D508E">
        <w:t xml:space="preserve"> PCSK9 inhibitor</w:t>
      </w:r>
      <w:r w:rsidR="000D508E">
        <w:t>, which is consistently recommended only</w:t>
      </w:r>
      <w:r w:rsidR="000D508E" w:rsidRPr="000D508E">
        <w:t xml:space="preserve"> in combination with maximally tolerated statin</w:t>
      </w:r>
      <w:r w:rsidR="000D508E">
        <w:t xml:space="preserve">. </w:t>
      </w:r>
      <w:r w:rsidR="000D508E" w:rsidRPr="000D508E">
        <w:t xml:space="preserve"> </w:t>
      </w:r>
      <w:r w:rsidR="000D508E">
        <w:t xml:space="preserve">Depending on the subgroup, </w:t>
      </w:r>
      <w:r w:rsidR="000D508E" w:rsidRPr="000D508E">
        <w:t xml:space="preserve">the second line therapy </w:t>
      </w:r>
      <w:r w:rsidR="000D508E">
        <w:t xml:space="preserve">with </w:t>
      </w:r>
      <w:r w:rsidR="000D508E" w:rsidRPr="000D508E">
        <w:t>PCSK9 inhibitor</w:t>
      </w:r>
      <w:r w:rsidR="000D508E">
        <w:t xml:space="preserve">s can be </w:t>
      </w:r>
      <w:r w:rsidR="000D508E" w:rsidRPr="000D508E">
        <w:t xml:space="preserve">a first choice </w:t>
      </w:r>
      <w:r w:rsidR="000D508E">
        <w:t xml:space="preserve">(i.e. </w:t>
      </w:r>
      <w:r w:rsidR="000D508E" w:rsidRPr="000D508E">
        <w:t>rather than ezetimibe</w:t>
      </w:r>
      <w:r w:rsidR="000D508E">
        <w:t xml:space="preserve">), the second choice (i.e. after ezetimibe) or an equal option. </w:t>
      </w:r>
      <w:r w:rsidR="00780A6C">
        <w:t>The 2016 ESC/EAS guidelines are the only other current guideline that included a</w:t>
      </w:r>
      <w:r w:rsidR="00780A6C" w:rsidRPr="000D508E">
        <w:t xml:space="preserve"> PCSK9 inhibitor</w:t>
      </w:r>
      <w:r w:rsidR="00780A6C">
        <w:t xml:space="preserve"> as a third line treatment limited to the very high risk category or to patients with statin intolerance. The guideline conventionally suggested that ezetimibe in combination with statin should be </w:t>
      </w:r>
      <w:r w:rsidR="00780A6C" w:rsidRPr="00780A6C">
        <w:t>considered first followed by the statin combination with a bile acid sequestrant</w:t>
      </w:r>
      <w:r w:rsidR="004D52C4">
        <w:t>.</w:t>
      </w:r>
      <w:r w:rsidR="00780A6C">
        <w:t xml:space="preserve"> </w:t>
      </w:r>
    </w:p>
    <w:p w:rsidR="00E87ED9" w:rsidRDefault="00780A6C" w:rsidP="003F3229">
      <w:pPr>
        <w:jc w:val="both"/>
      </w:pPr>
      <w:r>
        <w:t>The</w:t>
      </w:r>
      <w:r w:rsidR="00E87ED9">
        <w:t xml:space="preserve"> 2014 NICE guidelines stand in sharp contrast to the above</w:t>
      </w:r>
      <w:r>
        <w:t xml:space="preserve"> as they d</w:t>
      </w:r>
      <w:r w:rsidRPr="00780A6C">
        <w:t>o not offer the combina</w:t>
      </w:r>
      <w:r>
        <w:t xml:space="preserve">tion of a bile acid sequestrant, </w:t>
      </w:r>
      <w:r w:rsidRPr="00780A6C">
        <w:t>fibrate, nicotinic acid or omega-3 fatty acid compound with a statin for the primary or secondary prevention of CVD.</w:t>
      </w:r>
      <w:r>
        <w:t xml:space="preserve"> </w:t>
      </w:r>
      <w:r w:rsidR="004D52C4">
        <w:t>E</w:t>
      </w:r>
      <w:r w:rsidRPr="00780A6C">
        <w:t>zetimibe treatment is initiated</w:t>
      </w:r>
      <w:r>
        <w:t xml:space="preserve"> </w:t>
      </w:r>
      <w:r w:rsidR="004D52C4">
        <w:t>according to the recommendations of the independently conducted technology assessment (TA385). Inconsistently with the NICE guidelines that used non-HDL-C as a primary treatment outcome, the TA385 maintained LDL-C levels as a primary target. E</w:t>
      </w:r>
      <w:r w:rsidR="004D52C4" w:rsidRPr="00780A6C">
        <w:t>zetimibe</w:t>
      </w:r>
      <w:r w:rsidR="004D52C4">
        <w:t xml:space="preserve"> is recommended if LDL-C target could not be achieved </w:t>
      </w:r>
      <w:r w:rsidRPr="00780A6C">
        <w:t>after appropriate dose titration of initial statin therapy or because dose titration is limited by intolerance</w:t>
      </w:r>
      <w:r>
        <w:t xml:space="preserve">. </w:t>
      </w:r>
      <w:r w:rsidRPr="004D52C4">
        <w:rPr>
          <w:i/>
        </w:rPr>
        <w:t>It can also be prescribed if a change from initial statin therapy to an alternative statin is being considered</w:t>
      </w:r>
      <w:r>
        <w:t>.</w:t>
      </w:r>
    </w:p>
    <w:p w:rsidR="00A11E41" w:rsidRDefault="00A11E41" w:rsidP="00A11E41">
      <w:pPr>
        <w:pStyle w:val="Heading4"/>
        <w:rPr>
          <w:lang w:eastAsia="zh-CN"/>
        </w:rPr>
      </w:pPr>
      <w:r>
        <w:rPr>
          <w:lang w:eastAsia="zh-CN"/>
        </w:rPr>
        <w:t>In</w:t>
      </w:r>
      <w:r w:rsidR="004D52C4">
        <w:rPr>
          <w:lang w:eastAsia="zh-CN"/>
        </w:rPr>
        <w:t xml:space="preserve"> summar</w:t>
      </w:r>
      <w:r>
        <w:rPr>
          <w:lang w:eastAsia="zh-CN"/>
        </w:rPr>
        <w:t>y</w:t>
      </w:r>
      <w:r w:rsidR="004D52C4">
        <w:rPr>
          <w:lang w:eastAsia="zh-CN"/>
        </w:rPr>
        <w:t xml:space="preserve">, </w:t>
      </w:r>
    </w:p>
    <w:p w:rsidR="00A6314D" w:rsidRDefault="00A11E41" w:rsidP="007E6E49">
      <w:pPr>
        <w:jc w:val="both"/>
      </w:pPr>
      <w:r>
        <w:rPr>
          <w:lang w:eastAsia="zh-CN"/>
        </w:rPr>
        <w:t>T</w:t>
      </w:r>
      <w:r w:rsidR="00A6314D">
        <w:rPr>
          <w:lang w:eastAsia="zh-CN"/>
        </w:rPr>
        <w:t xml:space="preserve">he </w:t>
      </w:r>
      <w:r w:rsidR="00B57A14">
        <w:rPr>
          <w:lang w:eastAsia="zh-CN"/>
        </w:rPr>
        <w:t>Australian guidelines</w:t>
      </w:r>
      <w:r w:rsidR="00854D22">
        <w:rPr>
          <w:lang w:eastAsia="zh-CN"/>
        </w:rPr>
        <w:t>, along with every other identified guideline, approach cholesterol management in the context of the absolute CVD risk reduction. Absolute risk assessment is based on the variation of the</w:t>
      </w:r>
      <w:r w:rsidR="00854D22">
        <w:t xml:space="preserve"> FRE, which is </w:t>
      </w:r>
      <w:r w:rsidR="00032217">
        <w:t xml:space="preserve">frequently </w:t>
      </w:r>
      <w:r w:rsidR="00854D22">
        <w:t>used in other assessment tools</w:t>
      </w:r>
      <w:r w:rsidR="00032217">
        <w:t xml:space="preserve"> across the world</w:t>
      </w:r>
      <w:r w:rsidR="00854D22">
        <w:t xml:space="preserve">. </w:t>
      </w:r>
      <w:r w:rsidR="00032217">
        <w:t>However the time horizon for risk assessment of 5 years is the shortest among the identified guideline</w:t>
      </w:r>
      <w:r w:rsidR="00C7607C">
        <w:t>s. The 10% cut-off point for a 10</w:t>
      </w:r>
      <w:r w:rsidR="00032217">
        <w:t>-year risk of CVD is also recommended in every other guideline,</w:t>
      </w:r>
      <w:r w:rsidR="004577A6">
        <w:t xml:space="preserve"> but the 2013 ACC/AHA guideline</w:t>
      </w:r>
      <w:r w:rsidR="00032217">
        <w:t xml:space="preserve"> that used 7.5% threshold. </w:t>
      </w:r>
      <w:r w:rsidR="00854D22">
        <w:t xml:space="preserve">The Australian guidelines adhere to the </w:t>
      </w:r>
      <w:r w:rsidR="00032217">
        <w:t>treatment targets that are defined for each cholesterol metric</w:t>
      </w:r>
      <w:r w:rsidR="004577A6">
        <w:t xml:space="preserve"> not just for</w:t>
      </w:r>
      <w:r w:rsidR="00032217">
        <w:t xml:space="preserve"> </w:t>
      </w:r>
      <w:r w:rsidR="00854D22">
        <w:t>LDL-</w:t>
      </w:r>
      <w:r w:rsidR="00032217">
        <w:t>cholesterol levels, as became customary in other countries. The recommended LDL-C levels are the same as in Canadian guidelines and</w:t>
      </w:r>
      <w:r>
        <w:t xml:space="preserve"> in</w:t>
      </w:r>
      <w:r w:rsidR="00032217">
        <w:t xml:space="preserve"> the ballpark </w:t>
      </w:r>
      <w:r w:rsidR="004577A6">
        <w:t>of</w:t>
      </w:r>
      <w:r w:rsidR="00032217">
        <w:t xml:space="preserve"> other guidelines that maintain treatment targets in LDL-C levels.</w:t>
      </w:r>
      <w:r>
        <w:t xml:space="preserve"> If LDL-C levels are not sufficiently reduced on maximally tolerated dose of statin, the Australian guidelines recommend a combination of statin with one or more of alternative drugs: ezetimibe, bile acid binding resin, or nicotinic acid. This recommendation is replicated in other guidelines, however may be limited to high- or very high risk categories of patients. The Australian guidelines do not recommend a</w:t>
      </w:r>
      <w:r w:rsidRPr="000D508E">
        <w:t xml:space="preserve"> PCSK9 inhibitor</w:t>
      </w:r>
      <w:r>
        <w:t xml:space="preserve"> as the second or third line of therapy as the most recent the 2016 ESC/EAS guidelines or the </w:t>
      </w:r>
      <w:r w:rsidRPr="00834A8F">
        <w:t>2016 ACC Clinical Expert Consensus</w:t>
      </w:r>
      <w:r>
        <w:t xml:space="preserve"> statement. The latter suggests that, depending on the </w:t>
      </w:r>
      <w:r w:rsidR="007E6E49">
        <w:t xml:space="preserve">characteristics of the </w:t>
      </w:r>
      <w:r>
        <w:t>subgroup</w:t>
      </w:r>
      <w:r w:rsidR="007E6E49">
        <w:t xml:space="preserve">, a </w:t>
      </w:r>
      <w:r w:rsidR="007E6E49" w:rsidRPr="000D508E">
        <w:t>PCSK9 inhibitor</w:t>
      </w:r>
      <w:r w:rsidR="007E6E49">
        <w:t xml:space="preserve"> can be </w:t>
      </w:r>
      <w:r w:rsidR="007E6E49" w:rsidRPr="000D508E">
        <w:t xml:space="preserve">a first choice </w:t>
      </w:r>
      <w:r w:rsidR="007E6E49">
        <w:t xml:space="preserve">in the second line therapy (i.e. </w:t>
      </w:r>
      <w:r w:rsidR="007E6E49" w:rsidRPr="000D508E">
        <w:t>rather than ezetimibe</w:t>
      </w:r>
      <w:r w:rsidR="007E6E49">
        <w:t>), the second choice (i.e. after ezetimibe) or an equal option.</w:t>
      </w:r>
      <w:r>
        <w:t xml:space="preserve"> </w:t>
      </w:r>
    </w:p>
    <w:p w:rsidR="007E6E49" w:rsidRDefault="007E6E49" w:rsidP="006C5A0D">
      <w:pPr>
        <w:spacing w:after="0" w:line="240" w:lineRule="auto"/>
        <w:sectPr w:rsidR="007E6E49" w:rsidSect="00642CEE">
          <w:pgSz w:w="11906" w:h="16838"/>
          <w:pgMar w:top="1440" w:right="1440" w:bottom="1440" w:left="1440" w:header="708" w:footer="708" w:gutter="0"/>
          <w:cols w:space="708"/>
          <w:docGrid w:linePitch="360"/>
        </w:sectPr>
      </w:pPr>
    </w:p>
    <w:p w:rsidR="006B3DD1" w:rsidRPr="00B75862" w:rsidRDefault="00B75862" w:rsidP="008113D2">
      <w:pPr>
        <w:pStyle w:val="Heading2"/>
        <w:keepNext/>
        <w:keepLines/>
        <w:numPr>
          <w:ilvl w:val="0"/>
          <w:numId w:val="13"/>
        </w:numPr>
        <w:spacing w:before="0" w:beforeAutospacing="0" w:after="0" w:afterAutospacing="0" w:line="259" w:lineRule="auto"/>
        <w:rPr>
          <w:rFonts w:asciiTheme="majorHAnsi" w:eastAsiaTheme="majorEastAsia" w:hAnsiTheme="majorHAnsi" w:cstheme="majorBidi"/>
          <w:b w:val="0"/>
          <w:bCs w:val="0"/>
          <w:color w:val="2E74B5" w:themeColor="accent1" w:themeShade="BF"/>
          <w:sz w:val="26"/>
          <w:szCs w:val="26"/>
          <w:lang w:eastAsia="zh-CN"/>
        </w:rPr>
      </w:pPr>
      <w:bookmarkStart w:id="3" w:name="_Toc461644652"/>
      <w:r w:rsidRPr="00B75862">
        <w:rPr>
          <w:rFonts w:asciiTheme="majorHAnsi" w:eastAsiaTheme="majorEastAsia" w:hAnsiTheme="majorHAnsi" w:cstheme="majorBidi"/>
          <w:b w:val="0"/>
          <w:bCs w:val="0"/>
          <w:color w:val="2E74B5" w:themeColor="accent1" w:themeShade="BF"/>
          <w:sz w:val="26"/>
          <w:szCs w:val="26"/>
          <w:lang w:eastAsia="zh-CN"/>
        </w:rPr>
        <w:lastRenderedPageBreak/>
        <w:t>Australia</w:t>
      </w:r>
      <w:bookmarkEnd w:id="3"/>
      <w:r w:rsidR="007E6E49">
        <w:rPr>
          <w:rFonts w:asciiTheme="majorHAnsi" w:eastAsiaTheme="majorEastAsia" w:hAnsiTheme="majorHAnsi" w:cstheme="majorBidi"/>
          <w:b w:val="0"/>
          <w:bCs w:val="0"/>
          <w:color w:val="2E74B5" w:themeColor="accent1" w:themeShade="BF"/>
          <w:sz w:val="26"/>
          <w:szCs w:val="26"/>
          <w:lang w:eastAsia="zh-CN"/>
        </w:rPr>
        <w:t>n guidelines</w:t>
      </w:r>
      <w:r w:rsidRPr="00B75862">
        <w:rPr>
          <w:rFonts w:asciiTheme="majorHAnsi" w:eastAsiaTheme="majorEastAsia" w:hAnsiTheme="majorHAnsi" w:cstheme="majorBidi"/>
          <w:b w:val="0"/>
          <w:bCs w:val="0"/>
          <w:color w:val="2E74B5" w:themeColor="accent1" w:themeShade="BF"/>
          <w:sz w:val="26"/>
          <w:szCs w:val="26"/>
          <w:lang w:eastAsia="zh-CN"/>
        </w:rPr>
        <w:t xml:space="preserve"> </w:t>
      </w:r>
    </w:p>
    <w:p w:rsidR="005F6A2C" w:rsidRDefault="005F6A2C" w:rsidP="006C5A0D">
      <w:pPr>
        <w:spacing w:after="0"/>
      </w:pPr>
    </w:p>
    <w:p w:rsidR="005F6A2C" w:rsidRDefault="00B75862" w:rsidP="00F2072A">
      <w:pPr>
        <w:spacing w:after="0"/>
        <w:jc w:val="both"/>
      </w:pPr>
      <w:r>
        <w:t>Lipid management g</w:t>
      </w:r>
      <w:r w:rsidR="00312238" w:rsidRPr="00312238">
        <w:t xml:space="preserve">uidelines have </w:t>
      </w:r>
      <w:r>
        <w:t xml:space="preserve">consistently </w:t>
      </w:r>
      <w:r w:rsidR="00312238" w:rsidRPr="00312238">
        <w:t xml:space="preserve">recommended absolute </w:t>
      </w:r>
      <w:r w:rsidR="00861F00">
        <w:t>cardiovascular disease (</w:t>
      </w:r>
      <w:r w:rsidR="00312238" w:rsidRPr="00312238">
        <w:t>CVD</w:t>
      </w:r>
      <w:r w:rsidR="00861F00">
        <w:t>)</w:t>
      </w:r>
      <w:r w:rsidR="00312238" w:rsidRPr="00312238">
        <w:t xml:space="preserve"> risk</w:t>
      </w:r>
      <w:r w:rsidR="00730F63">
        <w:t xml:space="preserve"> assessment (based on the</w:t>
      </w:r>
      <w:r w:rsidR="00312238" w:rsidRPr="00312238">
        <w:t xml:space="preserve"> </w:t>
      </w:r>
      <w:r w:rsidR="00730F63">
        <w:t xml:space="preserve">Framingham Risk Equation) </w:t>
      </w:r>
      <w:r w:rsidR="00312238" w:rsidRPr="00312238">
        <w:t>as the basis for lipid management</w:t>
      </w:r>
      <w:r>
        <w:t xml:space="preserve"> and </w:t>
      </w:r>
      <w:r w:rsidR="00730F63">
        <w:t xml:space="preserve">as </w:t>
      </w:r>
      <w:r>
        <w:t xml:space="preserve">criteria for prescribing </w:t>
      </w:r>
      <w:r w:rsidRPr="00312238">
        <w:t xml:space="preserve">lipid-modifying drugs such as statins </w:t>
      </w:r>
      <w:r w:rsidR="00DC5EEE">
        <w:t>(NHF-2001; NHF-</w:t>
      </w:r>
      <w:r>
        <w:t>2005). Ezetimibe was first mentioned in 2005 Position</w:t>
      </w:r>
      <w:r w:rsidR="0022694B">
        <w:t xml:space="preserve"> Statement on Lipid Management as a</w:t>
      </w:r>
      <w:r w:rsidR="00633D90">
        <w:t>n optional</w:t>
      </w:r>
      <w:r w:rsidR="0022694B">
        <w:t xml:space="preserve"> </w:t>
      </w:r>
      <w:r w:rsidR="00633D90">
        <w:t xml:space="preserve">prescription choice as </w:t>
      </w:r>
      <w:r w:rsidR="0022694B">
        <w:t xml:space="preserve">monotherapy </w:t>
      </w:r>
      <w:r w:rsidR="00633D90">
        <w:t>or</w:t>
      </w:r>
      <w:r w:rsidR="0022694B">
        <w:t xml:space="preserve"> in combination with statins</w:t>
      </w:r>
      <w:r w:rsidR="00633D90">
        <w:t xml:space="preserve"> that potentially reduces the concentration of LDL-C by 15–20%</w:t>
      </w:r>
      <w:r w:rsidR="0022694B">
        <w:t xml:space="preserve"> (NHF-2005).</w:t>
      </w:r>
      <w:r w:rsidR="00730F63">
        <w:t xml:space="preserve"> </w:t>
      </w:r>
      <w:r w:rsidR="0022694B">
        <w:t xml:space="preserve">The </w:t>
      </w:r>
      <w:r w:rsidR="005F6A2C">
        <w:t xml:space="preserve">approach to the </w:t>
      </w:r>
      <w:r w:rsidR="005F6A2C" w:rsidRPr="00312238">
        <w:t>CVD risk</w:t>
      </w:r>
      <w:r w:rsidR="005F6A2C">
        <w:t xml:space="preserve"> assessment, lipid targets and management recommendations of the </w:t>
      </w:r>
      <w:r w:rsidR="00730F63">
        <w:t>updated</w:t>
      </w:r>
      <w:r w:rsidR="0022694B">
        <w:t xml:space="preserve"> </w:t>
      </w:r>
      <w:r w:rsidR="00730F63">
        <w:t>l</w:t>
      </w:r>
      <w:r w:rsidR="0022694B">
        <w:t>ipid management g</w:t>
      </w:r>
      <w:r w:rsidR="0022694B" w:rsidRPr="00312238">
        <w:t xml:space="preserve">uidelines </w:t>
      </w:r>
      <w:r w:rsidR="0022694B">
        <w:t xml:space="preserve">have </w:t>
      </w:r>
      <w:r w:rsidR="005F6A2C">
        <w:t>contributed to</w:t>
      </w:r>
      <w:r w:rsidR="00730F63">
        <w:t xml:space="preserve"> t</w:t>
      </w:r>
      <w:r w:rsidR="006B3DD1">
        <w:t xml:space="preserve">he </w:t>
      </w:r>
      <w:r w:rsidR="00655D55">
        <w:t xml:space="preserve">following documents that </w:t>
      </w:r>
      <w:r w:rsidR="005F6A2C">
        <w:t>current</w:t>
      </w:r>
      <w:r w:rsidR="00655D55">
        <w:t>ly</w:t>
      </w:r>
      <w:r w:rsidR="005F6A2C">
        <w:t xml:space="preserve"> </w:t>
      </w:r>
      <w:r w:rsidR="00655D55">
        <w:t xml:space="preserve">offer </w:t>
      </w:r>
      <w:r w:rsidR="005F6A2C">
        <w:t xml:space="preserve">guidance in </w:t>
      </w:r>
      <w:r w:rsidR="005F6A2C" w:rsidRPr="00312238">
        <w:t>risk</w:t>
      </w:r>
      <w:r w:rsidR="005F6A2C">
        <w:t xml:space="preserve"> assessment and management for the primary and secondary prevention of </w:t>
      </w:r>
      <w:r w:rsidR="005F6A2C" w:rsidRPr="00312238">
        <w:t>CVD</w:t>
      </w:r>
      <w:r w:rsidR="005F6A2C">
        <w:t xml:space="preserve"> events.</w:t>
      </w:r>
    </w:p>
    <w:p w:rsidR="00655D55" w:rsidRDefault="00655D55" w:rsidP="006C5A0D">
      <w:pPr>
        <w:spacing w:after="0"/>
      </w:pPr>
    </w:p>
    <w:p w:rsidR="00C13F8C" w:rsidRDefault="00633D90" w:rsidP="00F2072A">
      <w:pPr>
        <w:jc w:val="both"/>
      </w:pPr>
      <w:r w:rsidRPr="00633D90">
        <w:rPr>
          <w:b/>
        </w:rPr>
        <w:t>Primary prevention:</w:t>
      </w:r>
      <w:r>
        <w:t xml:space="preserve"> </w:t>
      </w:r>
      <w:r w:rsidR="006B3DD1">
        <w:t xml:space="preserve">National </w:t>
      </w:r>
      <w:r>
        <w:t xml:space="preserve">vascular disease prevention alliance </w:t>
      </w:r>
      <w:r w:rsidR="006213C8">
        <w:t xml:space="preserve">(NVDPA) </w:t>
      </w:r>
      <w:r>
        <w:t xml:space="preserve">guidelines </w:t>
      </w:r>
      <w:r w:rsidR="006B3DD1">
        <w:t>for the management of absolute cardiovascular disease risk for primary preventions</w:t>
      </w:r>
      <w:r w:rsidR="005F6A2C">
        <w:t xml:space="preserve"> </w:t>
      </w:r>
      <w:r w:rsidR="004D0A92">
        <w:t>(NVDPA-2012) used in connection with</w:t>
      </w:r>
      <w:r w:rsidR="005F6A2C">
        <w:t xml:space="preserve"> the </w:t>
      </w:r>
      <w:r>
        <w:t xml:space="preserve">Australian Absolute </w:t>
      </w:r>
      <w:r w:rsidR="005F6A2C">
        <w:t>Cardiovascular Disease Risk Ass</w:t>
      </w:r>
      <w:r>
        <w:t>essment that can be done with a</w:t>
      </w:r>
      <w:r w:rsidR="005F6A2C">
        <w:t xml:space="preserve"> </w:t>
      </w:r>
      <w:r>
        <w:t>web</w:t>
      </w:r>
      <w:r w:rsidR="005F6A2C">
        <w:t xml:space="preserve"> calculator and/or</w:t>
      </w:r>
      <w:r>
        <w:t xml:space="preserve"> cardiovascular risk charts</w:t>
      </w:r>
      <w:r w:rsidR="004D0A92">
        <w:t xml:space="preserve"> (NVDPA-2009).</w:t>
      </w:r>
    </w:p>
    <w:p w:rsidR="006B3DD1" w:rsidRDefault="00633D90" w:rsidP="00F2072A">
      <w:pPr>
        <w:spacing w:after="0" w:line="240" w:lineRule="auto"/>
        <w:jc w:val="both"/>
      </w:pPr>
      <w:r>
        <w:rPr>
          <w:b/>
        </w:rPr>
        <w:t>S</w:t>
      </w:r>
      <w:r w:rsidRPr="00C13F8C">
        <w:rPr>
          <w:b/>
        </w:rPr>
        <w:t>econdary prevention</w:t>
      </w:r>
      <w:r>
        <w:rPr>
          <w:b/>
        </w:rPr>
        <w:t>:</w:t>
      </w:r>
      <w:r>
        <w:t xml:space="preserve"> </w:t>
      </w:r>
      <w:r w:rsidR="00C13F8C">
        <w:t>The National Heart Foundation of Australia and the Cardi</w:t>
      </w:r>
      <w:r>
        <w:t xml:space="preserve">ac Society of Australia and New </w:t>
      </w:r>
      <w:r w:rsidR="00C13F8C">
        <w:t xml:space="preserve">Zealand. Reducing risk in heart disease: an expert guide to </w:t>
      </w:r>
      <w:r w:rsidR="00C13F8C" w:rsidRPr="004D0A92">
        <w:t xml:space="preserve">clinical practice for secondary prevention </w:t>
      </w:r>
      <w:r w:rsidR="00C13F8C">
        <w:t>of coronary heart disease. Melbourne: National Heart Foundation of Australia, 2012</w:t>
      </w:r>
      <w:r w:rsidR="004D0A92">
        <w:t>. (NHF-2012)</w:t>
      </w:r>
      <w:r w:rsidR="00C07793">
        <w:t>.</w:t>
      </w:r>
    </w:p>
    <w:p w:rsidR="00C07793" w:rsidRDefault="00C07793" w:rsidP="00F2072A">
      <w:pPr>
        <w:spacing w:after="0" w:line="240" w:lineRule="auto"/>
        <w:jc w:val="both"/>
      </w:pPr>
    </w:p>
    <w:p w:rsidR="006B3DD1" w:rsidRDefault="00C07793" w:rsidP="00F2072A">
      <w:pPr>
        <w:spacing w:after="0" w:line="240" w:lineRule="auto"/>
        <w:jc w:val="both"/>
      </w:pPr>
      <w:r w:rsidRPr="00C07793">
        <w:rPr>
          <w:b/>
        </w:rPr>
        <w:t>Familial hypercholesterolaemia</w:t>
      </w:r>
      <w:r w:rsidR="00DD2350">
        <w:rPr>
          <w:b/>
        </w:rPr>
        <w:t xml:space="preserve"> (FH)</w:t>
      </w:r>
      <w:r>
        <w:t xml:space="preserve">: Separate </w:t>
      </w:r>
      <w:r w:rsidRPr="00C07793">
        <w:t>Australian guidelines for identification and management of familial hypercholesterolaemia</w:t>
      </w:r>
      <w:r>
        <w:t xml:space="preserve"> were produced by the </w:t>
      </w:r>
      <w:r w:rsidRPr="00AD5ED1">
        <w:rPr>
          <w:rFonts w:ascii="Calibri" w:hAnsi="Calibri" w:cs="Arial"/>
          <w:color w:val="000000"/>
          <w:shd w:val="clear" w:color="auto" w:fill="FFFFFF"/>
        </w:rPr>
        <w:t>Cardiac Society of Australia and New Zealand (CSANZ)</w:t>
      </w:r>
      <w:r>
        <w:rPr>
          <w:rFonts w:ascii="Calibri" w:hAnsi="Calibri" w:cs="Arial"/>
          <w:color w:val="000000"/>
          <w:shd w:val="clear" w:color="auto" w:fill="FFFFFF"/>
        </w:rPr>
        <w:t xml:space="preserve"> in 2013 (Table A2.1 in Appendix).</w:t>
      </w:r>
    </w:p>
    <w:p w:rsidR="00C07793" w:rsidRDefault="00C07793" w:rsidP="00F2072A">
      <w:pPr>
        <w:spacing w:after="0" w:line="240" w:lineRule="auto"/>
        <w:jc w:val="both"/>
      </w:pPr>
    </w:p>
    <w:p w:rsidR="0020198D" w:rsidRDefault="0020198D" w:rsidP="00F2072A">
      <w:pPr>
        <w:spacing w:after="0" w:line="240" w:lineRule="auto"/>
        <w:jc w:val="both"/>
      </w:pPr>
      <w:r>
        <w:t>Unlike the earlier lipid management g</w:t>
      </w:r>
      <w:r w:rsidRPr="00312238">
        <w:t>uidelines</w:t>
      </w:r>
      <w:r>
        <w:t xml:space="preserve"> (NHF-2001; NHF-2005), the current guidelines separate the population with existing</w:t>
      </w:r>
      <w:r w:rsidR="00861F00">
        <w:t xml:space="preserve"> coronary heart disease (CH</w:t>
      </w:r>
      <w:r>
        <w:t>D</w:t>
      </w:r>
      <w:r w:rsidR="00861F00">
        <w:t>)</w:t>
      </w:r>
      <w:r>
        <w:t xml:space="preserve"> </w:t>
      </w:r>
      <w:r w:rsidR="00861F00">
        <w:t>from the population without a CH</w:t>
      </w:r>
      <w:r>
        <w:t xml:space="preserve">D diagnosis. </w:t>
      </w:r>
      <w:r w:rsidR="00554EF7">
        <w:t>While patients from the first subgroup are automatically assigned to the high risk category, t</w:t>
      </w:r>
      <w:r>
        <w:t>he latter subgroup is assessed for the high, moderate or low level of the absolute risk</w:t>
      </w:r>
      <w:r w:rsidR="00554EF7">
        <w:t xml:space="preserve"> </w:t>
      </w:r>
      <w:r w:rsidR="006C5A0D">
        <w:t xml:space="preserve">of CVD event </w:t>
      </w:r>
      <w:r w:rsidR="00554EF7">
        <w:t xml:space="preserve">based on the algorithm described in </w:t>
      </w:r>
      <w:r w:rsidR="006C5A0D">
        <w:t>Figure</w:t>
      </w:r>
      <w:r w:rsidR="00554EF7">
        <w:t xml:space="preserve"> 1.1</w:t>
      </w:r>
      <w:r w:rsidR="00F2072A">
        <w:t xml:space="preserve"> (reproduced from p.</w:t>
      </w:r>
      <w:r w:rsidR="006213C8">
        <w:t>7</w:t>
      </w:r>
      <w:r w:rsidR="00F2072A">
        <w:t xml:space="preserve"> of the </w:t>
      </w:r>
      <w:r w:rsidR="006213C8">
        <w:t>NVDPA guidelines for the management of absolute cardiovascular disease risk for primary preventions</w:t>
      </w:r>
      <w:r w:rsidR="00F2072A">
        <w:t>, NVDPA-20</w:t>
      </w:r>
      <w:r w:rsidR="006213C8">
        <w:t>12</w:t>
      </w:r>
      <w:r w:rsidR="00F2072A">
        <w:t>)</w:t>
      </w:r>
      <w:r>
        <w:t>.</w:t>
      </w:r>
    </w:p>
    <w:p w:rsidR="006C5A0D" w:rsidRDefault="006C5A0D" w:rsidP="00F2072A">
      <w:pPr>
        <w:spacing w:after="0" w:line="240" w:lineRule="auto"/>
        <w:jc w:val="both"/>
      </w:pPr>
    </w:p>
    <w:p w:rsidR="00080F1D" w:rsidRDefault="00080F1D" w:rsidP="007524F1">
      <w:pPr>
        <w:autoSpaceDE w:val="0"/>
        <w:autoSpaceDN w:val="0"/>
        <w:adjustRightInd w:val="0"/>
        <w:spacing w:after="0" w:line="240" w:lineRule="auto"/>
        <w:jc w:val="both"/>
      </w:pPr>
      <w:r>
        <w:t xml:space="preserve">The NHF-2012 guidelines for secondary prevention recommend statin therapy </w:t>
      </w:r>
      <w:r w:rsidRPr="00080F1D">
        <w:t>for all patients with CHD (apart from in exceptional circumstances).</w:t>
      </w:r>
      <w:r>
        <w:t xml:space="preserve"> It also states that e</w:t>
      </w:r>
      <w:r w:rsidRPr="00080F1D">
        <w:t>zetimibe reduces the concentration of LDL-C by 15–20% as monother</w:t>
      </w:r>
      <w:r>
        <w:t>apy, or when added to a statin and that l</w:t>
      </w:r>
      <w:r w:rsidRPr="00080F1D">
        <w:t>ong-term safety data is satisfactory</w:t>
      </w:r>
      <w:r>
        <w:t xml:space="preserve">. </w:t>
      </w:r>
      <w:r w:rsidRPr="00E47C09">
        <w:rPr>
          <w:b/>
        </w:rPr>
        <w:t xml:space="preserve">The </w:t>
      </w:r>
      <w:r w:rsidR="007524F1" w:rsidRPr="007524F1">
        <w:rPr>
          <w:b/>
        </w:rPr>
        <w:t>NHF-2012</w:t>
      </w:r>
      <w:r w:rsidR="007524F1">
        <w:t xml:space="preserve"> </w:t>
      </w:r>
      <w:r w:rsidRPr="00E47C09">
        <w:rPr>
          <w:b/>
        </w:rPr>
        <w:t>guidelin</w:t>
      </w:r>
      <w:r w:rsidR="007524F1">
        <w:rPr>
          <w:b/>
        </w:rPr>
        <w:t>es did not explicitly position</w:t>
      </w:r>
      <w:r w:rsidRPr="00E47C09">
        <w:rPr>
          <w:b/>
        </w:rPr>
        <w:t xml:space="preserve"> ezetimibe as a second line therapy</w:t>
      </w:r>
      <w:r>
        <w:t>.</w:t>
      </w:r>
    </w:p>
    <w:p w:rsidR="00080F1D" w:rsidRDefault="00080F1D" w:rsidP="007524F1">
      <w:pPr>
        <w:autoSpaceDE w:val="0"/>
        <w:autoSpaceDN w:val="0"/>
        <w:adjustRightInd w:val="0"/>
        <w:spacing w:after="0" w:line="240" w:lineRule="auto"/>
        <w:jc w:val="both"/>
      </w:pPr>
    </w:p>
    <w:p w:rsidR="00517231" w:rsidRDefault="00E47C09" w:rsidP="007524F1">
      <w:pPr>
        <w:autoSpaceDE w:val="0"/>
        <w:autoSpaceDN w:val="0"/>
        <w:adjustRightInd w:val="0"/>
        <w:spacing w:after="0" w:line="240" w:lineRule="auto"/>
        <w:jc w:val="both"/>
      </w:pPr>
      <w:r>
        <w:t xml:space="preserve">The </w:t>
      </w:r>
      <w:r w:rsidR="00080F1D">
        <w:t xml:space="preserve">NVDPA-2012 guidelines for primary prevention </w:t>
      </w:r>
      <w:r w:rsidR="00517231">
        <w:t xml:space="preserve">also </w:t>
      </w:r>
      <w:r w:rsidR="00080F1D">
        <w:t>recommend</w:t>
      </w:r>
      <w:r>
        <w:t xml:space="preserve"> simultaneous treatment </w:t>
      </w:r>
      <w:r w:rsidR="00517231">
        <w:t xml:space="preserve">with </w:t>
      </w:r>
      <w:r>
        <w:t>lipid lowering and BP lowering drugs in patients assessed at high risk for CVD event unless contraindicated or clinically inappropriate. For the moderate risk patients</w:t>
      </w:r>
      <w:r w:rsidR="00517231">
        <w:t xml:space="preserve"> </w:t>
      </w:r>
      <w:r w:rsidR="007524F1">
        <w:t xml:space="preserve">BP lowering and/or lipid </w:t>
      </w:r>
      <w:r w:rsidR="00517231">
        <w:t>lowering drugs are recommended in addition to lifestyle advice if 3-6 months of lifestyle in</w:t>
      </w:r>
      <w:r w:rsidR="007524F1">
        <w:t xml:space="preserve">tervention does not reduce risk </w:t>
      </w:r>
      <w:r w:rsidR="00517231">
        <w:t>or</w:t>
      </w:r>
      <w:r w:rsidR="007524F1">
        <w:t xml:space="preserve"> one or more of the following is present</w:t>
      </w:r>
      <w:r w:rsidR="00517231">
        <w:t>:</w:t>
      </w:r>
    </w:p>
    <w:p w:rsidR="00517231" w:rsidRDefault="00517231" w:rsidP="007524F1">
      <w:pPr>
        <w:autoSpaceDE w:val="0"/>
        <w:autoSpaceDN w:val="0"/>
        <w:adjustRightInd w:val="0"/>
        <w:spacing w:after="0" w:line="240" w:lineRule="auto"/>
        <w:jc w:val="both"/>
      </w:pPr>
      <w:r>
        <w:t xml:space="preserve">• BP </w:t>
      </w:r>
      <w:r w:rsidR="007524F1">
        <w:t xml:space="preserve">is </w:t>
      </w:r>
      <w:r>
        <w:t>persistently</w:t>
      </w:r>
      <w:r w:rsidR="007524F1">
        <w:t xml:space="preserve"> ≥160/100 </w:t>
      </w:r>
      <w:r>
        <w:t>mmHg</w:t>
      </w:r>
    </w:p>
    <w:p w:rsidR="00517231" w:rsidRDefault="00517231" w:rsidP="007524F1">
      <w:pPr>
        <w:autoSpaceDE w:val="0"/>
        <w:autoSpaceDN w:val="0"/>
        <w:adjustRightInd w:val="0"/>
        <w:spacing w:after="0" w:line="240" w:lineRule="auto"/>
        <w:jc w:val="both"/>
      </w:pPr>
      <w:r>
        <w:t>• Family history of premature CVD</w:t>
      </w:r>
    </w:p>
    <w:p w:rsidR="004D081B" w:rsidRDefault="00517231" w:rsidP="007524F1">
      <w:pPr>
        <w:autoSpaceDE w:val="0"/>
        <w:autoSpaceDN w:val="0"/>
        <w:adjustRightInd w:val="0"/>
        <w:spacing w:after="0" w:line="240" w:lineRule="auto"/>
        <w:jc w:val="both"/>
      </w:pPr>
      <w:r>
        <w:t xml:space="preserve">• Specific population where the </w:t>
      </w:r>
      <w:r w:rsidR="007524F1">
        <w:t xml:space="preserve">Framingham Risk Equation systematically </w:t>
      </w:r>
      <w:r>
        <w:t>underestimates risk e.g.</w:t>
      </w:r>
      <w:r w:rsidR="007524F1">
        <w:t xml:space="preserve"> in Aboriginal or Torres Strait Islander [A&amp;TSI] people</w:t>
      </w:r>
      <w:r>
        <w:t>, South Asian,</w:t>
      </w:r>
      <w:r w:rsidR="007524F1">
        <w:t xml:space="preserve"> </w:t>
      </w:r>
      <w:r>
        <w:t xml:space="preserve">Maori and Pacific Islander, </w:t>
      </w:r>
      <w:r w:rsidR="007524F1">
        <w:t xml:space="preserve">or </w:t>
      </w:r>
      <w:r>
        <w:t xml:space="preserve">Middle </w:t>
      </w:r>
    </w:p>
    <w:p w:rsidR="004D081B" w:rsidRDefault="004D081B" w:rsidP="007524F1">
      <w:pPr>
        <w:autoSpaceDE w:val="0"/>
        <w:autoSpaceDN w:val="0"/>
        <w:adjustRightInd w:val="0"/>
        <w:spacing w:after="0" w:line="240" w:lineRule="auto"/>
        <w:jc w:val="both"/>
      </w:pPr>
    </w:p>
    <w:p w:rsidR="004D081B" w:rsidRDefault="00517231" w:rsidP="007524F1">
      <w:pPr>
        <w:autoSpaceDE w:val="0"/>
        <w:autoSpaceDN w:val="0"/>
        <w:adjustRightInd w:val="0"/>
        <w:spacing w:after="0" w:line="240" w:lineRule="auto"/>
        <w:jc w:val="both"/>
      </w:pPr>
      <w:r>
        <w:lastRenderedPageBreak/>
        <w:t>Eastern</w:t>
      </w:r>
      <w:r w:rsidR="007524F1">
        <w:t xml:space="preserve"> origin</w:t>
      </w:r>
      <w:r>
        <w:t>.</w:t>
      </w:r>
    </w:p>
    <w:p w:rsidR="004D081B" w:rsidRDefault="004D081B" w:rsidP="007524F1">
      <w:pPr>
        <w:autoSpaceDE w:val="0"/>
        <w:autoSpaceDN w:val="0"/>
        <w:adjustRightInd w:val="0"/>
        <w:spacing w:after="0" w:line="240" w:lineRule="auto"/>
        <w:jc w:val="both"/>
      </w:pPr>
    </w:p>
    <w:p w:rsidR="00080F1D" w:rsidRDefault="007524F1" w:rsidP="007524F1">
      <w:pPr>
        <w:autoSpaceDE w:val="0"/>
        <w:autoSpaceDN w:val="0"/>
        <w:adjustRightInd w:val="0"/>
        <w:spacing w:after="0" w:line="240" w:lineRule="auto"/>
        <w:jc w:val="both"/>
      </w:pPr>
      <w:r w:rsidRPr="007524F1">
        <w:rPr>
          <w:b/>
        </w:rPr>
        <w:t>The NVDPA-2012</w:t>
      </w:r>
      <w:r>
        <w:t xml:space="preserve"> </w:t>
      </w:r>
      <w:r w:rsidRPr="00E47C09">
        <w:rPr>
          <w:b/>
        </w:rPr>
        <w:t>guidelines explicitly positioned ezetimibe as a second line therapy</w:t>
      </w:r>
      <w:r>
        <w:rPr>
          <w:b/>
        </w:rPr>
        <w:t xml:space="preserve"> </w:t>
      </w:r>
      <w:r w:rsidR="00C76C96">
        <w:rPr>
          <w:b/>
        </w:rPr>
        <w:t>when</w:t>
      </w:r>
      <w:r w:rsidRPr="007524F1">
        <w:rPr>
          <w:b/>
        </w:rPr>
        <w:t xml:space="preserve"> LDL-C levels are not sufficiently reduced on max</w:t>
      </w:r>
      <w:r>
        <w:rPr>
          <w:b/>
        </w:rPr>
        <w:t>imally tolerated dose of statin (p.12)</w:t>
      </w:r>
      <w:r>
        <w:t>.</w:t>
      </w:r>
    </w:p>
    <w:p w:rsidR="004D081B" w:rsidRDefault="004D081B" w:rsidP="007524F1">
      <w:pPr>
        <w:autoSpaceDE w:val="0"/>
        <w:autoSpaceDN w:val="0"/>
        <w:adjustRightInd w:val="0"/>
        <w:spacing w:after="0" w:line="240" w:lineRule="auto"/>
        <w:jc w:val="both"/>
      </w:pPr>
    </w:p>
    <w:p w:rsidR="006C5A0D" w:rsidRPr="006C5A0D" w:rsidRDefault="00C87AC5" w:rsidP="00517231">
      <w:pPr>
        <w:pStyle w:val="Caption"/>
        <w:keepNext/>
        <w:keepLines/>
        <w:spacing w:after="0"/>
        <w:ind w:right="-472"/>
        <w:rPr>
          <w:rFonts w:ascii="Arial Narrow" w:eastAsia="Times New Roman" w:hAnsi="Arial Narrow" w:cs="Times New Roman"/>
          <w:b/>
          <w:bCs/>
          <w:i w:val="0"/>
          <w:iCs w:val="0"/>
          <w:color w:val="auto"/>
          <w:sz w:val="22"/>
          <w:szCs w:val="22"/>
          <w:lang w:eastAsia="en-AU"/>
        </w:rPr>
      </w:pPr>
      <w:r>
        <w:rPr>
          <w:rFonts w:ascii="Arial Narrow" w:eastAsia="Times New Roman" w:hAnsi="Arial Narrow" w:cs="Times New Roman"/>
          <w:b/>
          <w:bCs/>
          <w:i w:val="0"/>
          <w:iCs w:val="0"/>
          <w:color w:val="auto"/>
          <w:sz w:val="22"/>
          <w:szCs w:val="22"/>
          <w:lang w:eastAsia="en-AU"/>
        </w:rPr>
        <w:t>Figure 2</w:t>
      </w:r>
      <w:r w:rsidR="006C5A0D" w:rsidRPr="006C5A0D">
        <w:rPr>
          <w:rFonts w:ascii="Arial Narrow" w:eastAsia="Times New Roman" w:hAnsi="Arial Narrow" w:cs="Times New Roman"/>
          <w:b/>
          <w:bCs/>
          <w:i w:val="0"/>
          <w:iCs w:val="0"/>
          <w:color w:val="auto"/>
          <w:sz w:val="22"/>
          <w:szCs w:val="22"/>
          <w:lang w:eastAsia="en-AU"/>
        </w:rPr>
        <w:t xml:space="preserve">.1 </w:t>
      </w:r>
      <w:r w:rsidR="006213C8" w:rsidRPr="006213C8">
        <w:rPr>
          <w:rFonts w:ascii="Arial Narrow" w:eastAsia="Times New Roman" w:hAnsi="Arial Narrow" w:cs="Times New Roman"/>
          <w:b/>
          <w:bCs/>
          <w:i w:val="0"/>
          <w:iCs w:val="0"/>
          <w:color w:val="auto"/>
          <w:sz w:val="22"/>
          <w:szCs w:val="22"/>
          <w:lang w:eastAsia="en-AU"/>
        </w:rPr>
        <w:t>Risk Asses</w:t>
      </w:r>
      <w:r w:rsidR="006213C8">
        <w:rPr>
          <w:rFonts w:ascii="Arial Narrow" w:eastAsia="Times New Roman" w:hAnsi="Arial Narrow" w:cs="Times New Roman"/>
          <w:b/>
          <w:bCs/>
          <w:i w:val="0"/>
          <w:iCs w:val="0"/>
          <w:color w:val="auto"/>
          <w:sz w:val="22"/>
          <w:szCs w:val="22"/>
          <w:lang w:eastAsia="en-AU"/>
        </w:rPr>
        <w:t xml:space="preserve">sment and Management Algorithm: </w:t>
      </w:r>
      <w:r w:rsidR="006213C8" w:rsidRPr="006213C8">
        <w:rPr>
          <w:rFonts w:ascii="Arial Narrow" w:eastAsia="Times New Roman" w:hAnsi="Arial Narrow" w:cs="Times New Roman"/>
          <w:b/>
          <w:bCs/>
          <w:i w:val="0"/>
          <w:iCs w:val="0"/>
          <w:color w:val="auto"/>
          <w:sz w:val="22"/>
          <w:szCs w:val="22"/>
          <w:lang w:eastAsia="en-AU"/>
        </w:rPr>
        <w:t xml:space="preserve">Adults aged </w:t>
      </w:r>
      <w:r w:rsidR="00517231">
        <w:rPr>
          <w:rFonts w:ascii="Arial Narrow" w:eastAsia="Times New Roman" w:hAnsi="Arial Narrow" w:cs="Times New Roman"/>
          <w:b/>
          <w:bCs/>
          <w:i w:val="0"/>
          <w:iCs w:val="0"/>
          <w:color w:val="auto"/>
          <w:sz w:val="22"/>
          <w:szCs w:val="22"/>
          <w:lang w:eastAsia="en-AU"/>
        </w:rPr>
        <w:t>≥</w:t>
      </w:r>
      <w:r w:rsidR="006213C8" w:rsidRPr="006213C8">
        <w:rPr>
          <w:rFonts w:ascii="Arial Narrow" w:eastAsia="Times New Roman" w:hAnsi="Arial Narrow" w:cs="Times New Roman"/>
          <w:b/>
          <w:bCs/>
          <w:i w:val="0"/>
          <w:iCs w:val="0"/>
          <w:color w:val="auto"/>
          <w:sz w:val="22"/>
          <w:szCs w:val="22"/>
          <w:lang w:eastAsia="en-AU"/>
        </w:rPr>
        <w:t xml:space="preserve">45 years </w:t>
      </w:r>
      <w:r w:rsidR="00517231">
        <w:rPr>
          <w:rFonts w:ascii="Arial Narrow" w:eastAsia="Times New Roman" w:hAnsi="Arial Narrow" w:cs="Times New Roman"/>
          <w:b/>
          <w:bCs/>
          <w:i w:val="0"/>
          <w:iCs w:val="0"/>
          <w:color w:val="auto"/>
          <w:sz w:val="22"/>
          <w:szCs w:val="22"/>
          <w:lang w:eastAsia="en-AU"/>
        </w:rPr>
        <w:t xml:space="preserve">without known history </w:t>
      </w:r>
      <w:r w:rsidR="006213C8" w:rsidRPr="006213C8">
        <w:rPr>
          <w:rFonts w:ascii="Arial Narrow" w:eastAsia="Times New Roman" w:hAnsi="Arial Narrow" w:cs="Times New Roman"/>
          <w:b/>
          <w:bCs/>
          <w:i w:val="0"/>
          <w:iCs w:val="0"/>
          <w:color w:val="auto"/>
          <w:sz w:val="22"/>
          <w:szCs w:val="22"/>
          <w:lang w:eastAsia="en-AU"/>
        </w:rPr>
        <w:t>of CVD</w:t>
      </w:r>
    </w:p>
    <w:p w:rsidR="006C5A0D" w:rsidRDefault="006213C8" w:rsidP="006C5A0D">
      <w:pPr>
        <w:keepNext/>
        <w:keepLines/>
        <w:spacing w:after="0" w:line="240" w:lineRule="auto"/>
      </w:pPr>
      <w:r>
        <w:rPr>
          <w:noProof/>
          <w:lang w:eastAsia="en-AU"/>
        </w:rPr>
        <w:drawing>
          <wp:inline distT="0" distB="0" distL="0" distR="0" wp14:anchorId="54B569D4" wp14:editId="4EA9D191">
            <wp:extent cx="5836920" cy="69265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289" t="13187" r="64502" b="8117"/>
                    <a:stretch/>
                  </pic:blipFill>
                  <pic:spPr bwMode="auto">
                    <a:xfrm>
                      <a:off x="0" y="0"/>
                      <a:ext cx="5836920" cy="6926580"/>
                    </a:xfrm>
                    <a:prstGeom prst="rect">
                      <a:avLst/>
                    </a:prstGeom>
                    <a:ln>
                      <a:noFill/>
                    </a:ln>
                    <a:extLst>
                      <a:ext uri="{53640926-AAD7-44D8-BBD7-CCE9431645EC}">
                        <a14:shadowObscured xmlns:a14="http://schemas.microsoft.com/office/drawing/2010/main"/>
                      </a:ext>
                    </a:extLst>
                  </pic:spPr>
                </pic:pic>
              </a:graphicData>
            </a:graphic>
          </wp:inline>
        </w:drawing>
      </w:r>
    </w:p>
    <w:p w:rsidR="006C5A0D" w:rsidRDefault="006C5A0D" w:rsidP="006C5A0D">
      <w:pPr>
        <w:keepNext/>
        <w:keepLines/>
        <w:spacing w:after="0" w:line="240" w:lineRule="auto"/>
      </w:pPr>
    </w:p>
    <w:p w:rsidR="00554EF7" w:rsidRPr="00B412CB" w:rsidRDefault="00B412CB" w:rsidP="003267EA">
      <w:pPr>
        <w:spacing w:after="0" w:line="240" w:lineRule="auto"/>
        <w:rPr>
          <w:sz w:val="18"/>
          <w:szCs w:val="18"/>
        </w:rPr>
      </w:pPr>
      <w:r w:rsidRPr="00B412CB">
        <w:rPr>
          <w:sz w:val="18"/>
          <w:szCs w:val="18"/>
        </w:rPr>
        <w:t>EBR: Evidence-based recommendation (Graded A-D) CBR: Consensus-based recommendation PP: Practice point</w:t>
      </w:r>
    </w:p>
    <w:p w:rsidR="00B412CB" w:rsidRDefault="00B412CB" w:rsidP="003267EA">
      <w:pPr>
        <w:spacing w:after="0" w:line="240" w:lineRule="auto"/>
      </w:pPr>
    </w:p>
    <w:p w:rsidR="00642CEE" w:rsidRDefault="00517231" w:rsidP="007E6E49">
      <w:pPr>
        <w:spacing w:after="0" w:line="240" w:lineRule="auto"/>
        <w:jc w:val="both"/>
        <w:sectPr w:rsidR="00642CEE" w:rsidSect="00642CEE">
          <w:pgSz w:w="11906" w:h="16838"/>
          <w:pgMar w:top="1440" w:right="1440" w:bottom="1440" w:left="1440" w:header="708" w:footer="708" w:gutter="0"/>
          <w:cols w:space="708"/>
          <w:docGrid w:linePitch="360"/>
        </w:sectPr>
      </w:pPr>
      <w:r>
        <w:t xml:space="preserve">To summarise, </w:t>
      </w:r>
      <w:r w:rsidRPr="00517231">
        <w:rPr>
          <w:b/>
        </w:rPr>
        <w:t>t</w:t>
      </w:r>
      <w:r w:rsidR="00554EF7" w:rsidRPr="00517231">
        <w:rPr>
          <w:b/>
        </w:rPr>
        <w:t>he approach to clinical management corresponds to the hierarchy in risk assessment</w:t>
      </w:r>
      <w:r w:rsidR="00554EF7">
        <w:t>: for example</w:t>
      </w:r>
      <w:r w:rsidR="00F2072A">
        <w:t>,</w:t>
      </w:r>
      <w:r w:rsidR="00554EF7">
        <w:t xml:space="preserve"> decision to prescribe </w:t>
      </w:r>
      <w:r w:rsidR="00554EF7" w:rsidRPr="00554EF7">
        <w:t>BP-lowering and lipid lowering agents</w:t>
      </w:r>
      <w:r w:rsidR="00554EF7">
        <w:t xml:space="preserve"> would depend </w:t>
      </w:r>
      <w:r w:rsidR="00554EF7">
        <w:lastRenderedPageBreak/>
        <w:t>on a) whether the patient is in a high risk category, and if negative, b) on the combination of other risk factors, such as ethnicity</w:t>
      </w:r>
      <w:r w:rsidR="00554EF7" w:rsidRPr="00517231">
        <w:t xml:space="preserve">, </w:t>
      </w:r>
      <w:r w:rsidRPr="00517231">
        <w:t>hypertension</w:t>
      </w:r>
      <w:r w:rsidR="00554EF7" w:rsidRPr="00517231">
        <w:t xml:space="preserve">, and </w:t>
      </w:r>
      <w:r w:rsidRPr="00517231">
        <w:t>family</w:t>
      </w:r>
      <w:r>
        <w:t xml:space="preserve"> history of CVD</w:t>
      </w:r>
      <w:r w:rsidR="00554EF7">
        <w:t>.</w:t>
      </w:r>
      <w:r w:rsidR="00655D55">
        <w:t xml:space="preserve"> </w:t>
      </w:r>
      <w:r w:rsidR="00DC5EEE">
        <w:t xml:space="preserve">Table 1.1 outlines </w:t>
      </w:r>
      <w:r>
        <w:t>NVDPA-2012</w:t>
      </w:r>
      <w:r w:rsidR="00655D55">
        <w:t xml:space="preserve"> </w:t>
      </w:r>
      <w:r>
        <w:t xml:space="preserve">and NHF-2012 in terms of the </w:t>
      </w:r>
      <w:r w:rsidR="00655D55">
        <w:t>setting, population, risk factors and suggested lipid lowering management</w:t>
      </w:r>
    </w:p>
    <w:p w:rsidR="003267EA" w:rsidRPr="003267EA" w:rsidRDefault="003267EA" w:rsidP="003267EA">
      <w:pPr>
        <w:spacing w:after="0" w:line="240" w:lineRule="auto"/>
      </w:pPr>
    </w:p>
    <w:p w:rsidR="00F678F0" w:rsidRPr="006C5A0D" w:rsidRDefault="00C87AC5" w:rsidP="002D7B08">
      <w:pPr>
        <w:pStyle w:val="Heading3"/>
        <w:rPr>
          <w:rFonts w:eastAsia="Times New Roman"/>
          <w:lang w:eastAsia="en-AU"/>
        </w:rPr>
      </w:pPr>
      <w:bookmarkStart w:id="4" w:name="_Toc461644653"/>
      <w:r>
        <w:rPr>
          <w:rFonts w:eastAsia="Times New Roman"/>
          <w:lang w:eastAsia="en-AU"/>
        </w:rPr>
        <w:t>Table 2</w:t>
      </w:r>
      <w:r w:rsidR="00C9643D" w:rsidRPr="006C5A0D">
        <w:rPr>
          <w:rFonts w:eastAsia="Times New Roman"/>
          <w:lang w:eastAsia="en-AU"/>
        </w:rPr>
        <w:t>.1</w:t>
      </w:r>
      <w:r w:rsidR="00F678F0" w:rsidRPr="006C5A0D">
        <w:rPr>
          <w:rFonts w:eastAsia="Times New Roman"/>
          <w:lang w:eastAsia="en-AU"/>
        </w:rPr>
        <w:t xml:space="preserve"> Australian guidelines</w:t>
      </w:r>
      <w:r w:rsidR="00A50483" w:rsidRPr="006C5A0D">
        <w:rPr>
          <w:rFonts w:eastAsia="Times New Roman"/>
          <w:lang w:eastAsia="en-AU"/>
        </w:rPr>
        <w:t xml:space="preserve"> for </w:t>
      </w:r>
      <w:r w:rsidR="00C9643D" w:rsidRPr="006C5A0D">
        <w:rPr>
          <w:rFonts w:eastAsia="Times New Roman"/>
          <w:lang w:eastAsia="en-AU"/>
        </w:rPr>
        <w:t>assessment and management of absolute cardiovascular disease risk</w:t>
      </w:r>
      <w:r w:rsidR="002C3DFE">
        <w:rPr>
          <w:rFonts w:eastAsia="Times New Roman"/>
          <w:lang w:eastAsia="en-AU"/>
        </w:rPr>
        <w:t xml:space="preserve"> (NVDPA-2012)</w:t>
      </w:r>
      <w:bookmarkEnd w:id="4"/>
    </w:p>
    <w:tbl>
      <w:tblPr>
        <w:tblStyle w:val="TableGrid"/>
        <w:tblW w:w="14454" w:type="dxa"/>
        <w:tblLayout w:type="fixed"/>
        <w:tblLook w:val="04A0" w:firstRow="1" w:lastRow="0" w:firstColumn="1" w:lastColumn="0" w:noHBand="0" w:noVBand="1"/>
      </w:tblPr>
      <w:tblGrid>
        <w:gridCol w:w="1980"/>
        <w:gridCol w:w="2126"/>
        <w:gridCol w:w="3969"/>
        <w:gridCol w:w="2693"/>
        <w:gridCol w:w="3686"/>
      </w:tblGrid>
      <w:tr w:rsidR="008013A7" w:rsidTr="003D60B5">
        <w:tc>
          <w:tcPr>
            <w:tcW w:w="1980" w:type="dxa"/>
          </w:tcPr>
          <w:p w:rsidR="008013A7" w:rsidRPr="008013A7" w:rsidRDefault="008013A7" w:rsidP="0020198D">
            <w:pPr>
              <w:rPr>
                <w:b/>
              </w:rPr>
            </w:pPr>
            <w:r w:rsidRPr="008013A7">
              <w:rPr>
                <w:b/>
              </w:rPr>
              <w:t>Guidelines</w:t>
            </w:r>
          </w:p>
        </w:tc>
        <w:tc>
          <w:tcPr>
            <w:tcW w:w="2126" w:type="dxa"/>
          </w:tcPr>
          <w:p w:rsidR="008013A7" w:rsidRPr="008013A7" w:rsidRDefault="008013A7">
            <w:pPr>
              <w:rPr>
                <w:b/>
              </w:rPr>
            </w:pPr>
            <w:r w:rsidRPr="008013A7">
              <w:rPr>
                <w:b/>
              </w:rPr>
              <w:t>Setting/Population/scope</w:t>
            </w:r>
          </w:p>
        </w:tc>
        <w:tc>
          <w:tcPr>
            <w:tcW w:w="3969" w:type="dxa"/>
          </w:tcPr>
          <w:p w:rsidR="008013A7" w:rsidRPr="00E86312" w:rsidRDefault="00E86312">
            <w:pPr>
              <w:rPr>
                <w:b/>
              </w:rPr>
            </w:pPr>
            <w:r w:rsidRPr="00E86312">
              <w:rPr>
                <w:b/>
              </w:rPr>
              <w:t>Risk factors included</w:t>
            </w:r>
          </w:p>
        </w:tc>
        <w:tc>
          <w:tcPr>
            <w:tcW w:w="2693" w:type="dxa"/>
          </w:tcPr>
          <w:p w:rsidR="008013A7" w:rsidRPr="00E86312" w:rsidRDefault="00165BDA">
            <w:pPr>
              <w:rPr>
                <w:b/>
              </w:rPr>
            </w:pPr>
            <w:r>
              <w:rPr>
                <w:b/>
              </w:rPr>
              <w:t>Absolute r</w:t>
            </w:r>
            <w:r w:rsidR="00E86312" w:rsidRPr="00E86312">
              <w:rPr>
                <w:b/>
              </w:rPr>
              <w:t>isk assessment tool</w:t>
            </w:r>
          </w:p>
        </w:tc>
        <w:tc>
          <w:tcPr>
            <w:tcW w:w="3686" w:type="dxa"/>
          </w:tcPr>
          <w:p w:rsidR="008013A7" w:rsidRPr="00A6442E" w:rsidRDefault="00A6442E" w:rsidP="00633A52">
            <w:pPr>
              <w:rPr>
                <w:b/>
              </w:rPr>
            </w:pPr>
            <w:r w:rsidRPr="00A6442E">
              <w:rPr>
                <w:b/>
              </w:rPr>
              <w:t xml:space="preserve">Suggested </w:t>
            </w:r>
            <w:r w:rsidR="00633A52">
              <w:rPr>
                <w:b/>
              </w:rPr>
              <w:t xml:space="preserve">lipid lowering </w:t>
            </w:r>
            <w:r w:rsidRPr="00A6442E">
              <w:rPr>
                <w:b/>
              </w:rPr>
              <w:t>management</w:t>
            </w:r>
            <w:r w:rsidR="00633A52">
              <w:rPr>
                <w:b/>
              </w:rPr>
              <w:t xml:space="preserve"> </w:t>
            </w:r>
          </w:p>
        </w:tc>
      </w:tr>
      <w:tr w:rsidR="0020198D" w:rsidTr="003D60B5">
        <w:tc>
          <w:tcPr>
            <w:tcW w:w="1980" w:type="dxa"/>
          </w:tcPr>
          <w:p w:rsidR="0020198D" w:rsidRDefault="0020198D" w:rsidP="008A148A">
            <w:r w:rsidRPr="00875422">
              <w:t>National Vascular Disease Prevention Alliance</w:t>
            </w:r>
            <w:r w:rsidR="008A148A">
              <w:t xml:space="preserve">. </w:t>
            </w:r>
            <w:r w:rsidR="008A148A" w:rsidRPr="008A148A">
              <w:rPr>
                <w:i/>
              </w:rPr>
              <w:t xml:space="preserve">Guidelines for the </w:t>
            </w:r>
            <w:r w:rsidRPr="008A148A">
              <w:rPr>
                <w:i/>
              </w:rPr>
              <w:t>management of absolute cardiovascular disease risk</w:t>
            </w:r>
            <w:r>
              <w:t xml:space="preserve">. </w:t>
            </w:r>
            <w:r w:rsidRPr="008A148A">
              <w:t>Australia, 2012</w:t>
            </w:r>
            <w:r w:rsidR="00B822FE">
              <w:t xml:space="preserve"> +</w:t>
            </w:r>
          </w:p>
          <w:p w:rsidR="00B822FE" w:rsidRDefault="00B822FE" w:rsidP="008A148A"/>
          <w:p w:rsidR="00B822FE" w:rsidRDefault="00B822FE" w:rsidP="008A148A">
            <w:r w:rsidRPr="00B822FE">
              <w:t xml:space="preserve">the Australian </w:t>
            </w:r>
            <w:r w:rsidRPr="00B822FE">
              <w:rPr>
                <w:i/>
              </w:rPr>
              <w:t>Absolute Cardiovascular Disease Risk Assessment</w:t>
            </w:r>
          </w:p>
        </w:tc>
        <w:tc>
          <w:tcPr>
            <w:tcW w:w="2126" w:type="dxa"/>
          </w:tcPr>
          <w:p w:rsidR="0020198D" w:rsidRDefault="008A148A" w:rsidP="0020198D">
            <w:r>
              <w:rPr>
                <w:b/>
              </w:rPr>
              <w:t>P</w:t>
            </w:r>
            <w:r w:rsidR="0020198D" w:rsidRPr="008013A7">
              <w:rPr>
                <w:b/>
              </w:rPr>
              <w:t xml:space="preserve">rimary prevention </w:t>
            </w:r>
            <w:r w:rsidR="0020198D">
              <w:t>setting in all adults over 45 years of age (35 years for people of Aboriginal or Torres Strait Islander [A&amp;TSI] decent) without known history of CVD*;</w:t>
            </w:r>
          </w:p>
          <w:p w:rsidR="0020198D" w:rsidRDefault="0020198D" w:rsidP="0020198D"/>
        </w:tc>
        <w:tc>
          <w:tcPr>
            <w:tcW w:w="3969" w:type="dxa"/>
          </w:tcPr>
          <w:p w:rsidR="0020198D" w:rsidRDefault="0020198D" w:rsidP="0020198D">
            <w:r>
              <w:rPr>
                <w:b/>
                <w:i/>
              </w:rPr>
              <w:t xml:space="preserve">The following </w:t>
            </w:r>
            <w:r w:rsidRPr="00905EE1">
              <w:rPr>
                <w:b/>
                <w:i/>
              </w:rPr>
              <w:t xml:space="preserve">conditions </w:t>
            </w:r>
            <w:r w:rsidRPr="00AE7E67">
              <w:rPr>
                <w:b/>
                <w:i/>
              </w:rPr>
              <w:t>are identified with</w:t>
            </w:r>
            <w:r>
              <w:t xml:space="preserve"> </w:t>
            </w:r>
            <w:r>
              <w:rPr>
                <w:b/>
                <w:i/>
              </w:rPr>
              <w:t>h</w:t>
            </w:r>
            <w:r w:rsidRPr="00905EE1">
              <w:rPr>
                <w:b/>
                <w:i/>
              </w:rPr>
              <w:t xml:space="preserve">igh risk </w:t>
            </w:r>
            <w:r w:rsidRPr="00AE7E67">
              <w:rPr>
                <w:b/>
                <w:i/>
              </w:rPr>
              <w:t>of a cardiovascular event</w:t>
            </w:r>
            <w:r w:rsidR="00C9643D">
              <w:rPr>
                <w:b/>
                <w:i/>
              </w:rPr>
              <w:t xml:space="preserve"> without resorting to risk assessment chart or a calculator</w:t>
            </w:r>
            <w:r>
              <w:t>:</w:t>
            </w:r>
          </w:p>
          <w:p w:rsidR="0020198D" w:rsidRDefault="0020198D" w:rsidP="0020198D">
            <w:r>
              <w:t>•Diabetes and age &gt;60 years</w:t>
            </w:r>
          </w:p>
          <w:p w:rsidR="0020198D" w:rsidRDefault="0020198D" w:rsidP="0020198D">
            <w:r>
              <w:t>•Diabetes with microalbuminuria (&gt; 20 mcg/min or urinary albumin:creatinine ratio &gt;2.5 mg/mmol for males, &gt;3.5 mg/</w:t>
            </w:r>
          </w:p>
          <w:p w:rsidR="0020198D" w:rsidRDefault="0020198D" w:rsidP="0020198D">
            <w:r>
              <w:t>mmol for females)</w:t>
            </w:r>
          </w:p>
          <w:p w:rsidR="0020198D" w:rsidRDefault="0020198D" w:rsidP="0020198D">
            <w:r>
              <w:t>•</w:t>
            </w:r>
            <w:r w:rsidRPr="008113D2">
              <w:t>Moderate or severe chronic kidney disease (</w:t>
            </w:r>
            <w:r>
              <w:t>persistent proteinuria or estimated glomerular filtration rate [eGFR] &lt;45 mL/min/1.73 m</w:t>
            </w:r>
            <w:r w:rsidRPr="004B20AF">
              <w:rPr>
                <w:vertAlign w:val="superscript"/>
              </w:rPr>
              <w:t>2</w:t>
            </w:r>
            <w:r>
              <w:t>)</w:t>
            </w:r>
          </w:p>
          <w:p w:rsidR="0020198D" w:rsidRDefault="0020198D" w:rsidP="0020198D">
            <w:r>
              <w:t>•A previous diagnosis of familial hypercholesterolaemia</w:t>
            </w:r>
          </w:p>
          <w:p w:rsidR="0020198D" w:rsidRDefault="0020198D" w:rsidP="0020198D">
            <w:r>
              <w:t>•Systolic blood pressure ≥180 mmHg or diastolic blood pressure ≥110 mmHg</w:t>
            </w:r>
          </w:p>
          <w:p w:rsidR="0020198D" w:rsidRDefault="0020198D" w:rsidP="0020198D">
            <w:r>
              <w:t>•Serum total cholesterol &gt;7.5 mmol/L</w:t>
            </w:r>
          </w:p>
          <w:p w:rsidR="0020198D" w:rsidRDefault="0020198D" w:rsidP="0020198D">
            <w:r>
              <w:t>•</w:t>
            </w:r>
            <w:r w:rsidRPr="00E611E2">
              <w:t xml:space="preserve">Aboriginal and Torres Strait Islander adults aged over 74 </w:t>
            </w:r>
          </w:p>
          <w:p w:rsidR="0020198D" w:rsidRPr="00E611E2" w:rsidRDefault="0020198D" w:rsidP="0020198D"/>
          <w:p w:rsidR="0020198D" w:rsidRDefault="0020198D" w:rsidP="0020198D">
            <w:r>
              <w:rPr>
                <w:b/>
                <w:i/>
              </w:rPr>
              <w:t xml:space="preserve">For patients aged </w:t>
            </w:r>
            <w:r w:rsidRPr="00850A1F">
              <w:rPr>
                <w:b/>
                <w:i/>
              </w:rPr>
              <w:t>≥ 45 years, or ≥ 35 for Aboriginal an</w:t>
            </w:r>
            <w:r>
              <w:rPr>
                <w:b/>
                <w:i/>
              </w:rPr>
              <w:t>d Torres Strait Islander people</w:t>
            </w:r>
            <w:r w:rsidRPr="00850A1F">
              <w:rPr>
                <w:b/>
                <w:i/>
              </w:rPr>
              <w:t xml:space="preserve"> </w:t>
            </w:r>
            <w:r>
              <w:rPr>
                <w:b/>
                <w:i/>
              </w:rPr>
              <w:t>without any of the above h</w:t>
            </w:r>
            <w:r w:rsidRPr="00905EE1">
              <w:rPr>
                <w:b/>
                <w:i/>
              </w:rPr>
              <w:t xml:space="preserve">igh risk </w:t>
            </w:r>
            <w:r>
              <w:rPr>
                <w:b/>
                <w:i/>
              </w:rPr>
              <w:t xml:space="preserve">conditions use </w:t>
            </w:r>
            <w:r w:rsidR="00781724">
              <w:rPr>
                <w:b/>
                <w:i/>
              </w:rPr>
              <w:t xml:space="preserve">an </w:t>
            </w:r>
            <w:r>
              <w:rPr>
                <w:b/>
                <w:i/>
              </w:rPr>
              <w:t xml:space="preserve">absolute risk calculator </w:t>
            </w:r>
            <w:r w:rsidR="00781724">
              <w:t>(</w:t>
            </w:r>
            <w:r>
              <w:t>Framingham Risk Equation</w:t>
            </w:r>
            <w:r w:rsidR="00781724">
              <w:t>)</w:t>
            </w:r>
            <w:r>
              <w:t xml:space="preserve"> to assess an absolute risk of CHD event</w:t>
            </w:r>
          </w:p>
        </w:tc>
        <w:tc>
          <w:tcPr>
            <w:tcW w:w="2693" w:type="dxa"/>
          </w:tcPr>
          <w:p w:rsidR="0020198D" w:rsidRDefault="0020198D" w:rsidP="0020198D">
            <w:r>
              <w:t>Framingham Risk Equation</w:t>
            </w:r>
          </w:p>
          <w:p w:rsidR="0020198D" w:rsidRDefault="0020198D" w:rsidP="0020198D">
            <w:pPr>
              <w:rPr>
                <w:b/>
              </w:rPr>
            </w:pPr>
            <w:r w:rsidRPr="002D154A">
              <w:t>http://www.cvdcheck.org.au/</w:t>
            </w:r>
            <w:r>
              <w:t xml:space="preserve"> assesses CVD risk = likelihood of a person experiencing a cardiovascular event within the </w:t>
            </w:r>
            <w:r w:rsidRPr="00E86312">
              <w:rPr>
                <w:b/>
              </w:rPr>
              <w:t>next five years</w:t>
            </w:r>
            <w:r>
              <w:rPr>
                <w:b/>
              </w:rPr>
              <w:t>;</w:t>
            </w:r>
          </w:p>
          <w:p w:rsidR="0020198D" w:rsidRDefault="0020198D" w:rsidP="0020198D"/>
          <w:p w:rsidR="0020198D" w:rsidRDefault="0020198D" w:rsidP="0020198D">
            <w:r>
              <w:t>Absolute risk (AR) is calculated as the probability of a stroke, transient ischaemic attack, myocardial infarction, angina, peripheral arterial disease or heart failure occurring within the next 5 years.</w:t>
            </w:r>
          </w:p>
          <w:p w:rsidR="0020198D" w:rsidRDefault="0020198D" w:rsidP="0020198D"/>
          <w:p w:rsidR="0020198D" w:rsidRDefault="0020198D" w:rsidP="0020198D">
            <w:r w:rsidRPr="00554D18">
              <w:t xml:space="preserve">Cut-off threshold for </w:t>
            </w:r>
          </w:p>
          <w:p w:rsidR="003E0EA4" w:rsidRDefault="0020198D" w:rsidP="0020198D">
            <w:r w:rsidRPr="00554D18">
              <w:t xml:space="preserve">high risk is </w:t>
            </w:r>
            <w:r w:rsidR="003E0EA4">
              <w:t>&gt;</w:t>
            </w:r>
            <w:r w:rsidRPr="00554D18">
              <w:t>15%</w:t>
            </w:r>
            <w:r>
              <w:t xml:space="preserve">; </w:t>
            </w:r>
          </w:p>
          <w:p w:rsidR="0020198D" w:rsidRDefault="0020198D" w:rsidP="0020198D">
            <w:r>
              <w:t xml:space="preserve">moderate AR is 10%-15%; </w:t>
            </w:r>
          </w:p>
          <w:p w:rsidR="0020198D" w:rsidRDefault="0020198D" w:rsidP="0020198D">
            <w:pPr>
              <w:rPr>
                <w:b/>
              </w:rPr>
            </w:pPr>
            <w:r>
              <w:t>low risk is &lt;10%</w:t>
            </w:r>
          </w:p>
          <w:p w:rsidR="0020198D" w:rsidRDefault="0020198D" w:rsidP="0020198D">
            <w:pPr>
              <w:rPr>
                <w:b/>
              </w:rPr>
            </w:pPr>
          </w:p>
          <w:p w:rsidR="0020198D" w:rsidRDefault="0020198D" w:rsidP="0020198D"/>
        </w:tc>
        <w:tc>
          <w:tcPr>
            <w:tcW w:w="3686" w:type="dxa"/>
          </w:tcPr>
          <w:p w:rsidR="0020198D" w:rsidRDefault="0020198D" w:rsidP="0020198D">
            <w:r w:rsidRPr="00554D18">
              <w:t xml:space="preserve">Patients at high absolute </w:t>
            </w:r>
            <w:r>
              <w:t xml:space="preserve">risk of CVD (&gt;15% over 5 years) </w:t>
            </w:r>
            <w:r w:rsidRPr="00554D18">
              <w:t xml:space="preserve">should be treated with both BP-lowering and lipid </w:t>
            </w:r>
            <w:r>
              <w:t xml:space="preserve">lowering </w:t>
            </w:r>
            <w:r w:rsidRPr="00554D18">
              <w:t>agents</w:t>
            </w:r>
            <w:r>
              <w:t>;</w:t>
            </w:r>
          </w:p>
          <w:p w:rsidR="0020198D" w:rsidRDefault="0020198D" w:rsidP="0020198D">
            <w:r>
              <w:t>For patients at moderate absolute risk of CVD (10%–15%) treatment with a BP-lowering and/or a lipid-lowering agent should be considered if the risk remains elevated after lifestyle interventions, BP is &gt;160/100mmHg, there is a family history of premature CVD, or an ethnicity factor; statins should be used as the first-line therapy. If LDL-C levels are not sufficiently reduced on maximally tolerated dose of statin, one or more</w:t>
            </w:r>
          </w:p>
          <w:p w:rsidR="0020198D" w:rsidRDefault="0020198D" w:rsidP="0020198D">
            <w:r>
              <w:t>of the following may be added:</w:t>
            </w:r>
          </w:p>
          <w:p w:rsidR="0020198D" w:rsidRDefault="0020198D" w:rsidP="0020198D">
            <w:r>
              <w:t xml:space="preserve">• </w:t>
            </w:r>
            <w:r w:rsidRPr="008B46B7">
              <w:rPr>
                <w:b/>
              </w:rPr>
              <w:t>ezetimibe</w:t>
            </w:r>
          </w:p>
          <w:p w:rsidR="0020198D" w:rsidRDefault="0020198D" w:rsidP="0020198D">
            <w:r>
              <w:t>• bile acid binding resin</w:t>
            </w:r>
          </w:p>
          <w:p w:rsidR="0020198D" w:rsidRDefault="0020198D" w:rsidP="0020198D">
            <w:pPr>
              <w:rPr>
                <w:b/>
              </w:rPr>
            </w:pPr>
            <w:r>
              <w:t>• nicotinic acid</w:t>
            </w:r>
            <w:r>
              <w:rPr>
                <w:b/>
              </w:rPr>
              <w:t xml:space="preserve"> </w:t>
            </w:r>
          </w:p>
          <w:p w:rsidR="0020198D" w:rsidRDefault="0020198D" w:rsidP="0020198D">
            <w:r>
              <w:rPr>
                <w:b/>
              </w:rPr>
              <w:t xml:space="preserve">Recommended targets for lipid </w:t>
            </w:r>
            <w:r w:rsidRPr="00BA3307">
              <w:t>c</w:t>
            </w:r>
            <w:r>
              <w:t xml:space="preserve">ontrol in patients with high to </w:t>
            </w:r>
            <w:r w:rsidRPr="00BA3307">
              <w:t>moderate risk of CVD events</w:t>
            </w:r>
          </w:p>
          <w:p w:rsidR="0020198D" w:rsidRDefault="0020198D" w:rsidP="0020198D">
            <w:r>
              <w:t>TC &lt;4.0 mmol/L;</w:t>
            </w:r>
          </w:p>
          <w:p w:rsidR="0020198D" w:rsidRDefault="0020198D" w:rsidP="0020198D">
            <w:r>
              <w:t>HDL-C ≥1.0 mmol/L;</w:t>
            </w:r>
          </w:p>
          <w:p w:rsidR="0020198D" w:rsidRDefault="0020198D" w:rsidP="0020198D">
            <w:r>
              <w:t>LDL-C &lt;2.0 mmol/L;</w:t>
            </w:r>
          </w:p>
          <w:p w:rsidR="0020198D" w:rsidRDefault="0020198D" w:rsidP="0020198D">
            <w:r>
              <w:t>Non HDL-C &lt;2.5 mmol/L;</w:t>
            </w:r>
          </w:p>
          <w:p w:rsidR="0020198D" w:rsidRDefault="0020198D" w:rsidP="0020198D">
            <w:r>
              <w:t>TG &lt;2.0 mmol/L.</w:t>
            </w:r>
          </w:p>
        </w:tc>
      </w:tr>
      <w:tr w:rsidR="0020198D" w:rsidTr="003D60B5">
        <w:tc>
          <w:tcPr>
            <w:tcW w:w="1980" w:type="dxa"/>
          </w:tcPr>
          <w:p w:rsidR="0020198D" w:rsidRPr="00AD5ED1" w:rsidRDefault="0020198D" w:rsidP="0020198D">
            <w:r w:rsidRPr="00AD5ED1">
              <w:t xml:space="preserve">National Heart </w:t>
            </w:r>
            <w:r w:rsidRPr="00AD5ED1">
              <w:lastRenderedPageBreak/>
              <w:t>Foundation of Australia and the Cardiac Society of Australia and New</w:t>
            </w:r>
          </w:p>
          <w:p w:rsidR="008A148A" w:rsidRDefault="0020198D" w:rsidP="0020198D">
            <w:pPr>
              <w:rPr>
                <w:i/>
              </w:rPr>
            </w:pPr>
            <w:r w:rsidRPr="00AD5ED1">
              <w:t>Zealand.</w:t>
            </w:r>
            <w:r w:rsidRPr="0039609A">
              <w:rPr>
                <w:i/>
              </w:rPr>
              <w:t xml:space="preserve"> Reducing risk in heart disease: an expert guide to clinical pract</w:t>
            </w:r>
            <w:r>
              <w:rPr>
                <w:i/>
              </w:rPr>
              <w:t xml:space="preserve">ice </w:t>
            </w:r>
            <w:r w:rsidRPr="008A148A">
              <w:rPr>
                <w:i/>
              </w:rPr>
              <w:t>for secondary prevention of coronary heart disease.</w:t>
            </w:r>
            <w:r w:rsidRPr="0039609A">
              <w:rPr>
                <w:i/>
              </w:rPr>
              <w:t xml:space="preserve"> </w:t>
            </w:r>
          </w:p>
          <w:p w:rsidR="0020198D" w:rsidRDefault="0020198D" w:rsidP="0020198D">
            <w:r w:rsidRPr="00AD5ED1">
              <w:t>Australia, 2012</w:t>
            </w:r>
            <w:r>
              <w:t xml:space="preserve"> </w:t>
            </w:r>
          </w:p>
          <w:p w:rsidR="0020198D" w:rsidRDefault="0020198D" w:rsidP="0020198D"/>
          <w:p w:rsidR="0020198D" w:rsidRDefault="0020198D" w:rsidP="0020198D"/>
          <w:p w:rsidR="0020198D" w:rsidRPr="008013A7" w:rsidRDefault="0020198D" w:rsidP="00BB0D00">
            <w:pPr>
              <w:rPr>
                <w:i/>
              </w:rPr>
            </w:pPr>
          </w:p>
        </w:tc>
        <w:tc>
          <w:tcPr>
            <w:tcW w:w="2126" w:type="dxa"/>
          </w:tcPr>
          <w:p w:rsidR="008A148A" w:rsidRDefault="008A148A" w:rsidP="0020198D">
            <w:r>
              <w:rPr>
                <w:b/>
              </w:rPr>
              <w:lastRenderedPageBreak/>
              <w:t>Secondary</w:t>
            </w:r>
            <w:r w:rsidRPr="008013A7">
              <w:rPr>
                <w:b/>
              </w:rPr>
              <w:t xml:space="preserve"> </w:t>
            </w:r>
            <w:r w:rsidRPr="008013A7">
              <w:rPr>
                <w:b/>
              </w:rPr>
              <w:lastRenderedPageBreak/>
              <w:t>prevention</w:t>
            </w:r>
          </w:p>
          <w:p w:rsidR="0020198D" w:rsidRPr="000839E2" w:rsidRDefault="0020198D" w:rsidP="0020198D">
            <w:pPr>
              <w:rPr>
                <w:b/>
              </w:rPr>
            </w:pPr>
            <w:r>
              <w:t xml:space="preserve">Patients with </w:t>
            </w:r>
            <w:r w:rsidRPr="000839E2">
              <w:rPr>
                <w:b/>
              </w:rPr>
              <w:t>existing coronary</w:t>
            </w:r>
          </w:p>
          <w:p w:rsidR="0020198D" w:rsidRDefault="0020198D" w:rsidP="0020198D">
            <w:r w:rsidRPr="000839E2">
              <w:rPr>
                <w:b/>
              </w:rPr>
              <w:t>heart disease</w:t>
            </w:r>
            <w:r>
              <w:t xml:space="preserve"> (CHD).</w:t>
            </w:r>
          </w:p>
          <w:p w:rsidR="0020198D" w:rsidRDefault="0020198D" w:rsidP="0020198D">
            <w:r>
              <w:t>This guide can be used by health professionals across the continuum of CHD care, including</w:t>
            </w:r>
          </w:p>
          <w:p w:rsidR="0020198D" w:rsidRDefault="0020198D" w:rsidP="0020198D">
            <w:r>
              <w:t xml:space="preserve">in acute settings, general practice, including for </w:t>
            </w:r>
            <w:r w:rsidRPr="00512D61">
              <w:t xml:space="preserve"> Chronic Disease Management (CDM) Medicare items</w:t>
            </w:r>
            <w:r>
              <w:t>, primary care, cardiac rehabilitation, and community and allied</w:t>
            </w:r>
          </w:p>
          <w:p w:rsidR="0020198D" w:rsidRDefault="0020198D" w:rsidP="0020198D">
            <w:r>
              <w:t>health services</w:t>
            </w:r>
          </w:p>
          <w:p w:rsidR="0020198D" w:rsidRDefault="0020198D" w:rsidP="0020198D"/>
        </w:tc>
        <w:tc>
          <w:tcPr>
            <w:tcW w:w="3969" w:type="dxa"/>
          </w:tcPr>
          <w:p w:rsidR="0020198D" w:rsidRDefault="005E56C1" w:rsidP="005E56C1">
            <w:r>
              <w:lastRenderedPageBreak/>
              <w:t xml:space="preserve">By definition, patients diagnosed with </w:t>
            </w:r>
            <w:r>
              <w:lastRenderedPageBreak/>
              <w:t>existing coronary heart disease are at high risk of CVD event. In addition, the guidance stated that</w:t>
            </w:r>
          </w:p>
          <w:p w:rsidR="005E56C1" w:rsidRDefault="005E56C1" w:rsidP="005E56C1">
            <w:r>
              <w:t xml:space="preserve">• diabetes, </w:t>
            </w:r>
          </w:p>
          <w:p w:rsidR="005E56C1" w:rsidRDefault="005E56C1" w:rsidP="005E56C1">
            <w:r>
              <w:t xml:space="preserve">• renal impairment and </w:t>
            </w:r>
          </w:p>
          <w:p w:rsidR="005E56C1" w:rsidRDefault="005E56C1" w:rsidP="005E56C1">
            <w:r>
              <w:t xml:space="preserve">• non-CHD manifestations of </w:t>
            </w:r>
          </w:p>
          <w:p w:rsidR="005E56C1" w:rsidRDefault="005E56C1" w:rsidP="005E56C1">
            <w:r>
              <w:t xml:space="preserve">   atherosclerosis, such as cerebrovascular </w:t>
            </w:r>
          </w:p>
          <w:p w:rsidR="005E56C1" w:rsidRDefault="005E56C1" w:rsidP="005E56C1">
            <w:r>
              <w:t xml:space="preserve">   or peripheral vascular disease, </w:t>
            </w:r>
          </w:p>
          <w:p w:rsidR="0020198D" w:rsidRDefault="005E56C1" w:rsidP="0020198D">
            <w:r>
              <w:t>indicat</w:t>
            </w:r>
            <w:r w:rsidR="00B822FE">
              <w:t>e high risk for coronary events</w:t>
            </w:r>
            <w:r>
              <w:t xml:space="preserve"> </w:t>
            </w:r>
            <w:r w:rsidR="00B822FE">
              <w:t>a</w:t>
            </w:r>
            <w:r>
              <w:t xml:space="preserve">nd suggests that patients with CHD should be screened for these conditions regularly. </w:t>
            </w:r>
          </w:p>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Default="0020198D" w:rsidP="0020198D"/>
          <w:p w:rsidR="0020198D" w:rsidRPr="00905EE1" w:rsidRDefault="0020198D" w:rsidP="0020198D">
            <w:pPr>
              <w:rPr>
                <w:b/>
                <w:i/>
              </w:rPr>
            </w:pPr>
          </w:p>
        </w:tc>
        <w:tc>
          <w:tcPr>
            <w:tcW w:w="2693" w:type="dxa"/>
          </w:tcPr>
          <w:p w:rsidR="0020198D" w:rsidRDefault="0020198D" w:rsidP="0020198D">
            <w:r>
              <w:lastRenderedPageBreak/>
              <w:t>Not applicable</w:t>
            </w:r>
          </w:p>
        </w:tc>
        <w:tc>
          <w:tcPr>
            <w:tcW w:w="3686" w:type="dxa"/>
          </w:tcPr>
          <w:p w:rsidR="0020198D" w:rsidRDefault="0020198D" w:rsidP="0020198D">
            <w:r>
              <w:t xml:space="preserve">Use of lifestyle modification. </w:t>
            </w:r>
            <w:r w:rsidRPr="00E51F4E">
              <w:t xml:space="preserve">statins </w:t>
            </w:r>
            <w:r w:rsidRPr="00E51F4E">
              <w:lastRenderedPageBreak/>
              <w:t>and BP-lowering medication</w:t>
            </w:r>
            <w:r>
              <w:t xml:space="preserve"> for the secondary prevention of CVD event in high risk population </w:t>
            </w:r>
          </w:p>
          <w:p w:rsidR="0020198D" w:rsidRDefault="0020198D" w:rsidP="0020198D">
            <w:r>
              <w:t xml:space="preserve">• Statin therapy is recommended for all patients with CHD (unless exceptional circumstances apply) </w:t>
            </w:r>
          </w:p>
          <w:p w:rsidR="0020198D" w:rsidRDefault="0020198D" w:rsidP="0020198D">
            <w:r>
              <w:t>• Statins are an added benefit to improve health that do not replace lifestyle changes</w:t>
            </w:r>
          </w:p>
          <w:p w:rsidR="0020198D" w:rsidRDefault="0020198D" w:rsidP="0020198D">
            <w:r>
              <w:t>• Muscle aches and pains are a common side effect, but rhabdomyolysis is rare. If creatine kinase id three times the upper limit of normal, monitor the patient closely and consider stopping statin therapy.</w:t>
            </w:r>
          </w:p>
          <w:p w:rsidR="0020198D" w:rsidRDefault="0020198D" w:rsidP="0020198D">
            <w:r>
              <w:t>• Fibrates effectively reduce cardiovascular risk in patients with type 2 diabetes, high TG or low HDL-C, and in patients who are overweight.</w:t>
            </w:r>
          </w:p>
          <w:p w:rsidR="0020198D" w:rsidRDefault="0020198D" w:rsidP="0020198D">
            <w:r>
              <w:t>• A combination of statins and a fibrate, can be prescribed but with caution. To reduce risk of myopathy with concomitant therapy, use fenofibrate instead of gemfibrozil.</w:t>
            </w:r>
          </w:p>
          <w:p w:rsidR="0020198D" w:rsidRDefault="0020198D" w:rsidP="0020198D">
            <w:r>
              <w:t xml:space="preserve">• </w:t>
            </w:r>
            <w:r w:rsidRPr="008B46B7">
              <w:rPr>
                <w:b/>
              </w:rPr>
              <w:t>Ezetimibe</w:t>
            </w:r>
            <w:r>
              <w:t xml:space="preserve"> reduces the concentration of LDL-C by 15–20% as monotherapy, or when added to a statin. Long-term safety data of ezetimibe is satisfactory.</w:t>
            </w:r>
          </w:p>
        </w:tc>
      </w:tr>
    </w:tbl>
    <w:p w:rsidR="00B728D3" w:rsidRDefault="00B728D3" w:rsidP="00B728D3">
      <w:pPr>
        <w:spacing w:after="0"/>
      </w:pPr>
      <w:r>
        <w:lastRenderedPageBreak/>
        <w:t>*CVD refers collectively to coronary heart disease, stroke and other vascular disease, including peripheral arterial disease and renovascular disease.</w:t>
      </w:r>
    </w:p>
    <w:p w:rsidR="00B728D3" w:rsidRDefault="00B728D3"/>
    <w:p w:rsidR="00DC5EEE" w:rsidRDefault="00DC5EEE">
      <w:pPr>
        <w:sectPr w:rsidR="00DC5EEE" w:rsidSect="008013A7">
          <w:pgSz w:w="16838" w:h="11906" w:orient="landscape"/>
          <w:pgMar w:top="1440" w:right="1440" w:bottom="1440" w:left="1440" w:header="708" w:footer="708" w:gutter="0"/>
          <w:cols w:space="708"/>
          <w:docGrid w:linePitch="360"/>
        </w:sectPr>
      </w:pPr>
    </w:p>
    <w:p w:rsidR="00F2072A" w:rsidRDefault="00DC5EEE" w:rsidP="00F2072A">
      <w:pPr>
        <w:spacing w:after="0" w:line="240" w:lineRule="auto"/>
        <w:jc w:val="both"/>
      </w:pPr>
      <w:r w:rsidRPr="003267EA">
        <w:lastRenderedPageBreak/>
        <w:t>In 2006, the Pharmaceuti</w:t>
      </w:r>
      <w:r>
        <w:t xml:space="preserve">cal Benefits Advisory Committee </w:t>
      </w:r>
      <w:r w:rsidRPr="003267EA">
        <w:t>(PBAC) revised the Pharm</w:t>
      </w:r>
      <w:r>
        <w:t xml:space="preserve">aceutical Benefits Scheme (PBS) </w:t>
      </w:r>
      <w:r w:rsidR="00F2072A">
        <w:t>General Statement for Lipid-Lowering D</w:t>
      </w:r>
      <w:r w:rsidRPr="003267EA">
        <w:t>rugs</w:t>
      </w:r>
      <w:r w:rsidR="00F2072A">
        <w:t xml:space="preserve"> (GSLLD)</w:t>
      </w:r>
      <w:r w:rsidRPr="003267EA">
        <w:t xml:space="preserve"> prescribed as pharma</w:t>
      </w:r>
      <w:r>
        <w:t xml:space="preserve">ceutical </w:t>
      </w:r>
      <w:r w:rsidRPr="003267EA">
        <w:t>benefits</w:t>
      </w:r>
      <w:r>
        <w:t xml:space="preserve">. This revision aimed to bring the PBS prescribing criteria for </w:t>
      </w:r>
      <w:r w:rsidRPr="007E6E49">
        <w:t>lipid-lowering drugs more in line with the absolute risk approach, while recognising that, at the time, a lack of widespread access to a CVD risk calculator was a barrier to using absolute risk as a prescribing criterion</w:t>
      </w:r>
      <w:r w:rsidR="00F2072A" w:rsidRPr="007E6E49">
        <w:t xml:space="preserve"> (Nelson, 2013).</w:t>
      </w:r>
      <w:r>
        <w:t xml:space="preserve"> </w:t>
      </w:r>
    </w:p>
    <w:p w:rsidR="00861F00" w:rsidRDefault="00861F00" w:rsidP="00F2072A">
      <w:pPr>
        <w:spacing w:after="0" w:line="240" w:lineRule="auto"/>
        <w:jc w:val="both"/>
      </w:pPr>
    </w:p>
    <w:p w:rsidR="006723AC" w:rsidRDefault="002D54BA" w:rsidP="00722A36">
      <w:pPr>
        <w:jc w:val="both"/>
      </w:pPr>
      <w:r>
        <w:t xml:space="preserve">The </w:t>
      </w:r>
      <w:r w:rsidR="00861F00">
        <w:t xml:space="preserve">GSLLD </w:t>
      </w:r>
      <w:r w:rsidR="00380FCF">
        <w:t>covers</w:t>
      </w:r>
      <w:r w:rsidR="00861F00">
        <w:t xml:space="preserve"> </w:t>
      </w:r>
      <w:r w:rsidR="00380FCF">
        <w:t>both</w:t>
      </w:r>
      <w:r w:rsidR="00861F00">
        <w:t xml:space="preserve"> subgroups with and </w:t>
      </w:r>
      <w:r w:rsidR="00380FCF">
        <w:t>without a diagnosis of cardiovascular disease (CVD)</w:t>
      </w:r>
      <w:r w:rsidR="00861F00">
        <w:t xml:space="preserve">, where </w:t>
      </w:r>
      <w:r w:rsidR="00380FCF">
        <w:t>coronary heart disease (CHD)</w:t>
      </w:r>
      <w:r w:rsidR="00861F00">
        <w:t xml:space="preserve"> is just one condition in the</w:t>
      </w:r>
      <w:r w:rsidR="00380FCF">
        <w:t xml:space="preserve"> broader category of CVD.</w:t>
      </w:r>
      <w:r w:rsidR="00861F00">
        <w:t xml:space="preserve"> </w:t>
      </w:r>
      <w:r w:rsidR="00380FCF">
        <w:t>Consistent</w:t>
      </w:r>
      <w:r w:rsidR="00861F00">
        <w:t xml:space="preserve"> with </w:t>
      </w:r>
      <w:r>
        <w:t xml:space="preserve">the </w:t>
      </w:r>
      <w:r w:rsidR="00861F00">
        <w:t>NVDPA guidelines,</w:t>
      </w:r>
      <w:r w:rsidR="00380FCF">
        <w:t xml:space="preserve"> </w:t>
      </w:r>
      <w:r>
        <w:t xml:space="preserve">the </w:t>
      </w:r>
      <w:r w:rsidR="00380FCF">
        <w:t>GSLLD</w:t>
      </w:r>
      <w:r w:rsidR="00861F00">
        <w:t xml:space="preserve"> assigns a high risk category to patients with</w:t>
      </w:r>
      <w:r w:rsidR="00380FCF">
        <w:t xml:space="preserve"> a symptomatic CVD (CHD; cerebrovascular disease and peripheral vascular disease). </w:t>
      </w:r>
      <w:r w:rsidR="00861F00">
        <w:t xml:space="preserve"> </w:t>
      </w:r>
      <w:r w:rsidR="00722A36">
        <w:t>Also consistent with NVDPA guidelines, p</w:t>
      </w:r>
      <w:r>
        <w:t>atients with diabetes mellitus (DM) are assigned a high risk category if they are ≥ 60 years of age, Aboriginal or Torres Strait Islander patients or diagnosed with DM with microalbuminuria</w:t>
      </w:r>
      <w:r w:rsidR="00722A36">
        <w:t xml:space="preserve">. </w:t>
      </w:r>
      <w:r w:rsidR="003D633A">
        <w:t>Other criteria for high risk are defined differently in</w:t>
      </w:r>
      <w:r w:rsidR="006723AC">
        <w:t xml:space="preserve"> the GSLLD and the NVDPA guidelines</w:t>
      </w:r>
      <w:r w:rsidR="003D633A" w:rsidRPr="003D633A">
        <w:t xml:space="preserve"> </w:t>
      </w:r>
      <w:r w:rsidR="00B25FF0">
        <w:t>(Table 2</w:t>
      </w:r>
      <w:r w:rsidR="003D633A">
        <w:t>.2</w:t>
      </w:r>
      <w:r w:rsidR="006723AC">
        <w:t>.</w:t>
      </w:r>
      <w:r w:rsidR="003D633A">
        <w:t>)</w:t>
      </w:r>
    </w:p>
    <w:p w:rsidR="006723AC" w:rsidRPr="006723AC" w:rsidRDefault="00C87AC5" w:rsidP="002D7B08">
      <w:pPr>
        <w:pStyle w:val="Heading3"/>
        <w:rPr>
          <w:rFonts w:eastAsia="Times New Roman"/>
          <w:lang w:eastAsia="en-AU"/>
        </w:rPr>
      </w:pPr>
      <w:bookmarkStart w:id="5" w:name="_Toc461644654"/>
      <w:r>
        <w:rPr>
          <w:rFonts w:eastAsia="Times New Roman"/>
          <w:lang w:eastAsia="en-AU"/>
        </w:rPr>
        <w:t>Table 2</w:t>
      </w:r>
      <w:r w:rsidR="006723AC" w:rsidRPr="006723AC">
        <w:rPr>
          <w:rFonts w:eastAsia="Times New Roman"/>
          <w:lang w:eastAsia="en-AU"/>
        </w:rPr>
        <w:t xml:space="preserve">.2. </w:t>
      </w:r>
      <w:r w:rsidR="003D633A">
        <w:rPr>
          <w:rFonts w:eastAsia="Times New Roman"/>
          <w:lang w:eastAsia="en-AU"/>
        </w:rPr>
        <w:t>Discrepancies in r</w:t>
      </w:r>
      <w:r w:rsidR="006723AC" w:rsidRPr="006723AC">
        <w:rPr>
          <w:rFonts w:eastAsia="Times New Roman"/>
          <w:lang w:eastAsia="en-AU"/>
        </w:rPr>
        <w:t xml:space="preserve">isk factors corresponding to the high risk </w:t>
      </w:r>
      <w:r w:rsidR="003D633A">
        <w:rPr>
          <w:rFonts w:eastAsia="Times New Roman"/>
          <w:lang w:eastAsia="en-AU"/>
        </w:rPr>
        <w:t>of a</w:t>
      </w:r>
      <w:r w:rsidR="006723AC" w:rsidRPr="006723AC">
        <w:rPr>
          <w:rFonts w:eastAsia="Times New Roman"/>
          <w:lang w:eastAsia="en-AU"/>
        </w:rPr>
        <w:t xml:space="preserve"> CVD event</w:t>
      </w:r>
      <w:bookmarkEnd w:id="5"/>
    </w:p>
    <w:tbl>
      <w:tblPr>
        <w:tblStyle w:val="TableGrid"/>
        <w:tblW w:w="9748" w:type="dxa"/>
        <w:tblLook w:val="04A0" w:firstRow="1" w:lastRow="0" w:firstColumn="1" w:lastColumn="0" w:noHBand="0" w:noVBand="1"/>
      </w:tblPr>
      <w:tblGrid>
        <w:gridCol w:w="3114"/>
        <w:gridCol w:w="3260"/>
        <w:gridCol w:w="3374"/>
      </w:tblGrid>
      <w:tr w:rsidR="006723AC" w:rsidTr="005B765E">
        <w:tc>
          <w:tcPr>
            <w:tcW w:w="3114" w:type="dxa"/>
          </w:tcPr>
          <w:p w:rsidR="006723AC" w:rsidRPr="006723AC" w:rsidRDefault="006723AC" w:rsidP="006723AC">
            <w:pPr>
              <w:rPr>
                <w:b/>
              </w:rPr>
            </w:pPr>
            <w:r w:rsidRPr="006723AC">
              <w:rPr>
                <w:b/>
              </w:rPr>
              <w:t>Risk factor</w:t>
            </w:r>
          </w:p>
        </w:tc>
        <w:tc>
          <w:tcPr>
            <w:tcW w:w="3260" w:type="dxa"/>
          </w:tcPr>
          <w:p w:rsidR="006723AC" w:rsidRPr="006723AC" w:rsidRDefault="006723AC" w:rsidP="00380FCF">
            <w:pPr>
              <w:rPr>
                <w:b/>
              </w:rPr>
            </w:pPr>
            <w:r w:rsidRPr="006723AC">
              <w:rPr>
                <w:b/>
              </w:rPr>
              <w:t>Included in GSLLD</w:t>
            </w:r>
          </w:p>
        </w:tc>
        <w:tc>
          <w:tcPr>
            <w:tcW w:w="3374" w:type="dxa"/>
          </w:tcPr>
          <w:p w:rsidR="006723AC" w:rsidRPr="006723AC" w:rsidRDefault="006723AC" w:rsidP="00380FCF">
            <w:pPr>
              <w:rPr>
                <w:b/>
              </w:rPr>
            </w:pPr>
            <w:r w:rsidRPr="006723AC">
              <w:rPr>
                <w:b/>
              </w:rPr>
              <w:t>Included in NVDPA</w:t>
            </w:r>
            <w:r w:rsidR="002C3DFE">
              <w:rPr>
                <w:b/>
              </w:rPr>
              <w:t>-2012</w:t>
            </w:r>
          </w:p>
        </w:tc>
      </w:tr>
      <w:tr w:rsidR="006723AC" w:rsidTr="005B765E">
        <w:tc>
          <w:tcPr>
            <w:tcW w:w="3114" w:type="dxa"/>
          </w:tcPr>
          <w:p w:rsidR="006723AC" w:rsidRDefault="006723AC" w:rsidP="00380FCF">
            <w:r>
              <w:t>moderate or severe chronic kidney disease</w:t>
            </w:r>
            <w:r w:rsidR="00347365">
              <w:t xml:space="preserve"> (CKD)</w:t>
            </w:r>
          </w:p>
        </w:tc>
        <w:tc>
          <w:tcPr>
            <w:tcW w:w="3260" w:type="dxa"/>
          </w:tcPr>
          <w:p w:rsidR="006723AC" w:rsidRDefault="006723AC" w:rsidP="00380FCF">
            <w:r>
              <w:t>no</w:t>
            </w:r>
          </w:p>
        </w:tc>
        <w:tc>
          <w:tcPr>
            <w:tcW w:w="3374" w:type="dxa"/>
          </w:tcPr>
          <w:p w:rsidR="006723AC" w:rsidRDefault="006723AC" w:rsidP="00380FCF">
            <w:r>
              <w:t>yes</w:t>
            </w:r>
          </w:p>
        </w:tc>
      </w:tr>
      <w:tr w:rsidR="006723AC" w:rsidTr="005B765E">
        <w:tc>
          <w:tcPr>
            <w:tcW w:w="3114" w:type="dxa"/>
          </w:tcPr>
          <w:p w:rsidR="006723AC" w:rsidRPr="00706E78" w:rsidRDefault="006723AC" w:rsidP="00512F31">
            <w:r w:rsidRPr="00706E78">
              <w:t xml:space="preserve">family history of </w:t>
            </w:r>
            <w:r w:rsidR="00512F31">
              <w:t xml:space="preserve">CHD </w:t>
            </w:r>
            <w:r w:rsidRPr="00706E78">
              <w:t xml:space="preserve">which has become symptomatic before the age of 55 years in two or more </w:t>
            </w:r>
            <w:r w:rsidR="00512F31">
              <w:t>1</w:t>
            </w:r>
            <w:r w:rsidR="00512F31" w:rsidRPr="00512F31">
              <w:rPr>
                <w:vertAlign w:val="superscript"/>
              </w:rPr>
              <w:t>st</w:t>
            </w:r>
            <w:r w:rsidR="00512F31">
              <w:t xml:space="preserve"> </w:t>
            </w:r>
            <w:r w:rsidRPr="00706E78">
              <w:t>degree relatives</w:t>
            </w:r>
          </w:p>
        </w:tc>
        <w:tc>
          <w:tcPr>
            <w:tcW w:w="3260" w:type="dxa"/>
          </w:tcPr>
          <w:p w:rsidR="006723AC" w:rsidRDefault="006723AC" w:rsidP="006723AC">
            <w:r>
              <w:t>yes</w:t>
            </w:r>
          </w:p>
        </w:tc>
        <w:tc>
          <w:tcPr>
            <w:tcW w:w="3374" w:type="dxa"/>
          </w:tcPr>
          <w:p w:rsidR="006723AC" w:rsidRDefault="006723AC" w:rsidP="006723AC">
            <w:r>
              <w:t xml:space="preserve">Not explicitly, but carries additional weight in the calculation of a cardiovascular risk with a web calculator or a chart </w:t>
            </w:r>
          </w:p>
        </w:tc>
      </w:tr>
      <w:tr w:rsidR="006723AC" w:rsidTr="005B765E">
        <w:tc>
          <w:tcPr>
            <w:tcW w:w="3114" w:type="dxa"/>
          </w:tcPr>
          <w:p w:rsidR="006723AC" w:rsidRPr="00706E78" w:rsidRDefault="006723AC" w:rsidP="00512F31">
            <w:r w:rsidRPr="00706E78">
              <w:t xml:space="preserve">family history of </w:t>
            </w:r>
            <w:r w:rsidR="00512F31">
              <w:t xml:space="preserve">CHD </w:t>
            </w:r>
            <w:r w:rsidRPr="00706E78">
              <w:t xml:space="preserve">which has become symptomatic before the age of 45 years in one or more </w:t>
            </w:r>
            <w:r w:rsidR="00512F31">
              <w:t>1</w:t>
            </w:r>
            <w:r w:rsidR="00512F31" w:rsidRPr="00512F31">
              <w:rPr>
                <w:vertAlign w:val="superscript"/>
              </w:rPr>
              <w:t>st</w:t>
            </w:r>
            <w:r w:rsidRPr="00706E78">
              <w:t xml:space="preserve"> degree relatives</w:t>
            </w:r>
          </w:p>
        </w:tc>
        <w:tc>
          <w:tcPr>
            <w:tcW w:w="3260" w:type="dxa"/>
          </w:tcPr>
          <w:p w:rsidR="006723AC" w:rsidRDefault="006723AC" w:rsidP="006723AC">
            <w:r>
              <w:t>yes</w:t>
            </w:r>
          </w:p>
        </w:tc>
        <w:tc>
          <w:tcPr>
            <w:tcW w:w="3374" w:type="dxa"/>
          </w:tcPr>
          <w:p w:rsidR="006723AC" w:rsidRDefault="006723AC" w:rsidP="006723AC">
            <w:r>
              <w:t>Not explicitly, but carries additional weight in the calculation of a cardiovascular risk with a web calculator or a chart</w:t>
            </w:r>
          </w:p>
        </w:tc>
      </w:tr>
      <w:tr w:rsidR="00512F31" w:rsidTr="005B765E">
        <w:tc>
          <w:tcPr>
            <w:tcW w:w="3114" w:type="dxa"/>
          </w:tcPr>
          <w:p w:rsidR="00512F31" w:rsidRPr="00512F31" w:rsidRDefault="00512F31" w:rsidP="00512F31">
            <w:r w:rsidRPr="00512F31">
              <w:t>A previous diagnosis of familial hypercholesterolaemia</w:t>
            </w:r>
          </w:p>
        </w:tc>
        <w:tc>
          <w:tcPr>
            <w:tcW w:w="3260" w:type="dxa"/>
          </w:tcPr>
          <w:p w:rsidR="00512F31" w:rsidRDefault="005B765E" w:rsidP="00AC5002">
            <w:r>
              <w:t xml:space="preserve">Yes, conditional on the specified threshold in cholesterol level as in Table </w:t>
            </w:r>
            <w:r w:rsidR="00AC5002">
              <w:t>2</w:t>
            </w:r>
            <w:r>
              <w:t>.4.</w:t>
            </w:r>
          </w:p>
        </w:tc>
        <w:tc>
          <w:tcPr>
            <w:tcW w:w="3374" w:type="dxa"/>
          </w:tcPr>
          <w:p w:rsidR="00512F31" w:rsidRDefault="005B765E" w:rsidP="00512F31">
            <w:r>
              <w:t>Yes, unconditionally</w:t>
            </w:r>
            <w:r w:rsidR="00C226DE">
              <w:t>^</w:t>
            </w:r>
          </w:p>
        </w:tc>
      </w:tr>
      <w:tr w:rsidR="00512F31" w:rsidTr="005B765E">
        <w:tc>
          <w:tcPr>
            <w:tcW w:w="3114" w:type="dxa"/>
          </w:tcPr>
          <w:p w:rsidR="00512F31" w:rsidRPr="00512F31" w:rsidRDefault="00512F31" w:rsidP="00512F31">
            <w:r w:rsidRPr="00512F31">
              <w:t>Systolic blood pressure ≥180 mmHg or diastolic blood pressure</w:t>
            </w:r>
            <w:r>
              <w:t xml:space="preserve"> </w:t>
            </w:r>
            <w:r w:rsidRPr="00512F31">
              <w:t>≥110 mmHg</w:t>
            </w:r>
          </w:p>
        </w:tc>
        <w:tc>
          <w:tcPr>
            <w:tcW w:w="3260" w:type="dxa"/>
          </w:tcPr>
          <w:p w:rsidR="00512F31" w:rsidRDefault="00C7607C" w:rsidP="00C7607C">
            <w:r w:rsidRPr="00C7607C">
              <w:t>Patients with hypertension</w:t>
            </w:r>
            <w:r>
              <w:t xml:space="preserve"> (without specified thresholds) need</w:t>
            </w:r>
            <w:r w:rsidR="005B765E">
              <w:t xml:space="preserve"> </w:t>
            </w:r>
            <w:r>
              <w:t>to meet the</w:t>
            </w:r>
            <w:r w:rsidR="005B765E">
              <w:t xml:space="preserve"> </w:t>
            </w:r>
            <w:r>
              <w:t xml:space="preserve">specified </w:t>
            </w:r>
            <w:r w:rsidR="005B765E">
              <w:t>cholesterol level</w:t>
            </w:r>
            <w:r>
              <w:t xml:space="preserve"> thresholds</w:t>
            </w:r>
            <w:r w:rsidR="005B765E">
              <w:t xml:space="preserve"> as in Table </w:t>
            </w:r>
            <w:r w:rsidR="00AC5002">
              <w:t>2</w:t>
            </w:r>
            <w:r w:rsidR="005B765E">
              <w:t>.4.</w:t>
            </w:r>
          </w:p>
        </w:tc>
        <w:tc>
          <w:tcPr>
            <w:tcW w:w="3374" w:type="dxa"/>
          </w:tcPr>
          <w:p w:rsidR="00512F31" w:rsidRDefault="005B765E" w:rsidP="00512F31">
            <w:r>
              <w:t>Yes, unconditionally</w:t>
            </w:r>
          </w:p>
        </w:tc>
      </w:tr>
      <w:tr w:rsidR="00512F31" w:rsidTr="005B765E">
        <w:tc>
          <w:tcPr>
            <w:tcW w:w="3114" w:type="dxa"/>
          </w:tcPr>
          <w:p w:rsidR="00512F31" w:rsidRPr="00512F31" w:rsidRDefault="00512F31" w:rsidP="00512F31">
            <w:r w:rsidRPr="00512F31">
              <w:t>Serum total cholesterol &gt;7.5 mmol/L</w:t>
            </w:r>
          </w:p>
        </w:tc>
        <w:tc>
          <w:tcPr>
            <w:tcW w:w="3260" w:type="dxa"/>
          </w:tcPr>
          <w:p w:rsidR="00512F31" w:rsidRDefault="005B765E" w:rsidP="00AC5002">
            <w:r>
              <w:t>No, except for males aged 35-75 years and post-menopausal women</w:t>
            </w:r>
            <w:r w:rsidR="00C226DE">
              <w:t xml:space="preserve"> Table </w:t>
            </w:r>
            <w:r w:rsidR="00AC5002">
              <w:t>2</w:t>
            </w:r>
            <w:r w:rsidR="00C226DE">
              <w:t>.4.</w:t>
            </w:r>
          </w:p>
        </w:tc>
        <w:tc>
          <w:tcPr>
            <w:tcW w:w="3374" w:type="dxa"/>
          </w:tcPr>
          <w:p w:rsidR="00512F31" w:rsidRDefault="005B765E" w:rsidP="00512F31">
            <w:r>
              <w:t>Yes, unconditionally</w:t>
            </w:r>
          </w:p>
        </w:tc>
      </w:tr>
    </w:tbl>
    <w:p w:rsidR="005B765E" w:rsidRPr="00C226DE" w:rsidRDefault="00C226DE" w:rsidP="005B765E">
      <w:pPr>
        <w:spacing w:after="0"/>
        <w:rPr>
          <w:sz w:val="18"/>
          <w:szCs w:val="18"/>
        </w:rPr>
      </w:pPr>
      <w:r w:rsidRPr="00C226DE">
        <w:rPr>
          <w:sz w:val="18"/>
          <w:szCs w:val="18"/>
        </w:rPr>
        <w:t>^consistent with guidelines identification and management of familial hypercholesterolaemia (</w:t>
      </w:r>
      <w:r w:rsidR="003F4B0E" w:rsidRPr="00C226DE">
        <w:rPr>
          <w:sz w:val="18"/>
          <w:szCs w:val="18"/>
        </w:rPr>
        <w:t xml:space="preserve">Table </w:t>
      </w:r>
      <w:r w:rsidR="003F4B0E">
        <w:rPr>
          <w:sz w:val="18"/>
          <w:szCs w:val="18"/>
        </w:rPr>
        <w:t>A2</w:t>
      </w:r>
      <w:r w:rsidR="003F4B0E" w:rsidRPr="00C226DE">
        <w:rPr>
          <w:sz w:val="18"/>
          <w:szCs w:val="18"/>
        </w:rPr>
        <w:t>.</w:t>
      </w:r>
      <w:r w:rsidR="003F4B0E">
        <w:rPr>
          <w:sz w:val="18"/>
          <w:szCs w:val="18"/>
        </w:rPr>
        <w:t>1 in appendix</w:t>
      </w:r>
      <w:r w:rsidR="003F4B0E" w:rsidRPr="00C226DE">
        <w:rPr>
          <w:sz w:val="18"/>
          <w:szCs w:val="18"/>
        </w:rPr>
        <w:t>)</w:t>
      </w:r>
    </w:p>
    <w:p w:rsidR="00C226DE" w:rsidRDefault="00C226DE" w:rsidP="005B765E">
      <w:pPr>
        <w:spacing w:after="0"/>
      </w:pPr>
    </w:p>
    <w:p w:rsidR="006723AC" w:rsidRDefault="00D1446B" w:rsidP="00AC5002">
      <w:pPr>
        <w:spacing w:after="0"/>
        <w:jc w:val="both"/>
      </w:pPr>
      <w:r>
        <w:t xml:space="preserve">According to the </w:t>
      </w:r>
      <w:r w:rsidRPr="003D633A">
        <w:t>GSLLD</w:t>
      </w:r>
      <w:r>
        <w:t xml:space="preserve"> eligibility criteria, p</w:t>
      </w:r>
      <w:r w:rsidR="006723AC">
        <w:t>atients from the h</w:t>
      </w:r>
      <w:r w:rsidR="006723AC" w:rsidRPr="002D54BA">
        <w:t xml:space="preserve">igh risk </w:t>
      </w:r>
      <w:r w:rsidR="006723AC">
        <w:t>categories</w:t>
      </w:r>
      <w:r w:rsidR="006723AC" w:rsidRPr="002D54BA">
        <w:t xml:space="preserve"> </w:t>
      </w:r>
      <w:r w:rsidR="006723AC">
        <w:t>are eligible for</w:t>
      </w:r>
      <w:r w:rsidR="006723AC" w:rsidRPr="002D54BA">
        <w:t xml:space="preserve"> statins/other lipid lowering drugs at any level of fasting cholesterol.</w:t>
      </w:r>
      <w:r w:rsidR="006723AC">
        <w:t xml:space="preserve"> </w:t>
      </w:r>
      <w:r w:rsidR="00512F31">
        <w:t>P</w:t>
      </w:r>
      <w:r w:rsidR="00722A36">
        <w:t xml:space="preserve">atients </w:t>
      </w:r>
      <w:r w:rsidR="002C3DFE">
        <w:t xml:space="preserve">who </w:t>
      </w:r>
      <w:r w:rsidR="00512F31">
        <w:t>do not meet the criteria</w:t>
      </w:r>
      <w:r w:rsidR="00B25FF0">
        <w:t xml:space="preserve"> for high risk listed in Table 2</w:t>
      </w:r>
      <w:r w:rsidR="00512F31">
        <w:t>.</w:t>
      </w:r>
      <w:r w:rsidR="005B765E">
        <w:t>3</w:t>
      </w:r>
      <w:r w:rsidR="00EC30D9">
        <w:t xml:space="preserve"> may still be eligible for the subsidised prescription of lipid-lowering drugs if they meet specified threshol</w:t>
      </w:r>
      <w:r w:rsidR="00B25FF0">
        <w:t>d in cholesterol level (Table 2</w:t>
      </w:r>
      <w:r w:rsidR="00EC30D9">
        <w:t xml:space="preserve">.4)   </w:t>
      </w:r>
      <w:r w:rsidR="00722A36">
        <w:t xml:space="preserve"> </w:t>
      </w:r>
    </w:p>
    <w:p w:rsidR="008113D2" w:rsidRDefault="008113D2" w:rsidP="00F2072A">
      <w:pPr>
        <w:spacing w:after="0" w:line="240" w:lineRule="auto"/>
      </w:pPr>
    </w:p>
    <w:p w:rsidR="00C223CD" w:rsidRDefault="00347365" w:rsidP="00C226DE">
      <w:pPr>
        <w:spacing w:after="0" w:line="240" w:lineRule="auto"/>
        <w:jc w:val="both"/>
      </w:pPr>
      <w:r>
        <w:t>Comparison of t</w:t>
      </w:r>
      <w:r w:rsidRPr="003D633A">
        <w:t>he GSLLD</w:t>
      </w:r>
      <w:r>
        <w:t xml:space="preserve"> </w:t>
      </w:r>
      <w:r w:rsidR="00D1446B">
        <w:t>eligibility criteria with NVDPA/NHF guidelines</w:t>
      </w:r>
      <w:r w:rsidR="00D1446B" w:rsidRPr="003D633A">
        <w:t xml:space="preserve"> </w:t>
      </w:r>
      <w:r w:rsidR="00D1446B">
        <w:t xml:space="preserve">is not straightforward as the documents </w:t>
      </w:r>
      <w:r w:rsidR="008F6827">
        <w:t>differ in their objectives and scope</w:t>
      </w:r>
      <w:r w:rsidR="00D1446B">
        <w:t xml:space="preserve">. </w:t>
      </w:r>
      <w:r w:rsidR="004472C5">
        <w:t xml:space="preserve">The </w:t>
      </w:r>
      <w:r w:rsidR="004472C5" w:rsidRPr="003D633A">
        <w:t>GSLLD</w:t>
      </w:r>
      <w:r w:rsidR="004472C5">
        <w:t xml:space="preserve"> objective needs to be interpreted within the framework of the universal Australian health care system</w:t>
      </w:r>
      <w:r w:rsidR="008C3F69">
        <w:t xml:space="preserve">. </w:t>
      </w:r>
      <w:r w:rsidR="004472C5">
        <w:t xml:space="preserve"> </w:t>
      </w:r>
      <w:r w:rsidR="008C3F69">
        <w:t>One way of maximising</w:t>
      </w:r>
      <w:r w:rsidR="004472C5">
        <w:t xml:space="preserve"> the overall health of Australians</w:t>
      </w:r>
      <w:r w:rsidR="008C3F69">
        <w:t xml:space="preserve"> is</w:t>
      </w:r>
      <w:r w:rsidR="004472C5">
        <w:t xml:space="preserve"> by restrict</w:t>
      </w:r>
      <w:r w:rsidR="008C3F69">
        <w:t>ing</w:t>
      </w:r>
      <w:r w:rsidR="004472C5">
        <w:t xml:space="preserve"> the PBS subsidised medications to the patients who are most </w:t>
      </w:r>
      <w:r w:rsidR="004472C5">
        <w:lastRenderedPageBreak/>
        <w:t>likely to achieve the expected health gains at a given budget. The</w:t>
      </w:r>
      <w:r w:rsidR="008C3F69">
        <w:t xml:space="preserve"> objective of the NVDPA/NHF guidelines should be interpreted within the specific professional context of providing the evidence-based care to the population at risk of CVD. On the other hand, </w:t>
      </w:r>
      <w:r w:rsidR="0018770B">
        <w:t>while any PBS restriction</w:t>
      </w:r>
      <w:r w:rsidR="008C3F69">
        <w:t xml:space="preserve"> </w:t>
      </w:r>
      <w:r w:rsidR="0018770B">
        <w:t>is necessarily focused on</w:t>
      </w:r>
      <w:r w:rsidR="008C3F69">
        <w:t xml:space="preserve"> the </w:t>
      </w:r>
      <w:r w:rsidR="0018770B">
        <w:t>specific medication (or a group, as in the case of statins), the focus of NVDPA/NHF guidelines</w:t>
      </w:r>
      <w:r w:rsidR="00EE0C4C">
        <w:t xml:space="preserve"> </w:t>
      </w:r>
      <w:r w:rsidR="0018770B">
        <w:t xml:space="preserve">is in helping the </w:t>
      </w:r>
      <w:r w:rsidR="00EE0C4C">
        <w:t>clinicians</w:t>
      </w:r>
      <w:r w:rsidR="0018770B">
        <w:t xml:space="preserve"> to develop </w:t>
      </w:r>
      <w:r w:rsidR="00EE0C4C">
        <w:t>an optimal clinical pathway</w:t>
      </w:r>
      <w:r w:rsidR="0018770B">
        <w:t xml:space="preserve">, where </w:t>
      </w:r>
      <w:r w:rsidR="00EE0C4C">
        <w:t>any specific medication is only one of many inputs to consider</w:t>
      </w:r>
      <w:r w:rsidR="0018770B">
        <w:t xml:space="preserve">. </w:t>
      </w:r>
    </w:p>
    <w:p w:rsidR="00C223CD" w:rsidRDefault="00C223CD" w:rsidP="00C226DE">
      <w:pPr>
        <w:spacing w:after="0" w:line="240" w:lineRule="auto"/>
        <w:jc w:val="both"/>
      </w:pPr>
    </w:p>
    <w:p w:rsidR="00356DAE" w:rsidRDefault="008F6827" w:rsidP="00356DAE">
      <w:pPr>
        <w:spacing w:after="0" w:line="240" w:lineRule="auto"/>
        <w:jc w:val="both"/>
      </w:pPr>
      <w:r>
        <w:t xml:space="preserve">Although the </w:t>
      </w:r>
      <w:r w:rsidRPr="003D633A">
        <w:t>GSLLD</w:t>
      </w:r>
      <w:r>
        <w:t xml:space="preserve"> eligibility criteria are broadly consistent with NVDPA/NHF guidelines </w:t>
      </w:r>
      <w:r w:rsidR="008C3F69">
        <w:t>the</w:t>
      </w:r>
      <w:r>
        <w:t xml:space="preserve"> outlined</w:t>
      </w:r>
      <w:r w:rsidR="008C3F69">
        <w:t xml:space="preserve"> differences are manifested in </w:t>
      </w:r>
      <w:r w:rsidR="00C223CD">
        <w:t xml:space="preserve">the definition of the target population and details of treatment recommendations. </w:t>
      </w:r>
      <w:r w:rsidR="00356DAE">
        <w:t xml:space="preserve">The NVDPA-2012, but not NHF guidelines include the lipid control targets (by TC; LDL-C; HDL-C, non HDL-C and TG) </w:t>
      </w:r>
      <w:r w:rsidR="00680493">
        <w:t xml:space="preserve">equally </w:t>
      </w:r>
      <w:r w:rsidR="00356DAE">
        <w:t xml:space="preserve">for all the patients with high to moderate risk of CVD events (Table </w:t>
      </w:r>
      <w:r w:rsidR="00AC5002">
        <w:t>2</w:t>
      </w:r>
      <w:r w:rsidR="00356DAE">
        <w:t xml:space="preserve">.1). In comparison, the </w:t>
      </w:r>
      <w:r w:rsidR="00356DAE" w:rsidRPr="003D633A">
        <w:t>GSLLD</w:t>
      </w:r>
      <w:r w:rsidR="00356DAE">
        <w:t xml:space="preserve"> sets the differential lipid eligibility thresholds </w:t>
      </w:r>
      <w:r w:rsidR="00680493">
        <w:t xml:space="preserve">for various combinations of risk factors in the population who are not in the high risk category. </w:t>
      </w:r>
    </w:p>
    <w:p w:rsidR="00356DAE" w:rsidRDefault="00356DAE" w:rsidP="00C226DE">
      <w:pPr>
        <w:spacing w:after="0" w:line="240" w:lineRule="auto"/>
        <w:jc w:val="both"/>
      </w:pPr>
    </w:p>
    <w:p w:rsidR="00DC5EEE" w:rsidRDefault="00C223CD" w:rsidP="009D6E44">
      <w:pPr>
        <w:spacing w:after="0"/>
        <w:jc w:val="both"/>
        <w:rPr>
          <w:lang w:eastAsia="zh-CN"/>
        </w:rPr>
        <w:sectPr w:rsidR="00DC5EEE" w:rsidSect="00DC5EEE">
          <w:pgSz w:w="11906" w:h="16838"/>
          <w:pgMar w:top="1440" w:right="1440" w:bottom="1440" w:left="1440" w:header="708" w:footer="708" w:gutter="0"/>
          <w:cols w:space="708"/>
          <w:docGrid w:linePitch="360"/>
        </w:sectPr>
      </w:pPr>
      <w:r>
        <w:rPr>
          <w:lang w:eastAsia="zh-CN"/>
        </w:rPr>
        <w:t xml:space="preserve">With respect to the </w:t>
      </w:r>
      <w:r w:rsidR="00680493">
        <w:rPr>
          <w:lang w:eastAsia="zh-CN"/>
        </w:rPr>
        <w:t xml:space="preserve">high risk </w:t>
      </w:r>
      <w:r>
        <w:rPr>
          <w:lang w:eastAsia="zh-CN"/>
        </w:rPr>
        <w:t>population, t</w:t>
      </w:r>
      <w:r w:rsidR="00D1446B">
        <w:rPr>
          <w:lang w:eastAsia="zh-CN"/>
        </w:rPr>
        <w:t xml:space="preserve">he most obvious discrepancy is the absence of </w:t>
      </w:r>
      <w:r w:rsidR="00347365">
        <w:rPr>
          <w:lang w:eastAsia="zh-CN"/>
        </w:rPr>
        <w:t>CKD</w:t>
      </w:r>
      <w:r w:rsidR="00D1446B">
        <w:rPr>
          <w:lang w:eastAsia="zh-CN"/>
        </w:rPr>
        <w:t xml:space="preserve"> from the list of the high risk </w:t>
      </w:r>
      <w:r w:rsidR="005D004F">
        <w:rPr>
          <w:lang w:eastAsia="zh-CN"/>
        </w:rPr>
        <w:t xml:space="preserve">factors in the </w:t>
      </w:r>
      <w:r w:rsidR="005D004F" w:rsidRPr="003D633A">
        <w:rPr>
          <w:lang w:eastAsia="zh-CN"/>
        </w:rPr>
        <w:t>GSLLD</w:t>
      </w:r>
      <w:r w:rsidR="005D004F">
        <w:rPr>
          <w:lang w:eastAsia="zh-CN"/>
        </w:rPr>
        <w:t xml:space="preserve">. </w:t>
      </w:r>
      <w:r>
        <w:rPr>
          <w:lang w:eastAsia="zh-CN"/>
        </w:rPr>
        <w:t>Also, the NVDPA guidelines</w:t>
      </w:r>
      <w:r w:rsidRPr="003D633A">
        <w:rPr>
          <w:lang w:eastAsia="zh-CN"/>
        </w:rPr>
        <w:t xml:space="preserve"> </w:t>
      </w:r>
      <w:r w:rsidR="007149EF">
        <w:rPr>
          <w:lang w:eastAsia="zh-CN"/>
        </w:rPr>
        <w:t>include</w:t>
      </w:r>
      <w:r>
        <w:rPr>
          <w:lang w:eastAsia="zh-CN"/>
        </w:rPr>
        <w:t xml:space="preserve"> a TC threshold of </w:t>
      </w:r>
      <w:r w:rsidRPr="00512F31">
        <w:rPr>
          <w:lang w:eastAsia="zh-CN"/>
        </w:rPr>
        <w:t>7.5 mmol/L</w:t>
      </w:r>
      <w:r>
        <w:rPr>
          <w:lang w:eastAsia="zh-CN"/>
        </w:rPr>
        <w:t xml:space="preserve"> as a separate high risk criteria and not in combination with other risk factors (i.e. being a male aged 35-75 years or a post-menopausal woman) as in the </w:t>
      </w:r>
      <w:r w:rsidRPr="003D633A">
        <w:rPr>
          <w:lang w:eastAsia="zh-CN"/>
        </w:rPr>
        <w:t>GSLLD</w:t>
      </w:r>
      <w:r>
        <w:rPr>
          <w:lang w:eastAsia="zh-CN"/>
        </w:rPr>
        <w:t>. T</w:t>
      </w:r>
      <w:r w:rsidR="005D004F">
        <w:rPr>
          <w:lang w:eastAsia="zh-CN"/>
        </w:rPr>
        <w:t xml:space="preserve">he </w:t>
      </w:r>
      <w:r w:rsidR="005D004F" w:rsidRPr="003D633A">
        <w:rPr>
          <w:lang w:eastAsia="zh-CN"/>
        </w:rPr>
        <w:t>GSLLD</w:t>
      </w:r>
      <w:r w:rsidR="005D004F">
        <w:rPr>
          <w:lang w:eastAsia="zh-CN"/>
        </w:rPr>
        <w:t xml:space="preserve"> elaborates on the </w:t>
      </w:r>
      <w:r w:rsidR="005D004F" w:rsidRPr="00706E78">
        <w:rPr>
          <w:lang w:eastAsia="zh-CN"/>
        </w:rPr>
        <w:t xml:space="preserve">family history of </w:t>
      </w:r>
      <w:r w:rsidR="005D004F">
        <w:rPr>
          <w:lang w:eastAsia="zh-CN"/>
        </w:rPr>
        <w:t>CHD by specifying 4 separate risk categories depending on the age, ethnicity, degree of relations and number of relatives</w:t>
      </w:r>
      <w:r>
        <w:rPr>
          <w:lang w:eastAsia="zh-CN"/>
        </w:rPr>
        <w:t>. Depending on the combination of these factors the patients could be categorised as a high or low risk</w:t>
      </w:r>
      <w:r w:rsidR="007149EF">
        <w:rPr>
          <w:lang w:eastAsia="zh-CN"/>
        </w:rPr>
        <w:t>,</w:t>
      </w:r>
      <w:r w:rsidR="007E65DC">
        <w:rPr>
          <w:lang w:eastAsia="zh-CN"/>
        </w:rPr>
        <w:t xml:space="preserve"> </w:t>
      </w:r>
      <w:r w:rsidR="00903BF3">
        <w:rPr>
          <w:lang w:eastAsia="zh-CN"/>
        </w:rPr>
        <w:t>where</w:t>
      </w:r>
      <w:r>
        <w:rPr>
          <w:lang w:eastAsia="zh-CN"/>
        </w:rPr>
        <w:t xml:space="preserve"> the </w:t>
      </w:r>
      <w:r w:rsidR="007E65DC">
        <w:rPr>
          <w:lang w:eastAsia="zh-CN"/>
        </w:rPr>
        <w:t xml:space="preserve">low risk outcome </w:t>
      </w:r>
      <w:r w:rsidR="00903BF3">
        <w:rPr>
          <w:lang w:eastAsia="zh-CN"/>
        </w:rPr>
        <w:t xml:space="preserve">would attract </w:t>
      </w:r>
      <w:r>
        <w:rPr>
          <w:lang w:eastAsia="zh-CN"/>
        </w:rPr>
        <w:t>additional restrictions on the lipid level</w:t>
      </w:r>
      <w:r w:rsidR="007E65DC">
        <w:rPr>
          <w:lang w:eastAsia="zh-CN"/>
        </w:rPr>
        <w:t>s</w:t>
      </w:r>
      <w:r>
        <w:rPr>
          <w:lang w:eastAsia="zh-CN"/>
        </w:rPr>
        <w:t>.</w:t>
      </w:r>
      <w:r w:rsidR="005D004F">
        <w:rPr>
          <w:lang w:eastAsia="zh-CN"/>
        </w:rPr>
        <w:t xml:space="preserve"> </w:t>
      </w:r>
      <w:r>
        <w:rPr>
          <w:lang w:eastAsia="zh-CN"/>
        </w:rPr>
        <w:t xml:space="preserve">In contrast, </w:t>
      </w:r>
      <w:r w:rsidR="005D004F">
        <w:rPr>
          <w:lang w:eastAsia="zh-CN"/>
        </w:rPr>
        <w:t>the NVDPA guidelines</w:t>
      </w:r>
      <w:r w:rsidR="007E65DC">
        <w:rPr>
          <w:lang w:eastAsia="zh-CN"/>
        </w:rPr>
        <w:t xml:space="preserve"> include</w:t>
      </w:r>
      <w:r w:rsidR="005D004F">
        <w:rPr>
          <w:lang w:eastAsia="zh-CN"/>
        </w:rPr>
        <w:t xml:space="preserve"> an unspecified</w:t>
      </w:r>
      <w:r w:rsidR="004472C5">
        <w:rPr>
          <w:lang w:eastAsia="zh-CN"/>
        </w:rPr>
        <w:t xml:space="preserve"> family history of premature CVD as one of the risk categories</w:t>
      </w:r>
      <w:r w:rsidR="005D004F">
        <w:rPr>
          <w:lang w:eastAsia="zh-CN"/>
        </w:rPr>
        <w:t xml:space="preserve">. The </w:t>
      </w:r>
      <w:r w:rsidR="007E65DC">
        <w:rPr>
          <w:lang w:eastAsia="zh-CN"/>
        </w:rPr>
        <w:t>same applies to a single risk factor of s</w:t>
      </w:r>
      <w:r w:rsidR="007E65DC" w:rsidRPr="00512F31">
        <w:rPr>
          <w:lang w:eastAsia="zh-CN"/>
        </w:rPr>
        <w:t>ystolic blood pressure ≥180 mmHg or diastolic blood pressure</w:t>
      </w:r>
      <w:r w:rsidR="007E65DC">
        <w:rPr>
          <w:lang w:eastAsia="zh-CN"/>
        </w:rPr>
        <w:t xml:space="preserve"> </w:t>
      </w:r>
      <w:r w:rsidR="007E65DC" w:rsidRPr="00512F31">
        <w:rPr>
          <w:lang w:eastAsia="zh-CN"/>
        </w:rPr>
        <w:t>≥110 mmHg</w:t>
      </w:r>
      <w:r w:rsidR="007E65DC">
        <w:rPr>
          <w:lang w:eastAsia="zh-CN"/>
        </w:rPr>
        <w:t>, a factor</w:t>
      </w:r>
      <w:r w:rsidR="005D004F">
        <w:rPr>
          <w:lang w:eastAsia="zh-CN"/>
        </w:rPr>
        <w:t xml:space="preserve"> </w:t>
      </w:r>
      <w:r w:rsidR="007E65DC">
        <w:rPr>
          <w:lang w:eastAsia="zh-CN"/>
        </w:rPr>
        <w:t>that, according to the NVDPA guidelines,</w:t>
      </w:r>
      <w:r w:rsidR="007149EF">
        <w:rPr>
          <w:lang w:eastAsia="zh-CN"/>
        </w:rPr>
        <w:t xml:space="preserve"> would identify a patient</w:t>
      </w:r>
      <w:r w:rsidR="007E65DC">
        <w:rPr>
          <w:lang w:eastAsia="zh-CN"/>
        </w:rPr>
        <w:t xml:space="preserve"> as a high risk and in need of blood pressure (BP) and lipid lowering medications. </w:t>
      </w:r>
      <w:r w:rsidR="005D004F">
        <w:rPr>
          <w:lang w:eastAsia="zh-CN"/>
        </w:rPr>
        <w:t xml:space="preserve"> </w:t>
      </w:r>
      <w:r w:rsidR="007E65DC" w:rsidRPr="009D6E44">
        <w:rPr>
          <w:lang w:eastAsia="zh-CN"/>
        </w:rPr>
        <w:t>According to the</w:t>
      </w:r>
      <w:r w:rsidR="003D633A" w:rsidRPr="009D6E44">
        <w:rPr>
          <w:lang w:eastAsia="zh-CN"/>
        </w:rPr>
        <w:t xml:space="preserve"> GSLLD</w:t>
      </w:r>
      <w:r w:rsidR="009D6E44">
        <w:rPr>
          <w:lang w:eastAsia="zh-CN"/>
        </w:rPr>
        <w:t>,</w:t>
      </w:r>
      <w:r w:rsidR="007E65DC" w:rsidRPr="009D6E44">
        <w:rPr>
          <w:lang w:eastAsia="zh-CN"/>
        </w:rPr>
        <w:t xml:space="preserve"> </w:t>
      </w:r>
      <w:r w:rsidR="009E20FF" w:rsidRPr="009D6E44">
        <w:rPr>
          <w:lang w:eastAsia="zh-CN"/>
        </w:rPr>
        <w:t>a</w:t>
      </w:r>
      <w:r w:rsidR="009E20FF" w:rsidRPr="009E20FF">
        <w:rPr>
          <w:lang w:eastAsia="zh-CN"/>
        </w:rPr>
        <w:t xml:space="preserve"> patient with hypertension </w:t>
      </w:r>
      <w:r w:rsidR="00115CEF">
        <w:rPr>
          <w:lang w:eastAsia="zh-CN"/>
        </w:rPr>
        <w:t xml:space="preserve">is required to try </w:t>
      </w:r>
      <w:r w:rsidR="009E20FF" w:rsidRPr="009E20FF">
        <w:rPr>
          <w:lang w:eastAsia="zh-CN"/>
        </w:rPr>
        <w:t>dietary th</w:t>
      </w:r>
      <w:r w:rsidR="00115CEF">
        <w:rPr>
          <w:lang w:eastAsia="zh-CN"/>
        </w:rPr>
        <w:t xml:space="preserve">erapy for at least 6 weeks and, if lipids are still above the </w:t>
      </w:r>
      <w:r w:rsidR="00115CEF" w:rsidRPr="009E20FF">
        <w:rPr>
          <w:lang w:eastAsia="zh-CN"/>
        </w:rPr>
        <w:t>specified levels</w:t>
      </w:r>
      <w:r w:rsidR="00115CEF">
        <w:rPr>
          <w:lang w:eastAsia="zh-CN"/>
        </w:rPr>
        <w:t xml:space="preserve">, </w:t>
      </w:r>
      <w:r w:rsidR="009D6E44">
        <w:rPr>
          <w:lang w:eastAsia="zh-CN"/>
        </w:rPr>
        <w:t>a patient would</w:t>
      </w:r>
      <w:r w:rsidR="00115CEF" w:rsidRPr="009E20FF">
        <w:rPr>
          <w:lang w:eastAsia="zh-CN"/>
        </w:rPr>
        <w:t xml:space="preserve"> </w:t>
      </w:r>
      <w:r w:rsidR="009E20FF" w:rsidRPr="009E20FF">
        <w:rPr>
          <w:lang w:eastAsia="zh-CN"/>
        </w:rPr>
        <w:t xml:space="preserve">qualify for </w:t>
      </w:r>
      <w:r w:rsidR="009D6E44">
        <w:rPr>
          <w:lang w:eastAsia="zh-CN"/>
        </w:rPr>
        <w:t xml:space="preserve">a subsidised </w:t>
      </w:r>
      <w:r w:rsidR="009E20FF" w:rsidRPr="009E20FF">
        <w:rPr>
          <w:lang w:eastAsia="zh-CN"/>
        </w:rPr>
        <w:t>treatment.</w:t>
      </w:r>
      <w:r w:rsidR="007E65DC">
        <w:rPr>
          <w:lang w:eastAsia="zh-CN"/>
        </w:rPr>
        <w:t xml:space="preserve"> </w:t>
      </w:r>
      <w:r w:rsidR="007149EF">
        <w:rPr>
          <w:lang w:eastAsia="zh-CN"/>
        </w:rPr>
        <w:t>The</w:t>
      </w:r>
      <w:r w:rsidR="00903BF3">
        <w:rPr>
          <w:lang w:eastAsia="zh-CN"/>
        </w:rPr>
        <w:t>re</w:t>
      </w:r>
      <w:r w:rsidR="007149EF">
        <w:rPr>
          <w:lang w:eastAsia="zh-CN"/>
        </w:rPr>
        <w:t xml:space="preserve"> are some apparent inconsistencies in </w:t>
      </w:r>
      <w:r w:rsidR="00AF356B">
        <w:rPr>
          <w:lang w:eastAsia="zh-CN"/>
        </w:rPr>
        <w:t xml:space="preserve">the NVDPA guidelines and the </w:t>
      </w:r>
      <w:r w:rsidR="00AF356B" w:rsidRPr="003D633A">
        <w:rPr>
          <w:lang w:eastAsia="zh-CN"/>
        </w:rPr>
        <w:t>GSLLD</w:t>
      </w:r>
      <w:r w:rsidR="00AF356B">
        <w:rPr>
          <w:lang w:eastAsia="zh-CN"/>
        </w:rPr>
        <w:t xml:space="preserve"> in </w:t>
      </w:r>
      <w:r w:rsidR="007149EF">
        <w:rPr>
          <w:lang w:eastAsia="zh-CN"/>
        </w:rPr>
        <w:t xml:space="preserve">assigning the </w:t>
      </w:r>
      <w:r w:rsidR="00903BF3">
        <w:rPr>
          <w:lang w:eastAsia="zh-CN"/>
        </w:rPr>
        <w:t xml:space="preserve">degree </w:t>
      </w:r>
      <w:r w:rsidR="00AF356B">
        <w:rPr>
          <w:lang w:eastAsia="zh-CN"/>
        </w:rPr>
        <w:t xml:space="preserve">of </w:t>
      </w:r>
      <w:r w:rsidR="007149EF">
        <w:rPr>
          <w:lang w:eastAsia="zh-CN"/>
        </w:rPr>
        <w:t xml:space="preserve">risk </w:t>
      </w:r>
      <w:r w:rsidR="00AF356B">
        <w:rPr>
          <w:lang w:eastAsia="zh-CN"/>
        </w:rPr>
        <w:t xml:space="preserve">to </w:t>
      </w:r>
      <w:r w:rsidR="007149EF">
        <w:rPr>
          <w:lang w:eastAsia="zh-CN"/>
        </w:rPr>
        <w:t xml:space="preserve">some patients </w:t>
      </w:r>
      <w:r w:rsidR="00AF356B">
        <w:rPr>
          <w:lang w:eastAsia="zh-CN"/>
        </w:rPr>
        <w:t>that result in differences between the recommendations of the professional body of Australian cardiologists and patients’ eligibility for the subsidi</w:t>
      </w:r>
      <w:r w:rsidR="008B2974">
        <w:rPr>
          <w:lang w:eastAsia="zh-CN"/>
        </w:rPr>
        <w:t xml:space="preserve">sed lipid-lowering medications </w:t>
      </w:r>
      <w:r w:rsidR="00722A36">
        <w:rPr>
          <w:lang w:eastAsia="zh-CN"/>
        </w:rPr>
        <w:t>(</w:t>
      </w:r>
      <w:r w:rsidR="00722A36" w:rsidRPr="003F4B0E">
        <w:rPr>
          <w:lang w:eastAsia="zh-CN"/>
        </w:rPr>
        <w:t>Doust</w:t>
      </w:r>
      <w:r w:rsidR="008B2974">
        <w:rPr>
          <w:lang w:eastAsia="zh-CN"/>
        </w:rPr>
        <w:t xml:space="preserve"> </w:t>
      </w:r>
      <w:r w:rsidR="00722A36" w:rsidRPr="003F4B0E">
        <w:rPr>
          <w:lang w:eastAsia="zh-CN"/>
        </w:rPr>
        <w:t>2012</w:t>
      </w:r>
      <w:r w:rsidR="009D6E44">
        <w:rPr>
          <w:lang w:eastAsia="zh-CN"/>
        </w:rPr>
        <w:t>, Nelson 2013</w:t>
      </w:r>
      <w:r w:rsidR="00722A36">
        <w:rPr>
          <w:lang w:eastAsia="zh-CN"/>
        </w:rPr>
        <w:t>)</w:t>
      </w:r>
      <w:r w:rsidR="008113D2">
        <w:rPr>
          <w:lang w:eastAsia="zh-CN"/>
        </w:rPr>
        <w:t>.</w:t>
      </w:r>
    </w:p>
    <w:p w:rsidR="00512F31" w:rsidRPr="006723AC" w:rsidRDefault="00512F31" w:rsidP="002D7B08">
      <w:pPr>
        <w:pStyle w:val="Heading3"/>
        <w:rPr>
          <w:rFonts w:eastAsia="Times New Roman"/>
          <w:lang w:eastAsia="en-AU"/>
        </w:rPr>
      </w:pPr>
      <w:bookmarkStart w:id="6" w:name="_Toc461644655"/>
      <w:r w:rsidRPr="006723AC">
        <w:rPr>
          <w:rFonts w:eastAsia="Times New Roman"/>
          <w:lang w:eastAsia="en-AU"/>
        </w:rPr>
        <w:lastRenderedPageBreak/>
        <w:t xml:space="preserve">Table </w:t>
      </w:r>
      <w:r w:rsidR="00C87AC5">
        <w:rPr>
          <w:rFonts w:eastAsia="Times New Roman"/>
          <w:lang w:eastAsia="en-AU"/>
        </w:rPr>
        <w:t>2</w:t>
      </w:r>
      <w:r>
        <w:rPr>
          <w:rFonts w:eastAsia="Times New Roman"/>
          <w:lang w:eastAsia="en-AU"/>
        </w:rPr>
        <w:t>.3</w:t>
      </w:r>
      <w:r w:rsidRPr="006723AC">
        <w:rPr>
          <w:rFonts w:eastAsia="Times New Roman"/>
          <w:lang w:eastAsia="en-AU"/>
        </w:rPr>
        <w:t>.</w:t>
      </w:r>
      <w:r>
        <w:rPr>
          <w:rFonts w:eastAsia="Times New Roman"/>
          <w:lang w:eastAsia="en-AU"/>
        </w:rPr>
        <w:t xml:space="preserve"> </w:t>
      </w:r>
      <w:r w:rsidRPr="00512F31">
        <w:rPr>
          <w:rFonts w:eastAsia="Times New Roman"/>
          <w:lang w:eastAsia="en-AU"/>
        </w:rPr>
        <w:t>General Stat</w:t>
      </w:r>
      <w:r>
        <w:rPr>
          <w:rFonts w:eastAsia="Times New Roman"/>
          <w:lang w:eastAsia="en-AU"/>
        </w:rPr>
        <w:t>ement For Lipid-Lowering Drugs prescribed as pharmaceutical b</w:t>
      </w:r>
      <w:r w:rsidRPr="00512F31">
        <w:rPr>
          <w:rFonts w:eastAsia="Times New Roman"/>
          <w:lang w:eastAsia="en-AU"/>
        </w:rPr>
        <w:t>enefits</w:t>
      </w:r>
      <w:bookmarkEnd w:id="6"/>
      <w:r w:rsidRPr="006723AC">
        <w:rPr>
          <w:rFonts w:eastAsia="Times New Roman"/>
          <w:lang w:eastAsia="en-AU"/>
        </w:rPr>
        <w:t xml:space="preserve"> </w:t>
      </w:r>
    </w:p>
    <w:tbl>
      <w:tblPr>
        <w:tblStyle w:val="TableGrid"/>
        <w:tblW w:w="14737" w:type="dxa"/>
        <w:tblLayout w:type="fixed"/>
        <w:tblLook w:val="04A0" w:firstRow="1" w:lastRow="0" w:firstColumn="1" w:lastColumn="0" w:noHBand="0" w:noVBand="1"/>
      </w:tblPr>
      <w:tblGrid>
        <w:gridCol w:w="3114"/>
        <w:gridCol w:w="2126"/>
        <w:gridCol w:w="4961"/>
        <w:gridCol w:w="2126"/>
        <w:gridCol w:w="2410"/>
      </w:tblGrid>
      <w:tr w:rsidR="000B74BB" w:rsidTr="006213C8">
        <w:tc>
          <w:tcPr>
            <w:tcW w:w="3114" w:type="dxa"/>
          </w:tcPr>
          <w:p w:rsidR="000B74BB" w:rsidRPr="008013A7" w:rsidRDefault="000B74BB" w:rsidP="000B74BB">
            <w:pPr>
              <w:rPr>
                <w:b/>
              </w:rPr>
            </w:pPr>
            <w:r w:rsidRPr="008013A7">
              <w:rPr>
                <w:b/>
              </w:rPr>
              <w:t>Guidelines</w:t>
            </w:r>
          </w:p>
        </w:tc>
        <w:tc>
          <w:tcPr>
            <w:tcW w:w="2126" w:type="dxa"/>
          </w:tcPr>
          <w:p w:rsidR="000B74BB" w:rsidRPr="008013A7" w:rsidRDefault="000B74BB" w:rsidP="000B74BB">
            <w:pPr>
              <w:rPr>
                <w:b/>
              </w:rPr>
            </w:pPr>
            <w:r w:rsidRPr="008013A7">
              <w:rPr>
                <w:b/>
              </w:rPr>
              <w:t>Setting/Population/scope</w:t>
            </w:r>
          </w:p>
        </w:tc>
        <w:tc>
          <w:tcPr>
            <w:tcW w:w="4961" w:type="dxa"/>
          </w:tcPr>
          <w:p w:rsidR="000B74BB" w:rsidRPr="00E86312" w:rsidRDefault="000B74BB" w:rsidP="000B74BB">
            <w:pPr>
              <w:rPr>
                <w:b/>
              </w:rPr>
            </w:pPr>
            <w:r w:rsidRPr="00E86312">
              <w:rPr>
                <w:b/>
              </w:rPr>
              <w:t>Risk factors included</w:t>
            </w:r>
          </w:p>
        </w:tc>
        <w:tc>
          <w:tcPr>
            <w:tcW w:w="2126" w:type="dxa"/>
          </w:tcPr>
          <w:p w:rsidR="000B74BB" w:rsidRPr="006C74ED" w:rsidRDefault="006C74ED" w:rsidP="000B74BB">
            <w:pPr>
              <w:rPr>
                <w:b/>
              </w:rPr>
            </w:pPr>
            <w:r>
              <w:rPr>
                <w:b/>
              </w:rPr>
              <w:t>E</w:t>
            </w:r>
            <w:r w:rsidRPr="006C74ED">
              <w:rPr>
                <w:b/>
              </w:rPr>
              <w:t>vidence base</w:t>
            </w:r>
          </w:p>
        </w:tc>
        <w:tc>
          <w:tcPr>
            <w:tcW w:w="2410" w:type="dxa"/>
          </w:tcPr>
          <w:p w:rsidR="000B74BB" w:rsidRPr="00A6442E" w:rsidRDefault="000B74BB" w:rsidP="000B74BB">
            <w:pPr>
              <w:rPr>
                <w:b/>
              </w:rPr>
            </w:pPr>
            <w:r w:rsidRPr="00A6442E">
              <w:rPr>
                <w:b/>
              </w:rPr>
              <w:t xml:space="preserve">Suggested </w:t>
            </w:r>
            <w:r>
              <w:rPr>
                <w:b/>
              </w:rPr>
              <w:t xml:space="preserve">lipid lowering </w:t>
            </w:r>
            <w:r w:rsidRPr="00A6442E">
              <w:rPr>
                <w:b/>
              </w:rPr>
              <w:t>management</w:t>
            </w:r>
            <w:r>
              <w:rPr>
                <w:b/>
              </w:rPr>
              <w:t xml:space="preserve"> </w:t>
            </w:r>
          </w:p>
        </w:tc>
      </w:tr>
      <w:tr w:rsidR="000B74BB" w:rsidTr="006213C8">
        <w:tc>
          <w:tcPr>
            <w:tcW w:w="3114" w:type="dxa"/>
          </w:tcPr>
          <w:p w:rsidR="000B74BB" w:rsidRDefault="000B74BB" w:rsidP="000B74BB">
            <w:pPr>
              <w:rPr>
                <w:b/>
              </w:rPr>
            </w:pPr>
            <w:r w:rsidRPr="00EB7346">
              <w:t>GENERAL STATEMENT FOR LIPID-LOWERING DRUGS PRESCRIBED AS PHARMACEUTICAL BENEFITS</w:t>
            </w:r>
            <w:r>
              <w:t xml:space="preserve"> </w:t>
            </w:r>
            <w:r w:rsidRPr="008013A7">
              <w:rPr>
                <w:b/>
              </w:rPr>
              <w:t xml:space="preserve">Australia, </w:t>
            </w:r>
            <w:r>
              <w:rPr>
                <w:b/>
              </w:rPr>
              <w:t xml:space="preserve">effective </w:t>
            </w:r>
            <w:r w:rsidRPr="00165BDA">
              <w:rPr>
                <w:b/>
              </w:rPr>
              <w:t>1 October 2006.</w:t>
            </w:r>
          </w:p>
          <w:p w:rsidR="000B74BB" w:rsidRDefault="000B74BB" w:rsidP="000B74BB"/>
        </w:tc>
        <w:tc>
          <w:tcPr>
            <w:tcW w:w="2126" w:type="dxa"/>
          </w:tcPr>
          <w:p w:rsidR="000B74BB" w:rsidRDefault="000B74BB" w:rsidP="000B74BB">
            <w:r w:rsidRPr="00A6442E">
              <w:rPr>
                <w:b/>
              </w:rPr>
              <w:t>Implicitly, both</w:t>
            </w:r>
            <w:r>
              <w:t xml:space="preserve"> </w:t>
            </w:r>
            <w:r w:rsidRPr="008013A7">
              <w:rPr>
                <w:b/>
              </w:rPr>
              <w:t xml:space="preserve">primary </w:t>
            </w:r>
            <w:r>
              <w:rPr>
                <w:b/>
              </w:rPr>
              <w:t xml:space="preserve">and secondary </w:t>
            </w:r>
            <w:r w:rsidRPr="008013A7">
              <w:rPr>
                <w:b/>
              </w:rPr>
              <w:t>prevention</w:t>
            </w:r>
            <w:r>
              <w:rPr>
                <w:b/>
              </w:rPr>
              <w:t xml:space="preserve"> in high and low risk patients </w:t>
            </w:r>
          </w:p>
          <w:p w:rsidR="000B74BB" w:rsidRDefault="000B74BB" w:rsidP="000B74BB">
            <w:r>
              <w:t>t</w:t>
            </w:r>
            <w:r w:rsidRPr="00EB7346">
              <w:t>o determine patient eligibility for subsidis</w:t>
            </w:r>
            <w:r>
              <w:t xml:space="preserve">ed prescription of </w:t>
            </w:r>
            <w:r w:rsidRPr="00EB7346">
              <w:t>PBS</w:t>
            </w:r>
            <w:r>
              <w:t>-listed lipid-lowering drugs</w:t>
            </w:r>
          </w:p>
          <w:p w:rsidR="000B74BB" w:rsidRDefault="000B74BB" w:rsidP="000B74BB">
            <w:r>
              <w:t>atorvastatin calcium</w:t>
            </w:r>
          </w:p>
          <w:p w:rsidR="000B74BB" w:rsidRDefault="000B74BB" w:rsidP="000B74BB">
            <w:r>
              <w:t>fluvastatin sodium</w:t>
            </w:r>
          </w:p>
          <w:p w:rsidR="000B74BB" w:rsidRDefault="000B74BB" w:rsidP="000B74BB">
            <w:r>
              <w:t>pravastatin sodium</w:t>
            </w:r>
          </w:p>
          <w:p w:rsidR="000B74BB" w:rsidRDefault="000B74BB" w:rsidP="000B74BB">
            <w:r>
              <w:t>rosuvastatin calcium</w:t>
            </w:r>
          </w:p>
          <w:p w:rsidR="000B74BB" w:rsidRDefault="000B74BB" w:rsidP="000B74BB">
            <w:r>
              <w:t>simvastatin</w:t>
            </w:r>
          </w:p>
          <w:p w:rsidR="000B74BB" w:rsidRDefault="000B74BB" w:rsidP="000B74BB">
            <w:r>
              <w:t>fenofibrate</w:t>
            </w:r>
          </w:p>
          <w:p w:rsidR="000B74BB" w:rsidRDefault="000B74BB" w:rsidP="000B74BB">
            <w:r>
              <w:t>gemfibrozil</w:t>
            </w:r>
          </w:p>
        </w:tc>
        <w:tc>
          <w:tcPr>
            <w:tcW w:w="4961" w:type="dxa"/>
          </w:tcPr>
          <w:p w:rsidR="000B74BB" w:rsidRPr="00EB7346" w:rsidRDefault="000B74BB" w:rsidP="000B74BB">
            <w:pPr>
              <w:rPr>
                <w:i/>
              </w:rPr>
            </w:pPr>
            <w:r w:rsidRPr="00DA4036">
              <w:rPr>
                <w:b/>
                <w:i/>
              </w:rPr>
              <w:t>High risk population</w:t>
            </w:r>
            <w:r>
              <w:rPr>
                <w:i/>
              </w:rPr>
              <w:t xml:space="preserve"> (can start statins or other lipid-lowering drugs at any level of cholesterol)</w:t>
            </w:r>
          </w:p>
          <w:p w:rsidR="000B74BB" w:rsidRDefault="000B74BB" w:rsidP="000B74BB">
            <w:r>
              <w:t>•coronary heart disease which has become symptomatic</w:t>
            </w:r>
          </w:p>
          <w:p w:rsidR="000B74BB" w:rsidRDefault="000B74BB" w:rsidP="000B74BB">
            <w:r>
              <w:t>•cerebrovascular disease which has become symptomatic</w:t>
            </w:r>
          </w:p>
          <w:p w:rsidR="000B74BB" w:rsidRDefault="000B74BB" w:rsidP="000B74BB">
            <w:r>
              <w:t>•peripheral vascular disease which has become symptomatic</w:t>
            </w:r>
          </w:p>
          <w:p w:rsidR="000B74BB" w:rsidRDefault="000B74BB" w:rsidP="000B74BB">
            <w:r>
              <w:t>•diabetes mellitus with microalbuminuria (defined as urinary albumin excretion rate of &gt;20mcg/min or urinary albumin to creatinine ratio of &gt; 2.5 for males, &gt; 3.5 for females)</w:t>
            </w:r>
          </w:p>
          <w:p w:rsidR="000B74BB" w:rsidRDefault="000B74BB" w:rsidP="000B74BB">
            <w:r>
              <w:t>•diabetes mellitus in Aboriginal or Torres Strait Islander patients</w:t>
            </w:r>
          </w:p>
          <w:p w:rsidR="000B74BB" w:rsidRDefault="000B74BB" w:rsidP="000B74BB">
            <w:r>
              <w:t>•diabetes mellitus in patients aged 60 years or more</w:t>
            </w:r>
          </w:p>
          <w:p w:rsidR="000B74BB" w:rsidRDefault="000B74BB" w:rsidP="000B74BB">
            <w:r>
              <w:t>•family history of coronary heart disease which has become symptomatic before the age of 55 years in two or more first degree relatives</w:t>
            </w:r>
          </w:p>
          <w:p w:rsidR="000B74BB" w:rsidRDefault="000B74BB" w:rsidP="000B74BB">
            <w:r>
              <w:t>•family history of coronary heart disease which has become symptomatic before the age of 45 years in one or more first degree relatives</w:t>
            </w:r>
          </w:p>
          <w:p w:rsidR="000B74BB" w:rsidRPr="00F678F0" w:rsidRDefault="000B74BB" w:rsidP="00115CEF">
            <w:pPr>
              <w:rPr>
                <w:i/>
              </w:rPr>
            </w:pPr>
            <w:r w:rsidRPr="00DA4036">
              <w:rPr>
                <w:b/>
                <w:i/>
              </w:rPr>
              <w:t>Low risk population</w:t>
            </w:r>
            <w:r>
              <w:rPr>
                <w:i/>
              </w:rPr>
              <w:t xml:space="preserve"> with elevated cholesterol level should first be provided with dietary therapy for at least 6 weeks. If unsuccessful, eligibility for PBS subsidised statins and other lipid-lowering drugs is determined by Table </w:t>
            </w:r>
            <w:r w:rsidR="00115CEF">
              <w:rPr>
                <w:i/>
              </w:rPr>
              <w:t>2.4</w:t>
            </w:r>
            <w:r>
              <w:rPr>
                <w:i/>
              </w:rPr>
              <w:t xml:space="preserve"> below</w:t>
            </w:r>
          </w:p>
        </w:tc>
        <w:tc>
          <w:tcPr>
            <w:tcW w:w="2126" w:type="dxa"/>
          </w:tcPr>
          <w:p w:rsidR="000B74BB" w:rsidRDefault="000B74BB" w:rsidP="000B74BB">
            <w:r>
              <w:t>included the Heart Protection Study (HPS), the United Kingdom Prospective Diabetes Study (UKPDS), Australian data audits and input from experts**</w:t>
            </w:r>
          </w:p>
        </w:tc>
        <w:tc>
          <w:tcPr>
            <w:tcW w:w="2410" w:type="dxa"/>
          </w:tcPr>
          <w:p w:rsidR="000B74BB" w:rsidRDefault="000B74BB" w:rsidP="000B74BB">
            <w:pPr>
              <w:rPr>
                <w:i/>
              </w:rPr>
            </w:pPr>
            <w:r w:rsidRPr="00EB7346">
              <w:rPr>
                <w:i/>
              </w:rPr>
              <w:t>High risk population</w:t>
            </w:r>
            <w:r>
              <w:rPr>
                <w:i/>
              </w:rPr>
              <w:t xml:space="preserve"> starts statins/other lipid lowering drugs at any level of fasting cholesterol.</w:t>
            </w:r>
          </w:p>
          <w:p w:rsidR="000B74BB" w:rsidRDefault="000B74BB" w:rsidP="000B74BB">
            <w:r>
              <w:rPr>
                <w:i/>
              </w:rPr>
              <w:t xml:space="preserve"> Low</w:t>
            </w:r>
            <w:r w:rsidRPr="00EB7346">
              <w:rPr>
                <w:i/>
              </w:rPr>
              <w:t xml:space="preserve"> risk population</w:t>
            </w:r>
            <w:r>
              <w:rPr>
                <w:i/>
              </w:rPr>
              <w:t xml:space="preserve"> with elevated fasting cholesterol level should first be provided with dietary therapy for at least 6 weeks. If unsuccessful, refer to other combination of a specified lipid levels and other risk factors (Table 1.4) to establish eligibility for PBS subsidised statins and other lipid-lowering drugs  </w:t>
            </w:r>
          </w:p>
        </w:tc>
      </w:tr>
    </w:tbl>
    <w:p w:rsidR="008013A7" w:rsidRDefault="00165BDA" w:rsidP="002C55DA">
      <w:pPr>
        <w:spacing w:after="0"/>
      </w:pPr>
      <w:r>
        <w:t>*</w:t>
      </w:r>
      <w:r w:rsidR="00F120CC">
        <w:t>*</w:t>
      </w:r>
      <w:r>
        <w:t>Schilling et al, 2014</w:t>
      </w:r>
      <w:r w:rsidR="00AC5002">
        <w:t>.</w:t>
      </w:r>
      <w:r>
        <w:t xml:space="preserve"> </w:t>
      </w:r>
    </w:p>
    <w:p w:rsidR="000B74BB" w:rsidRDefault="000B74BB">
      <w:pPr>
        <w:rPr>
          <w:rFonts w:ascii="Calibri" w:hAnsi="Calibri"/>
          <w:b/>
          <w:sz w:val="24"/>
          <w:szCs w:val="24"/>
        </w:rPr>
      </w:pPr>
    </w:p>
    <w:p w:rsidR="00165BDA" w:rsidRPr="00512F31" w:rsidRDefault="0022343A" w:rsidP="002D7B08">
      <w:pPr>
        <w:pStyle w:val="Heading3"/>
        <w:rPr>
          <w:rFonts w:eastAsia="Times New Roman"/>
          <w:lang w:eastAsia="en-AU"/>
        </w:rPr>
      </w:pPr>
      <w:bookmarkStart w:id="7" w:name="_Toc461644656"/>
      <w:r w:rsidRPr="00512F31">
        <w:rPr>
          <w:rFonts w:eastAsia="Times New Roman"/>
          <w:lang w:eastAsia="en-AU"/>
        </w:rPr>
        <w:lastRenderedPageBreak/>
        <w:t xml:space="preserve">Table </w:t>
      </w:r>
      <w:r w:rsidR="00C87AC5">
        <w:rPr>
          <w:rFonts w:eastAsia="Times New Roman"/>
          <w:lang w:eastAsia="en-AU"/>
        </w:rPr>
        <w:t>2</w:t>
      </w:r>
      <w:r w:rsidR="00512F31" w:rsidRPr="00512F31">
        <w:rPr>
          <w:rFonts w:eastAsia="Times New Roman"/>
          <w:lang w:eastAsia="en-AU"/>
        </w:rPr>
        <w:t>.4.</w:t>
      </w:r>
      <w:r w:rsidRPr="00512F31">
        <w:rPr>
          <w:rFonts w:eastAsia="Times New Roman"/>
          <w:lang w:eastAsia="en-AU"/>
        </w:rPr>
        <w:t xml:space="preserve"> </w:t>
      </w:r>
      <w:r w:rsidR="00512F31">
        <w:rPr>
          <w:rFonts w:eastAsia="Times New Roman"/>
          <w:lang w:eastAsia="en-AU"/>
        </w:rPr>
        <w:t>P</w:t>
      </w:r>
      <w:r w:rsidR="00C027D2" w:rsidRPr="00512F31">
        <w:rPr>
          <w:rFonts w:eastAsia="Times New Roman"/>
          <w:lang w:eastAsia="en-AU"/>
        </w:rPr>
        <w:t>ost-dietary qualifying criteria </w:t>
      </w:r>
      <w:r w:rsidRPr="00512F31">
        <w:rPr>
          <w:rFonts w:eastAsia="Times New Roman"/>
          <w:lang w:eastAsia="en-AU"/>
        </w:rPr>
        <w:t>for PBS subsidised cholesterol-lowering drugs</w:t>
      </w:r>
      <w:bookmarkEnd w:id="7"/>
    </w:p>
    <w:tbl>
      <w:tblPr>
        <w:tblStyle w:val="TableGrid"/>
        <w:tblW w:w="0" w:type="auto"/>
        <w:tblLook w:val="04A0" w:firstRow="1" w:lastRow="0" w:firstColumn="1" w:lastColumn="0" w:noHBand="0" w:noVBand="1"/>
      </w:tblPr>
      <w:tblGrid>
        <w:gridCol w:w="6974"/>
        <w:gridCol w:w="6974"/>
      </w:tblGrid>
      <w:tr w:rsidR="0022343A" w:rsidTr="00165BDA">
        <w:tc>
          <w:tcPr>
            <w:tcW w:w="6974" w:type="dxa"/>
          </w:tcPr>
          <w:p w:rsidR="0022343A" w:rsidRPr="00A23D11" w:rsidRDefault="0022343A" w:rsidP="00A23D11">
            <w:r w:rsidRPr="00A23D11">
              <w:t>PATIENT CATEGORY</w:t>
            </w:r>
          </w:p>
        </w:tc>
        <w:tc>
          <w:tcPr>
            <w:tcW w:w="6974" w:type="dxa"/>
          </w:tcPr>
          <w:p w:rsidR="0022343A" w:rsidRPr="00A23D11" w:rsidRDefault="0022343A" w:rsidP="00A23D11">
            <w:r w:rsidRPr="00A23D11">
              <w:t>  LIPID LEVELS FOR PBS SUBSIDY</w:t>
            </w:r>
          </w:p>
        </w:tc>
      </w:tr>
      <w:tr w:rsidR="0022343A" w:rsidTr="00165BDA">
        <w:tc>
          <w:tcPr>
            <w:tcW w:w="6974" w:type="dxa"/>
          </w:tcPr>
          <w:p w:rsidR="0022343A" w:rsidRPr="00A23D11" w:rsidRDefault="0022343A" w:rsidP="00A23D11">
            <w:r w:rsidRPr="00A23D11">
              <w:t>Patients with diabetes mellitus not otherwise included</w:t>
            </w:r>
          </w:p>
        </w:tc>
        <w:tc>
          <w:tcPr>
            <w:tcW w:w="6974" w:type="dxa"/>
          </w:tcPr>
          <w:p w:rsidR="0022343A" w:rsidRPr="00A23D11" w:rsidRDefault="0022343A" w:rsidP="00A23D11">
            <w:r w:rsidRPr="00A23D11">
              <w:t>  total cholesterol &gt; 5.5 mmol/L</w:t>
            </w:r>
          </w:p>
        </w:tc>
      </w:tr>
      <w:tr w:rsidR="0022343A" w:rsidTr="00165BDA">
        <w:tc>
          <w:tcPr>
            <w:tcW w:w="6974" w:type="dxa"/>
          </w:tcPr>
          <w:p w:rsidR="0022343A" w:rsidRPr="00A23D11" w:rsidRDefault="0022343A" w:rsidP="00A23D11">
            <w:r w:rsidRPr="00A23D11">
              <w:t>Aboriginal or Torres Strait Islander patients</w:t>
            </w:r>
            <w:r w:rsidRPr="00A23D11">
              <w:br/>
              <w:t>Patients with hypertension</w:t>
            </w:r>
          </w:p>
        </w:tc>
        <w:tc>
          <w:tcPr>
            <w:tcW w:w="6974" w:type="dxa"/>
          </w:tcPr>
          <w:p w:rsidR="0022343A" w:rsidRPr="00A23D11" w:rsidRDefault="0022343A" w:rsidP="00A23D11">
            <w:r w:rsidRPr="00A23D11">
              <w:t>  total cholesterol &gt; 6.5 mmol/L</w:t>
            </w:r>
            <w:r w:rsidRPr="00A23D11">
              <w:br/>
              <w:t>  or</w:t>
            </w:r>
            <w:r w:rsidRPr="00A23D11">
              <w:br/>
              <w:t>  total cholesterol &gt; 5.5 mmol/L and</w:t>
            </w:r>
            <w:r w:rsidRPr="00A23D11">
              <w:br/>
              <w:t>  HDL cholesterol &lt; 1 mmol/L</w:t>
            </w:r>
          </w:p>
        </w:tc>
      </w:tr>
      <w:tr w:rsidR="0022343A" w:rsidTr="00165BDA">
        <w:tc>
          <w:tcPr>
            <w:tcW w:w="6974" w:type="dxa"/>
          </w:tcPr>
          <w:p w:rsidR="0022343A" w:rsidRPr="00A23D11" w:rsidRDefault="0022343A" w:rsidP="00A23D11">
            <w:r w:rsidRPr="00A23D11">
              <w:t>Patients with HDL cholesterol &lt; 1 mmol/L</w:t>
            </w:r>
          </w:p>
        </w:tc>
        <w:tc>
          <w:tcPr>
            <w:tcW w:w="6974" w:type="dxa"/>
          </w:tcPr>
          <w:p w:rsidR="0022343A" w:rsidRPr="00A23D11" w:rsidRDefault="0022343A" w:rsidP="00A23D11">
            <w:r w:rsidRPr="00A23D11">
              <w:t>  total cholesterol &gt; 6.5 mmol/L</w:t>
            </w:r>
          </w:p>
        </w:tc>
      </w:tr>
      <w:tr w:rsidR="0022343A" w:rsidTr="0022343A">
        <w:tc>
          <w:tcPr>
            <w:tcW w:w="6974" w:type="dxa"/>
          </w:tcPr>
          <w:p w:rsidR="0022343A" w:rsidRPr="00A23D11" w:rsidRDefault="0022343A" w:rsidP="00A23D11">
            <w:r w:rsidRPr="00A23D11">
              <w:t>Patients with familial hypercholesterolaemia identified by:</w:t>
            </w:r>
            <w:r w:rsidRPr="00A23D11">
              <w:br/>
            </w:r>
          </w:p>
          <w:p w:rsidR="0022343A" w:rsidRPr="00A23D11" w:rsidRDefault="0022343A" w:rsidP="00A23D11">
            <w:r w:rsidRPr="00A23D11">
              <w:t>DNA mutation; or</w:t>
            </w:r>
          </w:p>
          <w:p w:rsidR="0022343A" w:rsidRPr="00A23D11" w:rsidRDefault="0022343A" w:rsidP="00A23D11">
            <w:r w:rsidRPr="00A23D11">
              <w:t>tendon xanthomas in the patient or their first or second degree relative</w:t>
            </w:r>
          </w:p>
          <w:p w:rsidR="0022343A" w:rsidRPr="00A23D11" w:rsidRDefault="0022343A" w:rsidP="00A23D11">
            <w:r w:rsidRPr="00A23D11">
              <w:t> </w:t>
            </w:r>
            <w:r w:rsidRPr="00A23D11">
              <w:br/>
              <w:t> Patients with:</w:t>
            </w:r>
            <w:r w:rsidRPr="00A23D11">
              <w:br/>
            </w:r>
          </w:p>
          <w:p w:rsidR="0022343A" w:rsidRPr="00A23D11" w:rsidRDefault="0022343A" w:rsidP="00A23D11">
            <w:r w:rsidRPr="00A23D11">
              <w:t>family history of coronary heart disease which has become symptomatic before the age of 60 years in one or more first degree relatives; or</w:t>
            </w:r>
          </w:p>
          <w:p w:rsidR="0022343A" w:rsidRPr="00A23D11" w:rsidRDefault="0022343A" w:rsidP="00A23D11">
            <w:r w:rsidRPr="00A23D11">
              <w:t>family history of coronary heart disease which has become symptomatic before the age of 50 years in one or more second degree relatives</w:t>
            </w:r>
          </w:p>
        </w:tc>
        <w:tc>
          <w:tcPr>
            <w:tcW w:w="6974" w:type="dxa"/>
            <w:vAlign w:val="center"/>
          </w:tcPr>
          <w:p w:rsidR="0022343A" w:rsidRPr="00A23D11" w:rsidRDefault="002C55DA" w:rsidP="00A23D11">
            <w:r>
              <w:t xml:space="preserve">  </w:t>
            </w:r>
            <w:r w:rsidR="0022343A" w:rsidRPr="00A23D11">
              <w:t>If aged 18 years or less at treatment initiation:</w:t>
            </w:r>
            <w:r w:rsidR="0022343A" w:rsidRPr="00A23D11">
              <w:br/>
              <w:t>  LDL cholesterol &gt; 4 mmol/L</w:t>
            </w:r>
            <w:r w:rsidR="0022343A" w:rsidRPr="00A23D11">
              <w:br/>
            </w:r>
            <w:r w:rsidR="0022343A" w:rsidRPr="00A23D11">
              <w:br/>
              <w:t>  If aged more than 18 years at treatment initiation:</w:t>
            </w:r>
            <w:r w:rsidR="0022343A" w:rsidRPr="00A23D11">
              <w:br/>
              <w:t>  LDL cholesterol &gt; 5 mmol/L</w:t>
            </w:r>
            <w:r w:rsidR="0022343A" w:rsidRPr="00A23D11">
              <w:br/>
              <w:t>  or</w:t>
            </w:r>
            <w:r w:rsidR="0022343A" w:rsidRPr="00A23D11">
              <w:br/>
              <w:t>  total cholesterol &gt; 6.5 mmol/L</w:t>
            </w:r>
            <w:r w:rsidR="0022343A" w:rsidRPr="00A23D11">
              <w:br/>
              <w:t>  or</w:t>
            </w:r>
            <w:r w:rsidR="0022343A" w:rsidRPr="00A23D11">
              <w:br/>
              <w:t>  total cholesterol &gt; 5.5 mmol/L and</w:t>
            </w:r>
            <w:r w:rsidR="0022343A" w:rsidRPr="00A23D11">
              <w:br/>
              <w:t>  HDL cholesterol &lt; 1 mmol/L</w:t>
            </w:r>
          </w:p>
        </w:tc>
      </w:tr>
      <w:tr w:rsidR="0022343A" w:rsidTr="00165BDA">
        <w:tc>
          <w:tcPr>
            <w:tcW w:w="6974" w:type="dxa"/>
          </w:tcPr>
          <w:p w:rsidR="0022343A" w:rsidRPr="00A23D11" w:rsidRDefault="0022343A" w:rsidP="00A23D11">
            <w:r w:rsidRPr="00A23D11">
              <w:t>Patients</w:t>
            </w:r>
            <w:r w:rsidR="002C55DA">
              <w:t xml:space="preserve"> not eligible under the above:</w:t>
            </w:r>
            <w:r w:rsidR="002C55DA">
              <w:br/>
            </w:r>
            <w:r w:rsidRPr="00A23D11">
              <w:t>men aged 35 to 75 years</w:t>
            </w:r>
          </w:p>
          <w:p w:rsidR="0022343A" w:rsidRPr="00A23D11" w:rsidRDefault="0022343A" w:rsidP="00A23D11">
            <w:r w:rsidRPr="00A23D11">
              <w:t>post-menopausal women aged up to 75 years</w:t>
            </w:r>
          </w:p>
        </w:tc>
        <w:tc>
          <w:tcPr>
            <w:tcW w:w="6974" w:type="dxa"/>
          </w:tcPr>
          <w:p w:rsidR="0022343A" w:rsidRPr="00A23D11" w:rsidRDefault="0022343A" w:rsidP="00A23D11">
            <w:r w:rsidRPr="00A23D11">
              <w:t>  total cholesterol &gt; 7.5 mmol/L</w:t>
            </w:r>
            <w:r w:rsidRPr="00A23D11">
              <w:br/>
              <w:t>  or</w:t>
            </w:r>
            <w:r w:rsidRPr="00A23D11">
              <w:br/>
              <w:t>  triglyceride &gt; 4 mmol/L</w:t>
            </w:r>
          </w:p>
        </w:tc>
      </w:tr>
      <w:tr w:rsidR="0022343A" w:rsidTr="00165BDA">
        <w:tc>
          <w:tcPr>
            <w:tcW w:w="6974" w:type="dxa"/>
          </w:tcPr>
          <w:p w:rsidR="0022343A" w:rsidRPr="00A23D11" w:rsidRDefault="0022343A" w:rsidP="00A23D11">
            <w:r w:rsidRPr="00A23D11">
              <w:t>Patients not otherwise included</w:t>
            </w:r>
          </w:p>
        </w:tc>
        <w:tc>
          <w:tcPr>
            <w:tcW w:w="6974" w:type="dxa"/>
          </w:tcPr>
          <w:p w:rsidR="0022343A" w:rsidRPr="00A23D11" w:rsidRDefault="0022343A" w:rsidP="00A23D11">
            <w:r w:rsidRPr="00A23D11">
              <w:t>  total cholesterol &gt; 9 mmol/L</w:t>
            </w:r>
            <w:r w:rsidRPr="00A23D11">
              <w:br/>
              <w:t>  or</w:t>
            </w:r>
            <w:r w:rsidRPr="00A23D11">
              <w:br/>
              <w:t>  triglyceride &gt; 8 mmol/L</w:t>
            </w:r>
          </w:p>
        </w:tc>
      </w:tr>
    </w:tbl>
    <w:p w:rsidR="00AD3E6F" w:rsidRDefault="00AD3E6F" w:rsidP="00085237">
      <w:pPr>
        <w:rPr>
          <w:rFonts w:ascii="Calibri" w:hAnsi="Calibri" w:cs="Arial"/>
          <w:b/>
          <w:color w:val="000000"/>
          <w:sz w:val="24"/>
          <w:szCs w:val="24"/>
          <w:shd w:val="clear" w:color="auto" w:fill="FFFFFF"/>
        </w:rPr>
        <w:sectPr w:rsidR="00AD3E6F" w:rsidSect="00AD3E6F">
          <w:pgSz w:w="16838" w:h="11906" w:orient="landscape"/>
          <w:pgMar w:top="1440" w:right="1440" w:bottom="1440" w:left="1440" w:header="709" w:footer="709" w:gutter="0"/>
          <w:cols w:space="708"/>
          <w:docGrid w:linePitch="360"/>
        </w:sectPr>
      </w:pPr>
    </w:p>
    <w:p w:rsidR="00B412CB" w:rsidRPr="00B75862" w:rsidRDefault="00B412CB" w:rsidP="002111ED">
      <w:pPr>
        <w:pStyle w:val="Heading2"/>
        <w:keepNext/>
        <w:keepLines/>
        <w:numPr>
          <w:ilvl w:val="0"/>
          <w:numId w:val="13"/>
        </w:numPr>
        <w:spacing w:before="0" w:beforeAutospacing="0" w:after="0" w:afterAutospacing="0"/>
        <w:rPr>
          <w:rFonts w:asciiTheme="majorHAnsi" w:eastAsiaTheme="majorEastAsia" w:hAnsiTheme="majorHAnsi" w:cstheme="majorBidi"/>
          <w:b w:val="0"/>
          <w:bCs w:val="0"/>
          <w:color w:val="2E74B5" w:themeColor="accent1" w:themeShade="BF"/>
          <w:sz w:val="26"/>
          <w:szCs w:val="26"/>
          <w:lang w:eastAsia="zh-CN"/>
        </w:rPr>
      </w:pPr>
      <w:bookmarkStart w:id="8" w:name="_Toc461644657"/>
      <w:r>
        <w:rPr>
          <w:rFonts w:asciiTheme="majorHAnsi" w:eastAsiaTheme="majorEastAsia" w:hAnsiTheme="majorHAnsi" w:cstheme="majorBidi"/>
          <w:b w:val="0"/>
          <w:bCs w:val="0"/>
          <w:color w:val="2E74B5" w:themeColor="accent1" w:themeShade="BF"/>
          <w:sz w:val="26"/>
          <w:szCs w:val="26"/>
          <w:lang w:eastAsia="zh-CN"/>
        </w:rPr>
        <w:lastRenderedPageBreak/>
        <w:t>Northern America (USA and Canada)</w:t>
      </w:r>
      <w:bookmarkEnd w:id="8"/>
    </w:p>
    <w:p w:rsidR="00B412CB" w:rsidRDefault="00B412CB" w:rsidP="002111ED">
      <w:pPr>
        <w:spacing w:after="0" w:line="240" w:lineRule="auto"/>
        <w:rPr>
          <w:rFonts w:ascii="Calibri" w:hAnsi="Calibri" w:cs="Arial"/>
          <w:b/>
          <w:color w:val="000000"/>
          <w:sz w:val="24"/>
          <w:szCs w:val="24"/>
          <w:shd w:val="clear" w:color="auto" w:fill="FFFFFF"/>
        </w:rPr>
      </w:pPr>
    </w:p>
    <w:p w:rsidR="00BA5B7C" w:rsidRDefault="00640C93" w:rsidP="002111ED">
      <w:pPr>
        <w:spacing w:after="0" w:line="240" w:lineRule="auto"/>
        <w:jc w:val="both"/>
      </w:pPr>
      <w:r>
        <w:t>Issued in 2001, t</w:t>
      </w:r>
      <w:r w:rsidR="00A45C82">
        <w:t xml:space="preserve">he </w:t>
      </w:r>
      <w:r w:rsidR="00950558" w:rsidRPr="00950558">
        <w:t>guidelines</w:t>
      </w:r>
      <w:r w:rsidR="00950558">
        <w:t xml:space="preserve"> by the </w:t>
      </w:r>
      <w:r w:rsidR="00CA5345">
        <w:t xml:space="preserve">US </w:t>
      </w:r>
      <w:r w:rsidR="00D44245" w:rsidRPr="00B412CB">
        <w:t>National Cholesterol Education Program (NCEP) Adult Treatment Panel (ATP)</w:t>
      </w:r>
      <w:r w:rsidR="00D44245">
        <w:t xml:space="preserve"> </w:t>
      </w:r>
      <w:r w:rsidR="004C033C">
        <w:t>set up</w:t>
      </w:r>
      <w:r w:rsidR="00CA5345">
        <w:t xml:space="preserve"> a gold standard</w:t>
      </w:r>
      <w:r w:rsidR="00CA5345" w:rsidRPr="00CA5345">
        <w:t xml:space="preserve"> </w:t>
      </w:r>
      <w:r w:rsidR="00CA5345">
        <w:t xml:space="preserve">in </w:t>
      </w:r>
      <w:r w:rsidR="006A6171">
        <w:t xml:space="preserve">cholesterol blood </w:t>
      </w:r>
      <w:r w:rsidR="00CA5345">
        <w:t>treat</w:t>
      </w:r>
      <w:r w:rsidR="006A6171">
        <w:t>ment</w:t>
      </w:r>
      <w:r w:rsidR="00950558">
        <w:t xml:space="preserve">. </w:t>
      </w:r>
      <w:r w:rsidR="00950558" w:rsidRPr="00B412CB">
        <w:t xml:space="preserve">The </w:t>
      </w:r>
      <w:r w:rsidR="00950558">
        <w:t>ATP</w:t>
      </w:r>
      <w:r w:rsidR="00950558" w:rsidRPr="00B412CB">
        <w:t xml:space="preserve"> III provided guidelines on both when to initiate lipid</w:t>
      </w:r>
      <w:r w:rsidR="00950558">
        <w:t>-lowering therapy based on LDL-C</w:t>
      </w:r>
      <w:r w:rsidR="00950558" w:rsidRPr="00B412CB">
        <w:t xml:space="preserve"> level and CHD ri</w:t>
      </w:r>
      <w:r w:rsidR="00950558">
        <w:t>sk factors and recommended LDL-C</w:t>
      </w:r>
      <w:r w:rsidR="00950558" w:rsidRPr="00B412CB">
        <w:t xml:space="preserve"> targets for optimal CHD risk reduction</w:t>
      </w:r>
      <w:r w:rsidR="00242C1B">
        <w:t xml:space="preserve"> (NCEP-ATP III, 2002). </w:t>
      </w:r>
      <w:r w:rsidR="00950558" w:rsidRPr="00950558">
        <w:t xml:space="preserve">Following the publication of new evidence, </w:t>
      </w:r>
      <w:r w:rsidR="00950558">
        <w:t xml:space="preserve">the targets were </w:t>
      </w:r>
      <w:r w:rsidR="00950558" w:rsidRPr="00950558">
        <w:t>updated</w:t>
      </w:r>
      <w:r w:rsidR="00950558">
        <w:t xml:space="preserve"> in 2004 </w:t>
      </w:r>
      <w:r w:rsidR="00242C1B">
        <w:t>(NCEP-ATP III, 2004</w:t>
      </w:r>
      <w:r w:rsidR="006D3FB0">
        <w:t>)</w:t>
      </w:r>
      <w:r w:rsidR="006D3FB0" w:rsidRPr="006D3FB0">
        <w:t>.</w:t>
      </w:r>
      <w:r w:rsidR="006D3FB0">
        <w:t xml:space="preserve"> According to the guidelines,</w:t>
      </w:r>
      <w:r w:rsidR="005F51B7">
        <w:t xml:space="preserve"> </w:t>
      </w:r>
      <w:r w:rsidR="00FD7C58">
        <w:t>c</w:t>
      </w:r>
      <w:r w:rsidR="00BA5B7C" w:rsidRPr="00B412CB">
        <w:t xml:space="preserve">linicians could use statin monotherapy or combination therapy with statin and another </w:t>
      </w:r>
      <w:r w:rsidR="00FD7C58">
        <w:t xml:space="preserve">lipid-lowering </w:t>
      </w:r>
      <w:r w:rsidR="00BA5B7C" w:rsidRPr="00B412CB">
        <w:t>agent to achieve the</w:t>
      </w:r>
      <w:r w:rsidR="00BA5B7C">
        <w:t xml:space="preserve"> specified LDL-C</w:t>
      </w:r>
      <w:r w:rsidR="00BA5B7C" w:rsidRPr="00B412CB">
        <w:t xml:space="preserve"> goals</w:t>
      </w:r>
      <w:r w:rsidR="005F51B7" w:rsidRPr="005F51B7">
        <w:t xml:space="preserve"> </w:t>
      </w:r>
      <w:r w:rsidR="005F51B7">
        <w:t>as the primary target followed by non-high-density lipoprotein cholesterol (non-HDL-C) as the secondary target in patients with triglycerides ≥200 mg/dL</w:t>
      </w:r>
      <w:r w:rsidR="00BA5B7C" w:rsidRPr="00B412CB">
        <w:t xml:space="preserve">. It was suggested that </w:t>
      </w:r>
      <w:r w:rsidR="00FD7C58">
        <w:t>t</w:t>
      </w:r>
      <w:r w:rsidR="00BA5B7C" w:rsidRPr="00B412CB">
        <w:t>here are potential benefits to treat with multiple agents, as the different mechanisms of action may produce other benefits unlikely to be achieved with statin alone. However, a combination of agents could result in an increase in side effects, as patients may experience the side effects common to both drugs</w:t>
      </w:r>
      <w:r w:rsidR="00FD7C58">
        <w:t xml:space="preserve"> (AHRQ 2014)</w:t>
      </w:r>
      <w:r w:rsidR="00BA5B7C" w:rsidRPr="00B412CB">
        <w:t xml:space="preserve">. </w:t>
      </w:r>
    </w:p>
    <w:p w:rsidR="00BA5B7C" w:rsidRDefault="00BA5B7C" w:rsidP="00BA5B7C">
      <w:pPr>
        <w:spacing w:after="0" w:line="240" w:lineRule="auto"/>
        <w:jc w:val="both"/>
      </w:pPr>
    </w:p>
    <w:p w:rsidR="00177262" w:rsidRDefault="00242C1B" w:rsidP="00375D0A">
      <w:pPr>
        <w:autoSpaceDE w:val="0"/>
        <w:autoSpaceDN w:val="0"/>
        <w:adjustRightInd w:val="0"/>
        <w:spacing w:after="0" w:line="240" w:lineRule="auto"/>
        <w:jc w:val="both"/>
      </w:pPr>
      <w:r>
        <w:t>In 2008 t</w:t>
      </w:r>
      <w:r w:rsidR="00FD7C58">
        <w:t xml:space="preserve">he National Heart, Lung, and Blood Institute (NHLBI) convened a panel to review the evolving evidence base from RCTs regarding treatment of blood cholesterol. The </w:t>
      </w:r>
      <w:r w:rsidR="00016A14">
        <w:t xml:space="preserve">resulting </w:t>
      </w:r>
      <w:r w:rsidR="00FD7C58">
        <w:t>American College of Cardiology (ACC)/American Heart Association (AHA) Guideline on the Treatment</w:t>
      </w:r>
      <w:r w:rsidR="00016A14">
        <w:t xml:space="preserve"> of Blood Cholesterol to Reduce Atherosclerotic Cardiovascular Risk in Adults was </w:t>
      </w:r>
      <w:r w:rsidR="00016A14" w:rsidRPr="00B412CB">
        <w:t>released in November 2013</w:t>
      </w:r>
      <w:r w:rsidR="00256E97">
        <w:t xml:space="preserve"> (ACCF/AHA-2013</w:t>
      </w:r>
      <w:r w:rsidR="00A671FA">
        <w:t xml:space="preserve">, </w:t>
      </w:r>
      <w:r w:rsidR="00A671FA" w:rsidRPr="00903BF3">
        <w:t>Fihn 2012</w:t>
      </w:r>
      <w:r w:rsidR="00256E97" w:rsidRPr="00903BF3">
        <w:t>)</w:t>
      </w:r>
      <w:r w:rsidR="00016A14" w:rsidRPr="00903BF3">
        <w:t xml:space="preserve">. The guideline is strongly focused on </w:t>
      </w:r>
      <w:r w:rsidR="00B0465F" w:rsidRPr="00903BF3">
        <w:t xml:space="preserve">the recent </w:t>
      </w:r>
      <w:r w:rsidR="00375D0A" w:rsidRPr="00903BF3">
        <w:t xml:space="preserve">large </w:t>
      </w:r>
      <w:r w:rsidR="00016A14" w:rsidRPr="00903BF3">
        <w:t>RCT</w:t>
      </w:r>
      <w:r w:rsidR="00B0465F" w:rsidRPr="00903BF3">
        <w:t>s</w:t>
      </w:r>
      <w:r w:rsidR="00002B09" w:rsidRPr="00903BF3">
        <w:t xml:space="preserve"> </w:t>
      </w:r>
      <w:r w:rsidR="00375D0A" w:rsidRPr="00903BF3">
        <w:t xml:space="preserve">of fixed-dose statins versus placebo, or higher-intensity versus lower-intensity statin. </w:t>
      </w:r>
      <w:r w:rsidR="00B0465F" w:rsidRPr="00903BF3">
        <w:t>The guideline</w:t>
      </w:r>
      <w:r w:rsidR="00016A14" w:rsidRPr="00903BF3">
        <w:t xml:space="preserve"> advocates not only a new perspective on treatment strategies, but also a new paradigm focusing on proven therapy, rather than arbitrary low-density lipoprotein cholesterol and/or non–high-density lipoprotein cholesterol targets. </w:t>
      </w:r>
      <w:r w:rsidR="00A671FA" w:rsidRPr="00903BF3">
        <w:t xml:space="preserve">It recommends </w:t>
      </w:r>
      <w:r w:rsidR="00B36E47" w:rsidRPr="00903BF3">
        <w:t xml:space="preserve">prescribing at least a moderate dose statin to all patients </w:t>
      </w:r>
      <w:r w:rsidR="002C3DF1" w:rsidRPr="00903BF3">
        <w:t xml:space="preserve">with </w:t>
      </w:r>
      <w:r w:rsidR="004C7457" w:rsidRPr="00903BF3">
        <w:t xml:space="preserve">atherosclerotic cardiovascular disease (ASCVD) </w:t>
      </w:r>
      <w:r w:rsidR="00A671FA" w:rsidRPr="00903BF3">
        <w:t>regardless of LDL-C</w:t>
      </w:r>
      <w:r w:rsidR="00B36E47" w:rsidRPr="00903BF3">
        <w:t xml:space="preserve"> value</w:t>
      </w:r>
      <w:r w:rsidR="00DB6E23">
        <w:t>s</w:t>
      </w:r>
      <w:r w:rsidR="00A671FA" w:rsidRPr="00903BF3">
        <w:t>.</w:t>
      </w:r>
      <w:r w:rsidR="00B36E47" w:rsidRPr="00903BF3">
        <w:t xml:space="preserve"> </w:t>
      </w:r>
      <w:r w:rsidR="00A671FA" w:rsidRPr="00903BF3">
        <w:t>No specific LDL-C targets (e.g. LDL-C</w:t>
      </w:r>
      <w:r w:rsidR="00B36E47" w:rsidRPr="00903BF3">
        <w:t xml:space="preserve"> ≤ 70 mg/dL</w:t>
      </w:r>
      <w:r w:rsidR="002C3DF1" w:rsidRPr="00903BF3">
        <w:t xml:space="preserve"> (1.8 mmol/L)</w:t>
      </w:r>
      <w:r w:rsidR="00A671FA" w:rsidRPr="00903BF3">
        <w:t xml:space="preserve"> for high risk patients</w:t>
      </w:r>
      <w:r w:rsidR="00B36E47" w:rsidRPr="00903BF3">
        <w:t xml:space="preserve">) were presented in the new guidelines given the lack of RCT evidence supporting specific targets. Rather, four “statin benefit groups” were identified: </w:t>
      </w:r>
      <w:r w:rsidR="00002B09" w:rsidRPr="00903BF3">
        <w:t>one secondary prevention group included patients</w:t>
      </w:r>
      <w:r w:rsidR="00B36E47" w:rsidRPr="00903BF3">
        <w:t xml:space="preserve"> with clinical atheroscler</w:t>
      </w:r>
      <w:r w:rsidR="00A671FA" w:rsidRPr="00903BF3">
        <w:t>otic CVD</w:t>
      </w:r>
      <w:r w:rsidR="00002B09" w:rsidRPr="00903BF3">
        <w:t>; three primary prevention groups were: patients</w:t>
      </w:r>
      <w:r w:rsidR="00A671FA" w:rsidRPr="00903BF3">
        <w:t xml:space="preserve"> with LDL-C</w:t>
      </w:r>
      <w:r w:rsidR="00B36E47" w:rsidRPr="00903BF3">
        <w:t xml:space="preserve"> ≥ 190 mg/dL</w:t>
      </w:r>
      <w:r w:rsidR="002C3DF1" w:rsidRPr="00903BF3">
        <w:t xml:space="preserve"> (4.91 mmol/L)</w:t>
      </w:r>
      <w:r w:rsidR="00B36E47" w:rsidRPr="00903BF3">
        <w:t>, diabetics aged 40-75</w:t>
      </w:r>
      <w:r w:rsidR="00002B09" w:rsidRPr="00903BF3">
        <w:t xml:space="preserve"> who have LDL-C levels 70 to 189 mg/dl</w:t>
      </w:r>
      <w:r w:rsidR="002C3DF1" w:rsidRPr="00903BF3">
        <w:t xml:space="preserve"> (1.8 -4.9 mmol/L)</w:t>
      </w:r>
      <w:r w:rsidR="00B36E47" w:rsidRPr="00903BF3">
        <w:t xml:space="preserve">, and </w:t>
      </w:r>
      <w:r w:rsidR="00002B09" w:rsidRPr="00903BF3">
        <w:t>patients</w:t>
      </w:r>
      <w:r w:rsidR="00B36E47" w:rsidRPr="00903BF3">
        <w:t xml:space="preserve"> </w:t>
      </w:r>
      <w:r w:rsidR="00FC6436" w:rsidRPr="00903BF3">
        <w:t>aged 40-75 who have LDL-C levels 70 to 189 mg/dl</w:t>
      </w:r>
      <w:r w:rsidR="002C3DF1" w:rsidRPr="00903BF3">
        <w:t xml:space="preserve"> (1.8 -4.9 mmol/L)</w:t>
      </w:r>
      <w:r w:rsidR="00FC6436" w:rsidRPr="00903BF3">
        <w:t xml:space="preserve"> without diabetes but </w:t>
      </w:r>
      <w:r w:rsidR="00B36E47" w:rsidRPr="00903BF3">
        <w:t>with a ≥ 7.5% 1</w:t>
      </w:r>
      <w:r w:rsidR="00CA5345" w:rsidRPr="00903BF3">
        <w:t>0-year atherosclerotic CVD risk</w:t>
      </w:r>
      <w:r w:rsidR="00177262" w:rsidRPr="00903BF3">
        <w:t>.</w:t>
      </w:r>
      <w:r w:rsidR="00B36E47" w:rsidRPr="00903BF3">
        <w:t xml:space="preserve"> </w:t>
      </w:r>
      <w:r w:rsidR="00EF0982" w:rsidRPr="00903BF3">
        <w:rPr>
          <w:rFonts w:ascii="AdvP7B6C" w:hAnsi="AdvP7B6C" w:cs="AdvP7B6C"/>
          <w:sz w:val="20"/>
          <w:szCs w:val="20"/>
        </w:rPr>
        <w:t xml:space="preserve">A </w:t>
      </w:r>
      <w:r w:rsidR="00EF0982" w:rsidRPr="00903BF3">
        <w:t>new risk assessment calculator, the Pooled Cohort Equations</w:t>
      </w:r>
      <w:r w:rsidR="00375D0A" w:rsidRPr="00903BF3">
        <w:t xml:space="preserve"> (PCE)</w:t>
      </w:r>
      <w:r w:rsidR="00EF0982" w:rsidRPr="00903BF3">
        <w:t xml:space="preserve"> with 10-year</w:t>
      </w:r>
      <w:r w:rsidR="00EF0982" w:rsidRPr="00903BF3">
        <w:rPr>
          <w:rFonts w:ascii="AdvP7B6C" w:hAnsi="AdvP7B6C" w:cs="AdvP7B6C"/>
          <w:sz w:val="20"/>
          <w:szCs w:val="20"/>
        </w:rPr>
        <w:t xml:space="preserve"> </w:t>
      </w:r>
      <w:r w:rsidR="00EF0982" w:rsidRPr="00903BF3">
        <w:t xml:space="preserve">ASCVD risk projections for adults aged 40 to 75 years in the primary prevention setting was developed in parallel with the guidelines. In contrast </w:t>
      </w:r>
      <w:r w:rsidR="00177262" w:rsidRPr="00903BF3">
        <w:t xml:space="preserve">to the Framingham Risk Score </w:t>
      </w:r>
      <w:r w:rsidR="00EF0982" w:rsidRPr="00903BF3">
        <w:t xml:space="preserve">(FRS), which only predicts risk </w:t>
      </w:r>
      <w:r w:rsidR="00177262" w:rsidRPr="00903BF3">
        <w:t>of ‘‘hard’’ coronary heart disease (</w:t>
      </w:r>
      <w:r w:rsidR="00EF0982" w:rsidRPr="00903BF3">
        <w:t xml:space="preserve">clinical evidence of </w:t>
      </w:r>
      <w:r w:rsidR="00375D0A" w:rsidRPr="00903BF3">
        <w:t>MI</w:t>
      </w:r>
      <w:r w:rsidR="00177262" w:rsidRPr="00903BF3">
        <w:t xml:space="preserve"> and coronary deat</w:t>
      </w:r>
      <w:r w:rsidR="00EF0982" w:rsidRPr="00903BF3">
        <w:t xml:space="preserve">h), the </w:t>
      </w:r>
      <w:r w:rsidR="00375D0A" w:rsidRPr="00903BF3">
        <w:t>PCE</w:t>
      </w:r>
      <w:r w:rsidR="00EF0982" w:rsidRPr="00903BF3">
        <w:t xml:space="preserve"> </w:t>
      </w:r>
      <w:r w:rsidR="00177262" w:rsidRPr="00903BF3">
        <w:t>is more comprehens</w:t>
      </w:r>
      <w:r w:rsidR="00EF0982" w:rsidRPr="00903BF3">
        <w:t xml:space="preserve">ive. It predicts risk of ASCVD, </w:t>
      </w:r>
      <w:r w:rsidR="00177262" w:rsidRPr="00903BF3">
        <w:t xml:space="preserve">including coronary heart </w:t>
      </w:r>
      <w:r w:rsidR="00EF0982" w:rsidRPr="00903BF3">
        <w:t>disease</w:t>
      </w:r>
      <w:r w:rsidR="004C033C" w:rsidRPr="00903BF3">
        <w:t>, stroke</w:t>
      </w:r>
      <w:r w:rsidR="00EF0982" w:rsidRPr="00903BF3">
        <w:t xml:space="preserve"> and symptomatic carotid </w:t>
      </w:r>
      <w:r w:rsidR="00177262" w:rsidRPr="00903BF3">
        <w:t>artery disease</w:t>
      </w:r>
      <w:r w:rsidR="008A6787" w:rsidRPr="00903BF3">
        <w:t xml:space="preserve"> (</w:t>
      </w:r>
      <w:r w:rsidR="00B25FF0" w:rsidRPr="00903BF3">
        <w:t>Goff</w:t>
      </w:r>
      <w:r w:rsidR="008A6787" w:rsidRPr="00903BF3">
        <w:t xml:space="preserve"> 2014</w:t>
      </w:r>
      <w:r w:rsidR="00C20B88" w:rsidRPr="00903BF3">
        <w:t>, Nayor 2016</w:t>
      </w:r>
      <w:r w:rsidR="008A6787" w:rsidRPr="00903BF3">
        <w:t>)</w:t>
      </w:r>
      <w:r w:rsidR="00177262" w:rsidRPr="00903BF3">
        <w:t>.</w:t>
      </w:r>
      <w:r w:rsidR="00177262" w:rsidRPr="00EF0982">
        <w:t xml:space="preserve"> </w:t>
      </w:r>
    </w:p>
    <w:p w:rsidR="00EF0982" w:rsidRPr="00EF0982" w:rsidRDefault="00EF0982" w:rsidP="00EF0982">
      <w:pPr>
        <w:autoSpaceDE w:val="0"/>
        <w:autoSpaceDN w:val="0"/>
        <w:adjustRightInd w:val="0"/>
        <w:spacing w:after="0" w:line="240" w:lineRule="auto"/>
        <w:jc w:val="both"/>
        <w:rPr>
          <w:rFonts w:ascii="AdvP7B6C" w:hAnsi="AdvP7B6C" w:cs="AdvP7B6C"/>
          <w:sz w:val="20"/>
          <w:szCs w:val="20"/>
        </w:rPr>
      </w:pPr>
    </w:p>
    <w:p w:rsidR="00F42DBD" w:rsidRDefault="00002B09" w:rsidP="00002B09">
      <w:pPr>
        <w:spacing w:after="0" w:line="240" w:lineRule="auto"/>
        <w:jc w:val="both"/>
      </w:pPr>
      <w:r>
        <w:t>Patients</w:t>
      </w:r>
      <w:r w:rsidR="00B36E47" w:rsidRPr="00B412CB">
        <w:t xml:space="preserve"> in one of the</w:t>
      </w:r>
      <w:r w:rsidR="00EF0982">
        <w:t xml:space="preserve"> </w:t>
      </w:r>
      <w:r w:rsidR="00EF0982" w:rsidRPr="00B412CB">
        <w:t xml:space="preserve">“statin benefit groups” </w:t>
      </w:r>
      <w:r w:rsidR="00B36E47" w:rsidRPr="00B412CB">
        <w:t xml:space="preserve">are recommended for treatment with moderate- or high-potency statin monotherapy. </w:t>
      </w:r>
      <w:r w:rsidR="008A6787">
        <w:t xml:space="preserve">A </w:t>
      </w:r>
      <w:r w:rsidR="00E55FB3">
        <w:t>reference t</w:t>
      </w:r>
      <w:r w:rsidR="00177262">
        <w:t>able</w:t>
      </w:r>
      <w:r w:rsidR="00557130">
        <w:t xml:space="preserve"> where all</w:t>
      </w:r>
      <w:r w:rsidR="00E55FB3">
        <w:t xml:space="preserve"> FDA-approved statin doses are allocated into </w:t>
      </w:r>
      <w:r w:rsidR="00E55FB3" w:rsidRPr="00E55FB3">
        <w:t>high-, moderate-, and low-intensity statin therapy</w:t>
      </w:r>
      <w:r w:rsidR="00177262">
        <w:t xml:space="preserve"> </w:t>
      </w:r>
      <w:r w:rsidR="008A6787">
        <w:t xml:space="preserve">is provided </w:t>
      </w:r>
      <w:r w:rsidR="00177262" w:rsidRPr="00C11FD4">
        <w:t>(</w:t>
      </w:r>
      <w:r w:rsidR="00C11FD4" w:rsidRPr="00C11FD4">
        <w:t xml:space="preserve">and </w:t>
      </w:r>
      <w:r w:rsidR="00177262" w:rsidRPr="00C11FD4">
        <w:t xml:space="preserve">reproduced in </w:t>
      </w:r>
      <w:r w:rsidR="00C11FD4" w:rsidRPr="00C11FD4">
        <w:t xml:space="preserve">Table A3.1 in </w:t>
      </w:r>
      <w:r w:rsidR="00177262" w:rsidRPr="00C11FD4">
        <w:t>Appendix)</w:t>
      </w:r>
      <w:r w:rsidR="00E55FB3" w:rsidRPr="00C11FD4">
        <w:t>.</w:t>
      </w:r>
      <w:r w:rsidR="00557130">
        <w:t xml:space="preserve"> </w:t>
      </w:r>
      <w:r w:rsidR="00B36E47" w:rsidRPr="00B412CB">
        <w:t>The expected response to a mod</w:t>
      </w:r>
      <w:r w:rsidR="00A671FA">
        <w:t>erate-potency statin is LDL-C</w:t>
      </w:r>
      <w:r w:rsidR="00B36E47" w:rsidRPr="00B412CB">
        <w:t xml:space="preserve"> reduction of 30-50%, while the expected response to a high-potency statin is </w:t>
      </w:r>
      <w:r w:rsidR="006E1224">
        <w:t>LDL-C</w:t>
      </w:r>
      <w:r w:rsidR="00B36E47" w:rsidRPr="00B412CB">
        <w:t xml:space="preserve"> reduction of ≥ 50%. </w:t>
      </w:r>
      <w:r w:rsidR="008A6787">
        <w:t xml:space="preserve"> Although low-intensity statin regimens are identified, they include doses that are lower than standard recommended starting doses. On average, low-intensity statin regimens are expected to reduce LDL-C less than 30%. Nonstatin therapi</w:t>
      </w:r>
      <w:r w:rsidR="002111ED">
        <w:t>es (i.e.</w:t>
      </w:r>
      <w:r w:rsidR="008A6787">
        <w:t xml:space="preserve"> ezetimibe, bile acid sequestrants, fibrates, niacin, and omega-3 fatty acids) are not recommended for routine use within these guidelines. </w:t>
      </w:r>
      <w:r w:rsidR="00B36E47" w:rsidRPr="00B412CB">
        <w:t xml:space="preserve">For </w:t>
      </w:r>
      <w:r>
        <w:t>patients</w:t>
      </w:r>
      <w:r w:rsidR="00B36E47" w:rsidRPr="00B412CB">
        <w:t xml:space="preserve"> who do not have an expected response, once adherence has been assessed, the guidelines recommend considering intensification of statin therapy if the patient is not at maximum dose or the addition </w:t>
      </w:r>
      <w:r w:rsidR="00B36E47" w:rsidRPr="00B412CB">
        <w:lastRenderedPageBreak/>
        <w:t xml:space="preserve">of a non-statin agent with proven efficacy in reducing CVD events. </w:t>
      </w:r>
      <w:r>
        <w:t>C</w:t>
      </w:r>
      <w:r w:rsidR="00B36E47" w:rsidRPr="00B412CB">
        <w:t xml:space="preserve">ombination therapy can be considered in patients who cannot tolerate a high or moderate potency statin. </w:t>
      </w:r>
      <w:r w:rsidR="002111ED">
        <w:t>Figure 3</w:t>
      </w:r>
      <w:r w:rsidR="00F42DBD">
        <w:t>.1 illustrates the decision making a</w:t>
      </w:r>
      <w:r w:rsidR="00BD0174">
        <w:t>lgorithm for statin initiation.</w:t>
      </w:r>
    </w:p>
    <w:p w:rsidR="006E1224" w:rsidRDefault="006E1224" w:rsidP="00002B09">
      <w:pPr>
        <w:spacing w:after="0" w:line="240" w:lineRule="auto"/>
        <w:jc w:val="both"/>
      </w:pPr>
    </w:p>
    <w:p w:rsidR="00557130" w:rsidRPr="00557130" w:rsidRDefault="00557130" w:rsidP="00557130">
      <w:pPr>
        <w:pStyle w:val="Caption"/>
        <w:keepNext/>
        <w:keepLines/>
        <w:spacing w:after="0"/>
        <w:rPr>
          <w:rFonts w:ascii="Arial Narrow" w:eastAsia="Times New Roman" w:hAnsi="Arial Narrow" w:cs="Times New Roman"/>
          <w:b/>
          <w:bCs/>
          <w:i w:val="0"/>
          <w:iCs w:val="0"/>
          <w:color w:val="auto"/>
          <w:sz w:val="22"/>
          <w:szCs w:val="22"/>
          <w:lang w:eastAsia="en-AU"/>
        </w:rPr>
      </w:pPr>
      <w:r>
        <w:rPr>
          <w:rFonts w:ascii="Arial Narrow" w:eastAsia="Times New Roman" w:hAnsi="Arial Narrow" w:cs="Times New Roman"/>
          <w:b/>
          <w:bCs/>
          <w:i w:val="0"/>
          <w:iCs w:val="0"/>
          <w:color w:val="auto"/>
          <w:sz w:val="22"/>
          <w:szCs w:val="22"/>
          <w:lang w:eastAsia="en-AU"/>
        </w:rPr>
        <w:lastRenderedPageBreak/>
        <w:t xml:space="preserve">   </w:t>
      </w:r>
      <w:r w:rsidR="00C87AC5">
        <w:rPr>
          <w:rFonts w:ascii="Arial Narrow" w:eastAsia="Times New Roman" w:hAnsi="Arial Narrow" w:cs="Times New Roman"/>
          <w:b/>
          <w:bCs/>
          <w:i w:val="0"/>
          <w:iCs w:val="0"/>
          <w:color w:val="auto"/>
          <w:sz w:val="22"/>
          <w:szCs w:val="22"/>
          <w:lang w:eastAsia="en-AU"/>
        </w:rPr>
        <w:t>Figure 3</w:t>
      </w:r>
      <w:r w:rsidR="006E1224" w:rsidRPr="00557130">
        <w:rPr>
          <w:rFonts w:ascii="Arial Narrow" w:eastAsia="Times New Roman" w:hAnsi="Arial Narrow" w:cs="Times New Roman"/>
          <w:b/>
          <w:bCs/>
          <w:i w:val="0"/>
          <w:iCs w:val="0"/>
          <w:color w:val="auto"/>
          <w:sz w:val="22"/>
          <w:szCs w:val="22"/>
          <w:lang w:eastAsia="en-AU"/>
        </w:rPr>
        <w:t xml:space="preserve">.1. </w:t>
      </w:r>
      <w:r w:rsidRPr="00557130">
        <w:rPr>
          <w:rFonts w:ascii="Arial Narrow" w:eastAsia="Times New Roman" w:hAnsi="Arial Narrow" w:cs="Times New Roman"/>
          <w:b/>
          <w:bCs/>
          <w:i w:val="0"/>
          <w:iCs w:val="0"/>
          <w:color w:val="auto"/>
          <w:sz w:val="22"/>
          <w:szCs w:val="22"/>
          <w:lang w:eastAsia="en-AU"/>
        </w:rPr>
        <w:t>ACCF/AHA-2013 guidelines on s</w:t>
      </w:r>
      <w:r w:rsidR="006E1224" w:rsidRPr="00557130">
        <w:rPr>
          <w:rFonts w:ascii="Arial Narrow" w:eastAsia="Times New Roman" w:hAnsi="Arial Narrow" w:cs="Times New Roman"/>
          <w:b/>
          <w:bCs/>
          <w:i w:val="0"/>
          <w:iCs w:val="0"/>
          <w:color w:val="auto"/>
          <w:sz w:val="22"/>
          <w:szCs w:val="22"/>
          <w:lang w:eastAsia="en-AU"/>
        </w:rPr>
        <w:t xml:space="preserve">tatin initiation </w:t>
      </w:r>
      <w:r w:rsidRPr="00557130">
        <w:rPr>
          <w:rFonts w:ascii="Arial Narrow" w:eastAsia="Times New Roman" w:hAnsi="Arial Narrow" w:cs="Times New Roman"/>
          <w:b/>
          <w:bCs/>
          <w:i w:val="0"/>
          <w:iCs w:val="0"/>
          <w:color w:val="auto"/>
          <w:sz w:val="22"/>
          <w:szCs w:val="22"/>
          <w:lang w:eastAsia="en-AU"/>
        </w:rPr>
        <w:t>in treatment of blood cholesterol</w:t>
      </w:r>
    </w:p>
    <w:p w:rsidR="006E1224" w:rsidRDefault="00557130" w:rsidP="00557130">
      <w:pPr>
        <w:keepNext/>
        <w:keepLines/>
        <w:spacing w:after="0" w:line="240" w:lineRule="auto"/>
        <w:jc w:val="both"/>
      </w:pPr>
      <w:r>
        <w:rPr>
          <w:noProof/>
          <w:lang w:eastAsia="en-AU"/>
        </w:rPr>
        <w:lastRenderedPageBreak/>
        <w:drawing>
          <wp:inline distT="0" distB="0" distL="0" distR="0" wp14:anchorId="63D98290" wp14:editId="2A72B4D1">
            <wp:extent cx="5859780" cy="67056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4492" t="12336" r="57988" b="4715"/>
                    <a:stretch/>
                  </pic:blipFill>
                  <pic:spPr bwMode="auto">
                    <a:xfrm>
                      <a:off x="0" y="0"/>
                      <a:ext cx="5859780" cy="6705600"/>
                    </a:xfrm>
                    <a:prstGeom prst="rect">
                      <a:avLst/>
                    </a:prstGeom>
                    <a:ln>
                      <a:noFill/>
                    </a:ln>
                    <a:extLst>
                      <a:ext uri="{53640926-AAD7-44D8-BBD7-CCE9431645EC}">
                        <a14:shadowObscured xmlns:a14="http://schemas.microsoft.com/office/drawing/2010/main"/>
                      </a:ext>
                    </a:extLst>
                  </pic:spPr>
                </pic:pic>
              </a:graphicData>
            </a:graphic>
          </wp:inline>
        </w:drawing>
      </w:r>
      <w:r w:rsidR="006E1224">
        <w:t xml:space="preserve"> </w:t>
      </w:r>
    </w:p>
    <w:p w:rsidR="006E1224" w:rsidRPr="002111ED" w:rsidRDefault="002111ED" w:rsidP="00557130">
      <w:pPr>
        <w:keepNext/>
        <w:keepLines/>
        <w:spacing w:after="0" w:line="240" w:lineRule="auto"/>
        <w:jc w:val="both"/>
        <w:rPr>
          <w:sz w:val="18"/>
          <w:szCs w:val="18"/>
        </w:rPr>
      </w:pPr>
      <w:r w:rsidRPr="002111ED">
        <w:rPr>
          <w:i/>
          <w:sz w:val="18"/>
          <w:szCs w:val="18"/>
        </w:rPr>
        <w:lastRenderedPageBreak/>
        <w:t>Source:</w:t>
      </w:r>
      <w:r>
        <w:rPr>
          <w:sz w:val="18"/>
          <w:szCs w:val="18"/>
        </w:rPr>
        <w:t xml:space="preserve"> Smith, </w:t>
      </w:r>
      <w:r w:rsidRPr="002111ED">
        <w:rPr>
          <w:sz w:val="18"/>
          <w:szCs w:val="18"/>
        </w:rPr>
        <w:t>2014</w:t>
      </w:r>
    </w:p>
    <w:p w:rsidR="002111ED" w:rsidRDefault="002111ED" w:rsidP="00CA5345">
      <w:pPr>
        <w:spacing w:after="0" w:line="240" w:lineRule="auto"/>
        <w:jc w:val="both"/>
      </w:pPr>
    </w:p>
    <w:p w:rsidR="00CA5345" w:rsidRDefault="00CA5345" w:rsidP="00CA5345">
      <w:pPr>
        <w:spacing w:after="0" w:line="240" w:lineRule="auto"/>
        <w:jc w:val="both"/>
      </w:pPr>
      <w:r>
        <w:t>These guideline</w:t>
      </w:r>
      <w:r w:rsidRPr="00B412CB">
        <w:t xml:space="preserve"> represent</w:t>
      </w:r>
      <w:r>
        <w:t>s</w:t>
      </w:r>
      <w:r w:rsidRPr="00B412CB">
        <w:t xml:space="preserve"> a significant change from the ATP III</w:t>
      </w:r>
      <w:r>
        <w:t xml:space="preserve"> approach</w:t>
      </w:r>
      <w:r w:rsidRPr="00B412CB">
        <w:t>, which generated considerable discussion around the calculation of CVD risk, lack of cholesterol treatment targets, and reliance on RCT data only</w:t>
      </w:r>
      <w:r>
        <w:t xml:space="preserve"> </w:t>
      </w:r>
      <w:r w:rsidR="002E5E86" w:rsidRPr="00DB6E23">
        <w:t>(</w:t>
      </w:r>
      <w:r w:rsidR="00B25FF0" w:rsidRPr="00DB6E23">
        <w:t>McKenney</w:t>
      </w:r>
      <w:r w:rsidR="00DB6E23">
        <w:t xml:space="preserve"> </w:t>
      </w:r>
      <w:r w:rsidR="002E5E86" w:rsidRPr="00DB6E23">
        <w:t xml:space="preserve">2015). </w:t>
      </w:r>
      <w:r w:rsidRPr="00DB6E23">
        <w:t xml:space="preserve">For example, it was argued that the goal of assisting physicians in management of patients at risk was </w:t>
      </w:r>
      <w:r w:rsidR="002E5E86" w:rsidRPr="00DB6E23">
        <w:t xml:space="preserve">not </w:t>
      </w:r>
      <w:r w:rsidR="00DB6E23" w:rsidRPr="00DB6E23">
        <w:t>achieved</w:t>
      </w:r>
      <w:r w:rsidR="002E5E86" w:rsidRPr="00DB6E23">
        <w:t xml:space="preserve"> as the guidelines </w:t>
      </w:r>
      <w:r w:rsidRPr="00DB6E23">
        <w:t>effectively apply a public health strategy rather than a clinical strategy by recommending standard doses of statins u</w:t>
      </w:r>
      <w:r w:rsidR="00DB6E23">
        <w:t xml:space="preserve">sing evidence derived from RCTs </w:t>
      </w:r>
      <w:r w:rsidR="00DB6E23" w:rsidRPr="00DB6E23">
        <w:t>(Smith 2014).</w:t>
      </w:r>
      <w:r w:rsidR="00DB6E23">
        <w:t xml:space="preserve"> The expected benefits would only be observed in practice if</w:t>
      </w:r>
      <w:r w:rsidRPr="00DB6E23">
        <w:t xml:space="preserve"> </w:t>
      </w:r>
      <w:r w:rsidR="00DB6E23">
        <w:t>each</w:t>
      </w:r>
      <w:r w:rsidR="00DB6E23" w:rsidRPr="00DB6E23">
        <w:t xml:space="preserve"> patient’s risk </w:t>
      </w:r>
      <w:r w:rsidR="00DB6E23">
        <w:t>happen to be similar to</w:t>
      </w:r>
      <w:r w:rsidR="00DB6E23" w:rsidRPr="00DB6E23">
        <w:t xml:space="preserve"> </w:t>
      </w:r>
      <w:r w:rsidRPr="00DB6E23">
        <w:t xml:space="preserve">the average </w:t>
      </w:r>
      <w:r w:rsidR="00DB6E23">
        <w:t xml:space="preserve">risk of </w:t>
      </w:r>
      <w:r w:rsidRPr="00DB6E23">
        <w:t>participant</w:t>
      </w:r>
      <w:r w:rsidR="00DB6E23">
        <w:t>s in the RCTs.</w:t>
      </w:r>
    </w:p>
    <w:p w:rsidR="002111ED" w:rsidRDefault="002111ED" w:rsidP="00030C68">
      <w:pPr>
        <w:spacing w:after="0" w:line="240" w:lineRule="auto"/>
        <w:jc w:val="both"/>
      </w:pPr>
    </w:p>
    <w:p w:rsidR="0091148C" w:rsidRPr="00F82469" w:rsidRDefault="00640C93" w:rsidP="00030C68">
      <w:pPr>
        <w:spacing w:after="0" w:line="240" w:lineRule="auto"/>
        <w:jc w:val="both"/>
      </w:pPr>
      <w:r w:rsidRPr="00F82469">
        <w:t>The National Lipid Association (NLA) has also p</w:t>
      </w:r>
      <w:r w:rsidR="00AE624F" w:rsidRPr="00F82469">
        <w:t>roduced</w:t>
      </w:r>
      <w:r w:rsidRPr="00F82469">
        <w:t xml:space="preserve"> recommendations for management of lipids</w:t>
      </w:r>
      <w:r w:rsidR="00AE624F" w:rsidRPr="00F82469">
        <w:t xml:space="preserve"> that, unlike </w:t>
      </w:r>
      <w:r w:rsidRPr="00F82469">
        <w:t xml:space="preserve">the </w:t>
      </w:r>
      <w:r w:rsidR="00B25FF0" w:rsidRPr="00F82469">
        <w:t>treatment approach in ACC/AHA</w:t>
      </w:r>
      <w:r w:rsidRPr="00F82469">
        <w:t>, endorse</w:t>
      </w:r>
      <w:r w:rsidR="00AE624F" w:rsidRPr="00F82469">
        <w:t>d</w:t>
      </w:r>
      <w:r w:rsidRPr="00F82469">
        <w:t xml:space="preserve"> a traditional lipoprotein target approach, similar to the NCEP ATP III</w:t>
      </w:r>
      <w:r w:rsidR="00AE624F" w:rsidRPr="00F82469">
        <w:t xml:space="preserve"> (</w:t>
      </w:r>
      <w:r w:rsidR="00B25FF0" w:rsidRPr="00F82469">
        <w:t>Jacobson</w:t>
      </w:r>
      <w:r w:rsidR="00AE624F" w:rsidRPr="00F82469">
        <w:t xml:space="preserve"> 2014</w:t>
      </w:r>
      <w:r w:rsidR="0066691A" w:rsidRPr="00F82469">
        <w:t>a</w:t>
      </w:r>
      <w:r w:rsidR="00030C68" w:rsidRPr="00F82469">
        <w:t>, 2015</w:t>
      </w:r>
      <w:r w:rsidR="00AE624F" w:rsidRPr="00F82469">
        <w:t>)</w:t>
      </w:r>
      <w:r w:rsidRPr="00F82469">
        <w:t xml:space="preserve">. </w:t>
      </w:r>
      <w:r w:rsidR="0091148C" w:rsidRPr="00F82469">
        <w:t xml:space="preserve"> The NLA recommends specific non-HDL-C and LDL-C targets based on a patient’s individual risk for CV</w:t>
      </w:r>
      <w:r w:rsidR="0091148C">
        <w:t xml:space="preserve"> disease, which is determined by the presence of major </w:t>
      </w:r>
      <w:r w:rsidR="005A36D6">
        <w:t>atherosclerotic cardiovascular disease (</w:t>
      </w:r>
      <w:r w:rsidR="0091148C">
        <w:t>ASCVD</w:t>
      </w:r>
      <w:r w:rsidR="005A36D6">
        <w:t>)</w:t>
      </w:r>
      <w:r w:rsidR="0091148C">
        <w:t xml:space="preserve"> risk factors and the </w:t>
      </w:r>
      <w:r w:rsidR="00027533">
        <w:t>results of</w:t>
      </w:r>
      <w:r w:rsidR="0091148C">
        <w:t xml:space="preserve"> </w:t>
      </w:r>
      <w:r w:rsidR="00027533" w:rsidRPr="00027533">
        <w:t>Framingham Risk Score</w:t>
      </w:r>
      <w:r w:rsidR="0091148C">
        <w:t xml:space="preserve"> estimations</w:t>
      </w:r>
      <w:r w:rsidR="00B25FF0">
        <w:t xml:space="preserve">. </w:t>
      </w:r>
      <w:r w:rsidR="0091148C">
        <w:t>Specific targets of therapy recommended by NLA for very high risk patients are non-HDL-C &lt;100 mg/dL</w:t>
      </w:r>
      <w:r w:rsidR="0080104F">
        <w:t xml:space="preserve"> (2.6 mmol/L)</w:t>
      </w:r>
      <w:r w:rsidR="0091148C">
        <w:t>, LDL-C&lt;70 mg/dL</w:t>
      </w:r>
      <w:r w:rsidR="0080104F">
        <w:t xml:space="preserve"> (1.8 mmol/L)</w:t>
      </w:r>
      <w:r w:rsidR="0091148C">
        <w:t>, and Apo B&lt;80 mg/dL</w:t>
      </w:r>
      <w:r w:rsidR="0080104F">
        <w:t>(2.1 mmol/L)</w:t>
      </w:r>
      <w:r w:rsidR="0091148C">
        <w:t>. In patients considered low, moderate, or high risk, these target val</w:t>
      </w:r>
      <w:r w:rsidR="0080104F">
        <w:t xml:space="preserve">ues are slightly higher: </w:t>
      </w:r>
      <w:r w:rsidR="0091148C">
        <w:t>non-HDL-C &lt;130 mg/dL</w:t>
      </w:r>
      <w:r w:rsidR="0080104F">
        <w:t xml:space="preserve"> (3.4 mmol/L)</w:t>
      </w:r>
      <w:r w:rsidR="0091148C">
        <w:t>, LDL-C &lt;100 mg/dL</w:t>
      </w:r>
      <w:r w:rsidR="0080104F">
        <w:t xml:space="preserve"> (2.6 mmol/L)</w:t>
      </w:r>
      <w:r w:rsidR="0091148C">
        <w:t>, and Apo B &lt; 90 mg/dL</w:t>
      </w:r>
      <w:r w:rsidR="0080104F">
        <w:t>(2.3 mmol/L</w:t>
      </w:r>
      <w:r w:rsidR="0091148C">
        <w:t xml:space="preserve">). For patients considered high risk, the NLA recommends drug therapy when patients are above their </w:t>
      </w:r>
      <w:r w:rsidR="001E6848">
        <w:t xml:space="preserve">individual targets. For moderate </w:t>
      </w:r>
      <w:r w:rsidR="0091148C">
        <w:t>risk patient, the NLA re</w:t>
      </w:r>
      <w:r w:rsidR="001E6848">
        <w:t xml:space="preserve">commends drug </w:t>
      </w:r>
      <w:r w:rsidR="0091148C">
        <w:t>therapy when patients are</w:t>
      </w:r>
      <w:r w:rsidR="001E6848">
        <w:t xml:space="preserve"> ≥</w:t>
      </w:r>
      <w:r w:rsidR="0091148C">
        <w:t xml:space="preserve">30 mg/dL </w:t>
      </w:r>
      <w:r w:rsidR="0080104F">
        <w:t xml:space="preserve">(0.8 mmol/L) </w:t>
      </w:r>
      <w:r w:rsidR="0091148C">
        <w:t xml:space="preserve">above </w:t>
      </w:r>
      <w:r w:rsidR="001E6848">
        <w:t xml:space="preserve">their non-HLD-C </w:t>
      </w:r>
      <w:r w:rsidR="0091148C">
        <w:t>and/or LDL-C targets. However, for lo</w:t>
      </w:r>
      <w:r w:rsidR="001E6848">
        <w:t xml:space="preserve">w risk patients, they recommend </w:t>
      </w:r>
      <w:r w:rsidR="0091148C">
        <w:t>considering drug ther</w:t>
      </w:r>
      <w:r w:rsidR="001E6848">
        <w:t xml:space="preserve">apy when lipoprotein values are </w:t>
      </w:r>
      <w:r w:rsidR="0091148C">
        <w:t>considerably higher (</w:t>
      </w:r>
      <w:r w:rsidR="001E6848">
        <w:t>≥</w:t>
      </w:r>
      <w:r w:rsidR="0091148C">
        <w:t>60 mg/dL</w:t>
      </w:r>
      <w:r w:rsidR="0080104F">
        <w:t xml:space="preserve"> (1.55 mmol/L</w:t>
      </w:r>
      <w:r w:rsidR="0091148C">
        <w:t>) than the identified targets.</w:t>
      </w:r>
      <w:r w:rsidR="001E6848">
        <w:t xml:space="preserve"> Similar to ACC/AHA, the NLA strongly endorses use of moderate- to high-intensity statin therapy, but there is a greater e</w:t>
      </w:r>
      <w:r w:rsidR="00F82469">
        <w:t>ndorsement for nonstatin drug combinations</w:t>
      </w:r>
      <w:r w:rsidR="00030C68">
        <w:t xml:space="preserve"> including (in order of preference) ezetimibe, bile acid sequestrants, and extended release niacin, for further lowering of atherogenic cholesterol in patients with a less than desirable response to maximally tolerated statin therapy: high- or very high-risk patient</w:t>
      </w:r>
      <w:r w:rsidR="00BC74E9">
        <w:t xml:space="preserve">s with recurrent or progressive </w:t>
      </w:r>
      <w:r w:rsidR="00030C68">
        <w:t>ASCVD, patients with recent acute coronary syndromes, and patients with familial hypercholesterolemia (FH)</w:t>
      </w:r>
      <w:r w:rsidR="00BC74E9">
        <w:t xml:space="preserve"> </w:t>
      </w:r>
      <w:r w:rsidR="00BC74E9" w:rsidRPr="00F82469">
        <w:t>(</w:t>
      </w:r>
      <w:r w:rsidR="00B25FF0" w:rsidRPr="00F82469">
        <w:t>Jacobson</w:t>
      </w:r>
      <w:r w:rsidR="00BC74E9" w:rsidRPr="00F82469">
        <w:t xml:space="preserve"> 2015)</w:t>
      </w:r>
      <w:r w:rsidR="00030C68" w:rsidRPr="00F82469">
        <w:t>.</w:t>
      </w:r>
    </w:p>
    <w:p w:rsidR="0091148C" w:rsidRPr="00F82469" w:rsidRDefault="0091148C" w:rsidP="00177262">
      <w:pPr>
        <w:spacing w:after="0" w:line="240" w:lineRule="auto"/>
        <w:jc w:val="both"/>
      </w:pPr>
    </w:p>
    <w:p w:rsidR="0091148C" w:rsidRDefault="00A662DB" w:rsidP="00A662DB">
      <w:pPr>
        <w:spacing w:after="0" w:line="240" w:lineRule="auto"/>
        <w:jc w:val="both"/>
      </w:pPr>
      <w:r w:rsidRPr="00F82469">
        <w:rPr>
          <w:b/>
        </w:rPr>
        <w:t>The fundamental differences between the ACC/AHA guidelines and the NLA recommendations relate to the fixed statin intensity approach recommended by ACC/AHA vs a treat to target approach</w:t>
      </w:r>
      <w:r w:rsidRPr="00F82469">
        <w:t>, similar to the treatment management that many clinicians have used for decades in several other chronic diseases (e.g. diabetes and hypertension). Advocacy for treating to achie</w:t>
      </w:r>
      <w:r w:rsidR="00563F46" w:rsidRPr="00F82469">
        <w:t xml:space="preserve">ve a certain lipoprotein target </w:t>
      </w:r>
      <w:r w:rsidRPr="00F82469">
        <w:t xml:space="preserve">is based on a rationale that achieving greater reductions in LDL-C (or non-HDL-C) is associated with greater reductions in risk of CVD event. However, only few RCTs allowed titration of the statin dose and the trials  that allowed titration only allowed for 1 dose adjustment and targeted the certain total cholesterol or LDL-C concentration that have never been recommended </w:t>
      </w:r>
      <w:r w:rsidR="00F82469" w:rsidRPr="00F82469">
        <w:t xml:space="preserve">as </w:t>
      </w:r>
      <w:r w:rsidRPr="00F82469">
        <w:t>treatment targets. It was argued that without prospective clinical trials comparing a fixed dose approach versus a treat to target approach, it will never be definitively known which approach is superior (Phillips, 2016).</w:t>
      </w:r>
    </w:p>
    <w:p w:rsidR="0066691A" w:rsidRDefault="0066691A" w:rsidP="0066691A">
      <w:pPr>
        <w:spacing w:after="0" w:line="240" w:lineRule="auto"/>
        <w:jc w:val="both"/>
      </w:pPr>
    </w:p>
    <w:p w:rsidR="0066691A" w:rsidRPr="00F82469" w:rsidRDefault="0066691A" w:rsidP="00563F46">
      <w:pPr>
        <w:spacing w:after="0" w:line="240" w:lineRule="auto"/>
        <w:jc w:val="both"/>
      </w:pPr>
      <w:r w:rsidRPr="00F82469">
        <w:t xml:space="preserve">Both ACC/AHA guidelines and the NLA recommendations nominate statin therapy as first-line drug therapy for either primary or secondary prevention patients. Both ACC/AHA guidelines and NLA recommendations agree that statin intolerant patients are candidates for nonstatin medications. </w:t>
      </w:r>
      <w:r w:rsidR="00563F46" w:rsidRPr="00F82469">
        <w:t xml:space="preserve">The NLA defines statin intolerance as a clinical syndrome characterized by the inability to tolerate at least 2 statins, one statin at the lowest starting daily dose and </w:t>
      </w:r>
      <w:r w:rsidR="00563F46" w:rsidRPr="00F82469">
        <w:lastRenderedPageBreak/>
        <w:t xml:space="preserve">another statin at any daily dose. The ACC/AHA guidelines do not provide any definition. In general, </w:t>
      </w:r>
      <w:r w:rsidRPr="00F82469">
        <w:t>“statin intolerance” has not been systematically defined and estimates of statin intolerance within the statin treated population vary between the studies but could be up to 10% (Jacobson, 2014b)</w:t>
      </w:r>
      <w:r w:rsidR="00563F46" w:rsidRPr="00F82469">
        <w:t xml:space="preserve">. The NLA recommendations advocate for initiation of statin therapy based on risk category. Initiation of statin therapy typically starts at a moderate intensity dose with titration of the statin to a targeted non- HDL-C and LDL-C goal as tolerated. Therefore by default, the NLA recommendations advocate combination therapy as needed to </w:t>
      </w:r>
      <w:r w:rsidR="00F82469" w:rsidRPr="00F82469">
        <w:t>achieve</w:t>
      </w:r>
      <w:r w:rsidR="00563F46" w:rsidRPr="00F82469">
        <w:t xml:space="preserve"> targets if not met while receiving the maximum tolerated high potency statin dose. The ACC/AHA guidelines advocate for a use of a specific statin dose based on </w:t>
      </w:r>
      <w:r w:rsidR="00F82469" w:rsidRPr="00F82469">
        <w:t xml:space="preserve">the </w:t>
      </w:r>
      <w:r w:rsidR="00563F46" w:rsidRPr="00F82469">
        <w:t>intensity that is matched to the patient’s statin benefit group</w:t>
      </w:r>
      <w:r w:rsidR="00563F46" w:rsidRPr="00F82469">
        <w:rPr>
          <w:b/>
        </w:rPr>
        <w:t>. The ACC/AHA guidelines do not advocate for specific lipoprotein targets and as a result the role of combination therapy is not as clear</w:t>
      </w:r>
      <w:r w:rsidR="005640B6" w:rsidRPr="00F82469">
        <w:t xml:space="preserve"> (Phillips, 2016)</w:t>
      </w:r>
      <w:r w:rsidR="00563F46" w:rsidRPr="00F82469">
        <w:t>.</w:t>
      </w:r>
      <w:r w:rsidR="005640B6" w:rsidRPr="00F82469">
        <w:t xml:space="preserve"> </w:t>
      </w:r>
    </w:p>
    <w:p w:rsidR="0091148C" w:rsidRPr="00F82469" w:rsidRDefault="0091148C" w:rsidP="00177262">
      <w:pPr>
        <w:spacing w:after="0" w:line="240" w:lineRule="auto"/>
        <w:jc w:val="both"/>
      </w:pPr>
    </w:p>
    <w:p w:rsidR="00F54960" w:rsidRDefault="00C87AC5" w:rsidP="00B412CB">
      <w:pPr>
        <w:spacing w:after="0" w:line="240" w:lineRule="auto"/>
        <w:jc w:val="both"/>
      </w:pPr>
      <w:r w:rsidRPr="00F82469">
        <w:t>Table 3</w:t>
      </w:r>
      <w:r w:rsidR="006F5D16" w:rsidRPr="00F82469">
        <w:t xml:space="preserve">.1 </w:t>
      </w:r>
      <w:r w:rsidR="003157B6" w:rsidRPr="00F82469">
        <w:t>presents</w:t>
      </w:r>
      <w:r w:rsidR="006F5D16" w:rsidRPr="00F82469">
        <w:t xml:space="preserve"> </w:t>
      </w:r>
      <w:r w:rsidR="005640B6" w:rsidRPr="00F82469">
        <w:t xml:space="preserve">the ACC/AHA guidelines and </w:t>
      </w:r>
      <w:r w:rsidR="003157B6" w:rsidRPr="00F82469">
        <w:t xml:space="preserve">presents Table 3.2 </w:t>
      </w:r>
      <w:r w:rsidR="005640B6" w:rsidRPr="00F82469">
        <w:t>NLA recommendations (</w:t>
      </w:r>
      <w:r w:rsidR="00BC74E9" w:rsidRPr="00F82469">
        <w:t xml:space="preserve">reproduced </w:t>
      </w:r>
      <w:r w:rsidR="00F54960">
        <w:t>from Table 1 in Waite, 2016)</w:t>
      </w:r>
    </w:p>
    <w:p w:rsidR="00F54960" w:rsidRDefault="00F54960" w:rsidP="00B412CB">
      <w:pPr>
        <w:spacing w:after="0" w:line="240" w:lineRule="auto"/>
        <w:jc w:val="both"/>
      </w:pPr>
    </w:p>
    <w:p w:rsidR="00085237" w:rsidRDefault="00085237" w:rsidP="00F678F0">
      <w:pPr>
        <w:rPr>
          <w:rFonts w:ascii="Calibri" w:hAnsi="Calibri" w:cs="Arial"/>
          <w:b/>
          <w:color w:val="000000"/>
          <w:sz w:val="24"/>
          <w:szCs w:val="24"/>
          <w:shd w:val="clear" w:color="auto" w:fill="FFFFFF"/>
        </w:rPr>
      </w:pPr>
    </w:p>
    <w:p w:rsidR="00F678F0" w:rsidRPr="004C7457" w:rsidRDefault="00F678F0" w:rsidP="00B76C07">
      <w:pPr>
        <w:pStyle w:val="Heading3"/>
        <w:rPr>
          <w:rFonts w:eastAsia="Times New Roman"/>
          <w:lang w:eastAsia="en-AU"/>
        </w:rPr>
      </w:pPr>
      <w:bookmarkStart w:id="9" w:name="_Toc461644658"/>
      <w:r w:rsidRPr="004C7457">
        <w:rPr>
          <w:rFonts w:eastAsia="Times New Roman"/>
          <w:lang w:eastAsia="en-AU"/>
        </w:rPr>
        <w:t xml:space="preserve">Table </w:t>
      </w:r>
      <w:r w:rsidR="00C87AC5">
        <w:rPr>
          <w:rFonts w:eastAsia="Times New Roman"/>
          <w:lang w:eastAsia="en-AU"/>
        </w:rPr>
        <w:t>3</w:t>
      </w:r>
      <w:r w:rsidR="009D2F54">
        <w:rPr>
          <w:rFonts w:eastAsia="Times New Roman"/>
          <w:lang w:eastAsia="en-AU"/>
        </w:rPr>
        <w:t>.1</w:t>
      </w:r>
      <w:r w:rsidR="0020475E" w:rsidRPr="004C7457">
        <w:rPr>
          <w:rFonts w:eastAsia="Times New Roman"/>
          <w:lang w:eastAsia="en-AU"/>
        </w:rPr>
        <w:t xml:space="preserve"> North American Guidelines</w:t>
      </w:r>
      <w:r w:rsidRPr="004C7457">
        <w:rPr>
          <w:rFonts w:eastAsia="Times New Roman"/>
          <w:lang w:eastAsia="en-AU"/>
        </w:rPr>
        <w:t xml:space="preserve"> </w:t>
      </w:r>
      <w:r w:rsidR="007A6BCE">
        <w:rPr>
          <w:rFonts w:eastAsia="Times New Roman"/>
          <w:lang w:eastAsia="en-AU"/>
        </w:rPr>
        <w:t>(USA)</w:t>
      </w:r>
      <w:r w:rsidR="00007C7D">
        <w:rPr>
          <w:rFonts w:eastAsia="Times New Roman"/>
          <w:lang w:eastAsia="en-AU"/>
        </w:rPr>
        <w:t xml:space="preserve">: the 2013 </w:t>
      </w:r>
      <w:r w:rsidR="00007C7D">
        <w:t>ACC/AHA guidelines</w:t>
      </w:r>
      <w:bookmarkEnd w:id="9"/>
      <w:r w:rsidR="00007C7D">
        <w:t xml:space="preserve"> </w:t>
      </w:r>
    </w:p>
    <w:tbl>
      <w:tblPr>
        <w:tblStyle w:val="TableGrid"/>
        <w:tblW w:w="14737" w:type="dxa"/>
        <w:tblLayout w:type="fixed"/>
        <w:tblLook w:val="04A0" w:firstRow="1" w:lastRow="0" w:firstColumn="1" w:lastColumn="0" w:noHBand="0" w:noVBand="1"/>
      </w:tblPr>
      <w:tblGrid>
        <w:gridCol w:w="1980"/>
        <w:gridCol w:w="1843"/>
        <w:gridCol w:w="4112"/>
        <w:gridCol w:w="1699"/>
        <w:gridCol w:w="5103"/>
      </w:tblGrid>
      <w:tr w:rsidR="00CA225A" w:rsidTr="00B53EF2">
        <w:tc>
          <w:tcPr>
            <w:tcW w:w="1980" w:type="dxa"/>
          </w:tcPr>
          <w:p w:rsidR="00426A31" w:rsidRPr="008013A7" w:rsidRDefault="00426A31" w:rsidP="00752CDB">
            <w:pPr>
              <w:ind w:right="-108"/>
              <w:rPr>
                <w:b/>
              </w:rPr>
            </w:pPr>
            <w:r w:rsidRPr="008013A7">
              <w:rPr>
                <w:b/>
              </w:rPr>
              <w:t>Guidelines/country/year</w:t>
            </w:r>
          </w:p>
        </w:tc>
        <w:tc>
          <w:tcPr>
            <w:tcW w:w="1843" w:type="dxa"/>
          </w:tcPr>
          <w:p w:rsidR="00426A31" w:rsidRPr="008013A7" w:rsidRDefault="00426A31" w:rsidP="00426A31">
            <w:pPr>
              <w:rPr>
                <w:b/>
              </w:rPr>
            </w:pPr>
            <w:r w:rsidRPr="008013A7">
              <w:rPr>
                <w:b/>
              </w:rPr>
              <w:t>Population/scope</w:t>
            </w:r>
            <w:r w:rsidR="00F15D33">
              <w:rPr>
                <w:b/>
              </w:rPr>
              <w:t>/setting</w:t>
            </w:r>
          </w:p>
        </w:tc>
        <w:tc>
          <w:tcPr>
            <w:tcW w:w="4112" w:type="dxa"/>
          </w:tcPr>
          <w:p w:rsidR="00426A31" w:rsidRPr="00E86312" w:rsidRDefault="00426A31" w:rsidP="00091803">
            <w:pPr>
              <w:rPr>
                <w:b/>
              </w:rPr>
            </w:pPr>
            <w:r w:rsidRPr="00E86312">
              <w:rPr>
                <w:b/>
              </w:rPr>
              <w:t xml:space="preserve">Risk </w:t>
            </w:r>
            <w:r w:rsidR="00091803" w:rsidRPr="00E86312">
              <w:rPr>
                <w:b/>
              </w:rPr>
              <w:t>factors</w:t>
            </w:r>
            <w:r w:rsidR="00091803">
              <w:rPr>
                <w:b/>
              </w:rPr>
              <w:t xml:space="preserve"> and categories </w:t>
            </w:r>
          </w:p>
        </w:tc>
        <w:tc>
          <w:tcPr>
            <w:tcW w:w="1699" w:type="dxa"/>
          </w:tcPr>
          <w:p w:rsidR="00426A31" w:rsidRPr="00E86312" w:rsidRDefault="00426A31" w:rsidP="00426A31">
            <w:pPr>
              <w:rPr>
                <w:b/>
              </w:rPr>
            </w:pPr>
            <w:r>
              <w:rPr>
                <w:b/>
              </w:rPr>
              <w:t>Absolute r</w:t>
            </w:r>
            <w:r w:rsidRPr="00E86312">
              <w:rPr>
                <w:b/>
              </w:rPr>
              <w:t>isk assessment tool</w:t>
            </w:r>
          </w:p>
        </w:tc>
        <w:tc>
          <w:tcPr>
            <w:tcW w:w="5103" w:type="dxa"/>
          </w:tcPr>
          <w:p w:rsidR="00426A31" w:rsidRPr="00A6442E" w:rsidRDefault="00426A31" w:rsidP="00426A31">
            <w:pPr>
              <w:rPr>
                <w:b/>
              </w:rPr>
            </w:pPr>
            <w:r w:rsidRPr="00A6442E">
              <w:rPr>
                <w:b/>
              </w:rPr>
              <w:t xml:space="preserve">Suggested </w:t>
            </w:r>
            <w:r>
              <w:rPr>
                <w:b/>
              </w:rPr>
              <w:t xml:space="preserve">lipid lowering </w:t>
            </w:r>
            <w:r w:rsidRPr="00A6442E">
              <w:rPr>
                <w:b/>
              </w:rPr>
              <w:t>management</w:t>
            </w:r>
            <w:r>
              <w:rPr>
                <w:b/>
              </w:rPr>
              <w:t xml:space="preserve"> </w:t>
            </w:r>
          </w:p>
        </w:tc>
      </w:tr>
      <w:tr w:rsidR="00E25F91" w:rsidTr="00B53EF2">
        <w:tc>
          <w:tcPr>
            <w:tcW w:w="1980" w:type="dxa"/>
          </w:tcPr>
          <w:p w:rsidR="00E25F91" w:rsidRDefault="00C027D2" w:rsidP="00C027D2">
            <w:pPr>
              <w:rPr>
                <w:b/>
              </w:rPr>
            </w:pPr>
            <w:r w:rsidRPr="00752CDB">
              <w:rPr>
                <w:b/>
              </w:rPr>
              <w:t>The</w:t>
            </w:r>
            <w:r w:rsidR="0061126C" w:rsidRPr="00752CDB">
              <w:rPr>
                <w:b/>
              </w:rPr>
              <w:t xml:space="preserve"> </w:t>
            </w:r>
            <w:r w:rsidRPr="00752CDB">
              <w:rPr>
                <w:b/>
              </w:rPr>
              <w:t>American College of Cardiology/American Heart Association</w:t>
            </w:r>
            <w:r>
              <w:t xml:space="preserve"> (ACC/AHA) </w:t>
            </w:r>
            <w:r w:rsidR="00E25F91" w:rsidRPr="00A23D11">
              <w:t>guidelines</w:t>
            </w:r>
            <w:r w:rsidR="00E25F91">
              <w:t xml:space="preserve"> </w:t>
            </w:r>
            <w:r w:rsidR="00E25F91" w:rsidRPr="00A23D11">
              <w:rPr>
                <w:b/>
              </w:rPr>
              <w:t>USA 2013</w:t>
            </w:r>
          </w:p>
          <w:p w:rsidR="00BE1EF7" w:rsidRDefault="00BE1EF7" w:rsidP="00C027D2">
            <w:pPr>
              <w:rPr>
                <w:b/>
              </w:rPr>
            </w:pPr>
          </w:p>
          <w:p w:rsidR="00BE1EF7" w:rsidRDefault="00BE1EF7" w:rsidP="00BE1EF7">
            <w:r>
              <w:t>N.J. Stone, J.G. Robinson, A.H. Lichtenstein, et al., 2013 ACC/AHA guideline on</w:t>
            </w:r>
          </w:p>
          <w:p w:rsidR="00BE1EF7" w:rsidRDefault="00BE1EF7" w:rsidP="00BE1EF7">
            <w:r>
              <w:t xml:space="preserve">the treatment of blood cholesterol to reduce atherosclerotic </w:t>
            </w:r>
            <w:r>
              <w:lastRenderedPageBreak/>
              <w:t>cardiovascular</w:t>
            </w:r>
          </w:p>
          <w:p w:rsidR="00BE1EF7" w:rsidRDefault="00BE1EF7" w:rsidP="00BE1EF7">
            <w:r>
              <w:t>risk in adults: a report of the American College of Cardiology/American Heart</w:t>
            </w:r>
          </w:p>
          <w:p w:rsidR="00BE1EF7" w:rsidRPr="00A23D11" w:rsidRDefault="00BE1EF7" w:rsidP="00BE1EF7">
            <w:r>
              <w:t xml:space="preserve">Association Task Force on Practice Guidelines, </w:t>
            </w:r>
            <w:r w:rsidR="00EA6FD6">
              <w:t>Circulation 129 (2014) S1-</w:t>
            </w:r>
            <w:r>
              <w:t>S45</w:t>
            </w:r>
          </w:p>
        </w:tc>
        <w:tc>
          <w:tcPr>
            <w:tcW w:w="1843" w:type="dxa"/>
          </w:tcPr>
          <w:p w:rsidR="00E25F91" w:rsidRDefault="00E25F91" w:rsidP="00B53EF2">
            <w:r>
              <w:lastRenderedPageBreak/>
              <w:t xml:space="preserve">Treatment differentiates between </w:t>
            </w:r>
            <w:r w:rsidRPr="00E25F91">
              <w:rPr>
                <w:b/>
              </w:rPr>
              <w:t>primary and secondary preventions</w:t>
            </w:r>
            <w:r w:rsidR="00B610D9">
              <w:rPr>
                <w:b/>
              </w:rPr>
              <w:t xml:space="preserve"> </w:t>
            </w:r>
            <w:r w:rsidR="00B610D9" w:rsidRPr="00B53EF2">
              <w:t>and uses strength of clinical evidence for justification</w:t>
            </w:r>
            <w:r w:rsidR="00787996" w:rsidRPr="00B53EF2">
              <w:t xml:space="preserve"> of intensity of statin therapy</w:t>
            </w:r>
            <w:r w:rsidR="00054E35" w:rsidRPr="00B53EF2">
              <w:t xml:space="preserve"> (see </w:t>
            </w:r>
            <w:r w:rsidR="00054E35" w:rsidRPr="00AC5002">
              <w:t>Table</w:t>
            </w:r>
            <w:r w:rsidR="00D14561" w:rsidRPr="00AC5002">
              <w:t xml:space="preserve"> </w:t>
            </w:r>
            <w:r w:rsidR="00AC5002" w:rsidRPr="00AC5002">
              <w:t>A3.1</w:t>
            </w:r>
            <w:r w:rsidR="00054E35" w:rsidRPr="00AC5002">
              <w:t xml:space="preserve"> </w:t>
            </w:r>
            <w:r w:rsidR="00B53EF2" w:rsidRPr="00AC5002">
              <w:t>in Appendix</w:t>
            </w:r>
            <w:r w:rsidR="00054E35" w:rsidRPr="00AC5002">
              <w:t>)</w:t>
            </w:r>
          </w:p>
          <w:p w:rsidR="00F15D33" w:rsidRDefault="00F15D33" w:rsidP="00B53EF2">
            <w:r>
              <w:t>Intended to guide general practitioners’ clinical decisions in managing blood cholesterol</w:t>
            </w:r>
          </w:p>
        </w:tc>
        <w:tc>
          <w:tcPr>
            <w:tcW w:w="4112" w:type="dxa"/>
          </w:tcPr>
          <w:p w:rsidR="00E25F91" w:rsidRDefault="00E25F91" w:rsidP="00E25F91">
            <w:pPr>
              <w:autoSpaceDE w:val="0"/>
              <w:autoSpaceDN w:val="0"/>
              <w:adjustRightInd w:val="0"/>
            </w:pPr>
            <w:r w:rsidRPr="00A23D11">
              <w:t>Identified 4 primary statin benefit groups:</w:t>
            </w:r>
          </w:p>
          <w:p w:rsidR="00F15D33" w:rsidRPr="00A23D11" w:rsidRDefault="00F15D33" w:rsidP="00E25F91">
            <w:pPr>
              <w:autoSpaceDE w:val="0"/>
              <w:autoSpaceDN w:val="0"/>
              <w:adjustRightInd w:val="0"/>
            </w:pPr>
          </w:p>
          <w:p w:rsidR="00E25F91" w:rsidRDefault="00E25F91" w:rsidP="00E25F91">
            <w:pPr>
              <w:autoSpaceDE w:val="0"/>
              <w:autoSpaceDN w:val="0"/>
              <w:adjustRightInd w:val="0"/>
            </w:pPr>
            <w:r w:rsidRPr="00A23D11">
              <w:t>1) Individuals with</w:t>
            </w:r>
            <w:r>
              <w:t xml:space="preserve"> clinical ASCVD (acute coronary </w:t>
            </w:r>
            <w:r w:rsidRPr="00A23D11">
              <w:t>syndromes, or a history o</w:t>
            </w:r>
            <w:r>
              <w:t xml:space="preserve">f myocardial infarction, stable </w:t>
            </w:r>
            <w:r w:rsidRPr="00A23D11">
              <w:t>ang</w:t>
            </w:r>
            <w:r>
              <w:t xml:space="preserve">ina, coronary or other arterial revascularization, </w:t>
            </w:r>
            <w:r w:rsidRPr="00A23D11">
              <w:t>stroke, TIA, or</w:t>
            </w:r>
            <w:r>
              <w:t xml:space="preserve"> peripheral arterial disease of </w:t>
            </w:r>
            <w:r w:rsidRPr="00A23D11">
              <w:t>atherosclerotic origin)</w:t>
            </w:r>
          </w:p>
          <w:p w:rsidR="00B53EF2" w:rsidRPr="00A23D11" w:rsidRDefault="00B53EF2" w:rsidP="00E25F91">
            <w:pPr>
              <w:autoSpaceDE w:val="0"/>
              <w:autoSpaceDN w:val="0"/>
              <w:adjustRightInd w:val="0"/>
            </w:pPr>
          </w:p>
          <w:p w:rsidR="00E25F91" w:rsidRDefault="00E25F91" w:rsidP="00E25F91">
            <w:pPr>
              <w:autoSpaceDE w:val="0"/>
              <w:autoSpaceDN w:val="0"/>
              <w:adjustRightInd w:val="0"/>
            </w:pPr>
            <w:r w:rsidRPr="00A23D11">
              <w:t>2) Individuals with primary elevations of LDL-C &gt;190 mg/dL</w:t>
            </w:r>
            <w:r>
              <w:t xml:space="preserve">  </w:t>
            </w:r>
            <w:r w:rsidRPr="00E25F91">
              <w:t xml:space="preserve">(adults </w:t>
            </w:r>
            <w:r>
              <w:t>≥</w:t>
            </w:r>
            <w:r w:rsidRPr="00E25F91">
              <w:t>21</w:t>
            </w:r>
            <w:r w:rsidR="00B53EF2">
              <w:t xml:space="preserve"> y.o</w:t>
            </w:r>
            <w:r w:rsidRPr="00E25F91">
              <w:t>)</w:t>
            </w:r>
          </w:p>
          <w:p w:rsidR="00B53EF2" w:rsidRPr="00A23D11" w:rsidRDefault="00B53EF2" w:rsidP="00E25F91">
            <w:pPr>
              <w:autoSpaceDE w:val="0"/>
              <w:autoSpaceDN w:val="0"/>
              <w:adjustRightInd w:val="0"/>
            </w:pPr>
          </w:p>
          <w:p w:rsidR="00E25F91" w:rsidRDefault="00E25F91" w:rsidP="00E25F91">
            <w:pPr>
              <w:autoSpaceDE w:val="0"/>
              <w:autoSpaceDN w:val="0"/>
              <w:adjustRightInd w:val="0"/>
            </w:pPr>
            <w:r w:rsidRPr="00A23D11">
              <w:t>3) Individuals with diab</w:t>
            </w:r>
            <w:r>
              <w:t>etes mellitus, without clinical ASCVD, aged 40-75</w:t>
            </w:r>
            <w:r w:rsidRPr="00A23D11">
              <w:t xml:space="preserve"> with LDL-C 70-189 mg/dL</w:t>
            </w:r>
          </w:p>
          <w:p w:rsidR="00B53EF2" w:rsidRPr="00A23D11" w:rsidRDefault="00B53EF2" w:rsidP="00E25F91">
            <w:pPr>
              <w:autoSpaceDE w:val="0"/>
              <w:autoSpaceDN w:val="0"/>
              <w:adjustRightInd w:val="0"/>
            </w:pPr>
          </w:p>
          <w:p w:rsidR="00E25F91" w:rsidRDefault="00E25F91" w:rsidP="00E25F91">
            <w:pPr>
              <w:autoSpaceDE w:val="0"/>
              <w:autoSpaceDN w:val="0"/>
              <w:adjustRightInd w:val="0"/>
            </w:pPr>
            <w:r w:rsidRPr="00A23D11">
              <w:t>4) Individuals without clin</w:t>
            </w:r>
            <w:r>
              <w:t xml:space="preserve">ical ASCVD or diabetes mellitus </w:t>
            </w:r>
            <w:r w:rsidRPr="00A23D11">
              <w:t>with LDL-C 70-189</w:t>
            </w:r>
            <w:r>
              <w:t xml:space="preserve"> mg/dL </w:t>
            </w:r>
            <w:r>
              <w:lastRenderedPageBreak/>
              <w:t xml:space="preserve">and estimated 10-y ASCVD </w:t>
            </w:r>
            <w:r w:rsidRPr="00A23D11">
              <w:t xml:space="preserve">risk </w:t>
            </w:r>
            <w:r>
              <w:t>≥</w:t>
            </w:r>
            <w:r w:rsidRPr="00A23D11">
              <w:t>7.5%</w:t>
            </w:r>
          </w:p>
          <w:p w:rsidR="00C50FFE" w:rsidRDefault="00C50FFE" w:rsidP="00E25F91">
            <w:pPr>
              <w:autoSpaceDE w:val="0"/>
              <w:autoSpaceDN w:val="0"/>
              <w:adjustRightInd w:val="0"/>
            </w:pPr>
          </w:p>
          <w:p w:rsidR="00BE3BAB" w:rsidRDefault="00BE3BAB"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Default="00427252" w:rsidP="00BE3BAB">
            <w:pPr>
              <w:autoSpaceDE w:val="0"/>
              <w:autoSpaceDN w:val="0"/>
              <w:adjustRightInd w:val="0"/>
              <w:rPr>
                <w:highlight w:val="yellow"/>
              </w:rPr>
            </w:pPr>
          </w:p>
          <w:p w:rsidR="00427252" w:rsidRPr="00C50FFE" w:rsidRDefault="00427252" w:rsidP="00BE3BAB">
            <w:pPr>
              <w:autoSpaceDE w:val="0"/>
              <w:autoSpaceDN w:val="0"/>
              <w:adjustRightInd w:val="0"/>
              <w:rPr>
                <w:highlight w:val="yellow"/>
              </w:rPr>
            </w:pPr>
            <w:r w:rsidRPr="00B412CB">
              <w:t xml:space="preserve">The expected response to a </w:t>
            </w:r>
            <w:r w:rsidRPr="00427252">
              <w:rPr>
                <w:b/>
              </w:rPr>
              <w:t>moderate-potency statin is LDL-C reduction of 30-50%</w:t>
            </w:r>
            <w:r w:rsidRPr="00B412CB">
              <w:t xml:space="preserve">, while the expected response to a </w:t>
            </w:r>
            <w:r w:rsidRPr="00427252">
              <w:rPr>
                <w:b/>
              </w:rPr>
              <w:t>high-potency statin is LDL-C reduction of ≥ 50%.</w:t>
            </w:r>
            <w:r w:rsidRPr="00B412CB">
              <w:t xml:space="preserve"> </w:t>
            </w:r>
            <w:r>
              <w:t xml:space="preserve"> </w:t>
            </w:r>
          </w:p>
        </w:tc>
        <w:tc>
          <w:tcPr>
            <w:tcW w:w="1699" w:type="dxa"/>
          </w:tcPr>
          <w:p w:rsidR="00E25F91" w:rsidRPr="00A23D11" w:rsidRDefault="00E25F91" w:rsidP="00E25F91">
            <w:pPr>
              <w:autoSpaceDE w:val="0"/>
              <w:autoSpaceDN w:val="0"/>
              <w:adjustRightInd w:val="0"/>
            </w:pPr>
            <w:r w:rsidRPr="00A23D11">
              <w:lastRenderedPageBreak/>
              <w:t>Pooled Cohort Equations to estimate 10-year ASCVD risk</w:t>
            </w:r>
          </w:p>
          <w:p w:rsidR="00E25F91" w:rsidRDefault="00E25F91" w:rsidP="00E25F91">
            <w:r w:rsidRPr="00A23D11">
              <w:t>(and lifetime risk for patients 20-59 years of age)</w:t>
            </w:r>
          </w:p>
        </w:tc>
        <w:tc>
          <w:tcPr>
            <w:tcW w:w="5103" w:type="dxa"/>
          </w:tcPr>
          <w:p w:rsidR="00E25F91" w:rsidRDefault="00E25F91" w:rsidP="00F43F33">
            <w:pPr>
              <w:autoSpaceDE w:val="0"/>
              <w:autoSpaceDN w:val="0"/>
              <w:adjustRightInd w:val="0"/>
            </w:pPr>
            <w:r w:rsidRPr="00E25F91">
              <w:t>No evidence to recom</w:t>
            </w:r>
            <w:r>
              <w:t xml:space="preserve">mend for or against lipid goals </w:t>
            </w:r>
            <w:r w:rsidRPr="00E25F91">
              <w:t>(specific LDL-C and no</w:t>
            </w:r>
            <w:r>
              <w:t xml:space="preserve">n-HDL-C treatment goals); LDL-C </w:t>
            </w:r>
            <w:r w:rsidRPr="00E25F91">
              <w:t>levels and percent LDL-C r</w:t>
            </w:r>
            <w:r>
              <w:t xml:space="preserve">eduction from baseline are used </w:t>
            </w:r>
            <w:r w:rsidRPr="00E25F91">
              <w:t>to assess adherence and resp</w:t>
            </w:r>
            <w:r>
              <w:t xml:space="preserve">onse to therapy. </w:t>
            </w:r>
          </w:p>
          <w:p w:rsidR="005E24DC" w:rsidRDefault="005E24DC" w:rsidP="00F43F33">
            <w:pPr>
              <w:autoSpaceDE w:val="0"/>
              <w:autoSpaceDN w:val="0"/>
              <w:adjustRightInd w:val="0"/>
            </w:pPr>
          </w:p>
          <w:p w:rsidR="005E24DC" w:rsidRDefault="005E24DC" w:rsidP="005E24DC">
            <w:pPr>
              <w:autoSpaceDE w:val="0"/>
              <w:autoSpaceDN w:val="0"/>
              <w:adjustRightInd w:val="0"/>
            </w:pPr>
            <w:r>
              <w:t xml:space="preserve">Moderate- or high-intensity statin </w:t>
            </w:r>
            <w:r w:rsidR="00B53EF2">
              <w:t>as</w:t>
            </w:r>
            <w:r>
              <w:t xml:space="preserve"> first-line drug therapy in those groups shown to benefit.</w:t>
            </w:r>
          </w:p>
          <w:p w:rsidR="005E24DC" w:rsidRPr="005E24DC" w:rsidRDefault="005E24DC" w:rsidP="005E24DC">
            <w:pPr>
              <w:autoSpaceDE w:val="0"/>
              <w:autoSpaceDN w:val="0"/>
              <w:adjustRightInd w:val="0"/>
              <w:rPr>
                <w:b/>
              </w:rPr>
            </w:pPr>
            <w:r w:rsidRPr="005E24DC">
              <w:rPr>
                <w:b/>
              </w:rPr>
              <w:t>Primary prevention:</w:t>
            </w:r>
          </w:p>
          <w:p w:rsidR="005E24DC" w:rsidRDefault="005E24DC" w:rsidP="005E24DC">
            <w:pPr>
              <w:autoSpaceDE w:val="0"/>
              <w:autoSpaceDN w:val="0"/>
              <w:adjustRightInd w:val="0"/>
            </w:pPr>
            <w:r>
              <w:t>LDL-C ≥190 mg/dL (adults ≥21 years of age)</w:t>
            </w:r>
          </w:p>
          <w:p w:rsidR="005E24DC" w:rsidRDefault="005E24DC" w:rsidP="003C43A6">
            <w:pPr>
              <w:autoSpaceDE w:val="0"/>
              <w:autoSpaceDN w:val="0"/>
              <w:adjustRightInd w:val="0"/>
              <w:ind w:left="317"/>
            </w:pPr>
            <w:r>
              <w:t>• High-intensity statin therapy (or maximum tolerated dose) unless contraindicated;</w:t>
            </w:r>
          </w:p>
          <w:p w:rsidR="005E24DC" w:rsidRDefault="005E24DC" w:rsidP="003C43A6">
            <w:pPr>
              <w:autoSpaceDE w:val="0"/>
              <w:autoSpaceDN w:val="0"/>
              <w:adjustRightInd w:val="0"/>
              <w:ind w:left="317"/>
            </w:pPr>
            <w:r>
              <w:t xml:space="preserve">• Consider non-statin drug after maximum statin dose achieved if further LDL-C lowering needed </w:t>
            </w:r>
          </w:p>
          <w:p w:rsidR="005E24DC" w:rsidRDefault="005E24DC" w:rsidP="005E24DC">
            <w:pPr>
              <w:autoSpaceDE w:val="0"/>
              <w:autoSpaceDN w:val="0"/>
              <w:adjustRightInd w:val="0"/>
            </w:pPr>
            <w:r>
              <w:t>LDL-C 70-189 mg/dL (adults 40-75 years of age, without clinical ASCVD or diabetes mellitus)</w:t>
            </w:r>
          </w:p>
          <w:p w:rsidR="005E24DC" w:rsidRDefault="005E24DC" w:rsidP="003C43A6">
            <w:pPr>
              <w:autoSpaceDE w:val="0"/>
              <w:autoSpaceDN w:val="0"/>
              <w:adjustRightInd w:val="0"/>
              <w:ind w:left="317"/>
            </w:pPr>
            <w:r>
              <w:t xml:space="preserve">•If 10-y ASCVD risk ≥7.5%, consider moderate- to high intensity statin therapy </w:t>
            </w:r>
          </w:p>
          <w:p w:rsidR="005E24DC" w:rsidRDefault="007B1A77" w:rsidP="003C43A6">
            <w:pPr>
              <w:autoSpaceDE w:val="0"/>
              <w:autoSpaceDN w:val="0"/>
              <w:adjustRightInd w:val="0"/>
              <w:ind w:left="317"/>
            </w:pPr>
            <w:r>
              <w:t xml:space="preserve">• If 10-y ASCVD risk of 5% to </w:t>
            </w:r>
            <w:r w:rsidR="005E24DC">
              <w:t xml:space="preserve">7.5%, consider risks </w:t>
            </w:r>
            <w:r w:rsidR="005E24DC">
              <w:lastRenderedPageBreak/>
              <w:t>vs.</w:t>
            </w:r>
            <w:r>
              <w:t xml:space="preserve"> </w:t>
            </w:r>
            <w:r w:rsidR="005E24DC">
              <w:t xml:space="preserve">benefits with moderate-intensity statin therapy </w:t>
            </w:r>
          </w:p>
          <w:p w:rsidR="005E24DC" w:rsidRDefault="005E24DC" w:rsidP="005E24DC">
            <w:pPr>
              <w:autoSpaceDE w:val="0"/>
              <w:autoSpaceDN w:val="0"/>
              <w:adjustRightInd w:val="0"/>
            </w:pPr>
            <w:r>
              <w:t>Diabetes mellitus: (adults 4</w:t>
            </w:r>
            <w:r w:rsidR="00787996">
              <w:t xml:space="preserve">0-75 years of age with diabetes </w:t>
            </w:r>
            <w:r>
              <w:t>mellitus)</w:t>
            </w:r>
          </w:p>
          <w:p w:rsidR="005E24DC" w:rsidRDefault="005E24DC" w:rsidP="003C43A6">
            <w:pPr>
              <w:autoSpaceDE w:val="0"/>
              <w:autoSpaceDN w:val="0"/>
              <w:adjustRightInd w:val="0"/>
              <w:ind w:left="317"/>
            </w:pPr>
            <w:r>
              <w:t xml:space="preserve">•Moderate-intensity statin therapy </w:t>
            </w:r>
          </w:p>
          <w:p w:rsidR="005E24DC" w:rsidRDefault="005E24DC" w:rsidP="003C43A6">
            <w:pPr>
              <w:autoSpaceDE w:val="0"/>
              <w:autoSpaceDN w:val="0"/>
              <w:adjustRightInd w:val="0"/>
              <w:ind w:left="317"/>
            </w:pPr>
            <w:r>
              <w:t xml:space="preserve">• High-intensity statin </w:t>
            </w:r>
            <w:r w:rsidR="00787996">
              <w:t xml:space="preserve">therapy should be considered if </w:t>
            </w:r>
            <w:r>
              <w:t>estimated 10-y ASCVD risk</w:t>
            </w:r>
            <w:r w:rsidR="00E5471B">
              <w:t xml:space="preserve"> </w:t>
            </w:r>
            <w:r w:rsidR="0002330E">
              <w:t>≥7.5%</w:t>
            </w:r>
            <w:r>
              <w:t>, unless contraindicated</w:t>
            </w:r>
          </w:p>
          <w:p w:rsidR="00787996" w:rsidRDefault="00787996" w:rsidP="005E24DC">
            <w:pPr>
              <w:autoSpaceDE w:val="0"/>
              <w:autoSpaceDN w:val="0"/>
              <w:adjustRightInd w:val="0"/>
              <w:rPr>
                <w:b/>
              </w:rPr>
            </w:pPr>
          </w:p>
          <w:p w:rsidR="005E24DC" w:rsidRPr="005E24DC" w:rsidRDefault="005E24DC" w:rsidP="005E24DC">
            <w:pPr>
              <w:autoSpaceDE w:val="0"/>
              <w:autoSpaceDN w:val="0"/>
              <w:adjustRightInd w:val="0"/>
              <w:rPr>
                <w:b/>
              </w:rPr>
            </w:pPr>
            <w:r w:rsidRPr="005E24DC">
              <w:rPr>
                <w:b/>
              </w:rPr>
              <w:t>Secondary prevention:</w:t>
            </w:r>
          </w:p>
          <w:p w:rsidR="005E24DC" w:rsidRDefault="00787996" w:rsidP="005E24DC">
            <w:pPr>
              <w:autoSpaceDE w:val="0"/>
              <w:autoSpaceDN w:val="0"/>
              <w:adjustRightInd w:val="0"/>
            </w:pPr>
            <w:r>
              <w:t xml:space="preserve">• </w:t>
            </w:r>
            <w:r w:rsidR="005E24DC">
              <w:t xml:space="preserve"> High-intensity statin</w:t>
            </w:r>
            <w:r>
              <w:t xml:space="preserve"> therapy should be initiated or </w:t>
            </w:r>
            <w:r w:rsidR="005E24DC">
              <w:t>continued in pa</w:t>
            </w:r>
            <w:r>
              <w:t xml:space="preserve">tients </w:t>
            </w:r>
            <w:r w:rsidR="00F2158D">
              <w:t>≤</w:t>
            </w:r>
            <w:r>
              <w:t>75 years of age, unless contraindicated.</w:t>
            </w:r>
            <w:r w:rsidR="005E24DC">
              <w:t xml:space="preserve"> If high-</w:t>
            </w:r>
            <w:r>
              <w:t xml:space="preserve">intensity statin therapy is not </w:t>
            </w:r>
            <w:r w:rsidR="005E24DC">
              <w:t>tolerable, use the maximum tolerated dose</w:t>
            </w:r>
            <w:r>
              <w:t>.</w:t>
            </w:r>
            <w:r w:rsidR="005E24DC">
              <w:t xml:space="preserve"> </w:t>
            </w:r>
          </w:p>
          <w:p w:rsidR="005E24DC" w:rsidRDefault="00787996" w:rsidP="00787996">
            <w:pPr>
              <w:autoSpaceDE w:val="0"/>
              <w:autoSpaceDN w:val="0"/>
              <w:adjustRightInd w:val="0"/>
            </w:pPr>
            <w:r>
              <w:t xml:space="preserve">•  </w:t>
            </w:r>
            <w:r w:rsidR="005E24DC">
              <w:t xml:space="preserve"> </w:t>
            </w:r>
            <w:r w:rsidR="00F2158D">
              <w:t xml:space="preserve">Moderate-intensity statin therapy should be initiated </w:t>
            </w:r>
            <w:r w:rsidR="005E24DC">
              <w:t>In individuals &gt;75 years of age,</w:t>
            </w:r>
            <w:r w:rsidR="00F2158D">
              <w:t xml:space="preserve"> unless candidate for</w:t>
            </w:r>
            <w:r w:rsidR="005E24DC">
              <w:t xml:space="preserve"> </w:t>
            </w:r>
            <w:r w:rsidR="00F2158D">
              <w:t xml:space="preserve">high-intensity statin therapy; </w:t>
            </w:r>
            <w:r w:rsidR="005E24DC">
              <w:t>evaluate ASCVD risk-reduction benefits vs. adverse effects, drug</w:t>
            </w:r>
            <w:r>
              <w:t>-</w:t>
            </w:r>
            <w:r w:rsidR="007B1A77">
              <w:t xml:space="preserve">drug </w:t>
            </w:r>
            <w:r w:rsidR="005E24DC">
              <w:t>interactions, and asse</w:t>
            </w:r>
            <w:r>
              <w:t xml:space="preserve">ss patient preferences prior to </w:t>
            </w:r>
            <w:r w:rsidR="005E24DC">
              <w:t xml:space="preserve">initiating moderate-intensity statin therapy </w:t>
            </w:r>
          </w:p>
          <w:p w:rsidR="003846CC" w:rsidRDefault="003846CC" w:rsidP="00787996">
            <w:pPr>
              <w:autoSpaceDE w:val="0"/>
              <w:autoSpaceDN w:val="0"/>
              <w:adjustRightInd w:val="0"/>
            </w:pPr>
          </w:p>
          <w:p w:rsidR="003846CC" w:rsidRDefault="003846CC" w:rsidP="00787996">
            <w:pPr>
              <w:autoSpaceDE w:val="0"/>
              <w:autoSpaceDN w:val="0"/>
              <w:adjustRightInd w:val="0"/>
              <w:rPr>
                <w:b/>
              </w:rPr>
            </w:pPr>
            <w:r w:rsidRPr="003C43A6">
              <w:rPr>
                <w:b/>
              </w:rPr>
              <w:t>Nonstatin therapy</w:t>
            </w:r>
          </w:p>
          <w:p w:rsidR="003846CC" w:rsidRDefault="003846CC" w:rsidP="003846CC">
            <w:pPr>
              <w:autoSpaceDE w:val="0"/>
              <w:autoSpaceDN w:val="0"/>
              <w:adjustRightInd w:val="0"/>
            </w:pPr>
            <w:r>
              <w:t>•For statin-intolerant patients due to adverse effects, once adverse effects resolve  may consider r</w:t>
            </w:r>
            <w:r w:rsidR="00F2158D">
              <w:t xml:space="preserve">e-starting statin at a low dose </w:t>
            </w:r>
            <w:r>
              <w:t xml:space="preserve">of the same statin or different statin and gradually increase the dose as tolerated </w:t>
            </w:r>
          </w:p>
          <w:p w:rsidR="003846CC" w:rsidRDefault="003846CC" w:rsidP="003846CC">
            <w:pPr>
              <w:autoSpaceDE w:val="0"/>
              <w:autoSpaceDN w:val="0"/>
              <w:adjustRightInd w:val="0"/>
            </w:pPr>
            <w:r>
              <w:t>•In patients who are unable to tolerate a less than</w:t>
            </w:r>
          </w:p>
          <w:p w:rsidR="003846CC" w:rsidRDefault="003846CC" w:rsidP="003846CC">
            <w:pPr>
              <w:autoSpaceDE w:val="0"/>
              <w:autoSpaceDN w:val="0"/>
              <w:adjustRightInd w:val="0"/>
            </w:pPr>
            <w:r>
              <w:t>recommended statin regimen (either moderate or high intensity) or who are statin-intolerant, may consider nonstatin monotherapy or the addition of a nonstatin cholesterol lowering agent</w:t>
            </w:r>
          </w:p>
          <w:p w:rsidR="00F15D33" w:rsidRDefault="00F15D33" w:rsidP="003846CC">
            <w:pPr>
              <w:autoSpaceDE w:val="0"/>
              <w:autoSpaceDN w:val="0"/>
              <w:adjustRightInd w:val="0"/>
            </w:pPr>
          </w:p>
          <w:p w:rsidR="003846CC" w:rsidRDefault="003846CC" w:rsidP="003846CC">
            <w:pPr>
              <w:autoSpaceDE w:val="0"/>
              <w:autoSpaceDN w:val="0"/>
              <w:adjustRightInd w:val="0"/>
              <w:rPr>
                <w:b/>
              </w:rPr>
            </w:pPr>
            <w:r w:rsidRPr="003C43A6">
              <w:rPr>
                <w:b/>
              </w:rPr>
              <w:t>Combination therapy with</w:t>
            </w:r>
            <w:r>
              <w:rPr>
                <w:b/>
              </w:rPr>
              <w:t xml:space="preserve"> s</w:t>
            </w:r>
            <w:r w:rsidRPr="003C43A6">
              <w:rPr>
                <w:b/>
              </w:rPr>
              <w:t>tatins</w:t>
            </w:r>
          </w:p>
          <w:p w:rsidR="003846CC" w:rsidRDefault="003846CC" w:rsidP="003846CC">
            <w:pPr>
              <w:autoSpaceDE w:val="0"/>
              <w:autoSpaceDN w:val="0"/>
              <w:adjustRightInd w:val="0"/>
            </w:pPr>
            <w:r>
              <w:t xml:space="preserve">In high-risk individuals receiving maximum tolerated </w:t>
            </w:r>
            <w:r>
              <w:lastRenderedPageBreak/>
              <w:t>intensity of statin therapy who continue to have a less than- desired therapeutic response, addition of a nonstatin cholesterol-lowering drug(s) may be considered if the ASCVD risk-reduction benefits outweigh the potential for adverse effects. Higher-risk individuals include:</w:t>
            </w:r>
          </w:p>
          <w:p w:rsidR="003846CC" w:rsidRDefault="003846CC" w:rsidP="003846CC">
            <w:pPr>
              <w:autoSpaceDE w:val="0"/>
              <w:autoSpaceDN w:val="0"/>
              <w:adjustRightInd w:val="0"/>
            </w:pPr>
            <w:r>
              <w:t>•Individuals with clinical ASCVD &lt;75 years of age</w:t>
            </w:r>
          </w:p>
          <w:p w:rsidR="003846CC" w:rsidRDefault="003846CC" w:rsidP="003846CC">
            <w:pPr>
              <w:autoSpaceDE w:val="0"/>
              <w:autoSpaceDN w:val="0"/>
              <w:adjustRightInd w:val="0"/>
            </w:pPr>
            <w:r>
              <w:t>• Individuals with baseline LDL-C ≥190 mg/dL</w:t>
            </w:r>
          </w:p>
          <w:p w:rsidR="003846CC" w:rsidRDefault="003846CC" w:rsidP="003846CC">
            <w:pPr>
              <w:autoSpaceDE w:val="0"/>
              <w:autoSpaceDN w:val="0"/>
              <w:adjustRightInd w:val="0"/>
            </w:pPr>
            <w:r>
              <w:t>• Individuals 40-75 years of age with diabetes mellitus</w:t>
            </w:r>
          </w:p>
        </w:tc>
      </w:tr>
    </w:tbl>
    <w:p w:rsidR="003157B6" w:rsidRPr="004C7457" w:rsidRDefault="003157B6" w:rsidP="003157B6">
      <w:pPr>
        <w:pStyle w:val="Heading3"/>
        <w:rPr>
          <w:rFonts w:eastAsia="Times New Roman"/>
          <w:lang w:eastAsia="en-AU"/>
        </w:rPr>
      </w:pPr>
      <w:bookmarkStart w:id="10" w:name="_Toc461644659"/>
      <w:r w:rsidRPr="004C7457">
        <w:rPr>
          <w:rFonts w:eastAsia="Times New Roman"/>
          <w:lang w:eastAsia="en-AU"/>
        </w:rPr>
        <w:lastRenderedPageBreak/>
        <w:t xml:space="preserve">Table </w:t>
      </w:r>
      <w:r>
        <w:rPr>
          <w:rFonts w:eastAsia="Times New Roman"/>
          <w:lang w:eastAsia="en-AU"/>
        </w:rPr>
        <w:t>3.2</w:t>
      </w:r>
      <w:r w:rsidRPr="004C7457">
        <w:rPr>
          <w:rFonts w:eastAsia="Times New Roman"/>
          <w:lang w:eastAsia="en-AU"/>
        </w:rPr>
        <w:t xml:space="preserve"> North American Guidelines </w:t>
      </w:r>
      <w:r>
        <w:rPr>
          <w:rFonts w:eastAsia="Times New Roman"/>
          <w:lang w:eastAsia="en-AU"/>
        </w:rPr>
        <w:t xml:space="preserve">(USA): </w:t>
      </w:r>
      <w:r>
        <w:t>the 2014 NLA recommendations</w:t>
      </w:r>
      <w:bookmarkEnd w:id="10"/>
    </w:p>
    <w:tbl>
      <w:tblPr>
        <w:tblStyle w:val="TableGrid"/>
        <w:tblW w:w="14737" w:type="dxa"/>
        <w:tblLayout w:type="fixed"/>
        <w:tblLook w:val="04A0" w:firstRow="1" w:lastRow="0" w:firstColumn="1" w:lastColumn="0" w:noHBand="0" w:noVBand="1"/>
      </w:tblPr>
      <w:tblGrid>
        <w:gridCol w:w="1980"/>
        <w:gridCol w:w="1843"/>
        <w:gridCol w:w="1135"/>
        <w:gridCol w:w="2977"/>
        <w:gridCol w:w="1699"/>
        <w:gridCol w:w="5103"/>
      </w:tblGrid>
      <w:tr w:rsidR="00752CDB" w:rsidTr="00B53EF2">
        <w:tc>
          <w:tcPr>
            <w:tcW w:w="1980" w:type="dxa"/>
          </w:tcPr>
          <w:p w:rsidR="00752CDB" w:rsidRPr="008013A7" w:rsidRDefault="00752CDB" w:rsidP="00752CDB">
            <w:pPr>
              <w:ind w:right="-108"/>
              <w:rPr>
                <w:b/>
              </w:rPr>
            </w:pPr>
            <w:r w:rsidRPr="008013A7">
              <w:rPr>
                <w:b/>
              </w:rPr>
              <w:t>Guidelines/country/year</w:t>
            </w:r>
          </w:p>
        </w:tc>
        <w:tc>
          <w:tcPr>
            <w:tcW w:w="1843" w:type="dxa"/>
          </w:tcPr>
          <w:p w:rsidR="00752CDB" w:rsidRPr="008013A7" w:rsidRDefault="00752CDB" w:rsidP="00752CDB">
            <w:pPr>
              <w:rPr>
                <w:b/>
              </w:rPr>
            </w:pPr>
            <w:r w:rsidRPr="008013A7">
              <w:rPr>
                <w:b/>
              </w:rPr>
              <w:t>Population/scope</w:t>
            </w:r>
            <w:r w:rsidR="008503F3">
              <w:rPr>
                <w:b/>
              </w:rPr>
              <w:t>/setting</w:t>
            </w:r>
          </w:p>
        </w:tc>
        <w:tc>
          <w:tcPr>
            <w:tcW w:w="4112" w:type="dxa"/>
            <w:gridSpan w:val="2"/>
          </w:tcPr>
          <w:p w:rsidR="00752CDB" w:rsidRPr="00E86312" w:rsidRDefault="00752CDB" w:rsidP="00752CDB">
            <w:pPr>
              <w:rPr>
                <w:b/>
              </w:rPr>
            </w:pPr>
            <w:r w:rsidRPr="00E86312">
              <w:rPr>
                <w:b/>
              </w:rPr>
              <w:t>Risk factors</w:t>
            </w:r>
            <w:r>
              <w:rPr>
                <w:b/>
              </w:rPr>
              <w:t xml:space="preserve"> and categories </w:t>
            </w:r>
          </w:p>
        </w:tc>
        <w:tc>
          <w:tcPr>
            <w:tcW w:w="1699" w:type="dxa"/>
          </w:tcPr>
          <w:p w:rsidR="00752CDB" w:rsidRPr="00E86312" w:rsidRDefault="00752CDB" w:rsidP="00752CDB">
            <w:pPr>
              <w:rPr>
                <w:b/>
              </w:rPr>
            </w:pPr>
            <w:r>
              <w:rPr>
                <w:b/>
              </w:rPr>
              <w:t>Absolute r</w:t>
            </w:r>
            <w:r w:rsidRPr="00E86312">
              <w:rPr>
                <w:b/>
              </w:rPr>
              <w:t>isk assessment tool</w:t>
            </w:r>
          </w:p>
        </w:tc>
        <w:tc>
          <w:tcPr>
            <w:tcW w:w="5103" w:type="dxa"/>
          </w:tcPr>
          <w:p w:rsidR="00752CDB" w:rsidRPr="00A6442E" w:rsidRDefault="00752CDB" w:rsidP="00752CDB">
            <w:pPr>
              <w:rPr>
                <w:b/>
              </w:rPr>
            </w:pPr>
            <w:r w:rsidRPr="00A6442E">
              <w:rPr>
                <w:b/>
              </w:rPr>
              <w:t xml:space="preserve">Suggested </w:t>
            </w:r>
            <w:r>
              <w:rPr>
                <w:b/>
              </w:rPr>
              <w:t xml:space="preserve">lipid lowering </w:t>
            </w:r>
            <w:r w:rsidRPr="00A6442E">
              <w:rPr>
                <w:b/>
              </w:rPr>
              <w:t>management</w:t>
            </w:r>
            <w:r>
              <w:rPr>
                <w:b/>
              </w:rPr>
              <w:t xml:space="preserve"> </w:t>
            </w:r>
          </w:p>
        </w:tc>
      </w:tr>
      <w:tr w:rsidR="00752CDB" w:rsidTr="00B53EF2">
        <w:tc>
          <w:tcPr>
            <w:tcW w:w="1980" w:type="dxa"/>
          </w:tcPr>
          <w:p w:rsidR="00752CDB" w:rsidRPr="00752CDB" w:rsidRDefault="00752CDB" w:rsidP="00752CDB">
            <w:pPr>
              <w:autoSpaceDE w:val="0"/>
              <w:autoSpaceDN w:val="0"/>
              <w:adjustRightInd w:val="0"/>
              <w:rPr>
                <w:b/>
              </w:rPr>
            </w:pPr>
            <w:r w:rsidRPr="00752CDB">
              <w:rPr>
                <w:b/>
              </w:rPr>
              <w:t xml:space="preserve">NLA recommendations </w:t>
            </w:r>
          </w:p>
          <w:p w:rsidR="00752CDB" w:rsidRDefault="00752CDB" w:rsidP="00752CDB">
            <w:pPr>
              <w:autoSpaceDE w:val="0"/>
              <w:autoSpaceDN w:val="0"/>
              <w:adjustRightInd w:val="0"/>
            </w:pPr>
            <w:r>
              <w:t>Jacobson TA, et al. National Lipid Association recommendations</w:t>
            </w:r>
          </w:p>
          <w:p w:rsidR="00752CDB" w:rsidRDefault="00752CDB" w:rsidP="00752CDB">
            <w:pPr>
              <w:autoSpaceDE w:val="0"/>
              <w:autoSpaceDN w:val="0"/>
              <w:adjustRightInd w:val="0"/>
            </w:pPr>
            <w:r>
              <w:t>for patient-centered management of dyslipidemia: part</w:t>
            </w:r>
          </w:p>
          <w:p w:rsidR="00752CDB" w:rsidRDefault="00752CDB" w:rsidP="00752CDB">
            <w:pPr>
              <w:autoSpaceDE w:val="0"/>
              <w:autoSpaceDN w:val="0"/>
              <w:adjustRightInd w:val="0"/>
            </w:pPr>
            <w:r>
              <w:t xml:space="preserve">1-executive summary. J Clin Lipidol. </w:t>
            </w:r>
            <w:r w:rsidRPr="00752CDB">
              <w:rPr>
                <w:b/>
              </w:rPr>
              <w:t xml:space="preserve">2014; </w:t>
            </w:r>
            <w:r w:rsidR="00EA6FD6">
              <w:t>8(5):473-</w:t>
            </w:r>
            <w:r>
              <w:t>488.</w:t>
            </w:r>
          </w:p>
          <w:p w:rsidR="00752CDB" w:rsidRDefault="00752CDB" w:rsidP="00752CDB">
            <w:pPr>
              <w:autoSpaceDE w:val="0"/>
              <w:autoSpaceDN w:val="0"/>
              <w:adjustRightInd w:val="0"/>
            </w:pPr>
          </w:p>
          <w:p w:rsidR="00752CDB" w:rsidRDefault="00752CDB" w:rsidP="00752CDB">
            <w:pPr>
              <w:autoSpaceDE w:val="0"/>
              <w:autoSpaceDN w:val="0"/>
              <w:adjustRightInd w:val="0"/>
            </w:pPr>
            <w:r>
              <w:t>Jacobson TA, et al. National Lipid Association recommendations</w:t>
            </w:r>
          </w:p>
          <w:p w:rsidR="00752CDB" w:rsidRDefault="00EA6FD6" w:rsidP="00752CDB">
            <w:pPr>
              <w:autoSpaceDE w:val="0"/>
              <w:autoSpaceDN w:val="0"/>
              <w:adjustRightInd w:val="0"/>
            </w:pPr>
            <w:r>
              <w:t xml:space="preserve">for patient- </w:t>
            </w:r>
            <w:r w:rsidR="00752CDB">
              <w:t xml:space="preserve">centered </w:t>
            </w:r>
            <w:r w:rsidR="00752CDB">
              <w:lastRenderedPageBreak/>
              <w:t xml:space="preserve">management of dyslipidemia: part 2. J Clin Lipidol. </w:t>
            </w:r>
            <w:r w:rsidR="00752CDB" w:rsidRPr="00752CDB">
              <w:rPr>
                <w:b/>
              </w:rPr>
              <w:t>2015;</w:t>
            </w:r>
            <w:r w:rsidR="00752CDB">
              <w:t xml:space="preserve"> 9(6 suppl): </w:t>
            </w:r>
            <w:r>
              <w:t>S1-S122</w:t>
            </w:r>
          </w:p>
        </w:tc>
        <w:tc>
          <w:tcPr>
            <w:tcW w:w="1843" w:type="dxa"/>
          </w:tcPr>
          <w:p w:rsidR="007B1A77" w:rsidRPr="007B1A77" w:rsidRDefault="007B1A77" w:rsidP="007B1A77">
            <w:pPr>
              <w:ind w:right="-108"/>
            </w:pPr>
            <w:r>
              <w:lastRenderedPageBreak/>
              <w:t>Treatment differentiates</w:t>
            </w:r>
            <w:r w:rsidR="008503F3">
              <w:t xml:space="preserve"> between the </w:t>
            </w:r>
            <w:r>
              <w:t xml:space="preserve">categories of </w:t>
            </w:r>
            <w:r w:rsidRPr="007B1A77">
              <w:rPr>
                <w:b/>
              </w:rPr>
              <w:t>risk for</w:t>
            </w:r>
            <w:r>
              <w:t xml:space="preserve"> </w:t>
            </w:r>
            <w:r w:rsidRPr="00A23D11">
              <w:rPr>
                <w:b/>
              </w:rPr>
              <w:t>ASCVD</w:t>
            </w:r>
            <w:r w:rsidRPr="00E25F91">
              <w:rPr>
                <w:b/>
              </w:rPr>
              <w:t xml:space="preserve"> </w:t>
            </w:r>
            <w:r>
              <w:rPr>
                <w:b/>
              </w:rPr>
              <w:t xml:space="preserve">events </w:t>
            </w:r>
            <w:r w:rsidRPr="007B1A77">
              <w:t xml:space="preserve">rather than between </w:t>
            </w:r>
            <w:r w:rsidR="008503F3" w:rsidRPr="007B1A77">
              <w:t>primary and secondary preventions</w:t>
            </w:r>
            <w:r>
              <w:rPr>
                <w:b/>
              </w:rPr>
              <w:t xml:space="preserve">. </w:t>
            </w:r>
            <w:r w:rsidRPr="007B1A77">
              <w:t>Both Part 1 and 2 of NLA recommendations required more</w:t>
            </w:r>
          </w:p>
          <w:p w:rsidR="007B1A77" w:rsidRPr="007B1A77" w:rsidRDefault="007B1A77" w:rsidP="007B1A77">
            <w:r w:rsidRPr="007B1A77">
              <w:t>complex risk assessment and incorporated several specific</w:t>
            </w:r>
          </w:p>
          <w:p w:rsidR="007B1A77" w:rsidRPr="007B1A77" w:rsidRDefault="007B1A77" w:rsidP="007B1A77">
            <w:r w:rsidRPr="007B1A77">
              <w:t>populations that might be managed by both generalists and</w:t>
            </w:r>
          </w:p>
          <w:p w:rsidR="00752CDB" w:rsidRDefault="007B1A77" w:rsidP="007B1A77">
            <w:r w:rsidRPr="007B1A77">
              <w:t>Specialists.</w:t>
            </w:r>
          </w:p>
        </w:tc>
        <w:tc>
          <w:tcPr>
            <w:tcW w:w="4112" w:type="dxa"/>
            <w:gridSpan w:val="2"/>
          </w:tcPr>
          <w:p w:rsidR="00752CDB" w:rsidRPr="00A23D11" w:rsidRDefault="00752CDB" w:rsidP="00752CDB">
            <w:pPr>
              <w:autoSpaceDE w:val="0"/>
              <w:autoSpaceDN w:val="0"/>
              <w:adjustRightInd w:val="0"/>
              <w:rPr>
                <w:b/>
              </w:rPr>
            </w:pPr>
            <w:r w:rsidRPr="00A23D11">
              <w:rPr>
                <w:b/>
              </w:rPr>
              <w:t>Major risk factors for ASCVD:</w:t>
            </w:r>
          </w:p>
          <w:p w:rsidR="00752CDB" w:rsidRDefault="00752CDB" w:rsidP="00752CDB">
            <w:pPr>
              <w:autoSpaceDE w:val="0"/>
              <w:autoSpaceDN w:val="0"/>
              <w:adjustRightInd w:val="0"/>
            </w:pPr>
            <w:r>
              <w:t>• Age: Male ≥45 years; Female ≥55 years</w:t>
            </w:r>
          </w:p>
          <w:p w:rsidR="00752CDB" w:rsidRDefault="00752CDB" w:rsidP="00752CDB">
            <w:pPr>
              <w:autoSpaceDE w:val="0"/>
              <w:autoSpaceDN w:val="0"/>
              <w:adjustRightInd w:val="0"/>
            </w:pPr>
            <w:r>
              <w:t>•Family history of early CHD: &lt;55 years of age in a male first-degree relative, or &lt;65 years of age in a</w:t>
            </w:r>
          </w:p>
          <w:p w:rsidR="00752CDB" w:rsidRDefault="00752CDB" w:rsidP="00752CDB">
            <w:pPr>
              <w:autoSpaceDE w:val="0"/>
              <w:autoSpaceDN w:val="0"/>
              <w:adjustRightInd w:val="0"/>
            </w:pPr>
            <w:r>
              <w:t>female first-degree relative</w:t>
            </w:r>
          </w:p>
          <w:p w:rsidR="00752CDB" w:rsidRDefault="00752CDB" w:rsidP="00752CDB">
            <w:pPr>
              <w:autoSpaceDE w:val="0"/>
              <w:autoSpaceDN w:val="0"/>
              <w:adjustRightInd w:val="0"/>
            </w:pPr>
            <w:r>
              <w:t>•Current cigarette smoking</w:t>
            </w:r>
          </w:p>
          <w:p w:rsidR="00752CDB" w:rsidRDefault="00752CDB" w:rsidP="00752CDB">
            <w:pPr>
              <w:autoSpaceDE w:val="0"/>
              <w:autoSpaceDN w:val="0"/>
              <w:adjustRightInd w:val="0"/>
            </w:pPr>
            <w:r>
              <w:t>•High blood pressure (≥140/≥90 mm Hg, or receiving blood pressure medication)</w:t>
            </w:r>
          </w:p>
          <w:p w:rsidR="00752CDB" w:rsidRDefault="00752CDB" w:rsidP="00752CDB">
            <w:pPr>
              <w:autoSpaceDE w:val="0"/>
              <w:autoSpaceDN w:val="0"/>
              <w:adjustRightInd w:val="0"/>
            </w:pPr>
            <w:r>
              <w:t>• Low HDL-C: male &lt;40 mg/dL; female &lt;50 mg/dL</w:t>
            </w:r>
          </w:p>
          <w:p w:rsidR="00752CDB" w:rsidRPr="00091803" w:rsidRDefault="00752CDB" w:rsidP="00752CDB">
            <w:pPr>
              <w:autoSpaceDE w:val="0"/>
              <w:autoSpaceDN w:val="0"/>
              <w:adjustRightInd w:val="0"/>
              <w:rPr>
                <w:b/>
              </w:rPr>
            </w:pPr>
            <w:r w:rsidRPr="00091803">
              <w:rPr>
                <w:b/>
              </w:rPr>
              <w:t xml:space="preserve">Risk indicators, other than major ASCVD risk factors, that can </w:t>
            </w:r>
            <w:r w:rsidR="007B1A77">
              <w:rPr>
                <w:b/>
              </w:rPr>
              <w:t xml:space="preserve">be considered for optional risk </w:t>
            </w:r>
            <w:r w:rsidRPr="00091803">
              <w:rPr>
                <w:b/>
              </w:rPr>
              <w:t>refinement:</w:t>
            </w:r>
          </w:p>
          <w:p w:rsidR="00752CDB" w:rsidRPr="00091803" w:rsidRDefault="00752CDB" w:rsidP="00752CDB">
            <w:pPr>
              <w:autoSpaceDE w:val="0"/>
              <w:autoSpaceDN w:val="0"/>
              <w:adjustRightInd w:val="0"/>
            </w:pPr>
            <w:r>
              <w:t xml:space="preserve">• </w:t>
            </w:r>
            <w:r w:rsidRPr="00091803">
              <w:t>Strong smoking history (e.g., multiple packs per day)</w:t>
            </w:r>
          </w:p>
          <w:p w:rsidR="00752CDB" w:rsidRPr="00091803" w:rsidRDefault="00752CDB" w:rsidP="00752CDB">
            <w:pPr>
              <w:autoSpaceDE w:val="0"/>
              <w:autoSpaceDN w:val="0"/>
              <w:adjustRightInd w:val="0"/>
            </w:pPr>
            <w:r>
              <w:t xml:space="preserve">• </w:t>
            </w:r>
            <w:r w:rsidRPr="00091803">
              <w:t>Strong family history of ASCVD</w:t>
            </w:r>
          </w:p>
          <w:p w:rsidR="00752CDB" w:rsidRPr="00091803" w:rsidRDefault="00752CDB" w:rsidP="00752CDB">
            <w:pPr>
              <w:autoSpaceDE w:val="0"/>
              <w:autoSpaceDN w:val="0"/>
              <w:adjustRightInd w:val="0"/>
            </w:pPr>
            <w:r>
              <w:t xml:space="preserve">• </w:t>
            </w:r>
            <w:r w:rsidRPr="00091803">
              <w:t xml:space="preserve"> Indicators of subclinical disease (e.g., coronary artery calcium </w:t>
            </w:r>
            <w:r w:rsidR="00BC5B03">
              <w:t>≥</w:t>
            </w:r>
            <w:r w:rsidRPr="00091803">
              <w:t>300 Agatston units)</w:t>
            </w:r>
          </w:p>
          <w:p w:rsidR="00BC5B03" w:rsidRDefault="00752CDB" w:rsidP="00752CDB">
            <w:pPr>
              <w:autoSpaceDE w:val="0"/>
              <w:autoSpaceDN w:val="0"/>
              <w:adjustRightInd w:val="0"/>
            </w:pPr>
            <w:r>
              <w:t xml:space="preserve">• </w:t>
            </w:r>
            <w:r w:rsidRPr="00091803">
              <w:t xml:space="preserve"> LDL-C </w:t>
            </w:r>
            <w:r>
              <w:t>≥</w:t>
            </w:r>
            <w:r w:rsidRPr="00091803">
              <w:t xml:space="preserve">160 mg/dL and </w:t>
            </w:r>
          </w:p>
          <w:p w:rsidR="00752CDB" w:rsidRPr="00091803" w:rsidRDefault="00BC5B03" w:rsidP="00752CDB">
            <w:pPr>
              <w:autoSpaceDE w:val="0"/>
              <w:autoSpaceDN w:val="0"/>
              <w:adjustRightInd w:val="0"/>
            </w:pPr>
            <w:r>
              <w:lastRenderedPageBreak/>
              <w:t xml:space="preserve">    </w:t>
            </w:r>
            <w:r w:rsidR="00752CDB" w:rsidRPr="00091803">
              <w:t xml:space="preserve">non-HDL-C </w:t>
            </w:r>
            <w:r w:rsidR="00752CDB">
              <w:t>≥</w:t>
            </w:r>
            <w:r w:rsidR="00752CDB" w:rsidRPr="00091803">
              <w:t>190 mg/dL</w:t>
            </w:r>
          </w:p>
          <w:p w:rsidR="00752CDB" w:rsidRPr="00091803" w:rsidRDefault="00752CDB" w:rsidP="00752CDB">
            <w:pPr>
              <w:autoSpaceDE w:val="0"/>
              <w:autoSpaceDN w:val="0"/>
              <w:adjustRightInd w:val="0"/>
            </w:pPr>
            <w:r>
              <w:t xml:space="preserve">• </w:t>
            </w:r>
            <w:r w:rsidRPr="00091803">
              <w:t xml:space="preserve"> hsCRP </w:t>
            </w:r>
            <w:r>
              <w:t>≥</w:t>
            </w:r>
            <w:r w:rsidRPr="00091803">
              <w:t>2 mg/dL</w:t>
            </w:r>
          </w:p>
          <w:p w:rsidR="00752CDB" w:rsidRPr="00091803" w:rsidRDefault="00752CDB" w:rsidP="00752CDB">
            <w:pPr>
              <w:autoSpaceDE w:val="0"/>
              <w:autoSpaceDN w:val="0"/>
              <w:adjustRightInd w:val="0"/>
            </w:pPr>
            <w:r>
              <w:t xml:space="preserve">• </w:t>
            </w:r>
            <w:r w:rsidRPr="00091803">
              <w:t xml:space="preserve">  Lp(a) </w:t>
            </w:r>
            <w:r>
              <w:t>≥</w:t>
            </w:r>
            <w:r w:rsidRPr="00091803">
              <w:t>50 mg/dL</w:t>
            </w:r>
          </w:p>
          <w:p w:rsidR="00752CDB" w:rsidRDefault="00752CDB" w:rsidP="00752CDB">
            <w:pPr>
              <w:autoSpaceDE w:val="0"/>
              <w:autoSpaceDN w:val="0"/>
              <w:adjustRightInd w:val="0"/>
            </w:pPr>
            <w:r>
              <w:t>• Urine albumin:creatinine ratio ≥</w:t>
            </w:r>
            <w:r w:rsidRPr="00091803">
              <w:t>30mg/g</w:t>
            </w:r>
          </w:p>
        </w:tc>
        <w:tc>
          <w:tcPr>
            <w:tcW w:w="1699" w:type="dxa"/>
          </w:tcPr>
          <w:p w:rsidR="00752CDB" w:rsidRDefault="00752CDB" w:rsidP="00752CDB">
            <w:pPr>
              <w:autoSpaceDE w:val="0"/>
              <w:autoSpaceDN w:val="0"/>
              <w:adjustRightInd w:val="0"/>
            </w:pPr>
            <w:r>
              <w:lastRenderedPageBreak/>
              <w:t>•Framingham Risk Score (ATP III) to estimate 10-year or long-term and lifetime ASCVD risk</w:t>
            </w:r>
          </w:p>
          <w:p w:rsidR="00752CDB" w:rsidRDefault="00752CDB" w:rsidP="00752CDB">
            <w:pPr>
              <w:autoSpaceDE w:val="0"/>
              <w:autoSpaceDN w:val="0"/>
              <w:adjustRightInd w:val="0"/>
            </w:pPr>
            <w:r>
              <w:t>•Pooled Cohort Equations (ACC/AHA) to estimate 10-year ASCVD risk</w:t>
            </w:r>
          </w:p>
        </w:tc>
        <w:tc>
          <w:tcPr>
            <w:tcW w:w="5103" w:type="dxa"/>
            <w:vMerge w:val="restart"/>
          </w:tcPr>
          <w:p w:rsidR="00752CDB" w:rsidRDefault="00752CDB" w:rsidP="00752CDB">
            <w:pPr>
              <w:autoSpaceDE w:val="0"/>
              <w:autoSpaceDN w:val="0"/>
              <w:adjustRightInd w:val="0"/>
            </w:pPr>
            <w:r>
              <w:t>Moderate- or high-intensity statin should be first-line drug therapy for treatment of elevated levels of atherogenic cholesterol (non-HDL-C and LDL-C), unless contraindicated. Intensity of statin therapy should be individualized and based on patient-specific risk factors as well as baseline lev</w:t>
            </w:r>
            <w:r w:rsidR="00A25E01">
              <w:t>els of atherogenic cholesterol.</w:t>
            </w:r>
          </w:p>
          <w:p w:rsidR="00A25E01" w:rsidRDefault="00A25E01" w:rsidP="00752CDB">
            <w:pPr>
              <w:autoSpaceDE w:val="0"/>
              <w:autoSpaceDN w:val="0"/>
              <w:adjustRightInd w:val="0"/>
            </w:pPr>
          </w:p>
          <w:p w:rsidR="00752CDB" w:rsidRDefault="00752CDB" w:rsidP="00752CDB">
            <w:pPr>
              <w:autoSpaceDE w:val="0"/>
              <w:autoSpaceDN w:val="0"/>
              <w:adjustRightInd w:val="0"/>
            </w:pPr>
            <w:r>
              <w:t>Levels of atherogenic cholesterol (non-HDL-C and LDL-C) should be the primary targets of therapy. (LDL-C</w:t>
            </w:r>
            <w:r w:rsidRPr="00B610D9">
              <w:t xml:space="preserve"> &lt;100 mg/dL for low, medium and high risk categories and &lt;70 mg/dL for very high risk category</w:t>
            </w:r>
            <w:r>
              <w:t>); (non-HDL-C</w:t>
            </w:r>
            <w:r w:rsidRPr="00B610D9">
              <w:t xml:space="preserve"> &lt;</w:t>
            </w:r>
            <w:r>
              <w:t>13</w:t>
            </w:r>
            <w:r w:rsidRPr="00B610D9">
              <w:t>0 mg/dL for low, medium and high risk categories and &lt;</w:t>
            </w:r>
            <w:r>
              <w:t>100</w:t>
            </w:r>
            <w:r w:rsidRPr="00B610D9">
              <w:t xml:space="preserve"> mg/dL for very high risk category</w:t>
            </w:r>
            <w:r>
              <w:t>) ApoB (</w:t>
            </w:r>
            <w:r w:rsidRPr="00B610D9">
              <w:t>apolipoprotein</w:t>
            </w:r>
            <w:r>
              <w:t>) can be considered as an optional (secondary) target TGs become the</w:t>
            </w:r>
            <w:r w:rsidR="00A25E01">
              <w:t xml:space="preserve"> primary target if ≥500 mg/dL. </w:t>
            </w:r>
            <w:r>
              <w:t>Goal levels are typically achieved in approximately 6 months. If LDL-C falls to &lt;40 mg/dL, therapy may be continued in absence of intolerance.</w:t>
            </w:r>
          </w:p>
          <w:p w:rsidR="007B1A77" w:rsidRDefault="007B1A77" w:rsidP="00752CDB">
            <w:pPr>
              <w:autoSpaceDE w:val="0"/>
              <w:autoSpaceDN w:val="0"/>
              <w:adjustRightInd w:val="0"/>
            </w:pPr>
          </w:p>
          <w:p w:rsidR="00752CDB" w:rsidRDefault="00752CDB" w:rsidP="00752CDB">
            <w:pPr>
              <w:autoSpaceDE w:val="0"/>
              <w:autoSpaceDN w:val="0"/>
              <w:adjustRightInd w:val="0"/>
            </w:pPr>
            <w:r>
              <w:lastRenderedPageBreak/>
              <w:t>For patients with TGs ≥500 mg/dL, target is a level of &lt;500 mg/dL to prevent pancreatitis.</w:t>
            </w:r>
          </w:p>
          <w:p w:rsidR="007B1A77" w:rsidRDefault="007B1A77" w:rsidP="00752CDB">
            <w:pPr>
              <w:autoSpaceDE w:val="0"/>
              <w:autoSpaceDN w:val="0"/>
              <w:adjustRightInd w:val="0"/>
            </w:pPr>
          </w:p>
          <w:p w:rsidR="00752CDB" w:rsidRDefault="00752CDB" w:rsidP="00DD6756">
            <w:pPr>
              <w:autoSpaceDE w:val="0"/>
              <w:autoSpaceDN w:val="0"/>
              <w:adjustRightInd w:val="0"/>
              <w:ind w:right="-108"/>
            </w:pPr>
            <w:r>
              <w:t>If TGs ≥1000 mg/dL, then consider fibric acids, high-dose (2-4 g/d) long-chain omega-3 fatty acids, or nicotinic acid. If TGs 500-999 mg/dL and no history of pancreatitis, then consider fibric acids, long chain omega-3 fatty acids, or statin.</w:t>
            </w:r>
          </w:p>
        </w:tc>
      </w:tr>
      <w:tr w:rsidR="00EA6FD6" w:rsidTr="00B53EF2">
        <w:tc>
          <w:tcPr>
            <w:tcW w:w="1980" w:type="dxa"/>
            <w:vMerge w:val="restart"/>
          </w:tcPr>
          <w:p w:rsidR="00EA6FD6" w:rsidRDefault="00EA6FD6" w:rsidP="00752CDB">
            <w:pPr>
              <w:autoSpaceDE w:val="0"/>
              <w:autoSpaceDN w:val="0"/>
              <w:adjustRightInd w:val="0"/>
            </w:pPr>
          </w:p>
        </w:tc>
        <w:tc>
          <w:tcPr>
            <w:tcW w:w="1843" w:type="dxa"/>
            <w:vMerge w:val="restart"/>
          </w:tcPr>
          <w:p w:rsidR="00EA6FD6" w:rsidRDefault="00EA6FD6" w:rsidP="00752CDB">
            <w:pPr>
              <w:autoSpaceDE w:val="0"/>
              <w:autoSpaceDN w:val="0"/>
              <w:adjustRightInd w:val="0"/>
            </w:pPr>
          </w:p>
        </w:tc>
        <w:tc>
          <w:tcPr>
            <w:tcW w:w="1135" w:type="dxa"/>
          </w:tcPr>
          <w:p w:rsidR="00EA6FD6" w:rsidRDefault="00EA6FD6" w:rsidP="00752CDB">
            <w:pPr>
              <w:autoSpaceDE w:val="0"/>
              <w:autoSpaceDN w:val="0"/>
              <w:adjustRightInd w:val="0"/>
            </w:pPr>
            <w:r>
              <w:t>Low</w:t>
            </w:r>
          </w:p>
        </w:tc>
        <w:tc>
          <w:tcPr>
            <w:tcW w:w="2977" w:type="dxa"/>
          </w:tcPr>
          <w:p w:rsidR="00EA6FD6" w:rsidRPr="00676C5C" w:rsidRDefault="00EA6FD6" w:rsidP="00752CDB">
            <w:pPr>
              <w:autoSpaceDE w:val="0"/>
              <w:autoSpaceDN w:val="0"/>
              <w:adjustRightInd w:val="0"/>
            </w:pPr>
            <w:r>
              <w:t>•</w:t>
            </w:r>
            <w:r w:rsidRPr="00676C5C">
              <w:t>0-1 major ASCVD risk factors</w:t>
            </w:r>
          </w:p>
          <w:p w:rsidR="00EA6FD6" w:rsidRDefault="00EA6FD6" w:rsidP="00752CDB">
            <w:pPr>
              <w:autoSpaceDE w:val="0"/>
              <w:autoSpaceDN w:val="0"/>
              <w:adjustRightInd w:val="0"/>
            </w:pPr>
            <w:r>
              <w:t>•</w:t>
            </w:r>
            <w:r w:rsidRPr="00676C5C">
              <w:t>Consider other risk indicators, if known</w:t>
            </w:r>
          </w:p>
        </w:tc>
        <w:tc>
          <w:tcPr>
            <w:tcW w:w="1699" w:type="dxa"/>
            <w:vMerge w:val="restart"/>
          </w:tcPr>
          <w:p w:rsidR="00EA6FD6" w:rsidRDefault="00EA6FD6" w:rsidP="00752CDB">
            <w:pPr>
              <w:autoSpaceDE w:val="0"/>
              <w:autoSpaceDN w:val="0"/>
              <w:adjustRightInd w:val="0"/>
            </w:pPr>
          </w:p>
        </w:tc>
        <w:tc>
          <w:tcPr>
            <w:tcW w:w="5103" w:type="dxa"/>
            <w:vMerge/>
          </w:tcPr>
          <w:p w:rsidR="00EA6FD6" w:rsidRDefault="00EA6FD6" w:rsidP="00752CDB">
            <w:pPr>
              <w:autoSpaceDE w:val="0"/>
              <w:autoSpaceDN w:val="0"/>
              <w:adjustRightInd w:val="0"/>
            </w:pPr>
          </w:p>
        </w:tc>
      </w:tr>
      <w:tr w:rsidR="00EA6FD6" w:rsidTr="00B53EF2">
        <w:tc>
          <w:tcPr>
            <w:tcW w:w="1980" w:type="dxa"/>
            <w:vMerge/>
          </w:tcPr>
          <w:p w:rsidR="00EA6FD6" w:rsidRDefault="00EA6FD6" w:rsidP="00752CDB">
            <w:pPr>
              <w:autoSpaceDE w:val="0"/>
              <w:autoSpaceDN w:val="0"/>
              <w:adjustRightInd w:val="0"/>
            </w:pPr>
          </w:p>
        </w:tc>
        <w:tc>
          <w:tcPr>
            <w:tcW w:w="1843" w:type="dxa"/>
            <w:vMerge/>
          </w:tcPr>
          <w:p w:rsidR="00EA6FD6" w:rsidRDefault="00EA6FD6" w:rsidP="00752CDB">
            <w:pPr>
              <w:autoSpaceDE w:val="0"/>
              <w:autoSpaceDN w:val="0"/>
              <w:adjustRightInd w:val="0"/>
            </w:pPr>
          </w:p>
        </w:tc>
        <w:tc>
          <w:tcPr>
            <w:tcW w:w="1135" w:type="dxa"/>
          </w:tcPr>
          <w:p w:rsidR="00EA6FD6" w:rsidRDefault="00EA6FD6" w:rsidP="00752CDB">
            <w:pPr>
              <w:autoSpaceDE w:val="0"/>
              <w:autoSpaceDN w:val="0"/>
              <w:adjustRightInd w:val="0"/>
            </w:pPr>
            <w:r w:rsidRPr="00676C5C">
              <w:t>Moderate</w:t>
            </w:r>
          </w:p>
        </w:tc>
        <w:tc>
          <w:tcPr>
            <w:tcW w:w="2977" w:type="dxa"/>
          </w:tcPr>
          <w:p w:rsidR="00EA6FD6" w:rsidRPr="00676C5C" w:rsidRDefault="00EA6FD6" w:rsidP="00752CDB">
            <w:pPr>
              <w:autoSpaceDE w:val="0"/>
              <w:autoSpaceDN w:val="0"/>
              <w:adjustRightInd w:val="0"/>
            </w:pPr>
            <w:r>
              <w:t>•</w:t>
            </w:r>
            <w:r w:rsidRPr="00676C5C">
              <w:t>2 major ASCVD risk factors</w:t>
            </w:r>
          </w:p>
          <w:p w:rsidR="00EA6FD6" w:rsidRPr="00676C5C" w:rsidRDefault="00EA6FD6" w:rsidP="00752CDB">
            <w:pPr>
              <w:autoSpaceDE w:val="0"/>
              <w:autoSpaceDN w:val="0"/>
              <w:adjustRightInd w:val="0"/>
            </w:pPr>
            <w:r>
              <w:t>•</w:t>
            </w:r>
            <w:r w:rsidRPr="00676C5C">
              <w:t>Consider quantitative risk scoring</w:t>
            </w:r>
          </w:p>
          <w:p w:rsidR="00EA6FD6" w:rsidRPr="00676C5C" w:rsidRDefault="00EA6FD6" w:rsidP="00752CDB">
            <w:pPr>
              <w:autoSpaceDE w:val="0"/>
              <w:autoSpaceDN w:val="0"/>
              <w:adjustRightInd w:val="0"/>
            </w:pPr>
            <w:r>
              <w:t>•</w:t>
            </w:r>
            <w:r w:rsidRPr="00676C5C">
              <w:t>Consider other risk indicators</w:t>
            </w:r>
          </w:p>
        </w:tc>
        <w:tc>
          <w:tcPr>
            <w:tcW w:w="1699" w:type="dxa"/>
            <w:vMerge/>
          </w:tcPr>
          <w:p w:rsidR="00EA6FD6" w:rsidRDefault="00EA6FD6" w:rsidP="00752CDB">
            <w:pPr>
              <w:autoSpaceDE w:val="0"/>
              <w:autoSpaceDN w:val="0"/>
              <w:adjustRightInd w:val="0"/>
            </w:pPr>
          </w:p>
        </w:tc>
        <w:tc>
          <w:tcPr>
            <w:tcW w:w="5103" w:type="dxa"/>
            <w:vMerge w:val="restart"/>
          </w:tcPr>
          <w:p w:rsidR="00F54960" w:rsidRDefault="00F54960" w:rsidP="00752CDB">
            <w:pPr>
              <w:autoSpaceDE w:val="0"/>
              <w:autoSpaceDN w:val="0"/>
              <w:adjustRightInd w:val="0"/>
              <w:rPr>
                <w:b/>
              </w:rPr>
            </w:pPr>
          </w:p>
          <w:p w:rsidR="00EA6FD6" w:rsidRDefault="00EA6FD6" w:rsidP="00752CDB">
            <w:pPr>
              <w:autoSpaceDE w:val="0"/>
              <w:autoSpaceDN w:val="0"/>
              <w:adjustRightInd w:val="0"/>
            </w:pPr>
            <w:r w:rsidRPr="003C43A6">
              <w:rPr>
                <w:b/>
              </w:rPr>
              <w:t>Nonstatin therapy</w:t>
            </w:r>
            <w:r>
              <w:rPr>
                <w:b/>
              </w:rPr>
              <w:t>:</w:t>
            </w:r>
            <w:r>
              <w:rPr>
                <w:rFonts w:ascii="AdvOT863180fb" w:hAnsi="AdvOT863180fb" w:cs="AdvOT863180fb"/>
                <w:sz w:val="13"/>
                <w:szCs w:val="13"/>
              </w:rPr>
              <w:t xml:space="preserve"> </w:t>
            </w:r>
            <w:r>
              <w:t>For statin-intolerant patients consider switching statins; alternate-day or lower-dose statins; nonstatin monotherapy or in combination with other cholesterol-lowering agent</w:t>
            </w:r>
            <w:r w:rsidR="00F82469">
              <w:t>s</w:t>
            </w:r>
            <w:r>
              <w:t>.</w:t>
            </w:r>
          </w:p>
          <w:p w:rsidR="00EA6FD6" w:rsidRDefault="00EA6FD6" w:rsidP="00752CDB">
            <w:pPr>
              <w:autoSpaceDE w:val="0"/>
              <w:autoSpaceDN w:val="0"/>
              <w:adjustRightInd w:val="0"/>
            </w:pPr>
          </w:p>
          <w:p w:rsidR="00EA6FD6" w:rsidRPr="007B1A77" w:rsidRDefault="00EA6FD6" w:rsidP="0022674C">
            <w:pPr>
              <w:autoSpaceDE w:val="0"/>
              <w:autoSpaceDN w:val="0"/>
              <w:adjustRightInd w:val="0"/>
              <w:rPr>
                <w:b/>
              </w:rPr>
            </w:pPr>
            <w:r w:rsidRPr="003C43A6">
              <w:rPr>
                <w:b/>
              </w:rPr>
              <w:t>Combination therapy with</w:t>
            </w:r>
            <w:r>
              <w:rPr>
                <w:b/>
              </w:rPr>
              <w:t xml:space="preserve"> s</w:t>
            </w:r>
            <w:r w:rsidRPr="003C43A6">
              <w:rPr>
                <w:b/>
              </w:rPr>
              <w:t>tatins</w:t>
            </w:r>
            <w:r>
              <w:t xml:space="preserve"> a</w:t>
            </w:r>
            <w:r>
              <w:rPr>
                <w:b/>
              </w:rPr>
              <w:t xml:space="preserve"> </w:t>
            </w:r>
            <w:r>
              <w:t xml:space="preserve">second (or third) agent may be considered for patients in high- or very high-risk categories with recurrent or progressive ASCVD; patients with recent acute coronary syndromes, and patients with familial hypercholesterolemia (FH) who have not reached their treatment goals to maximally tolerated statin therapy. </w:t>
            </w:r>
            <w:r w:rsidRPr="00A81BD3">
              <w:rPr>
                <w:b/>
              </w:rPr>
              <w:t>Drugs used in combination with statin are (in order of preference) ezetimibe</w:t>
            </w:r>
            <w:r>
              <w:t xml:space="preserve">, bile acid sequestrants, and extended release niacin. </w:t>
            </w:r>
          </w:p>
        </w:tc>
      </w:tr>
      <w:tr w:rsidR="00EA6FD6" w:rsidTr="00B53EF2">
        <w:tc>
          <w:tcPr>
            <w:tcW w:w="1980" w:type="dxa"/>
            <w:vMerge/>
          </w:tcPr>
          <w:p w:rsidR="00EA6FD6" w:rsidRPr="00EB7346" w:rsidRDefault="00EA6FD6" w:rsidP="00752CDB">
            <w:pPr>
              <w:autoSpaceDE w:val="0"/>
              <w:autoSpaceDN w:val="0"/>
              <w:adjustRightInd w:val="0"/>
            </w:pPr>
          </w:p>
        </w:tc>
        <w:tc>
          <w:tcPr>
            <w:tcW w:w="1843" w:type="dxa"/>
            <w:vMerge/>
          </w:tcPr>
          <w:p w:rsidR="00EA6FD6" w:rsidRPr="00A23D11" w:rsidRDefault="00EA6FD6" w:rsidP="00752CDB">
            <w:pPr>
              <w:autoSpaceDE w:val="0"/>
              <w:autoSpaceDN w:val="0"/>
              <w:adjustRightInd w:val="0"/>
            </w:pPr>
          </w:p>
        </w:tc>
        <w:tc>
          <w:tcPr>
            <w:tcW w:w="1135" w:type="dxa"/>
          </w:tcPr>
          <w:p w:rsidR="00EA6FD6" w:rsidRPr="00A23D11" w:rsidRDefault="00EA6FD6" w:rsidP="00752CDB">
            <w:pPr>
              <w:autoSpaceDE w:val="0"/>
              <w:autoSpaceDN w:val="0"/>
              <w:adjustRightInd w:val="0"/>
            </w:pPr>
            <w:r w:rsidRPr="00676C5C">
              <w:t>High</w:t>
            </w:r>
          </w:p>
        </w:tc>
        <w:tc>
          <w:tcPr>
            <w:tcW w:w="2977" w:type="dxa"/>
          </w:tcPr>
          <w:p w:rsidR="00EA6FD6" w:rsidRPr="00676C5C" w:rsidRDefault="00EA6FD6" w:rsidP="00752CDB">
            <w:pPr>
              <w:autoSpaceDE w:val="0"/>
              <w:autoSpaceDN w:val="0"/>
              <w:adjustRightInd w:val="0"/>
            </w:pPr>
            <w:r>
              <w:t>•</w:t>
            </w:r>
            <w:r w:rsidRPr="00676C5C">
              <w:t>3 major ASCVD risk factors</w:t>
            </w:r>
          </w:p>
          <w:p w:rsidR="00EA6FD6" w:rsidRPr="00676C5C" w:rsidRDefault="00EA6FD6" w:rsidP="00752CDB">
            <w:pPr>
              <w:autoSpaceDE w:val="0"/>
              <w:autoSpaceDN w:val="0"/>
              <w:adjustRightInd w:val="0"/>
            </w:pPr>
            <w:r w:rsidRPr="00676C5C">
              <w:t>•Diabetes mellit</w:t>
            </w:r>
            <w:r w:rsidR="00622795">
              <w:t xml:space="preserve">us (type 1 or 2) with 0-1 other </w:t>
            </w:r>
            <w:r w:rsidRPr="00676C5C">
              <w:t>major ASCVD risk factors and no evidence of</w:t>
            </w:r>
          </w:p>
          <w:p w:rsidR="00EA6FD6" w:rsidRPr="00676C5C" w:rsidRDefault="00EA6FD6" w:rsidP="00752CDB">
            <w:pPr>
              <w:autoSpaceDE w:val="0"/>
              <w:autoSpaceDN w:val="0"/>
              <w:adjustRightInd w:val="0"/>
            </w:pPr>
            <w:r w:rsidRPr="00676C5C">
              <w:t>end organ damage</w:t>
            </w:r>
          </w:p>
          <w:p w:rsidR="00EA6FD6" w:rsidRPr="00676C5C" w:rsidRDefault="00EA6FD6" w:rsidP="00752CDB">
            <w:pPr>
              <w:autoSpaceDE w:val="0"/>
              <w:autoSpaceDN w:val="0"/>
              <w:adjustRightInd w:val="0"/>
            </w:pPr>
            <w:r>
              <w:t>•</w:t>
            </w:r>
            <w:r w:rsidRPr="00676C5C">
              <w:t xml:space="preserve">Chronic kidney disease, stage </w:t>
            </w:r>
            <w:r>
              <w:t>≥</w:t>
            </w:r>
            <w:r w:rsidRPr="00676C5C">
              <w:t>3B</w:t>
            </w:r>
          </w:p>
          <w:p w:rsidR="00EA6FD6" w:rsidRPr="00676C5C" w:rsidRDefault="00EA6FD6" w:rsidP="00752CDB">
            <w:pPr>
              <w:autoSpaceDE w:val="0"/>
              <w:autoSpaceDN w:val="0"/>
              <w:adjustRightInd w:val="0"/>
            </w:pPr>
            <w:r>
              <w:t>•</w:t>
            </w:r>
            <w:r w:rsidRPr="00676C5C">
              <w:t xml:space="preserve">LDL-C </w:t>
            </w:r>
            <w:r>
              <w:t>≥</w:t>
            </w:r>
            <w:r w:rsidRPr="00676C5C">
              <w:t>190 mg/dL (severe hypercholesterolemia)</w:t>
            </w:r>
          </w:p>
          <w:p w:rsidR="00EA6FD6" w:rsidRPr="00676C5C" w:rsidRDefault="00EA6FD6" w:rsidP="00752CDB">
            <w:pPr>
              <w:autoSpaceDE w:val="0"/>
              <w:autoSpaceDN w:val="0"/>
              <w:adjustRightInd w:val="0"/>
            </w:pPr>
            <w:r>
              <w:t>•</w:t>
            </w:r>
            <w:r w:rsidRPr="00676C5C">
              <w:t>Quantitative risk scoring reaching the high</w:t>
            </w:r>
            <w:r>
              <w:t xml:space="preserve"> </w:t>
            </w:r>
            <w:r w:rsidRPr="00676C5C">
              <w:t>risk</w:t>
            </w:r>
          </w:p>
          <w:p w:rsidR="00EA6FD6" w:rsidRPr="00676C5C" w:rsidRDefault="00EA6FD6" w:rsidP="00752CDB">
            <w:pPr>
              <w:autoSpaceDE w:val="0"/>
              <w:autoSpaceDN w:val="0"/>
              <w:adjustRightInd w:val="0"/>
            </w:pPr>
            <w:r w:rsidRPr="00676C5C">
              <w:t xml:space="preserve">threshold (defined as </w:t>
            </w:r>
            <w:r>
              <w:t>≥</w:t>
            </w:r>
            <w:r w:rsidRPr="00676C5C">
              <w:t>10% 10-y</w:t>
            </w:r>
            <w:r>
              <w:t xml:space="preserve">ear risk </w:t>
            </w:r>
            <w:r w:rsidRPr="00676C5C">
              <w:t xml:space="preserve">using Framingham Risk Score; </w:t>
            </w:r>
            <w:r>
              <w:t>≥</w:t>
            </w:r>
            <w:r w:rsidRPr="00676C5C">
              <w:t>15% 10-y</w:t>
            </w:r>
            <w:r>
              <w:t xml:space="preserve">ear </w:t>
            </w:r>
            <w:r w:rsidRPr="00676C5C">
              <w:t>risk using 2</w:t>
            </w:r>
            <w:r>
              <w:t>013 Pooled Cohort Equations; or ≥</w:t>
            </w:r>
            <w:r w:rsidRPr="00676C5C">
              <w:t>45% lifetime risk using the Framingham</w:t>
            </w:r>
          </w:p>
          <w:p w:rsidR="00EA6FD6" w:rsidRDefault="00EA6FD6" w:rsidP="00752CDB">
            <w:pPr>
              <w:autoSpaceDE w:val="0"/>
              <w:autoSpaceDN w:val="0"/>
              <w:adjustRightInd w:val="0"/>
            </w:pPr>
            <w:r w:rsidRPr="00676C5C">
              <w:t>long-term risk calculation)</w:t>
            </w:r>
          </w:p>
        </w:tc>
        <w:tc>
          <w:tcPr>
            <w:tcW w:w="1699" w:type="dxa"/>
            <w:vMerge/>
          </w:tcPr>
          <w:p w:rsidR="00EA6FD6" w:rsidRPr="00A23D11" w:rsidRDefault="00EA6FD6" w:rsidP="00752CDB">
            <w:pPr>
              <w:autoSpaceDE w:val="0"/>
              <w:autoSpaceDN w:val="0"/>
              <w:adjustRightInd w:val="0"/>
            </w:pPr>
          </w:p>
        </w:tc>
        <w:tc>
          <w:tcPr>
            <w:tcW w:w="5103" w:type="dxa"/>
            <w:vMerge/>
          </w:tcPr>
          <w:p w:rsidR="00EA6FD6" w:rsidRPr="00A23D11" w:rsidRDefault="00EA6FD6" w:rsidP="00752CDB">
            <w:pPr>
              <w:autoSpaceDE w:val="0"/>
              <w:autoSpaceDN w:val="0"/>
              <w:adjustRightInd w:val="0"/>
            </w:pPr>
          </w:p>
        </w:tc>
      </w:tr>
      <w:tr w:rsidR="00EA6FD6" w:rsidTr="00B53EF2">
        <w:tc>
          <w:tcPr>
            <w:tcW w:w="1980" w:type="dxa"/>
            <w:vMerge/>
          </w:tcPr>
          <w:p w:rsidR="00EA6FD6" w:rsidRPr="00EB7346" w:rsidRDefault="00EA6FD6" w:rsidP="00752CDB">
            <w:pPr>
              <w:autoSpaceDE w:val="0"/>
              <w:autoSpaceDN w:val="0"/>
              <w:adjustRightInd w:val="0"/>
            </w:pPr>
          </w:p>
        </w:tc>
        <w:tc>
          <w:tcPr>
            <w:tcW w:w="1843" w:type="dxa"/>
            <w:vMerge/>
          </w:tcPr>
          <w:p w:rsidR="00EA6FD6" w:rsidRPr="00A23D11" w:rsidRDefault="00EA6FD6" w:rsidP="00752CDB">
            <w:pPr>
              <w:autoSpaceDE w:val="0"/>
              <w:autoSpaceDN w:val="0"/>
              <w:adjustRightInd w:val="0"/>
            </w:pPr>
          </w:p>
        </w:tc>
        <w:tc>
          <w:tcPr>
            <w:tcW w:w="1135" w:type="dxa"/>
          </w:tcPr>
          <w:p w:rsidR="00EA6FD6" w:rsidRPr="00A23D11" w:rsidRDefault="00EA6FD6" w:rsidP="00752CDB">
            <w:pPr>
              <w:autoSpaceDE w:val="0"/>
              <w:autoSpaceDN w:val="0"/>
              <w:adjustRightInd w:val="0"/>
            </w:pPr>
            <w:r w:rsidRPr="00676C5C">
              <w:t>Very high</w:t>
            </w:r>
          </w:p>
        </w:tc>
        <w:tc>
          <w:tcPr>
            <w:tcW w:w="2977" w:type="dxa"/>
          </w:tcPr>
          <w:p w:rsidR="00EA6FD6" w:rsidRPr="00676C5C" w:rsidRDefault="00EA6FD6" w:rsidP="00752CDB">
            <w:pPr>
              <w:autoSpaceDE w:val="0"/>
              <w:autoSpaceDN w:val="0"/>
              <w:adjustRightInd w:val="0"/>
            </w:pPr>
            <w:r>
              <w:t>•</w:t>
            </w:r>
            <w:r w:rsidRPr="00676C5C">
              <w:t>ASCVD</w:t>
            </w:r>
          </w:p>
          <w:p w:rsidR="00EA6FD6" w:rsidRDefault="00EA6FD6" w:rsidP="00752CDB">
            <w:pPr>
              <w:autoSpaceDE w:val="0"/>
              <w:autoSpaceDN w:val="0"/>
              <w:adjustRightInd w:val="0"/>
            </w:pPr>
            <w:r>
              <w:t xml:space="preserve">•Diabetes mellitus (type 1 or 2)  and either </w:t>
            </w:r>
            <w:r w:rsidRPr="00676C5C">
              <w:t xml:space="preserve">2 other major </w:t>
            </w:r>
            <w:r w:rsidRPr="00676C5C">
              <w:lastRenderedPageBreak/>
              <w:t>ASCVD risk f</w:t>
            </w:r>
            <w:r>
              <w:t xml:space="preserve">actors or </w:t>
            </w:r>
            <w:r w:rsidRPr="00676C5C">
              <w:t>Evidence of end-organ damage</w:t>
            </w:r>
          </w:p>
        </w:tc>
        <w:tc>
          <w:tcPr>
            <w:tcW w:w="1699" w:type="dxa"/>
            <w:vMerge/>
          </w:tcPr>
          <w:p w:rsidR="00EA6FD6" w:rsidRPr="00A23D11" w:rsidRDefault="00EA6FD6" w:rsidP="00752CDB">
            <w:pPr>
              <w:autoSpaceDE w:val="0"/>
              <w:autoSpaceDN w:val="0"/>
              <w:adjustRightInd w:val="0"/>
            </w:pPr>
          </w:p>
        </w:tc>
        <w:tc>
          <w:tcPr>
            <w:tcW w:w="5103" w:type="dxa"/>
            <w:vMerge/>
          </w:tcPr>
          <w:p w:rsidR="00EA6FD6" w:rsidRPr="00A23D11" w:rsidRDefault="00EA6FD6" w:rsidP="00752CDB">
            <w:pPr>
              <w:autoSpaceDE w:val="0"/>
              <w:autoSpaceDN w:val="0"/>
              <w:adjustRightInd w:val="0"/>
            </w:pPr>
          </w:p>
        </w:tc>
      </w:tr>
    </w:tbl>
    <w:p w:rsidR="00752CDB" w:rsidRPr="00B53EF2" w:rsidRDefault="00752CDB" w:rsidP="00752CDB">
      <w:pPr>
        <w:autoSpaceDE w:val="0"/>
        <w:autoSpaceDN w:val="0"/>
        <w:adjustRightInd w:val="0"/>
        <w:spacing w:after="0" w:line="240" w:lineRule="auto"/>
        <w:rPr>
          <w:rFonts w:cs="AdvOT863180fb"/>
          <w:sz w:val="18"/>
          <w:szCs w:val="18"/>
        </w:rPr>
      </w:pPr>
      <w:r w:rsidRPr="00054E35">
        <w:rPr>
          <w:rFonts w:cs="AdvOT863180fb"/>
          <w:sz w:val="18"/>
          <w:szCs w:val="18"/>
        </w:rPr>
        <w:lastRenderedPageBreak/>
        <w:t>Abbreviations used: ACC/AHA, American College of Cardiology/American Heart Association; NLA, National Lipid Association; RCT, randomized controlled trial; ASCVD, atherosclerotic c</w:t>
      </w:r>
      <w:r>
        <w:rPr>
          <w:rFonts w:cs="AdvOT863180fb"/>
          <w:sz w:val="18"/>
          <w:szCs w:val="18"/>
        </w:rPr>
        <w:t xml:space="preserve">ardiovascular disease; ATP III, </w:t>
      </w:r>
      <w:r w:rsidRPr="00054E35">
        <w:rPr>
          <w:rFonts w:cs="AdvOT863180fb"/>
          <w:sz w:val="18"/>
          <w:szCs w:val="18"/>
        </w:rPr>
        <w:t>National Cholesterol Education Program Adult Treatment Panel III; PCOS, polycystic ovary syndrome; ART, antiretroviral therapy; TIA, transient ischemic attack; LDL-C, low density lipo</w:t>
      </w:r>
      <w:r>
        <w:rPr>
          <w:rFonts w:cs="AdvOT863180fb"/>
          <w:sz w:val="18"/>
          <w:szCs w:val="18"/>
        </w:rPr>
        <w:t xml:space="preserve">protein cholesterol; non-HDL-C, </w:t>
      </w:r>
      <w:r w:rsidRPr="00054E35">
        <w:rPr>
          <w:rFonts w:cs="AdvOT863180fb"/>
          <w:sz w:val="18"/>
          <w:szCs w:val="18"/>
        </w:rPr>
        <w:t>non-high density lipoprotein cholesterol; HDL-C, high density lipoprotein cholesterol; CHD, coronary heart disease; hsCRP, high-sensitivity C-reactive protein; Lp(a), lipoprotein (a); Apo, apolipoprotein; TG, triglycerides;</w:t>
      </w:r>
      <w:r>
        <w:rPr>
          <w:rFonts w:cs="AdvOT863180fb"/>
          <w:sz w:val="18"/>
          <w:szCs w:val="18"/>
        </w:rPr>
        <w:t xml:space="preserve"> </w:t>
      </w:r>
      <w:r w:rsidRPr="00054E35">
        <w:rPr>
          <w:rFonts w:cs="AdvOT863180fb"/>
          <w:sz w:val="18"/>
          <w:szCs w:val="18"/>
        </w:rPr>
        <w:t>HIV, human immunode</w:t>
      </w:r>
      <w:r w:rsidRPr="00054E35">
        <w:rPr>
          <w:rFonts w:cs="AdvOT863180fb+fb"/>
          <w:sz w:val="18"/>
          <w:szCs w:val="18"/>
        </w:rPr>
        <w:t>fi</w:t>
      </w:r>
      <w:r w:rsidRPr="00054E35">
        <w:rPr>
          <w:rFonts w:cs="AdvOT863180fb"/>
          <w:sz w:val="18"/>
          <w:szCs w:val="18"/>
        </w:rPr>
        <w:t>ciency virus; FH, familial hypercholesterolemia</w:t>
      </w:r>
      <w:r>
        <w:rPr>
          <w:rFonts w:ascii="AdvOT863180fb" w:hAnsi="AdvOT863180fb" w:cs="AdvOT863180fb"/>
          <w:sz w:val="13"/>
          <w:szCs w:val="13"/>
        </w:rPr>
        <w:t>.</w:t>
      </w:r>
    </w:p>
    <w:p w:rsidR="00FF3D8A" w:rsidRDefault="00FF3D8A">
      <w:pPr>
        <w:sectPr w:rsidR="00FF3D8A" w:rsidSect="008013A7">
          <w:pgSz w:w="16838" w:h="11906" w:orient="landscape"/>
          <w:pgMar w:top="1440" w:right="1440" w:bottom="1440" w:left="1440" w:header="708" w:footer="708" w:gutter="0"/>
          <w:cols w:space="708"/>
          <w:docGrid w:linePitch="360"/>
        </w:sectPr>
      </w:pPr>
    </w:p>
    <w:p w:rsidR="00B76C07" w:rsidRDefault="00B76C07" w:rsidP="00007C7D">
      <w:pPr>
        <w:pStyle w:val="Heading3"/>
      </w:pPr>
      <w:bookmarkStart w:id="11" w:name="_Toc461644660"/>
      <w:r>
        <w:lastRenderedPageBreak/>
        <w:t>The 2016 r</w:t>
      </w:r>
      <w:r w:rsidRPr="00FF3D8A">
        <w:t xml:space="preserve">eport of </w:t>
      </w:r>
      <w:r>
        <w:t xml:space="preserve">the </w:t>
      </w:r>
      <w:r w:rsidRPr="00FF3D8A">
        <w:t xml:space="preserve">Task Force on </w:t>
      </w:r>
      <w:r>
        <w:t xml:space="preserve">“ACC </w:t>
      </w:r>
      <w:r w:rsidRPr="00FF3D8A">
        <w:t>Clinical Expert Consensus Decision Pathway on the Role of Non-Statin Therapies</w:t>
      </w:r>
      <w:r>
        <w:t>”.</w:t>
      </w:r>
      <w:bookmarkEnd w:id="11"/>
    </w:p>
    <w:p w:rsidR="00007C7D" w:rsidRPr="00007C7D" w:rsidRDefault="00007C7D" w:rsidP="00007C7D"/>
    <w:p w:rsidR="00FF3D8A" w:rsidRPr="00CF7A27" w:rsidRDefault="00FF3D8A" w:rsidP="00F95A50">
      <w:pPr>
        <w:jc w:val="both"/>
      </w:pPr>
      <w:r>
        <w:t xml:space="preserve">In January 2016 </w:t>
      </w:r>
      <w:r w:rsidRPr="00FF3D8A">
        <w:t xml:space="preserve">the American College of Cardiology </w:t>
      </w:r>
      <w:r>
        <w:t>released a r</w:t>
      </w:r>
      <w:r w:rsidRPr="00FF3D8A">
        <w:t xml:space="preserve">eport of </w:t>
      </w:r>
      <w:r>
        <w:t xml:space="preserve">the </w:t>
      </w:r>
      <w:r w:rsidRPr="00FF3D8A">
        <w:t xml:space="preserve">Task Force on </w:t>
      </w:r>
      <w:r w:rsidR="00343453">
        <w:t xml:space="preserve">“2016 ACC </w:t>
      </w:r>
      <w:r w:rsidRPr="00FF3D8A">
        <w:t>Clinical Expert Consensus Decision Pathway on the Role of Non-Statin Therapies in the Management of Atherosclerotic Cardiovascular Disease Risk</w:t>
      </w:r>
      <w:r w:rsidR="00343453">
        <w:t>”. The document was e</w:t>
      </w:r>
      <w:r w:rsidR="00343453" w:rsidRPr="00343453">
        <w:t xml:space="preserve">ndorsed by the National Lipid </w:t>
      </w:r>
      <w:r w:rsidR="00343453" w:rsidRPr="00CF7A27">
        <w:t>Association (Lloyd-Jones 2016).</w:t>
      </w:r>
      <w:r w:rsidR="00375D0A" w:rsidRPr="00CF7A27">
        <w:t xml:space="preserve"> </w:t>
      </w:r>
    </w:p>
    <w:p w:rsidR="000B26E5" w:rsidRDefault="00375D0A" w:rsidP="00F95A50">
      <w:pPr>
        <w:jc w:val="both"/>
      </w:pPr>
      <w:r w:rsidRPr="00CF7A27">
        <w:t>The recent position of the ACC as described</w:t>
      </w:r>
      <w:r>
        <w:t xml:space="preserve"> in the Consensus Report </w:t>
      </w:r>
      <w:r w:rsidR="00A256B1">
        <w:t xml:space="preserve">supported the major evidence-based recommendations of </w:t>
      </w:r>
      <w:r>
        <w:t xml:space="preserve">the 2013 ACC/AHA Guideline. In particular, it is </w:t>
      </w:r>
      <w:r w:rsidR="00A256B1">
        <w:t>emphasised that</w:t>
      </w:r>
      <w:r>
        <w:t xml:space="preserve"> </w:t>
      </w:r>
      <w:r w:rsidR="00A256B1">
        <w:t>t</w:t>
      </w:r>
      <w:r>
        <w:t xml:space="preserve">he amount of </w:t>
      </w:r>
      <w:r w:rsidR="00A256B1" w:rsidRPr="00A256B1">
        <w:t>the atherosclerotic cardiovascular disease</w:t>
      </w:r>
      <w:r w:rsidR="00A256B1">
        <w:t xml:space="preserve"> (</w:t>
      </w:r>
      <w:r>
        <w:t>ASCVD</w:t>
      </w:r>
      <w:r w:rsidR="00A256B1">
        <w:t>)</w:t>
      </w:r>
      <w:r>
        <w:t xml:space="preserve"> risk reduction observed with statins was directly related to the amount of LDL-C lowering achieved as a percentage of baseline</w:t>
      </w:r>
      <w:r w:rsidR="00A256B1">
        <w:t>.</w:t>
      </w:r>
      <w:r>
        <w:t xml:space="preserve">  </w:t>
      </w:r>
      <w:r w:rsidR="001B0B35">
        <w:t>In agreement with the 2013 ACC/AHA cholesterol guideline, for all patient groups, the current consensus emphasizes that lifestyle modification (i.e., adherence to a heart-healthy diet, regular exercise habits, avoidance of tobacco products, and maintenance of a healthy weight) remains a critical component of ASCVD risk reduction, both before and in concert with the use of cholesterol-lowering drug therapies.</w:t>
      </w:r>
      <w:r w:rsidR="00A256B1">
        <w:t xml:space="preserve"> </w:t>
      </w:r>
      <w:r w:rsidR="000B26E5">
        <w:t xml:space="preserve">The approach to statin intolerance adopted in the 2013 ACC/AHA Guideline was repeated and should include discontinuation of statin therapy and subsequent rechallenge to verify recurrence of muscle related symptoms.  The rechallenge should involve at least 2 to 3 statins, preferably ones that use different metabolic pathways and have different lipophilicity of which is prescribed at the lowest approved dose. </w:t>
      </w:r>
      <w:r w:rsidR="00C23599">
        <w:t>Non-statin therapies are not considered to be an alternative to evidence-based statin therapy unless statin intolerance has been systematically and rigorously evaluated and documented</w:t>
      </w:r>
      <w:r w:rsidR="00473549">
        <w:t>.</w:t>
      </w:r>
    </w:p>
    <w:p w:rsidR="001B0B35" w:rsidRPr="001B0B35" w:rsidRDefault="001B0B35" w:rsidP="00F95A50">
      <w:pPr>
        <w:jc w:val="both"/>
      </w:pPr>
      <w:r>
        <w:t xml:space="preserve">The </w:t>
      </w:r>
      <w:r w:rsidR="003E5F7A">
        <w:t xml:space="preserve">Expert Panel </w:t>
      </w:r>
      <w:r w:rsidR="00A256B1">
        <w:t xml:space="preserve">has also </w:t>
      </w:r>
      <w:r>
        <w:t>explained</w:t>
      </w:r>
      <w:r w:rsidR="00A256B1">
        <w:t xml:space="preserve"> the absence of the particular lipid lowering targets in the Guideline by stating that “Because no large RCTs have evaluated the outcome of drug titration to specific LDL-C targets, the 2013 ACC/AHA cholesterol guideline panel did not make specific recommendations regarding lipoprotein goals of therapy”</w:t>
      </w:r>
      <w:r>
        <w:t xml:space="preserve">. The </w:t>
      </w:r>
      <w:r w:rsidR="003E5F7A">
        <w:t xml:space="preserve">Expert Panel </w:t>
      </w:r>
      <w:r w:rsidR="00A256B1">
        <w:t>also recognised the</w:t>
      </w:r>
      <w:r>
        <w:t xml:space="preserve"> existing “lack of firmer and more specific guidance on the adequacy of statin therapy and whether or when to use non-statin therapies if response to statins is deemed inadequate,” and set out to address the gap by </w:t>
      </w:r>
      <w:r w:rsidRPr="001B0B35">
        <w:t>answer the following questions</w:t>
      </w:r>
      <w:r w:rsidR="00C23599">
        <w:t>:</w:t>
      </w:r>
    </w:p>
    <w:p w:rsidR="001B0B35" w:rsidRDefault="001B0B35" w:rsidP="00F95A50">
      <w:pPr>
        <w:jc w:val="both"/>
      </w:pPr>
      <w:r w:rsidRPr="001B0B35">
        <w:t>1. In what patient populati</w:t>
      </w:r>
      <w:r>
        <w:t>ons</w:t>
      </w:r>
      <w:r w:rsidR="00C23599">
        <w:t xml:space="preserve">, </w:t>
      </w:r>
      <w:r>
        <w:t xml:space="preserve">should non-statin therapies </w:t>
      </w:r>
      <w:r w:rsidRPr="001B0B35">
        <w:t>be considered?</w:t>
      </w:r>
      <w:r w:rsidR="00C23599">
        <w:t xml:space="preserve"> </w:t>
      </w:r>
      <w:r w:rsidR="00C23599" w:rsidRPr="00C23599">
        <w:rPr>
          <w:i/>
        </w:rPr>
        <w:t>The patients are assumed to be currently taking or has attempted to take a statin.</w:t>
      </w:r>
    </w:p>
    <w:p w:rsidR="001B0B35" w:rsidRDefault="001B0B35" w:rsidP="00F95A50">
      <w:pPr>
        <w:jc w:val="both"/>
      </w:pPr>
      <w:r>
        <w:t>2. In what situations should non-statin therapies be considered, that is, when is the amount of LDL-C lowering (percent LDL-C reduction or LDL-C range achieved on therapy) less than anticipated, less than desired, or inadequate, and which treatment options should be considered in patients who are truly statin intolerant?</w:t>
      </w:r>
      <w:r w:rsidR="00C23599">
        <w:t xml:space="preserve"> </w:t>
      </w:r>
      <w:r w:rsidR="00C23599" w:rsidRPr="00C23599">
        <w:rPr>
          <w:i/>
        </w:rPr>
        <w:t>Answering this question in the absence of lipid targets presents a considerable challenge</w:t>
      </w:r>
      <w:r w:rsidR="00C23599">
        <w:t>.</w:t>
      </w:r>
    </w:p>
    <w:p w:rsidR="001B0B35" w:rsidRDefault="001B0B35" w:rsidP="00F95A50">
      <w:pPr>
        <w:jc w:val="both"/>
      </w:pPr>
      <w:r>
        <w:t>3. If non-statin therapies are to be added, which agents or therapies should be considered and in what order?</w:t>
      </w:r>
    </w:p>
    <w:p w:rsidR="00254FA8" w:rsidRDefault="000B26E5" w:rsidP="00835A8C">
      <w:pPr>
        <w:jc w:val="both"/>
      </w:pPr>
      <w:r>
        <w:t xml:space="preserve">The Expert Consensus produced treatment algorithms for </w:t>
      </w:r>
      <w:r w:rsidR="00C23599">
        <w:t>a</w:t>
      </w:r>
      <w:r>
        <w:t xml:space="preserve"> patient in each of the 4 evidence-based statin benefit groups identified in the 2013 ACC/AHA cholesterol guideline.</w:t>
      </w:r>
      <w:r w:rsidR="00254FA8">
        <w:t xml:space="preserve"> However, the </w:t>
      </w:r>
      <w:r w:rsidR="003E5F7A">
        <w:t xml:space="preserve">Expert Panel </w:t>
      </w:r>
      <w:r w:rsidR="00254FA8">
        <w:t xml:space="preserve">further subdivided the four original “statin benefit” patient groups. For example, the secondary prevention patient group </w:t>
      </w:r>
      <w:r w:rsidR="00254FA8" w:rsidRPr="00A23D11">
        <w:t>with</w:t>
      </w:r>
      <w:r w:rsidR="00254FA8">
        <w:t xml:space="preserve"> clinically diagnosed ASCVD was split into three depending on whether the ASCVD was stable; the presence of comorbidities (including diabetes, recent (&lt;3 months) ASCVD event, ASCVD event while already taking a statin, poorly controlled other major </w:t>
      </w:r>
      <w:r w:rsidR="00254FA8">
        <w:lastRenderedPageBreak/>
        <w:t xml:space="preserve">ASCVD risk factors, elevated lipoprotein, or CKD not on haemodialysis); and whether the baseline LDL-C was below or above the 190 mg/dL (4.91 mmol/L) threshold. </w:t>
      </w:r>
      <w:r w:rsidR="00A73375">
        <w:t>For the p</w:t>
      </w:r>
      <w:r w:rsidR="00C23599">
        <w:t xml:space="preserve">atients </w:t>
      </w:r>
      <w:r w:rsidR="00A73375">
        <w:t xml:space="preserve">who do </w:t>
      </w:r>
      <w:r w:rsidR="00C23599">
        <w:t xml:space="preserve">not </w:t>
      </w:r>
      <w:r w:rsidR="00A73375">
        <w:t xml:space="preserve">fall </w:t>
      </w:r>
      <w:r w:rsidR="00C23599">
        <w:t xml:space="preserve">in </w:t>
      </w:r>
      <w:r w:rsidR="00A73375">
        <w:t>one</w:t>
      </w:r>
      <w:r w:rsidR="00C23599">
        <w:t xml:space="preserve"> of these </w:t>
      </w:r>
      <w:r w:rsidR="00A73375">
        <w:t>four</w:t>
      </w:r>
      <w:r w:rsidR="00C23599">
        <w:t xml:space="preserve"> groups who may be at elevated risk for ASCVD events (special populations)</w:t>
      </w:r>
      <w:r w:rsidR="00CF7A27">
        <w:t>,</w:t>
      </w:r>
      <w:r w:rsidR="00C23599">
        <w:t xml:space="preserve"> the </w:t>
      </w:r>
      <w:r w:rsidR="003E5F7A">
        <w:t xml:space="preserve">Expert Panel </w:t>
      </w:r>
      <w:r w:rsidR="00C23599">
        <w:t xml:space="preserve">recommended individualized care in the context of shared decision making between the clinician and patient. </w:t>
      </w:r>
    </w:p>
    <w:p w:rsidR="00254FA8" w:rsidRDefault="00C23599" w:rsidP="00835A8C">
      <w:pPr>
        <w:jc w:val="both"/>
      </w:pPr>
      <w:r>
        <w:t>The expert consensus endorsed the evidence-based findings from the 2013 ACC/AHA cholesterol guideline regarding the use of appropriate intensity statin therapy and the</w:t>
      </w:r>
      <w:r w:rsidR="00A73375">
        <w:t xml:space="preserve"> indicators of efficacy (e.g., &gt;</w:t>
      </w:r>
      <w:r>
        <w:t>50% LDL-C reduction for high-intensity statin doses and 30% to &lt;50% reduction for moderate intensity doses).</w:t>
      </w:r>
      <w:r w:rsidR="00F95A50">
        <w:t xml:space="preserve"> At the same time</w:t>
      </w:r>
      <w:r w:rsidR="00CF7A27">
        <w:t>,</w:t>
      </w:r>
      <w:r w:rsidR="00F95A50">
        <w:t xml:space="preserve"> the </w:t>
      </w:r>
      <w:r w:rsidR="003E5F7A">
        <w:t xml:space="preserve">Expert Panel </w:t>
      </w:r>
      <w:r w:rsidR="00F95A50">
        <w:t xml:space="preserve">acknowledged that patients in the RCTs that formed the evidential basis for the 2013 ACC/AHA guideline tended to achieve absolute LDL-C levels within a given range. Therefore, assuming adherence to therapy, patients with LDL-C levels above that range may not achieve maximal benefit and might be considered for additional therapy. Backing out somewhat from the 2013 ACC/AHA position in the guideline, </w:t>
      </w:r>
      <w:r w:rsidR="00F95A50" w:rsidRPr="00F95A50">
        <w:rPr>
          <w:b/>
        </w:rPr>
        <w:t xml:space="preserve">the </w:t>
      </w:r>
      <w:r w:rsidR="003E5F7A" w:rsidRPr="003E5F7A">
        <w:rPr>
          <w:b/>
        </w:rPr>
        <w:t>Expert Panel</w:t>
      </w:r>
      <w:r w:rsidR="003E5F7A">
        <w:t xml:space="preserve"> </w:t>
      </w:r>
      <w:r w:rsidR="00F95A50" w:rsidRPr="00F95A50">
        <w:rPr>
          <w:b/>
        </w:rPr>
        <w:t xml:space="preserve">therefore, judged that it was appropriate to provide levels of LDL-C, or “thresholds,” in terms of both percentage LDL-C reduction from baseline and absolute on-treatment LDL-C measurement, </w:t>
      </w:r>
      <w:r w:rsidR="00F95A50" w:rsidRPr="00F95A50">
        <w:t>which,</w:t>
      </w:r>
      <w:r w:rsidR="00F95A50">
        <w:t xml:space="preserve"> if not achieved by adherent patients, would serve as factors to consider in decision making regarding further therapy. </w:t>
      </w:r>
      <w:r w:rsidR="00254FA8">
        <w:t>Therefore e</w:t>
      </w:r>
      <w:r w:rsidR="00A73375">
        <w:t xml:space="preserve">ach </w:t>
      </w:r>
      <w:r w:rsidR="00254FA8">
        <w:t xml:space="preserve">of the Consensus Decision Pathways (algorithms) </w:t>
      </w:r>
      <w:r w:rsidR="00A73375">
        <w:t>included an optional non-statin medication to consider on the basis of the indicative lipid goal</w:t>
      </w:r>
      <w:r w:rsidR="00A73375" w:rsidRPr="00254FA8">
        <w:t xml:space="preserve">. </w:t>
      </w:r>
    </w:p>
    <w:p w:rsidR="00772599" w:rsidRDefault="00A73375" w:rsidP="00DA0242">
      <w:pPr>
        <w:jc w:val="both"/>
      </w:pPr>
      <w:r>
        <w:t>In each algorithm</w:t>
      </w:r>
      <w:r w:rsidR="00CF7A27">
        <w:t>,</w:t>
      </w:r>
      <w:r>
        <w:t xml:space="preserve"> t</w:t>
      </w:r>
      <w:r w:rsidR="00701AAB">
        <w:t xml:space="preserve">he lipid goals are expressed both in terms of %reduction, in accordance with the statin intensity </w:t>
      </w:r>
      <w:r w:rsidR="00701AAB" w:rsidRPr="00A73375">
        <w:t xml:space="preserve">(Table </w:t>
      </w:r>
      <w:r w:rsidRPr="00A73375">
        <w:t>A3.1</w:t>
      </w:r>
      <w:r w:rsidR="00701AAB" w:rsidRPr="00A73375">
        <w:t xml:space="preserve"> in the Appendix)</w:t>
      </w:r>
      <w:r w:rsidR="00701AAB">
        <w:t xml:space="preserve"> and in terms of absolute LDL-C level</w:t>
      </w:r>
      <w:r w:rsidR="00D575E2">
        <w:t>. Depending on the</w:t>
      </w:r>
      <w:r w:rsidR="00254FA8">
        <w:t xml:space="preserve"> primary or secondary prevention status, </w:t>
      </w:r>
      <w:r w:rsidR="00D575E2">
        <w:t>comorbidities</w:t>
      </w:r>
      <w:r>
        <w:t xml:space="preserve"> </w:t>
      </w:r>
      <w:r w:rsidR="00D575E2">
        <w:t>and the baseline LDL-C level</w:t>
      </w:r>
      <w:r w:rsidR="003E5F7A">
        <w:t>,</w:t>
      </w:r>
      <w:r w:rsidR="00D575E2">
        <w:t xml:space="preserve"> the lipid goals </w:t>
      </w:r>
      <w:r w:rsidR="003E5F7A">
        <w:t>are set either at</w:t>
      </w:r>
      <w:r w:rsidR="00D575E2">
        <w:t xml:space="preserve"> </w:t>
      </w:r>
      <w:r w:rsidR="00146157">
        <w:t xml:space="preserve">LDL-C </w:t>
      </w:r>
      <w:r w:rsidR="003E5F7A">
        <w:t>&lt;</w:t>
      </w:r>
      <w:r w:rsidR="00D575E2">
        <w:t xml:space="preserve">70mg/dL (1.8 mmol/L) </w:t>
      </w:r>
      <w:r w:rsidR="003E5F7A">
        <w:t xml:space="preserve"> or </w:t>
      </w:r>
      <w:r w:rsidR="00146157">
        <w:t xml:space="preserve">LDL-C </w:t>
      </w:r>
      <w:r w:rsidR="003E5F7A">
        <w:t xml:space="preserve">&lt;100mg/dL (2.6 mmol/L). For patients with diabetes the lipid goal is defined as </w:t>
      </w:r>
      <w:r w:rsidR="00AD0249">
        <w:t>non-</w:t>
      </w:r>
      <w:r w:rsidR="00701AAB">
        <w:t xml:space="preserve">HDL-C &lt;130 mg/dL </w:t>
      </w:r>
      <w:r w:rsidR="00D575E2">
        <w:t xml:space="preserve">(3.4 mmol/L). </w:t>
      </w:r>
      <w:r w:rsidR="003E5F7A">
        <w:t>However, the Expert Panel emphasised that these goals are not firm triggers for adding medication, but they are factors that may be considered within the broader context of an individual patient’s clinical situation</w:t>
      </w:r>
      <w:r w:rsidR="003E5F7A" w:rsidRPr="00B76C07">
        <w:t xml:space="preserve">. </w:t>
      </w:r>
      <w:r w:rsidR="00DA0242" w:rsidRPr="00B76C07">
        <w:t>A</w:t>
      </w:r>
      <w:r w:rsidR="00DA0242" w:rsidRPr="00DA0242">
        <w:t xml:space="preserve">s an example, </w:t>
      </w:r>
      <w:r w:rsidR="003E5F7A" w:rsidRPr="002D7B08">
        <w:t>Figures A3.1 – A3.2 in the Appendix</w:t>
      </w:r>
      <w:r w:rsidR="00DA0242" w:rsidRPr="002D7B08">
        <w:t xml:space="preserve"> show two </w:t>
      </w:r>
      <w:r w:rsidR="002D7B08" w:rsidRPr="002D7B08">
        <w:t xml:space="preserve">(out of the total 6 algorithms included in the Consensus statement) </w:t>
      </w:r>
      <w:r w:rsidR="00DA0242" w:rsidRPr="002D7B08">
        <w:t>decision pathways</w:t>
      </w:r>
      <w:r w:rsidR="00B76C07" w:rsidRPr="002D7B08">
        <w:t>.</w:t>
      </w:r>
      <w:r w:rsidR="00DA0242" w:rsidRPr="00DA0242">
        <w:t xml:space="preserve"> </w:t>
      </w:r>
    </w:p>
    <w:p w:rsidR="00DA0242" w:rsidRPr="00353457" w:rsidRDefault="00007C7D" w:rsidP="00353457">
      <w:pPr>
        <w:jc w:val="both"/>
        <w:sectPr w:rsidR="00DA0242" w:rsidRPr="00353457" w:rsidSect="00FF3D8A">
          <w:pgSz w:w="11906" w:h="16838"/>
          <w:pgMar w:top="1440" w:right="1440" w:bottom="1440" w:left="1440" w:header="709" w:footer="709" w:gutter="0"/>
          <w:cols w:space="708"/>
          <w:docGrid w:linePitch="360"/>
        </w:sectPr>
      </w:pPr>
      <w:r>
        <w:t>F</w:t>
      </w:r>
      <w:r w:rsidR="00146157">
        <w:t xml:space="preserve">or the patients who did not achieve a 50% LDL-C reduction (or, </w:t>
      </w:r>
      <w:r w:rsidR="00B76C07">
        <w:t>alternatively</w:t>
      </w:r>
      <w:r w:rsidR="00146157">
        <w:t xml:space="preserve">, </w:t>
      </w:r>
      <w:r w:rsidR="00B76C07">
        <w:t>a</w:t>
      </w:r>
      <w:r w:rsidR="00146157">
        <w:t xml:space="preserve"> lipid goal)</w:t>
      </w:r>
      <w:r>
        <w:t>,</w:t>
      </w:r>
      <w:r w:rsidR="00146157">
        <w:t xml:space="preserve"> </w:t>
      </w:r>
      <w:r>
        <w:t xml:space="preserve">each decision making pathway </w:t>
      </w:r>
      <w:r w:rsidR="00B76C07">
        <w:t>includes an optional non-statin medication to consider. E</w:t>
      </w:r>
      <w:r w:rsidR="00DA0242">
        <w:t xml:space="preserve">zetimibe </w:t>
      </w:r>
      <w:r>
        <w:t>is</w:t>
      </w:r>
      <w:r w:rsidR="00146157">
        <w:t xml:space="preserve"> </w:t>
      </w:r>
      <w:r w:rsidR="006D3A34">
        <w:t>suggested as</w:t>
      </w:r>
      <w:r w:rsidR="00DA0242">
        <w:t xml:space="preserve"> </w:t>
      </w:r>
      <w:r>
        <w:t xml:space="preserve">either </w:t>
      </w:r>
      <w:r w:rsidR="00DA0242">
        <w:t xml:space="preserve">the first choice of the non-statin </w:t>
      </w:r>
      <w:r>
        <w:t xml:space="preserve">second line </w:t>
      </w:r>
      <w:r w:rsidR="00DA0242">
        <w:t>medications</w:t>
      </w:r>
      <w:r>
        <w:t xml:space="preserve"> or the only option in four out of 6 pathways. However, bile acid sequestrants can be used instead as </w:t>
      </w:r>
      <w:r w:rsidR="006D3A34">
        <w:t>the</w:t>
      </w:r>
      <w:r>
        <w:t xml:space="preserve"> second line therapy if a patient is ezetimibe intolerant </w:t>
      </w:r>
      <w:r w:rsidR="00CF7A27">
        <w:t>and with</w:t>
      </w:r>
      <w:r>
        <w:t xml:space="preserve"> TG&lt;300 mg/dL</w:t>
      </w:r>
      <w:r w:rsidR="00B76C07">
        <w:t>.</w:t>
      </w:r>
      <w:r w:rsidR="00DA0242">
        <w:t xml:space="preserve"> </w:t>
      </w:r>
      <w:r w:rsidR="006D3A34" w:rsidRPr="006D3A34">
        <w:rPr>
          <w:b/>
        </w:rPr>
        <w:t xml:space="preserve">There is no </w:t>
      </w:r>
      <w:r w:rsidR="000949B8">
        <w:rPr>
          <w:b/>
        </w:rPr>
        <w:t xml:space="preserve">clearly stated </w:t>
      </w:r>
      <w:r w:rsidR="006D3A34" w:rsidRPr="006D3A34">
        <w:rPr>
          <w:b/>
        </w:rPr>
        <w:t>requirement for the patients to be on the maximum tolerated dose of statin to be considered for ezetimibe treatment</w:t>
      </w:r>
      <w:r w:rsidR="006D3A34">
        <w:t>.</w:t>
      </w:r>
      <w:r>
        <w:t xml:space="preserve"> </w:t>
      </w:r>
      <w:r w:rsidR="00B76C07">
        <w:t>If the lipid goal still not achieved</w:t>
      </w:r>
      <w:r>
        <w:t xml:space="preserve"> in the secondary prevention subgroups with </w:t>
      </w:r>
      <w:r w:rsidR="006D3A34">
        <w:t xml:space="preserve">the </w:t>
      </w:r>
      <w:r>
        <w:t>baseline LDL-C &lt;190 mg/dL (2.6 mmol/L)</w:t>
      </w:r>
      <w:r w:rsidR="00B76C07">
        <w:t xml:space="preserve">, a </w:t>
      </w:r>
      <w:r w:rsidR="00DA0242">
        <w:t>PCSK</w:t>
      </w:r>
      <w:r w:rsidR="00B76C07">
        <w:t xml:space="preserve">9 </w:t>
      </w:r>
      <w:r w:rsidR="00DA0242">
        <w:t xml:space="preserve">inhibitor </w:t>
      </w:r>
      <w:r w:rsidR="00B76C07">
        <w:t>then can be prescribed either in addition or as a replacement</w:t>
      </w:r>
      <w:r w:rsidR="006D3A34">
        <w:t xml:space="preserve"> of ezetimibe.</w:t>
      </w:r>
      <w:r w:rsidRPr="00007C7D">
        <w:t xml:space="preserve"> </w:t>
      </w:r>
      <w:r>
        <w:t>For the</w:t>
      </w:r>
      <w:r w:rsidR="006D3A34">
        <w:t xml:space="preserve"> secondary prevention subgroup with</w:t>
      </w:r>
      <w:r w:rsidR="006D3A34" w:rsidRPr="006D3A34">
        <w:t xml:space="preserve"> </w:t>
      </w:r>
      <w:r w:rsidR="006D3A34">
        <w:t xml:space="preserve">the baseline LDL-C ≥190 mg/dL (2.6 mmol/L), the </w:t>
      </w:r>
      <w:r w:rsidR="00E65AC0">
        <w:t>Expert Panel considered to be reasonable to prescribe a PCSK9 inhibitor as a first choice of the second line therapy rather than ezetimibe</w:t>
      </w:r>
      <w:r w:rsidR="00B76C07">
        <w:t xml:space="preserve">. </w:t>
      </w:r>
      <w:r w:rsidR="00312BAC">
        <w:t xml:space="preserve">Interestingly, that </w:t>
      </w:r>
      <w:r w:rsidR="00312BAC" w:rsidRPr="00312BAC">
        <w:rPr>
          <w:b/>
        </w:rPr>
        <w:t>i</w:t>
      </w:r>
      <w:r w:rsidR="006D3A34" w:rsidRPr="00312BAC">
        <w:rPr>
          <w:b/>
        </w:rPr>
        <w:t>f a PCSK9 inhibitor is prescribed clinicians should cont</w:t>
      </w:r>
      <w:r w:rsidR="00312BAC" w:rsidRPr="00312BAC">
        <w:rPr>
          <w:b/>
        </w:rPr>
        <w:t xml:space="preserve">inue maximally tolerated statin </w:t>
      </w:r>
      <w:r w:rsidR="006D3A34" w:rsidRPr="00312BAC">
        <w:rPr>
          <w:b/>
        </w:rPr>
        <w:t>and monitoring for adherenc</w:t>
      </w:r>
      <w:r w:rsidR="00312BAC" w:rsidRPr="00312BAC">
        <w:rPr>
          <w:b/>
        </w:rPr>
        <w:t>e to medications</w:t>
      </w:r>
      <w:r w:rsidR="00312BAC">
        <w:t xml:space="preserve"> and lifestyle, </w:t>
      </w:r>
      <w:r w:rsidR="006D3A34">
        <w:t>side effects</w:t>
      </w:r>
      <w:r w:rsidR="00312BAC">
        <w:t xml:space="preserve">, and ongoing LDL-C response to </w:t>
      </w:r>
      <w:r w:rsidR="006D3A34">
        <w:t>therapy</w:t>
      </w:r>
      <w:r w:rsidR="00312BAC">
        <w:t>.</w:t>
      </w:r>
      <w:r w:rsidR="00292E08">
        <w:t xml:space="preserve"> The subgroup of patients without the ASCVD diagnosis but with the baseline LDL-C ≥190 mg/dL (2.6 mmol/L), are recommended to be given </w:t>
      </w:r>
      <w:r w:rsidR="00292E08" w:rsidRPr="00292E08">
        <w:rPr>
          <w:b/>
        </w:rPr>
        <w:t>either ezetimibe or a PCSK9 inhibitor in combination with maximally tolerated statin therapy</w:t>
      </w:r>
      <w:r w:rsidR="00292E08">
        <w:t xml:space="preserve">.  Due to tolerability, convenience, and single-tablet daily dose </w:t>
      </w:r>
      <w:r w:rsidR="00292E08" w:rsidRPr="00353457">
        <w:rPr>
          <w:b/>
        </w:rPr>
        <w:t>ezetimibe is the preferred initial non-statin therapy in patients with diabetes</w:t>
      </w:r>
      <w:r w:rsidR="00353457">
        <w:t xml:space="preserve"> (regardless of</w:t>
      </w:r>
      <w:r w:rsidR="00292E08">
        <w:t xml:space="preserve"> </w:t>
      </w:r>
      <w:r w:rsidR="00353457">
        <w:t>the</w:t>
      </w:r>
      <w:r w:rsidR="00292E08">
        <w:t xml:space="preserve"> predicted 10-year ASCVD risk</w:t>
      </w:r>
      <w:r w:rsidR="00353457">
        <w:t>)</w:t>
      </w:r>
      <w:r w:rsidR="00292E08">
        <w:t xml:space="preserve"> </w:t>
      </w:r>
      <w:r w:rsidR="00292E08" w:rsidRPr="00353457">
        <w:rPr>
          <w:b/>
        </w:rPr>
        <w:t>on ma</w:t>
      </w:r>
      <w:r w:rsidR="00353457">
        <w:rPr>
          <w:b/>
        </w:rPr>
        <w:t xml:space="preserve">ximally tolerated statin therapy. </w:t>
      </w:r>
      <w:r w:rsidR="00353457">
        <w:t xml:space="preserve">PCSK9 inhibitors do </w:t>
      </w:r>
      <w:r w:rsidR="00353457" w:rsidRPr="00353457">
        <w:t>not have an established</w:t>
      </w:r>
      <w:r w:rsidR="00353457">
        <w:t xml:space="preserve"> role </w:t>
      </w:r>
      <w:r w:rsidR="00CF7A27">
        <w:t>in</w:t>
      </w:r>
      <w:r w:rsidR="00353457">
        <w:t xml:space="preserve"> primary prevention of </w:t>
      </w:r>
      <w:r w:rsidR="00353457" w:rsidRPr="00353457">
        <w:t>ASCVD in patients with diabetes</w:t>
      </w:r>
      <w:r w:rsidR="00353457">
        <w:t>.</w:t>
      </w:r>
    </w:p>
    <w:p w:rsidR="00C87AC5" w:rsidRPr="004C7457" w:rsidRDefault="00C87AC5" w:rsidP="00D7094B">
      <w:pPr>
        <w:pStyle w:val="Heading3"/>
        <w:rPr>
          <w:rFonts w:eastAsia="Times New Roman"/>
          <w:lang w:eastAsia="en-AU"/>
        </w:rPr>
      </w:pPr>
      <w:bookmarkStart w:id="12" w:name="_Toc461644661"/>
      <w:r w:rsidRPr="004C7457">
        <w:rPr>
          <w:rFonts w:eastAsia="Times New Roman"/>
          <w:lang w:eastAsia="en-AU"/>
        </w:rPr>
        <w:lastRenderedPageBreak/>
        <w:t xml:space="preserve">Table </w:t>
      </w:r>
      <w:r w:rsidR="003157B6">
        <w:rPr>
          <w:rFonts w:eastAsia="Times New Roman"/>
          <w:lang w:eastAsia="en-AU"/>
        </w:rPr>
        <w:t>3.3</w:t>
      </w:r>
      <w:r w:rsidRPr="004C7457">
        <w:rPr>
          <w:rFonts w:eastAsia="Times New Roman"/>
          <w:lang w:eastAsia="en-AU"/>
        </w:rPr>
        <w:t xml:space="preserve"> </w:t>
      </w:r>
      <w:r w:rsidR="007A6BCE" w:rsidRPr="004C7457">
        <w:rPr>
          <w:rFonts w:eastAsia="Times New Roman"/>
          <w:lang w:eastAsia="en-AU"/>
        </w:rPr>
        <w:t xml:space="preserve">North American Guidelines </w:t>
      </w:r>
      <w:r w:rsidR="007A6BCE">
        <w:rPr>
          <w:rFonts w:eastAsia="Times New Roman"/>
          <w:lang w:eastAsia="en-AU"/>
        </w:rPr>
        <w:t>(</w:t>
      </w:r>
      <w:r>
        <w:rPr>
          <w:rFonts w:eastAsia="Times New Roman"/>
          <w:lang w:eastAsia="en-AU"/>
        </w:rPr>
        <w:t>Canadian</w:t>
      </w:r>
      <w:r w:rsidRPr="004C7457">
        <w:rPr>
          <w:rFonts w:eastAsia="Times New Roman"/>
          <w:lang w:eastAsia="en-AU"/>
        </w:rPr>
        <w:t xml:space="preserve"> </w:t>
      </w:r>
      <w:r>
        <w:rPr>
          <w:rFonts w:eastAsia="Times New Roman"/>
          <w:lang w:eastAsia="en-AU"/>
        </w:rPr>
        <w:t>Cardiovascular Society</w:t>
      </w:r>
      <w:r w:rsidR="007A6BCE">
        <w:rPr>
          <w:rFonts w:eastAsia="Times New Roman"/>
          <w:lang w:eastAsia="en-AU"/>
        </w:rPr>
        <w:t>)</w:t>
      </w:r>
      <w:bookmarkEnd w:id="12"/>
    </w:p>
    <w:tbl>
      <w:tblPr>
        <w:tblStyle w:val="TableGrid"/>
        <w:tblW w:w="14777" w:type="dxa"/>
        <w:tblLayout w:type="fixed"/>
        <w:tblLook w:val="04A0" w:firstRow="1" w:lastRow="0" w:firstColumn="1" w:lastColumn="0" w:noHBand="0" w:noVBand="1"/>
      </w:tblPr>
      <w:tblGrid>
        <w:gridCol w:w="1980"/>
        <w:gridCol w:w="12"/>
        <w:gridCol w:w="1831"/>
        <w:gridCol w:w="1559"/>
        <w:gridCol w:w="3260"/>
        <w:gridCol w:w="1701"/>
        <w:gridCol w:w="4395"/>
        <w:gridCol w:w="39"/>
      </w:tblGrid>
      <w:tr w:rsidR="00752CDB" w:rsidTr="00EA6FD6">
        <w:trPr>
          <w:gridAfter w:val="1"/>
          <w:wAfter w:w="39" w:type="dxa"/>
        </w:trPr>
        <w:tc>
          <w:tcPr>
            <w:tcW w:w="1980" w:type="dxa"/>
          </w:tcPr>
          <w:p w:rsidR="00752CDB" w:rsidRPr="008013A7" w:rsidRDefault="00752CDB" w:rsidP="00752CDB">
            <w:pPr>
              <w:ind w:right="-108"/>
              <w:rPr>
                <w:b/>
              </w:rPr>
            </w:pPr>
            <w:r w:rsidRPr="008013A7">
              <w:rPr>
                <w:b/>
              </w:rPr>
              <w:t>Guidelines/country/year</w:t>
            </w:r>
          </w:p>
        </w:tc>
        <w:tc>
          <w:tcPr>
            <w:tcW w:w="1843" w:type="dxa"/>
            <w:gridSpan w:val="2"/>
          </w:tcPr>
          <w:p w:rsidR="00752CDB" w:rsidRPr="008013A7" w:rsidRDefault="00A520E4" w:rsidP="00752CDB">
            <w:pPr>
              <w:rPr>
                <w:b/>
              </w:rPr>
            </w:pPr>
            <w:r w:rsidRPr="008013A7">
              <w:rPr>
                <w:b/>
              </w:rPr>
              <w:t>Population/scope</w:t>
            </w:r>
            <w:r>
              <w:rPr>
                <w:b/>
              </w:rPr>
              <w:t>/setting</w:t>
            </w:r>
          </w:p>
        </w:tc>
        <w:tc>
          <w:tcPr>
            <w:tcW w:w="4819" w:type="dxa"/>
            <w:gridSpan w:val="2"/>
          </w:tcPr>
          <w:p w:rsidR="00752CDB" w:rsidRPr="00E86312" w:rsidRDefault="00752CDB" w:rsidP="00752CDB">
            <w:pPr>
              <w:rPr>
                <w:b/>
              </w:rPr>
            </w:pPr>
            <w:r w:rsidRPr="00E86312">
              <w:rPr>
                <w:b/>
              </w:rPr>
              <w:t>Risk factors</w:t>
            </w:r>
            <w:r>
              <w:rPr>
                <w:b/>
              </w:rPr>
              <w:t xml:space="preserve"> and categories </w:t>
            </w:r>
          </w:p>
        </w:tc>
        <w:tc>
          <w:tcPr>
            <w:tcW w:w="1701" w:type="dxa"/>
          </w:tcPr>
          <w:p w:rsidR="00752CDB" w:rsidRPr="00E86312" w:rsidRDefault="00752CDB" w:rsidP="00752CDB">
            <w:pPr>
              <w:rPr>
                <w:b/>
              </w:rPr>
            </w:pPr>
            <w:r>
              <w:rPr>
                <w:b/>
              </w:rPr>
              <w:t>Absolute r</w:t>
            </w:r>
            <w:r w:rsidRPr="00E86312">
              <w:rPr>
                <w:b/>
              </w:rPr>
              <w:t>isk assessment tool</w:t>
            </w:r>
          </w:p>
        </w:tc>
        <w:tc>
          <w:tcPr>
            <w:tcW w:w="4395" w:type="dxa"/>
          </w:tcPr>
          <w:p w:rsidR="00752CDB" w:rsidRPr="00A6442E" w:rsidRDefault="00752CDB" w:rsidP="00752CDB">
            <w:pPr>
              <w:rPr>
                <w:b/>
              </w:rPr>
            </w:pPr>
            <w:r w:rsidRPr="00A6442E">
              <w:rPr>
                <w:b/>
              </w:rPr>
              <w:t xml:space="preserve">Suggested </w:t>
            </w:r>
            <w:r>
              <w:rPr>
                <w:b/>
              </w:rPr>
              <w:t xml:space="preserve">lipid lowering </w:t>
            </w:r>
            <w:r w:rsidRPr="00A6442E">
              <w:rPr>
                <w:b/>
              </w:rPr>
              <w:t>management</w:t>
            </w:r>
            <w:r>
              <w:rPr>
                <w:b/>
              </w:rPr>
              <w:t xml:space="preserve"> </w:t>
            </w:r>
          </w:p>
        </w:tc>
      </w:tr>
      <w:tr w:rsidR="00752CDB" w:rsidTr="00EA6FD6">
        <w:trPr>
          <w:gridAfter w:val="1"/>
          <w:wAfter w:w="39" w:type="dxa"/>
        </w:trPr>
        <w:tc>
          <w:tcPr>
            <w:tcW w:w="1980" w:type="dxa"/>
          </w:tcPr>
          <w:p w:rsidR="00230652" w:rsidRPr="00230652" w:rsidRDefault="00230652" w:rsidP="00230652">
            <w:pPr>
              <w:autoSpaceDE w:val="0"/>
              <w:autoSpaceDN w:val="0"/>
              <w:adjustRightInd w:val="0"/>
              <w:rPr>
                <w:b/>
              </w:rPr>
            </w:pPr>
            <w:r w:rsidRPr="00230652">
              <w:rPr>
                <w:b/>
              </w:rPr>
              <w:t>Canadian</w:t>
            </w:r>
          </w:p>
          <w:p w:rsidR="00230652" w:rsidRDefault="00230652" w:rsidP="00230652">
            <w:pPr>
              <w:autoSpaceDE w:val="0"/>
              <w:autoSpaceDN w:val="0"/>
              <w:adjustRightInd w:val="0"/>
            </w:pPr>
            <w:r w:rsidRPr="00230652">
              <w:rPr>
                <w:b/>
              </w:rPr>
              <w:t>Cardiovascular Society</w:t>
            </w:r>
            <w:r>
              <w:t xml:space="preserve"> </w:t>
            </w:r>
          </w:p>
          <w:p w:rsidR="00230652" w:rsidRDefault="00230652" w:rsidP="00230652">
            <w:pPr>
              <w:autoSpaceDE w:val="0"/>
              <w:autoSpaceDN w:val="0"/>
              <w:adjustRightInd w:val="0"/>
            </w:pPr>
            <w:r>
              <w:t xml:space="preserve">T.J. Anderson 2012 update of the CCS guidelines for the diagnosis and treatment of </w:t>
            </w:r>
            <w:r w:rsidR="009C15FB">
              <w:t>dyslipidaemia</w:t>
            </w:r>
            <w:r>
              <w:t xml:space="preserve"> for the prevention of cardiovascular disease in the adult, Can. J. C</w:t>
            </w:r>
            <w:r w:rsidR="00967BF2">
              <w:t>ardiol.29 (2013) 151-</w:t>
            </w:r>
            <w:r>
              <w:t xml:space="preserve">167 </w:t>
            </w:r>
          </w:p>
          <w:p w:rsidR="00230652" w:rsidRDefault="00230652" w:rsidP="00230652">
            <w:pPr>
              <w:autoSpaceDE w:val="0"/>
              <w:autoSpaceDN w:val="0"/>
              <w:adjustRightInd w:val="0"/>
            </w:pPr>
          </w:p>
          <w:p w:rsidR="00230652" w:rsidRDefault="00230652" w:rsidP="00230652">
            <w:pPr>
              <w:autoSpaceDE w:val="0"/>
              <w:autoSpaceDN w:val="0"/>
              <w:adjustRightInd w:val="0"/>
            </w:pPr>
            <w:r>
              <w:t>Update of the 2009 CCS guidelines</w:t>
            </w:r>
          </w:p>
          <w:p w:rsidR="00230652" w:rsidRDefault="00230652" w:rsidP="00230652">
            <w:pPr>
              <w:autoSpaceDE w:val="0"/>
              <w:autoSpaceDN w:val="0"/>
              <w:adjustRightInd w:val="0"/>
            </w:pPr>
          </w:p>
          <w:p w:rsidR="00752CDB" w:rsidRDefault="00752CDB" w:rsidP="00230652">
            <w:pPr>
              <w:autoSpaceDE w:val="0"/>
              <w:autoSpaceDN w:val="0"/>
              <w:adjustRightInd w:val="0"/>
            </w:pPr>
          </w:p>
        </w:tc>
        <w:tc>
          <w:tcPr>
            <w:tcW w:w="1843" w:type="dxa"/>
            <w:gridSpan w:val="2"/>
          </w:tcPr>
          <w:p w:rsidR="00843E1F" w:rsidRDefault="00843E1F" w:rsidP="00230652">
            <w:pPr>
              <w:autoSpaceDE w:val="0"/>
              <w:autoSpaceDN w:val="0"/>
              <w:adjustRightInd w:val="0"/>
            </w:pPr>
            <w:r>
              <w:t>Primary prevention population</w:t>
            </w:r>
          </w:p>
          <w:p w:rsidR="00843E1F" w:rsidRDefault="00843E1F" w:rsidP="00230652">
            <w:pPr>
              <w:autoSpaceDE w:val="0"/>
              <w:autoSpaceDN w:val="0"/>
              <w:adjustRightInd w:val="0"/>
            </w:pPr>
          </w:p>
          <w:p w:rsidR="00230652" w:rsidRDefault="00230652" w:rsidP="00230652">
            <w:pPr>
              <w:autoSpaceDE w:val="0"/>
              <w:autoSpaceDN w:val="0"/>
              <w:adjustRightInd w:val="0"/>
            </w:pPr>
            <w:r>
              <w:t xml:space="preserve">The </w:t>
            </w:r>
            <w:r w:rsidR="00843E1F">
              <w:t xml:space="preserve">CCS guideline </w:t>
            </w:r>
            <w:r>
              <w:t>goal is to increase the appropriate</w:t>
            </w:r>
          </w:p>
          <w:p w:rsidR="00230652" w:rsidRDefault="00230652" w:rsidP="00230652">
            <w:pPr>
              <w:autoSpaceDE w:val="0"/>
              <w:autoSpaceDN w:val="0"/>
              <w:adjustRightInd w:val="0"/>
            </w:pPr>
            <w:r>
              <w:t>use of evidence-based CVD event risk assessment in the management</w:t>
            </w:r>
          </w:p>
          <w:p w:rsidR="00752CDB" w:rsidRDefault="00230652" w:rsidP="00230652">
            <w:pPr>
              <w:autoSpaceDE w:val="0"/>
              <w:autoSpaceDN w:val="0"/>
              <w:adjustRightInd w:val="0"/>
            </w:pPr>
            <w:r>
              <w:t xml:space="preserve">of </w:t>
            </w:r>
            <w:r w:rsidR="009C15FB">
              <w:t>dyslipidaemia</w:t>
            </w:r>
            <w:r w:rsidR="00891099">
              <w:t xml:space="preserve">. </w:t>
            </w:r>
          </w:p>
        </w:tc>
        <w:tc>
          <w:tcPr>
            <w:tcW w:w="4819" w:type="dxa"/>
            <w:gridSpan w:val="2"/>
          </w:tcPr>
          <w:p w:rsidR="004E6C82" w:rsidRPr="00A23D11" w:rsidRDefault="00843E1F" w:rsidP="004E6C82">
            <w:pPr>
              <w:autoSpaceDE w:val="0"/>
              <w:autoSpaceDN w:val="0"/>
              <w:adjustRightInd w:val="0"/>
              <w:rPr>
                <w:b/>
              </w:rPr>
            </w:pPr>
            <w:r>
              <w:rPr>
                <w:b/>
              </w:rPr>
              <w:t>F</w:t>
            </w:r>
            <w:r w:rsidR="00044846">
              <w:rPr>
                <w:b/>
              </w:rPr>
              <w:t xml:space="preserve">actors moderating </w:t>
            </w:r>
            <w:r w:rsidR="00EA6FD6">
              <w:rPr>
                <w:b/>
              </w:rPr>
              <w:t xml:space="preserve">High </w:t>
            </w:r>
            <w:r w:rsidR="00BC5B03">
              <w:rPr>
                <w:b/>
              </w:rPr>
              <w:t>r</w:t>
            </w:r>
            <w:r w:rsidR="004E6C82" w:rsidRPr="00A23D11">
              <w:rPr>
                <w:b/>
              </w:rPr>
              <w:t>isk</w:t>
            </w:r>
            <w:r w:rsidR="00044846">
              <w:rPr>
                <w:b/>
              </w:rPr>
              <w:t xml:space="preserve"> </w:t>
            </w:r>
            <w:r w:rsidR="009C15FB">
              <w:rPr>
                <w:b/>
              </w:rPr>
              <w:t>assessment</w:t>
            </w:r>
            <w:r w:rsidR="004E6C82" w:rsidRPr="00A23D11">
              <w:rPr>
                <w:b/>
              </w:rPr>
              <w:t xml:space="preserve"> for ASCVD:</w:t>
            </w:r>
          </w:p>
          <w:p w:rsidR="004E6C82" w:rsidRDefault="004E6C82" w:rsidP="004E6C82">
            <w:pPr>
              <w:autoSpaceDE w:val="0"/>
              <w:autoSpaceDN w:val="0"/>
              <w:adjustRightInd w:val="0"/>
            </w:pPr>
            <w:r>
              <w:t xml:space="preserve">• Age: Male ≥40 years; Female ≥50 years or postmenopausal </w:t>
            </w:r>
          </w:p>
          <w:p w:rsidR="004E6C82" w:rsidRDefault="004E6C82" w:rsidP="004E6C82">
            <w:pPr>
              <w:autoSpaceDE w:val="0"/>
              <w:autoSpaceDN w:val="0"/>
              <w:adjustRightInd w:val="0"/>
            </w:pPr>
            <w:r>
              <w:t>• Ethnic</w:t>
            </w:r>
            <w:r w:rsidR="00BC5B03">
              <w:t>ity</w:t>
            </w:r>
            <w:r>
              <w:t xml:space="preserve"> (Native population or South Asia origin)</w:t>
            </w:r>
          </w:p>
          <w:p w:rsidR="004E6C82" w:rsidRDefault="004E6C82" w:rsidP="004E6C82">
            <w:pPr>
              <w:autoSpaceDE w:val="0"/>
              <w:autoSpaceDN w:val="0"/>
              <w:adjustRightInd w:val="0"/>
            </w:pPr>
            <w:r>
              <w:t>• Current cigarette smoking;</w:t>
            </w:r>
          </w:p>
          <w:p w:rsidR="004E6C82" w:rsidRDefault="004E6C82" w:rsidP="004E6C82">
            <w:pPr>
              <w:autoSpaceDE w:val="0"/>
              <w:autoSpaceDN w:val="0"/>
              <w:adjustRightInd w:val="0"/>
            </w:pPr>
            <w:r>
              <w:t>• Diabetes</w:t>
            </w:r>
          </w:p>
          <w:p w:rsidR="004E6C82" w:rsidRDefault="004E6C82" w:rsidP="004E6C82">
            <w:pPr>
              <w:autoSpaceDE w:val="0"/>
              <w:autoSpaceDN w:val="0"/>
              <w:adjustRightInd w:val="0"/>
            </w:pPr>
            <w:r>
              <w:t>• A</w:t>
            </w:r>
            <w:r w:rsidRPr="004E6C82">
              <w:t xml:space="preserve">rterial hypertension </w:t>
            </w:r>
          </w:p>
          <w:p w:rsidR="004E6C82" w:rsidRDefault="004E6C82" w:rsidP="004E6C82">
            <w:pPr>
              <w:autoSpaceDE w:val="0"/>
              <w:autoSpaceDN w:val="0"/>
              <w:adjustRightInd w:val="0"/>
            </w:pPr>
            <w:r>
              <w:t>• O</w:t>
            </w:r>
            <w:r w:rsidRPr="004E6C82">
              <w:t>besity</w:t>
            </w:r>
            <w:r>
              <w:t xml:space="preserve"> </w:t>
            </w:r>
            <w:r w:rsidRPr="004E6C82">
              <w:t>(body mass index &gt; 27)</w:t>
            </w:r>
          </w:p>
          <w:p w:rsidR="004E6C82" w:rsidRPr="004E6C82" w:rsidRDefault="004E6C82" w:rsidP="004E6C82">
            <w:pPr>
              <w:autoSpaceDE w:val="0"/>
              <w:autoSpaceDN w:val="0"/>
              <w:adjustRightInd w:val="0"/>
            </w:pPr>
            <w:r>
              <w:t xml:space="preserve">• </w:t>
            </w:r>
            <w:r w:rsidRPr="004E6C82">
              <w:t>Family history of premature CVD</w:t>
            </w:r>
          </w:p>
          <w:p w:rsidR="004E6C82" w:rsidRPr="004E6C82" w:rsidRDefault="004E6C82" w:rsidP="004E6C82">
            <w:pPr>
              <w:autoSpaceDE w:val="0"/>
              <w:autoSpaceDN w:val="0"/>
              <w:adjustRightInd w:val="0"/>
            </w:pPr>
            <w:r w:rsidRPr="004E6C82">
              <w:t>• Family history of hyperlipidaemia</w:t>
            </w:r>
          </w:p>
          <w:p w:rsidR="004E6C82" w:rsidRPr="004E6C82" w:rsidRDefault="004E6C82" w:rsidP="004E6C82">
            <w:pPr>
              <w:autoSpaceDE w:val="0"/>
              <w:autoSpaceDN w:val="0"/>
              <w:adjustRightInd w:val="0"/>
            </w:pPr>
            <w:r>
              <w:t>• Erectile dysfuncti</w:t>
            </w:r>
            <w:r w:rsidRPr="004E6C82">
              <w:t>on</w:t>
            </w:r>
          </w:p>
          <w:p w:rsidR="004E6C82" w:rsidRDefault="004E6C82" w:rsidP="004E6C82">
            <w:pPr>
              <w:autoSpaceDE w:val="0"/>
              <w:autoSpaceDN w:val="0"/>
              <w:adjustRightInd w:val="0"/>
            </w:pPr>
            <w:r w:rsidRPr="004E6C82">
              <w:t xml:space="preserve">• Chronic kidney disease </w:t>
            </w:r>
          </w:p>
          <w:p w:rsidR="004E6C82" w:rsidRDefault="004E6C82" w:rsidP="004E6C82">
            <w:pPr>
              <w:autoSpaceDE w:val="0"/>
              <w:autoSpaceDN w:val="0"/>
              <w:adjustRightInd w:val="0"/>
            </w:pPr>
            <w:r w:rsidRPr="004E6C82">
              <w:t xml:space="preserve">• </w:t>
            </w:r>
            <w:r>
              <w:t>Inflammatory disease</w:t>
            </w:r>
          </w:p>
          <w:p w:rsidR="004E6C82" w:rsidRDefault="004E6C82" w:rsidP="004E6C82">
            <w:pPr>
              <w:autoSpaceDE w:val="0"/>
              <w:autoSpaceDN w:val="0"/>
              <w:adjustRightInd w:val="0"/>
            </w:pPr>
            <w:r>
              <w:t>• HIV infection</w:t>
            </w:r>
          </w:p>
          <w:p w:rsidR="004E6C82" w:rsidRDefault="004E6C82" w:rsidP="004E6C82">
            <w:pPr>
              <w:autoSpaceDE w:val="0"/>
              <w:autoSpaceDN w:val="0"/>
              <w:adjustRightInd w:val="0"/>
            </w:pPr>
            <w:r>
              <w:t>• Chronic obstructive pulmonary disease</w:t>
            </w:r>
          </w:p>
          <w:p w:rsidR="004E6C82" w:rsidRDefault="004E6C82" w:rsidP="004E6C82">
            <w:pPr>
              <w:autoSpaceDE w:val="0"/>
              <w:autoSpaceDN w:val="0"/>
              <w:adjustRightInd w:val="0"/>
            </w:pPr>
            <w:r>
              <w:t>• Clinical evidence of atherosclerosis or</w:t>
            </w:r>
          </w:p>
          <w:p w:rsidR="004E6C82" w:rsidRDefault="004E6C82" w:rsidP="004E6C82">
            <w:pPr>
              <w:autoSpaceDE w:val="0"/>
              <w:autoSpaceDN w:val="0"/>
              <w:adjustRightInd w:val="0"/>
            </w:pPr>
            <w:r>
              <w:t>abdominal aneurysm</w:t>
            </w:r>
          </w:p>
          <w:p w:rsidR="004E6C82" w:rsidRDefault="004E6C82" w:rsidP="004E6C82">
            <w:pPr>
              <w:autoSpaceDE w:val="0"/>
              <w:autoSpaceDN w:val="0"/>
              <w:adjustRightInd w:val="0"/>
            </w:pPr>
            <w:r>
              <w:t>• Clinical manifestation of hyperlipidaemia</w:t>
            </w:r>
          </w:p>
          <w:p w:rsidR="00891099" w:rsidRDefault="00891099" w:rsidP="00BC5B03">
            <w:pPr>
              <w:autoSpaceDE w:val="0"/>
              <w:autoSpaceDN w:val="0"/>
              <w:adjustRightInd w:val="0"/>
            </w:pPr>
          </w:p>
          <w:p w:rsidR="004E6C82" w:rsidRDefault="00BC5B03" w:rsidP="00891099">
            <w:pPr>
              <w:autoSpaceDE w:val="0"/>
              <w:autoSpaceDN w:val="0"/>
              <w:adjustRightInd w:val="0"/>
            </w:pPr>
            <w:r>
              <w:t xml:space="preserve">Proceed with </w:t>
            </w:r>
            <w:r w:rsidR="00891099">
              <w:t>history and examinati</w:t>
            </w:r>
            <w:r>
              <w:t>on, LDL, HDL, TG, non-HDL</w:t>
            </w:r>
            <w:r w:rsidR="00891099">
              <w:t xml:space="preserve">, glucose, </w:t>
            </w:r>
            <w:r w:rsidR="00891099" w:rsidRPr="00891099">
              <w:t xml:space="preserve">estimated glomerular filtration rate </w:t>
            </w:r>
            <w:r w:rsidR="00891099">
              <w:t>(</w:t>
            </w:r>
            <w:r>
              <w:t>eGFR</w:t>
            </w:r>
            <w:r w:rsidR="00891099">
              <w:t>) and optionally apoB (instead of standard lipid panel), urine albumin:creatinine ratio (if eGFR &lt; 60, hypertension, diabetes)</w:t>
            </w:r>
          </w:p>
          <w:p w:rsidR="00752CDB" w:rsidRDefault="00752CDB" w:rsidP="00BC5B03">
            <w:pPr>
              <w:autoSpaceDE w:val="0"/>
              <w:autoSpaceDN w:val="0"/>
              <w:adjustRightInd w:val="0"/>
            </w:pPr>
          </w:p>
        </w:tc>
        <w:tc>
          <w:tcPr>
            <w:tcW w:w="1701" w:type="dxa"/>
          </w:tcPr>
          <w:p w:rsidR="00752CDB" w:rsidRDefault="00752CDB" w:rsidP="00BC5B03">
            <w:pPr>
              <w:autoSpaceDE w:val="0"/>
              <w:autoSpaceDN w:val="0"/>
              <w:adjustRightInd w:val="0"/>
            </w:pPr>
            <w:r w:rsidRPr="00043CC2">
              <w:t xml:space="preserve">The </w:t>
            </w:r>
            <w:r w:rsidR="00BC5B03" w:rsidRPr="00BC5B03">
              <w:t>10-year risk of developing “total” cardiovascular events</w:t>
            </w:r>
            <w:r w:rsidR="00BC5B03" w:rsidRPr="00043CC2">
              <w:t xml:space="preserve"> </w:t>
            </w:r>
            <w:r w:rsidR="00BC5B03">
              <w:t>assessed with</w:t>
            </w:r>
            <w:r w:rsidRPr="00043CC2">
              <w:t xml:space="preserve"> Framingham Risk Score (FRS), modified for a family history of premature coronary disease, is recommended for risk </w:t>
            </w:r>
            <w:r w:rsidR="00891099">
              <w:t>assessment</w:t>
            </w:r>
            <w:r w:rsidR="00BC5B03" w:rsidRPr="00BC5B03">
              <w:t>.</w:t>
            </w:r>
          </w:p>
          <w:p w:rsidR="00891099" w:rsidRPr="00891099" w:rsidRDefault="00891099" w:rsidP="00891099">
            <w:pPr>
              <w:autoSpaceDE w:val="0"/>
              <w:autoSpaceDN w:val="0"/>
              <w:adjustRightInd w:val="0"/>
            </w:pPr>
            <w:r>
              <w:t>Threshold for low risk is &lt;5%. FRS also estimates an individual patient “</w:t>
            </w:r>
            <w:r w:rsidRPr="00891099">
              <w:t>Cardiovascular</w:t>
            </w:r>
          </w:p>
          <w:p w:rsidR="00891099" w:rsidRDefault="00891099" w:rsidP="00891099">
            <w:pPr>
              <w:autoSpaceDE w:val="0"/>
              <w:autoSpaceDN w:val="0"/>
              <w:adjustRightInd w:val="0"/>
            </w:pPr>
            <w:r w:rsidRPr="00891099">
              <w:t>Age</w:t>
            </w:r>
            <w:r>
              <w:t>”</w:t>
            </w:r>
          </w:p>
        </w:tc>
        <w:tc>
          <w:tcPr>
            <w:tcW w:w="4395" w:type="dxa"/>
          </w:tcPr>
          <w:p w:rsidR="00843E1F" w:rsidRDefault="00752CDB" w:rsidP="007F6B30">
            <w:pPr>
              <w:autoSpaceDE w:val="0"/>
              <w:autoSpaceDN w:val="0"/>
              <w:adjustRightInd w:val="0"/>
            </w:pPr>
            <w:r w:rsidRPr="00043CC2">
              <w:t xml:space="preserve">The panel has retained the concept of lipid thresholds and targets for treatment. However, it is important to recognize that overall cardiovascular risk is dependent on the phenotype of the patient with LDL-C being only </w:t>
            </w:r>
            <w:r w:rsidR="00640CF3">
              <w:t>one</w:t>
            </w:r>
            <w:r w:rsidRPr="00043CC2">
              <w:t xml:space="preserve"> of those factors. Also, targets for treatment are somewhat arbitrary because none of the intervention studies have aimed for specific lipid targets.</w:t>
            </w:r>
            <w:r w:rsidRPr="007F6B30">
              <w:t> </w:t>
            </w:r>
            <w:r w:rsidR="007F6B30" w:rsidRPr="007F6B30">
              <w:t xml:space="preserve">In this update of the 2009 guidelines </w:t>
            </w:r>
            <w:r w:rsidR="00843E1F" w:rsidRPr="00043CC2">
              <w:t xml:space="preserve">defined </w:t>
            </w:r>
            <w:r w:rsidR="00230652" w:rsidRPr="00043CC2">
              <w:t>CKD as a signifi</w:t>
            </w:r>
            <w:r w:rsidR="00843E1F">
              <w:t>cant cardiovascular risk factor.</w:t>
            </w:r>
          </w:p>
          <w:p w:rsidR="007F6B30" w:rsidRPr="007F6B30" w:rsidRDefault="007F6B30" w:rsidP="007F6B30">
            <w:pPr>
              <w:autoSpaceDE w:val="0"/>
              <w:autoSpaceDN w:val="0"/>
              <w:adjustRightInd w:val="0"/>
            </w:pPr>
            <w:r w:rsidRPr="003C43A6">
              <w:rPr>
                <w:b/>
              </w:rPr>
              <w:t>Nonstatin therapy</w:t>
            </w:r>
            <w:r>
              <w:rPr>
                <w:b/>
              </w:rPr>
              <w:t xml:space="preserve">: </w:t>
            </w:r>
            <w:r w:rsidRPr="007F6B30">
              <w:t>despite concerns</w:t>
            </w:r>
          </w:p>
          <w:p w:rsidR="007F6B30" w:rsidRPr="007F6B30" w:rsidRDefault="007F6B30" w:rsidP="007F6B30">
            <w:pPr>
              <w:autoSpaceDE w:val="0"/>
              <w:autoSpaceDN w:val="0"/>
              <w:adjustRightInd w:val="0"/>
            </w:pPr>
            <w:r w:rsidRPr="007F6B30">
              <w:t>about a variety of other possible ad</w:t>
            </w:r>
            <w:r>
              <w:t xml:space="preserve">verse effects, all purported </w:t>
            </w:r>
            <w:r w:rsidRPr="007F6B30">
              <w:t>statin-associated symptoms should be evaluated systematically,</w:t>
            </w:r>
          </w:p>
          <w:p w:rsidR="00752CDB" w:rsidRDefault="007F6B30" w:rsidP="00752CDB">
            <w:pPr>
              <w:autoSpaceDE w:val="0"/>
              <w:autoSpaceDN w:val="0"/>
              <w:adjustRightInd w:val="0"/>
            </w:pPr>
            <w:r w:rsidRPr="007F6B30">
              <w:t>incorporating observation</w:t>
            </w:r>
            <w:r>
              <w:t xml:space="preserve"> during cessation, reinitiation </w:t>
            </w:r>
            <w:r w:rsidRPr="007F6B30">
              <w:t>(same or different</w:t>
            </w:r>
            <w:r>
              <w:t xml:space="preserve"> statin, same or lower potency, </w:t>
            </w:r>
            <w:r w:rsidRPr="007F6B30">
              <w:t>same or decreased frequency of dosing) to identify a tole</w:t>
            </w:r>
            <w:r>
              <w:t xml:space="preserve">rated, </w:t>
            </w:r>
            <w:r w:rsidRPr="007F6B30">
              <w:t>statin-based therapy for chronic use</w:t>
            </w:r>
            <w:r>
              <w:t xml:space="preserve">. </w:t>
            </w:r>
            <w:r w:rsidRPr="00A81BD3">
              <w:rPr>
                <w:b/>
              </w:rPr>
              <w:t xml:space="preserve">For subjects who do not tolerate statin therapy or only at </w:t>
            </w:r>
            <w:r w:rsidR="00D13D5A">
              <w:rPr>
                <w:b/>
              </w:rPr>
              <w:t xml:space="preserve">a </w:t>
            </w:r>
            <w:r w:rsidRPr="00A81BD3">
              <w:rPr>
                <w:b/>
              </w:rPr>
              <w:t>low dose, favourable effects on LDL-C can be achieved with ezetimibe</w:t>
            </w:r>
            <w:r>
              <w:t xml:space="preserve">, bile acid resins, or niacin. Niacin therapy alone has been shown to decrease CVD events. Fibrates have a favourable effect on triglyceride levels with minimal change on LDL-C, and gemfibrozil decreased CVD events in subjects with established </w:t>
            </w:r>
            <w:r w:rsidRPr="007F6B30">
              <w:t>coronary artery disease</w:t>
            </w:r>
            <w:r>
              <w:t>.</w:t>
            </w:r>
          </w:p>
          <w:p w:rsidR="007F6B30" w:rsidRDefault="007F6B30" w:rsidP="00752CDB">
            <w:pPr>
              <w:autoSpaceDE w:val="0"/>
              <w:autoSpaceDN w:val="0"/>
              <w:adjustRightInd w:val="0"/>
            </w:pPr>
            <w:r w:rsidRPr="003C43A6">
              <w:rPr>
                <w:b/>
              </w:rPr>
              <w:t>Combination therapy with</w:t>
            </w:r>
            <w:r>
              <w:rPr>
                <w:b/>
              </w:rPr>
              <w:t xml:space="preserve"> s</w:t>
            </w:r>
            <w:r w:rsidRPr="003C43A6">
              <w:rPr>
                <w:b/>
              </w:rPr>
              <w:t>tatins</w:t>
            </w:r>
            <w:r>
              <w:rPr>
                <w:b/>
              </w:rPr>
              <w:t xml:space="preserve">: </w:t>
            </w:r>
            <w:r w:rsidRPr="007F6B30">
              <w:t>none</w:t>
            </w:r>
          </w:p>
        </w:tc>
      </w:tr>
      <w:tr w:rsidR="00B651B9" w:rsidRPr="00891099" w:rsidTr="005A58FF">
        <w:trPr>
          <w:trHeight w:val="393"/>
        </w:trPr>
        <w:tc>
          <w:tcPr>
            <w:tcW w:w="1992" w:type="dxa"/>
            <w:gridSpan w:val="2"/>
          </w:tcPr>
          <w:p w:rsidR="00B651B9" w:rsidRPr="00891099" w:rsidRDefault="00B651B9" w:rsidP="005E156A">
            <w:pPr>
              <w:autoSpaceDE w:val="0"/>
              <w:autoSpaceDN w:val="0"/>
              <w:adjustRightInd w:val="0"/>
            </w:pPr>
          </w:p>
        </w:tc>
        <w:tc>
          <w:tcPr>
            <w:tcW w:w="1831" w:type="dxa"/>
          </w:tcPr>
          <w:p w:rsidR="00B651B9" w:rsidRPr="00891099" w:rsidRDefault="00B651B9" w:rsidP="005E156A">
            <w:pPr>
              <w:autoSpaceDE w:val="0"/>
              <w:autoSpaceDN w:val="0"/>
              <w:adjustRightInd w:val="0"/>
            </w:pPr>
          </w:p>
        </w:tc>
        <w:tc>
          <w:tcPr>
            <w:tcW w:w="1559" w:type="dxa"/>
          </w:tcPr>
          <w:p w:rsidR="00B651B9" w:rsidRPr="00891099" w:rsidRDefault="00B651B9" w:rsidP="005E156A">
            <w:pPr>
              <w:autoSpaceDE w:val="0"/>
              <w:autoSpaceDN w:val="0"/>
              <w:adjustRightInd w:val="0"/>
            </w:pPr>
            <w:r>
              <w:t>Low risk</w:t>
            </w:r>
          </w:p>
        </w:tc>
        <w:tc>
          <w:tcPr>
            <w:tcW w:w="3260" w:type="dxa"/>
          </w:tcPr>
          <w:p w:rsidR="00B651B9" w:rsidRDefault="00B651B9" w:rsidP="00EA6FD6">
            <w:pPr>
              <w:autoSpaceDE w:val="0"/>
              <w:autoSpaceDN w:val="0"/>
              <w:adjustRightInd w:val="0"/>
            </w:pPr>
            <w:r>
              <w:t>• No high risk features</w:t>
            </w:r>
          </w:p>
          <w:p w:rsidR="00B651B9" w:rsidRDefault="00B651B9" w:rsidP="00EA6FD6">
            <w:pPr>
              <w:autoSpaceDE w:val="0"/>
              <w:autoSpaceDN w:val="0"/>
              <w:adjustRightInd w:val="0"/>
            </w:pPr>
            <w:r>
              <w:t>• FRS &lt; 10%</w:t>
            </w:r>
          </w:p>
          <w:p w:rsidR="00441E50" w:rsidRDefault="00441E50" w:rsidP="00EA6FD6">
            <w:pPr>
              <w:autoSpaceDE w:val="0"/>
              <w:autoSpaceDN w:val="0"/>
              <w:adjustRightInd w:val="0"/>
            </w:pPr>
          </w:p>
          <w:p w:rsidR="00441E50" w:rsidRPr="00441E50" w:rsidRDefault="00441E50" w:rsidP="00441E50">
            <w:pPr>
              <w:autoSpaceDE w:val="0"/>
              <w:autoSpaceDN w:val="0"/>
              <w:adjustRightInd w:val="0"/>
              <w:rPr>
                <w:b/>
              </w:rPr>
            </w:pPr>
            <w:r w:rsidRPr="00441E50">
              <w:rPr>
                <w:b/>
              </w:rPr>
              <w:t>≥50% reduction of LDL-C in LR individuals for whom treatment is initiated is recommended</w:t>
            </w:r>
          </w:p>
        </w:tc>
        <w:tc>
          <w:tcPr>
            <w:tcW w:w="6135" w:type="dxa"/>
            <w:gridSpan w:val="3"/>
          </w:tcPr>
          <w:p w:rsidR="00B651B9" w:rsidRDefault="00B651B9" w:rsidP="00B651B9">
            <w:pPr>
              <w:autoSpaceDE w:val="0"/>
              <w:autoSpaceDN w:val="0"/>
              <w:adjustRightInd w:val="0"/>
            </w:pPr>
            <w:r>
              <w:t>If LDL-C &lt;5 mmol/L and FRS&lt; 5%  - health behaviour modification;</w:t>
            </w:r>
          </w:p>
          <w:p w:rsidR="00B651B9" w:rsidRDefault="00B651B9" w:rsidP="00B651B9">
            <w:pPr>
              <w:autoSpaceDE w:val="0"/>
              <w:autoSpaceDN w:val="0"/>
              <w:adjustRightInd w:val="0"/>
            </w:pPr>
            <w:r>
              <w:t>If LDL-C &lt; 5 mmol/L and FRS 5%-9% proceed with optional secondary testing before prescribing statin therapy in addition to health behaviour modification</w:t>
            </w:r>
          </w:p>
          <w:p w:rsidR="00B651B9" w:rsidRPr="00891099" w:rsidRDefault="00B651B9" w:rsidP="00441E50">
            <w:pPr>
              <w:autoSpaceDE w:val="0"/>
              <w:autoSpaceDN w:val="0"/>
              <w:adjustRightInd w:val="0"/>
            </w:pPr>
            <w:r>
              <w:t xml:space="preserve">If LDL-C  ≥ 5 mmol/L </w:t>
            </w:r>
            <w:r w:rsidR="00441E50">
              <w:t xml:space="preserve"> or there is evidence of genetic dyslipidaemia (such as familial hypercholesterolemia) prescribe </w:t>
            </w:r>
            <w:r>
              <w:t>statin therapy in addition to health behaviour modification</w:t>
            </w:r>
          </w:p>
        </w:tc>
      </w:tr>
      <w:tr w:rsidR="00EA6FD6" w:rsidRPr="00891099" w:rsidTr="005A58FF">
        <w:tc>
          <w:tcPr>
            <w:tcW w:w="1992" w:type="dxa"/>
            <w:gridSpan w:val="2"/>
          </w:tcPr>
          <w:p w:rsidR="00EA6FD6" w:rsidRPr="00891099" w:rsidRDefault="00EA6FD6" w:rsidP="005E156A">
            <w:pPr>
              <w:autoSpaceDE w:val="0"/>
              <w:autoSpaceDN w:val="0"/>
              <w:adjustRightInd w:val="0"/>
            </w:pPr>
          </w:p>
        </w:tc>
        <w:tc>
          <w:tcPr>
            <w:tcW w:w="1831" w:type="dxa"/>
          </w:tcPr>
          <w:p w:rsidR="00EA6FD6" w:rsidRPr="00891099" w:rsidRDefault="00EA6FD6" w:rsidP="005E156A">
            <w:pPr>
              <w:autoSpaceDE w:val="0"/>
              <w:autoSpaceDN w:val="0"/>
              <w:adjustRightInd w:val="0"/>
            </w:pPr>
          </w:p>
        </w:tc>
        <w:tc>
          <w:tcPr>
            <w:tcW w:w="1559" w:type="dxa"/>
          </w:tcPr>
          <w:p w:rsidR="00EA6FD6" w:rsidRPr="00891099" w:rsidRDefault="00EA6FD6" w:rsidP="005E156A">
            <w:pPr>
              <w:autoSpaceDE w:val="0"/>
              <w:autoSpaceDN w:val="0"/>
              <w:adjustRightInd w:val="0"/>
            </w:pPr>
            <w:r>
              <w:t>Intermediate risk</w:t>
            </w:r>
          </w:p>
        </w:tc>
        <w:tc>
          <w:tcPr>
            <w:tcW w:w="3260" w:type="dxa"/>
          </w:tcPr>
          <w:p w:rsidR="00EA6FD6" w:rsidRDefault="00EA6FD6" w:rsidP="00EA6FD6">
            <w:pPr>
              <w:autoSpaceDE w:val="0"/>
              <w:autoSpaceDN w:val="0"/>
              <w:adjustRightInd w:val="0"/>
            </w:pPr>
            <w:r>
              <w:t>• No high risk features</w:t>
            </w:r>
          </w:p>
          <w:p w:rsidR="00EA6FD6" w:rsidRDefault="00EA6FD6" w:rsidP="00EA6FD6">
            <w:pPr>
              <w:autoSpaceDE w:val="0"/>
              <w:autoSpaceDN w:val="0"/>
              <w:adjustRightInd w:val="0"/>
            </w:pPr>
            <w:r>
              <w:t>• FRS 10%-19%</w:t>
            </w:r>
          </w:p>
          <w:p w:rsidR="00EA6FD6" w:rsidRDefault="00EA6FD6" w:rsidP="00EA6FD6">
            <w:pPr>
              <w:autoSpaceDE w:val="0"/>
              <w:autoSpaceDN w:val="0"/>
              <w:adjustRightInd w:val="0"/>
            </w:pPr>
            <w:r>
              <w:t xml:space="preserve"> </w:t>
            </w:r>
          </w:p>
          <w:p w:rsidR="00427252" w:rsidRDefault="00427252" w:rsidP="00427252">
            <w:pPr>
              <w:autoSpaceDE w:val="0"/>
              <w:autoSpaceDN w:val="0"/>
              <w:adjustRightInd w:val="0"/>
            </w:pPr>
            <w:r>
              <w:t>the primary target remains</w:t>
            </w:r>
          </w:p>
          <w:p w:rsidR="00427252" w:rsidRPr="00891099" w:rsidRDefault="00427252" w:rsidP="00427252">
            <w:pPr>
              <w:autoSpaceDE w:val="0"/>
              <w:autoSpaceDN w:val="0"/>
              <w:adjustRightInd w:val="0"/>
            </w:pPr>
            <w:r>
              <w:t xml:space="preserve">LDL-C </w:t>
            </w:r>
            <w:r w:rsidR="00FE6979">
              <w:t>≤</w:t>
            </w:r>
            <w:r>
              <w:t xml:space="preserve">2.0 mmol/L or ≥ 50% reduction of LDL-C from untreated baseline. Alternate targets include apo B </w:t>
            </w:r>
            <w:r w:rsidR="00FE6979">
              <w:t>≤</w:t>
            </w:r>
            <w:r>
              <w:t xml:space="preserve">0.8 g/L (unchanged) or non-HDL-C </w:t>
            </w:r>
            <w:r w:rsidR="00FE6979">
              <w:t>≤</w:t>
            </w:r>
            <w:r>
              <w:t>2.6mmol/L (new).</w:t>
            </w:r>
          </w:p>
          <w:p w:rsidR="00EA6FD6" w:rsidRPr="00891099" w:rsidRDefault="00EA6FD6" w:rsidP="00EA6FD6">
            <w:pPr>
              <w:autoSpaceDE w:val="0"/>
              <w:autoSpaceDN w:val="0"/>
              <w:adjustRightInd w:val="0"/>
            </w:pPr>
          </w:p>
        </w:tc>
        <w:tc>
          <w:tcPr>
            <w:tcW w:w="6135" w:type="dxa"/>
            <w:gridSpan w:val="3"/>
          </w:tcPr>
          <w:p w:rsidR="00EA6FD6" w:rsidRDefault="00EA6FD6" w:rsidP="00FE6979">
            <w:pPr>
              <w:autoSpaceDE w:val="0"/>
              <w:autoSpaceDN w:val="0"/>
              <w:adjustRightInd w:val="0"/>
            </w:pPr>
            <w:r>
              <w:t>If LDL-C &lt;3.5 mmol/L proceed with optional additional risk s</w:t>
            </w:r>
            <w:r w:rsidR="00FE6979">
              <w:t>tratification based on alternative</w:t>
            </w:r>
            <w:r>
              <w:t xml:space="preserve"> targets (apolipoprotein [Apo] B </w:t>
            </w:r>
            <w:r w:rsidR="00FE6979">
              <w:t xml:space="preserve">≥1.2 g/L </w:t>
            </w:r>
            <w:r>
              <w:t>or non-HDL-C</w:t>
            </w:r>
            <w:r w:rsidR="00FE6979">
              <w:t xml:space="preserve"> ≥4.3 mmol/L</w:t>
            </w:r>
            <w:r>
              <w:t>) or secondary testing</w:t>
            </w:r>
            <w:r w:rsidR="0006343D">
              <w:t xml:space="preserve"> before prescribing statin therapy in addition </w:t>
            </w:r>
            <w:r w:rsidR="00B651B9">
              <w:t xml:space="preserve">to </w:t>
            </w:r>
            <w:r w:rsidR="0006343D">
              <w:t>health behaviour modification</w:t>
            </w:r>
            <w:r w:rsidR="000E0D2C">
              <w:t>;</w:t>
            </w:r>
          </w:p>
          <w:p w:rsidR="00EA6FD6" w:rsidRDefault="00EA6FD6" w:rsidP="0006343D">
            <w:pPr>
              <w:autoSpaceDE w:val="0"/>
              <w:autoSpaceDN w:val="0"/>
              <w:adjustRightInd w:val="0"/>
            </w:pPr>
            <w:r>
              <w:t xml:space="preserve">If LDL-C </w:t>
            </w:r>
            <w:r w:rsidR="001F74CD">
              <w:t>≥</w:t>
            </w:r>
            <w:r w:rsidR="00BA395D">
              <w:t xml:space="preserve"> </w:t>
            </w:r>
            <w:r>
              <w:t>3.5 mmol/L</w:t>
            </w:r>
            <w:r w:rsidR="0006343D">
              <w:t xml:space="preserve"> prescribe statin therapy in addition</w:t>
            </w:r>
            <w:r w:rsidR="00B651B9">
              <w:t xml:space="preserve"> to</w:t>
            </w:r>
            <w:r w:rsidR="0006343D">
              <w:t xml:space="preserve"> health behaviour modification</w:t>
            </w:r>
            <w:r w:rsidR="000E0D2C">
              <w:t>;</w:t>
            </w:r>
          </w:p>
          <w:p w:rsidR="000E0D2C" w:rsidRPr="00891099" w:rsidRDefault="00636E13" w:rsidP="000E0D2C">
            <w:pPr>
              <w:autoSpaceDE w:val="0"/>
              <w:autoSpaceDN w:val="0"/>
              <w:adjustRightInd w:val="0"/>
            </w:pPr>
            <w:r>
              <w:t>P</w:t>
            </w:r>
            <w:r w:rsidR="000E0D2C">
              <w:t xml:space="preserve">rescribe statin therapy to patients who met JUPITER trial selection criteria men &gt;50 years and women &gt; 60 years of age and </w:t>
            </w:r>
            <w:r w:rsidR="000E0D2C" w:rsidRPr="000E0D2C">
              <w:t>C-reactive protein</w:t>
            </w:r>
            <w:r w:rsidR="000E0D2C">
              <w:t xml:space="preserve"> (</w:t>
            </w:r>
            <w:r w:rsidR="000E0D2C" w:rsidRPr="000E0D2C">
              <w:t>CRP</w:t>
            </w:r>
            <w:r w:rsidR="000E0D2C">
              <w:t>) ≥2 mg/L and LDL &lt; 3.5 mmol/L</w:t>
            </w:r>
          </w:p>
        </w:tc>
      </w:tr>
      <w:tr w:rsidR="00B651B9" w:rsidRPr="00891099" w:rsidTr="00B651B9">
        <w:tc>
          <w:tcPr>
            <w:tcW w:w="1992" w:type="dxa"/>
            <w:gridSpan w:val="2"/>
          </w:tcPr>
          <w:p w:rsidR="00B651B9" w:rsidRPr="00891099" w:rsidRDefault="00B651B9" w:rsidP="005E156A">
            <w:pPr>
              <w:autoSpaceDE w:val="0"/>
              <w:autoSpaceDN w:val="0"/>
              <w:adjustRightInd w:val="0"/>
            </w:pPr>
          </w:p>
        </w:tc>
        <w:tc>
          <w:tcPr>
            <w:tcW w:w="1831" w:type="dxa"/>
          </w:tcPr>
          <w:p w:rsidR="00B651B9" w:rsidRPr="00891099" w:rsidRDefault="00B651B9" w:rsidP="005E156A">
            <w:pPr>
              <w:autoSpaceDE w:val="0"/>
              <w:autoSpaceDN w:val="0"/>
              <w:adjustRightInd w:val="0"/>
            </w:pPr>
          </w:p>
        </w:tc>
        <w:tc>
          <w:tcPr>
            <w:tcW w:w="1559" w:type="dxa"/>
          </w:tcPr>
          <w:p w:rsidR="00B651B9" w:rsidRPr="00891099" w:rsidRDefault="00B651B9" w:rsidP="005E156A">
            <w:pPr>
              <w:autoSpaceDE w:val="0"/>
              <w:autoSpaceDN w:val="0"/>
              <w:adjustRightInd w:val="0"/>
            </w:pPr>
            <w:r>
              <w:t>High risk</w:t>
            </w:r>
          </w:p>
        </w:tc>
        <w:tc>
          <w:tcPr>
            <w:tcW w:w="3260" w:type="dxa"/>
          </w:tcPr>
          <w:p w:rsidR="00B651B9" w:rsidRDefault="00B651B9" w:rsidP="0006343D">
            <w:pPr>
              <w:autoSpaceDE w:val="0"/>
              <w:autoSpaceDN w:val="0"/>
              <w:adjustRightInd w:val="0"/>
            </w:pPr>
            <w:r>
              <w:t>• FRS ≥ 20%</w:t>
            </w:r>
          </w:p>
          <w:p w:rsidR="00B651B9" w:rsidRDefault="00B651B9" w:rsidP="0006343D">
            <w:pPr>
              <w:autoSpaceDE w:val="0"/>
              <w:autoSpaceDN w:val="0"/>
              <w:adjustRightInd w:val="0"/>
            </w:pPr>
            <w:r>
              <w:t>• Clinical vascular disease</w:t>
            </w:r>
          </w:p>
          <w:p w:rsidR="00B651B9" w:rsidRDefault="00B651B9" w:rsidP="0006343D">
            <w:pPr>
              <w:autoSpaceDE w:val="0"/>
              <w:autoSpaceDN w:val="0"/>
              <w:adjustRightInd w:val="0"/>
            </w:pPr>
            <w:r>
              <w:t>• Abdominal Aortic Aneurysm</w:t>
            </w:r>
          </w:p>
          <w:p w:rsidR="00B651B9" w:rsidRDefault="00B651B9" w:rsidP="0006343D">
            <w:pPr>
              <w:autoSpaceDE w:val="0"/>
              <w:autoSpaceDN w:val="0"/>
              <w:adjustRightInd w:val="0"/>
            </w:pPr>
            <w:r>
              <w:t>•</w:t>
            </w:r>
            <w:r w:rsidR="00640CF3">
              <w:t xml:space="preserve"> Diabetes and age ≥ 40 yrs or &gt;</w:t>
            </w:r>
            <w:r>
              <w:t>15 yrs duration and age ≥ 30</w:t>
            </w:r>
          </w:p>
          <w:p w:rsidR="00B651B9" w:rsidRDefault="00B651B9" w:rsidP="0006343D">
            <w:pPr>
              <w:autoSpaceDE w:val="0"/>
              <w:autoSpaceDN w:val="0"/>
              <w:adjustRightInd w:val="0"/>
            </w:pPr>
            <w:r>
              <w:t xml:space="preserve">yrs or microvascular disease </w:t>
            </w:r>
          </w:p>
          <w:p w:rsidR="00B651B9" w:rsidRDefault="00B651B9" w:rsidP="0006343D">
            <w:pPr>
              <w:autoSpaceDE w:val="0"/>
              <w:autoSpaceDN w:val="0"/>
              <w:adjustRightInd w:val="0"/>
            </w:pPr>
            <w:r>
              <w:t>• Chronic kidney disease</w:t>
            </w:r>
            <w:r w:rsidR="00640CF3">
              <w:t xml:space="preserve"> </w:t>
            </w:r>
          </w:p>
          <w:p w:rsidR="00B651B9" w:rsidRDefault="00B651B9" w:rsidP="0006343D">
            <w:pPr>
              <w:autoSpaceDE w:val="0"/>
              <w:autoSpaceDN w:val="0"/>
              <w:adjustRightInd w:val="0"/>
            </w:pPr>
            <w:r>
              <w:t xml:space="preserve">• High risk </w:t>
            </w:r>
            <w:r w:rsidRPr="004E6C82">
              <w:t xml:space="preserve">hypertension </w:t>
            </w:r>
          </w:p>
          <w:p w:rsidR="00640CF3" w:rsidRDefault="00640CF3" w:rsidP="0006343D">
            <w:pPr>
              <w:autoSpaceDE w:val="0"/>
              <w:autoSpaceDN w:val="0"/>
              <w:adjustRightInd w:val="0"/>
            </w:pPr>
          </w:p>
          <w:p w:rsidR="00640CF3" w:rsidRDefault="00820A89" w:rsidP="00640CF3">
            <w:pPr>
              <w:autoSpaceDE w:val="0"/>
              <w:autoSpaceDN w:val="0"/>
              <w:adjustRightInd w:val="0"/>
            </w:pPr>
            <w:r>
              <w:t>T</w:t>
            </w:r>
            <w:r w:rsidR="00640CF3">
              <w:t>he primary target remains</w:t>
            </w:r>
          </w:p>
          <w:p w:rsidR="00640CF3" w:rsidRDefault="00640CF3" w:rsidP="00640CF3">
            <w:pPr>
              <w:autoSpaceDE w:val="0"/>
              <w:autoSpaceDN w:val="0"/>
              <w:adjustRightInd w:val="0"/>
            </w:pPr>
            <w:r>
              <w:t>LDL-C ≤2.0 mmol/L or ≥ 50% reduction of LDL-C from untreated baseline.</w:t>
            </w:r>
          </w:p>
          <w:p w:rsidR="00B651B9" w:rsidRPr="00891099" w:rsidRDefault="00B651B9" w:rsidP="0006343D">
            <w:pPr>
              <w:autoSpaceDE w:val="0"/>
              <w:autoSpaceDN w:val="0"/>
              <w:adjustRightInd w:val="0"/>
            </w:pPr>
          </w:p>
        </w:tc>
        <w:tc>
          <w:tcPr>
            <w:tcW w:w="6135" w:type="dxa"/>
            <w:gridSpan w:val="3"/>
            <w:vAlign w:val="center"/>
          </w:tcPr>
          <w:p w:rsidR="00B651B9" w:rsidRPr="00891099" w:rsidRDefault="00681BA4" w:rsidP="00B651B9">
            <w:pPr>
              <w:autoSpaceDE w:val="0"/>
              <w:autoSpaceDN w:val="0"/>
              <w:adjustRightInd w:val="0"/>
            </w:pPr>
            <w:r>
              <w:t>P</w:t>
            </w:r>
            <w:r w:rsidR="00B651B9">
              <w:t>rescribe statin therapy in addition to health behaviour modification</w:t>
            </w:r>
          </w:p>
        </w:tc>
      </w:tr>
    </w:tbl>
    <w:p w:rsidR="005A58FF" w:rsidRDefault="005A58FF">
      <w:pPr>
        <w:sectPr w:rsidR="005A58FF" w:rsidSect="008013A7">
          <w:pgSz w:w="16838" w:h="11906" w:orient="landscape"/>
          <w:pgMar w:top="1440" w:right="1440" w:bottom="1440" w:left="1440" w:header="708" w:footer="708" w:gutter="0"/>
          <w:cols w:space="708"/>
          <w:docGrid w:linePitch="360"/>
        </w:sectPr>
      </w:pPr>
    </w:p>
    <w:p w:rsidR="00843E1F" w:rsidRDefault="005A58FF" w:rsidP="00DC6BBF">
      <w:pPr>
        <w:spacing w:after="0"/>
        <w:jc w:val="both"/>
      </w:pPr>
      <w:r>
        <w:t xml:space="preserve">The 2012 CCS guidelines recommended risk stratification using the total cardiovascular disease Framingham Risk Score (FRS), advocated the use of </w:t>
      </w:r>
      <w:r w:rsidR="00CB74D6">
        <w:t xml:space="preserve">LDL-C </w:t>
      </w:r>
      <w:r>
        <w:t>thresholds for the initiation of treatment in low- and intermediate-risk subjects and expanded the phenotype of high-risk subjects to include subjects with atherosclerosis, most patients with diabetes, high-risk hypertension and pre</w:t>
      </w:r>
      <w:r w:rsidR="00DC6BBF">
        <w:t>-</w:t>
      </w:r>
      <w:r>
        <w:t xml:space="preserve">dialysis </w:t>
      </w:r>
      <w:r w:rsidR="00373683">
        <w:t>CKD.</w:t>
      </w:r>
      <w:r>
        <w:t xml:space="preserve"> LDL-C continues to be used as the atherogenic metric, but now non</w:t>
      </w:r>
      <w:r w:rsidR="00373683">
        <w:t>-HDL-C</w:t>
      </w:r>
      <w:r>
        <w:t xml:space="preserve"> and apolipoprotein B (apo B) could be measured as alternatives. When treatment is initiated, LDL-C (&lt; 2.0 mmol/L or 50% reduction) continues to be the primary target of therapy.</w:t>
      </w:r>
      <w:r w:rsidR="00590CE9">
        <w:t xml:space="preserve"> </w:t>
      </w:r>
      <w:r w:rsidR="00E2325E">
        <w:t>Figure 3.2. Illustrates a statin treatment decision pathway.</w:t>
      </w:r>
    </w:p>
    <w:p w:rsidR="00E2325E" w:rsidRDefault="00E2325E" w:rsidP="00DC6BBF">
      <w:pPr>
        <w:spacing w:after="0"/>
        <w:jc w:val="both"/>
      </w:pPr>
    </w:p>
    <w:p w:rsidR="00E2325E" w:rsidRPr="00557130" w:rsidRDefault="00E2325E" w:rsidP="00E2325E">
      <w:pPr>
        <w:pStyle w:val="Caption"/>
        <w:keepNext/>
        <w:keepLines/>
        <w:spacing w:after="0"/>
        <w:rPr>
          <w:rFonts w:ascii="Arial Narrow" w:eastAsia="Times New Roman" w:hAnsi="Arial Narrow" w:cs="Times New Roman"/>
          <w:b/>
          <w:bCs/>
          <w:i w:val="0"/>
          <w:iCs w:val="0"/>
          <w:color w:val="auto"/>
          <w:sz w:val="22"/>
          <w:szCs w:val="22"/>
          <w:lang w:eastAsia="en-AU"/>
        </w:rPr>
      </w:pPr>
      <w:r>
        <w:rPr>
          <w:rFonts w:ascii="Arial Narrow" w:eastAsia="Times New Roman" w:hAnsi="Arial Narrow" w:cs="Times New Roman"/>
          <w:b/>
          <w:bCs/>
          <w:i w:val="0"/>
          <w:iCs w:val="0"/>
          <w:color w:val="auto"/>
          <w:sz w:val="22"/>
          <w:szCs w:val="22"/>
          <w:lang w:eastAsia="en-AU"/>
        </w:rPr>
        <w:t xml:space="preserve"> Figure 3.2</w:t>
      </w:r>
      <w:r w:rsidRPr="00557130">
        <w:rPr>
          <w:rFonts w:ascii="Arial Narrow" w:eastAsia="Times New Roman" w:hAnsi="Arial Narrow" w:cs="Times New Roman"/>
          <w:b/>
          <w:bCs/>
          <w:i w:val="0"/>
          <w:iCs w:val="0"/>
          <w:color w:val="auto"/>
          <w:sz w:val="22"/>
          <w:szCs w:val="22"/>
          <w:lang w:eastAsia="en-AU"/>
        </w:rPr>
        <w:t xml:space="preserve">. </w:t>
      </w:r>
      <w:r>
        <w:rPr>
          <w:rFonts w:ascii="Arial Narrow" w:eastAsia="Times New Roman" w:hAnsi="Arial Narrow" w:cs="Times New Roman"/>
          <w:b/>
          <w:bCs/>
          <w:i w:val="0"/>
          <w:iCs w:val="0"/>
          <w:color w:val="auto"/>
          <w:sz w:val="22"/>
          <w:szCs w:val="22"/>
          <w:lang w:eastAsia="en-AU"/>
        </w:rPr>
        <w:t xml:space="preserve">2012 CCS </w:t>
      </w:r>
      <w:r w:rsidRPr="00557130">
        <w:rPr>
          <w:rFonts w:ascii="Arial Narrow" w:eastAsia="Times New Roman" w:hAnsi="Arial Narrow" w:cs="Times New Roman"/>
          <w:b/>
          <w:bCs/>
          <w:i w:val="0"/>
          <w:iCs w:val="0"/>
          <w:color w:val="auto"/>
          <w:sz w:val="22"/>
          <w:szCs w:val="22"/>
          <w:lang w:eastAsia="en-AU"/>
        </w:rPr>
        <w:t xml:space="preserve">guidelines on statin initiation </w:t>
      </w:r>
      <w:r>
        <w:rPr>
          <w:rFonts w:ascii="Arial Narrow" w:eastAsia="Times New Roman" w:hAnsi="Arial Narrow" w:cs="Times New Roman"/>
          <w:b/>
          <w:bCs/>
          <w:i w:val="0"/>
          <w:iCs w:val="0"/>
          <w:color w:val="auto"/>
          <w:sz w:val="22"/>
          <w:szCs w:val="22"/>
          <w:lang w:eastAsia="en-AU"/>
        </w:rPr>
        <w:t>according to r</w:t>
      </w:r>
      <w:r w:rsidRPr="00E2325E">
        <w:rPr>
          <w:rFonts w:ascii="Arial Narrow" w:eastAsia="Times New Roman" w:hAnsi="Arial Narrow" w:cs="Times New Roman"/>
          <w:b/>
          <w:bCs/>
          <w:i w:val="0"/>
          <w:iCs w:val="0"/>
          <w:color w:val="auto"/>
          <w:sz w:val="22"/>
          <w:szCs w:val="22"/>
          <w:lang w:eastAsia="en-AU"/>
        </w:rPr>
        <w:t xml:space="preserve">isk stratification by </w:t>
      </w:r>
      <w:r>
        <w:rPr>
          <w:rFonts w:ascii="Arial Narrow" w:eastAsia="Times New Roman" w:hAnsi="Arial Narrow" w:cs="Times New Roman"/>
          <w:b/>
          <w:bCs/>
          <w:i w:val="0"/>
          <w:iCs w:val="0"/>
          <w:color w:val="auto"/>
          <w:sz w:val="22"/>
          <w:szCs w:val="22"/>
          <w:lang w:eastAsia="en-AU"/>
        </w:rPr>
        <w:t xml:space="preserve">FRS </w:t>
      </w:r>
      <w:r w:rsidRPr="00E2325E">
        <w:rPr>
          <w:rFonts w:ascii="Arial Narrow" w:eastAsia="Times New Roman" w:hAnsi="Arial Narrow" w:cs="Times New Roman"/>
          <w:b/>
          <w:bCs/>
          <w:i w:val="0"/>
          <w:iCs w:val="0"/>
          <w:color w:val="auto"/>
          <w:sz w:val="22"/>
          <w:szCs w:val="22"/>
          <w:lang w:eastAsia="en-AU"/>
        </w:rPr>
        <w:t>and phenotype</w:t>
      </w:r>
    </w:p>
    <w:p w:rsidR="00E2325E" w:rsidRDefault="00E2325E" w:rsidP="00DC6BBF">
      <w:pPr>
        <w:spacing w:after="0"/>
        <w:jc w:val="both"/>
      </w:pPr>
      <w:r>
        <w:rPr>
          <w:noProof/>
          <w:lang w:eastAsia="en-AU"/>
        </w:rPr>
        <w:drawing>
          <wp:inline distT="0" distB="0" distL="0" distR="0" wp14:anchorId="4CEAA7D5" wp14:editId="61356307">
            <wp:extent cx="5745480" cy="364150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705" t="12336" r="52537" b="11096"/>
                    <a:stretch/>
                  </pic:blipFill>
                  <pic:spPr bwMode="auto">
                    <a:xfrm>
                      <a:off x="0" y="0"/>
                      <a:ext cx="5745480" cy="3641501"/>
                    </a:xfrm>
                    <a:prstGeom prst="rect">
                      <a:avLst/>
                    </a:prstGeom>
                    <a:ln>
                      <a:noFill/>
                    </a:ln>
                    <a:extLst>
                      <a:ext uri="{53640926-AAD7-44D8-BBD7-CCE9431645EC}">
                        <a14:shadowObscured xmlns:a14="http://schemas.microsoft.com/office/drawing/2010/main"/>
                      </a:ext>
                    </a:extLst>
                  </pic:spPr>
                </pic:pic>
              </a:graphicData>
            </a:graphic>
          </wp:inline>
        </w:drawing>
      </w:r>
    </w:p>
    <w:p w:rsidR="00DC6BBF" w:rsidRDefault="00590CE9" w:rsidP="00DC6BBF">
      <w:pPr>
        <w:spacing w:after="0"/>
        <w:jc w:val="both"/>
      </w:pPr>
      <w:r>
        <w:t xml:space="preserve">The </w:t>
      </w:r>
      <w:r w:rsidR="00843E1F">
        <w:t xml:space="preserve">2012 CCS guidelines were compared with the </w:t>
      </w:r>
      <w:r>
        <w:t xml:space="preserve">ACC/AHA guidelines </w:t>
      </w:r>
      <w:r w:rsidR="00843E1F">
        <w:t xml:space="preserve">that </w:t>
      </w:r>
      <w:r>
        <w:t xml:space="preserve">were the latest to be released and created the most controversy. A major novel aspect of these guidelines was the recommendation to calculate risk using the newly developed Pooled Cohort Equation. This approach represents a departure from the use of the FRS, used for decades. </w:t>
      </w:r>
      <w:r w:rsidR="00843E1F">
        <w:t>It was suggested that o</w:t>
      </w:r>
      <w:r>
        <w:t xml:space="preserve">f the 4 </w:t>
      </w:r>
      <w:r w:rsidR="00843E1F">
        <w:t>“</w:t>
      </w:r>
      <w:r>
        <w:t>statin-</w:t>
      </w:r>
      <w:r w:rsidR="00843E1F">
        <w:t>benefit”</w:t>
      </w:r>
      <w:r>
        <w:t xml:space="preserve"> </w:t>
      </w:r>
      <w:r w:rsidR="00843E1F">
        <w:t>groups</w:t>
      </w:r>
      <w:r>
        <w:t xml:space="preserve">, 3 were the same as the CCS guidelines. These include subjects with: (1) clinical evidence of atherosclerosis; (2) most subjects with diabetes; and (3) individuals with LDL-C ≥5.0 mmol/L. The fourth group includes subjects with a 10-year risk of total atherosclerotic events calculated using the Pooled Cohort Equation of ≥7.5%. There was no specific recommendation for CKD and other populations such as genetic dyslipidemia or high-risk hypertension. An additional novel aspect of the ACC/AHA guidelines was the lack of specific targets of therapy. Although these guidelines recommend the use of high- or moderate intensity statin regimens based on level of risk and anticipate a 50% LDL-C decrease with high-intensity statin therapy, there is no recommendation for treating to any specific target. </w:t>
      </w:r>
      <w:r w:rsidRPr="00D13D5A">
        <w:t>Therefore, lipid measurements after initiation of statin therapy are recommended, primarily to ensure adherence</w:t>
      </w:r>
      <w:r w:rsidR="009D2F54" w:rsidRPr="00D13D5A">
        <w:t xml:space="preserve"> (Anderson, 2015)</w:t>
      </w:r>
      <w:r w:rsidRPr="00D13D5A">
        <w:t>.</w:t>
      </w:r>
      <w:r w:rsidR="00636E13" w:rsidRPr="00D13D5A">
        <w:t xml:space="preserve"> Although the 2012 CCS guidelines retained lipid goals as a</w:t>
      </w:r>
      <w:r w:rsidR="006236EB" w:rsidRPr="00D13D5A">
        <w:t>n instrument for</w:t>
      </w:r>
      <w:r w:rsidR="00636E13" w:rsidRPr="00D13D5A">
        <w:t xml:space="preserve"> clinical decision </w:t>
      </w:r>
      <w:r w:rsidR="006236EB" w:rsidRPr="00D13D5A">
        <w:t>making</w:t>
      </w:r>
      <w:r w:rsidR="00636E13" w:rsidRPr="00D13D5A">
        <w:t xml:space="preserve">, </w:t>
      </w:r>
      <w:r w:rsidR="006236EB" w:rsidRPr="00D13D5A">
        <w:t>it has also kept the 50% LDL-C reduction as an alternative criteria, as in the 2013 ACC/AHA. Another common characteristic is in</w:t>
      </w:r>
      <w:r w:rsidR="00636E13" w:rsidRPr="00D13D5A">
        <w:t xml:space="preserve"> identifying</w:t>
      </w:r>
      <w:r w:rsidR="00636E13">
        <w:t xml:space="preserve"> the target population in terms of the selection criteria of the published RCTs</w:t>
      </w:r>
      <w:r w:rsidR="006236EB">
        <w:t xml:space="preserve">, although in </w:t>
      </w:r>
      <w:r w:rsidR="00636E13">
        <w:t xml:space="preserve">the 2012 CCS </w:t>
      </w:r>
      <w:r w:rsidR="006236EB">
        <w:t xml:space="preserve">it applies only to CKD population. </w:t>
      </w:r>
    </w:p>
    <w:p w:rsidR="005A58FF" w:rsidRDefault="009D2F54" w:rsidP="00DC6BBF">
      <w:pPr>
        <w:pStyle w:val="Heading2"/>
        <w:keepNext/>
        <w:keepLines/>
        <w:numPr>
          <w:ilvl w:val="0"/>
          <w:numId w:val="13"/>
        </w:numPr>
        <w:spacing w:before="0" w:beforeAutospacing="0" w:after="0" w:afterAutospacing="0" w:line="259" w:lineRule="auto"/>
        <w:rPr>
          <w:rFonts w:asciiTheme="majorHAnsi" w:eastAsiaTheme="majorEastAsia" w:hAnsiTheme="majorHAnsi" w:cstheme="majorBidi"/>
          <w:b w:val="0"/>
          <w:bCs w:val="0"/>
          <w:color w:val="2E74B5" w:themeColor="accent1" w:themeShade="BF"/>
          <w:sz w:val="26"/>
          <w:szCs w:val="26"/>
          <w:lang w:eastAsia="zh-CN"/>
        </w:rPr>
      </w:pPr>
      <w:bookmarkStart w:id="13" w:name="_Toc461644662"/>
      <w:r w:rsidRPr="009D2F54">
        <w:rPr>
          <w:rFonts w:asciiTheme="majorHAnsi" w:eastAsiaTheme="majorEastAsia" w:hAnsiTheme="majorHAnsi" w:cstheme="majorBidi"/>
          <w:b w:val="0"/>
          <w:bCs w:val="0"/>
          <w:color w:val="2E74B5" w:themeColor="accent1" w:themeShade="BF"/>
          <w:sz w:val="26"/>
          <w:szCs w:val="26"/>
          <w:lang w:eastAsia="zh-CN"/>
        </w:rPr>
        <w:t xml:space="preserve">National Institute for Health and Care Excellence </w:t>
      </w:r>
      <w:r>
        <w:rPr>
          <w:rFonts w:asciiTheme="majorHAnsi" w:eastAsiaTheme="majorEastAsia" w:hAnsiTheme="majorHAnsi" w:cstheme="majorBidi"/>
          <w:b w:val="0"/>
          <w:bCs w:val="0"/>
          <w:color w:val="2E74B5" w:themeColor="accent1" w:themeShade="BF"/>
          <w:sz w:val="26"/>
          <w:szCs w:val="26"/>
          <w:lang w:eastAsia="zh-CN"/>
        </w:rPr>
        <w:t>(NICE) guidelines (UK)</w:t>
      </w:r>
      <w:bookmarkEnd w:id="13"/>
    </w:p>
    <w:p w:rsidR="00E16C90" w:rsidRDefault="00E16C90" w:rsidP="00DC6BBF">
      <w:pPr>
        <w:pStyle w:val="Heading2"/>
        <w:keepNext/>
        <w:keepLines/>
        <w:spacing w:before="0" w:beforeAutospacing="0" w:after="0" w:afterAutospacing="0" w:line="259" w:lineRule="auto"/>
        <w:rPr>
          <w:rFonts w:asciiTheme="majorHAnsi" w:eastAsiaTheme="majorEastAsia" w:hAnsiTheme="majorHAnsi" w:cstheme="majorBidi"/>
          <w:b w:val="0"/>
          <w:bCs w:val="0"/>
          <w:color w:val="2E74B5" w:themeColor="accent1" w:themeShade="BF"/>
          <w:sz w:val="26"/>
          <w:szCs w:val="26"/>
          <w:lang w:eastAsia="zh-CN"/>
        </w:rPr>
      </w:pPr>
    </w:p>
    <w:p w:rsidR="00F76DF2" w:rsidRDefault="002072B5" w:rsidP="00050B53">
      <w:pPr>
        <w:spacing w:after="0"/>
        <w:jc w:val="both"/>
      </w:pPr>
      <w:r>
        <w:t>The 2014</w:t>
      </w:r>
      <w:r w:rsidR="00235C0B">
        <w:t xml:space="preserve"> </w:t>
      </w:r>
      <w:r w:rsidR="00235C0B" w:rsidRPr="00235C0B">
        <w:t>NICE recommendations</w:t>
      </w:r>
      <w:r w:rsidR="00050B53">
        <w:t xml:space="preserve"> “Cardiovascular disease: risk assessment and reduction, including lipid modification”</w:t>
      </w:r>
      <w:r w:rsidR="007A5D23">
        <w:t xml:space="preserve"> </w:t>
      </w:r>
      <w:r w:rsidR="007229FB">
        <w:t>(</w:t>
      </w:r>
      <w:r>
        <w:t xml:space="preserve">2014 NICE guidance/cg181) </w:t>
      </w:r>
      <w:r w:rsidR="007A5D23">
        <w:t>are the update of the 2008 NICE</w:t>
      </w:r>
      <w:r w:rsidR="00235C0B" w:rsidRPr="00235C0B">
        <w:t xml:space="preserve"> </w:t>
      </w:r>
      <w:r w:rsidR="007A5D23">
        <w:t xml:space="preserve">clinical guideline </w:t>
      </w:r>
      <w:r w:rsidR="000957AB">
        <w:t>for c</w:t>
      </w:r>
      <w:r w:rsidR="007A5D23">
        <w:t>ardiova</w:t>
      </w:r>
      <w:r w:rsidR="000957AB">
        <w:t>scular disease: risk assessment and reduction, includ</w:t>
      </w:r>
      <w:r>
        <w:t>ing lipid modification</w:t>
      </w:r>
      <w:r w:rsidR="00050B53">
        <w:t xml:space="preserve"> (2008 NICE guidance/cg67) and the 2006 technology appraisal guidance (2006 NICE TA94)</w:t>
      </w:r>
      <w:r>
        <w:t>. The 2014</w:t>
      </w:r>
      <w:r w:rsidR="000957AB">
        <w:t xml:space="preserve"> </w:t>
      </w:r>
      <w:r w:rsidR="000957AB" w:rsidRPr="00235C0B">
        <w:t>NICE</w:t>
      </w:r>
      <w:r w:rsidR="000957AB">
        <w:t xml:space="preserve"> update </w:t>
      </w:r>
      <w:r w:rsidR="00235C0B" w:rsidRPr="00235C0B">
        <w:t>are based on systematic reviews of best available evidence and explicit consideration of cost effectiveness. When minimal evidence is available, recommendations are based on the guideline development group's experience and opinion of what constitutes good practice</w:t>
      </w:r>
      <w:r w:rsidR="00235C0B">
        <w:t xml:space="preserve">. </w:t>
      </w:r>
      <w:r w:rsidR="007A5D23" w:rsidRPr="007A5D23">
        <w:t>Th</w:t>
      </w:r>
      <w:r w:rsidR="000957AB">
        <w:t>e</w:t>
      </w:r>
      <w:r w:rsidR="007A5D23" w:rsidRPr="007A5D23">
        <w:t xml:space="preserve"> update makes a clear recommendation for the use of QRISK2 as the preferred cardiovascular disease (CVD) risk assessment tool, including people with type 2 diabetes. The threshold for consideration of statin treatment has dropped from 20% CVD risk to 10% CVD </w:t>
      </w:r>
      <w:r w:rsidR="000957AB">
        <w:t xml:space="preserve">10-year </w:t>
      </w:r>
      <w:r w:rsidR="007A5D23" w:rsidRPr="007A5D23">
        <w:t xml:space="preserve">risk. The guideline recommends the use of non-HDL-cholesterol rather than </w:t>
      </w:r>
      <w:r w:rsidR="000957AB">
        <w:t>LDL</w:t>
      </w:r>
      <w:r w:rsidR="007A5D23" w:rsidRPr="007A5D23">
        <w:t>-</w:t>
      </w:r>
      <w:r w:rsidR="0049776C">
        <w:t>C</w:t>
      </w:r>
      <w:r w:rsidR="007A5D23" w:rsidRPr="007A5D23">
        <w:t xml:space="preserve"> because non-HDL-cholesterol does not require a fasting sample. </w:t>
      </w:r>
      <w:r w:rsidR="00F76DF2">
        <w:t>For the purpose of th</w:t>
      </w:r>
      <w:r w:rsidR="00050B53">
        <w:t>e 2014</w:t>
      </w:r>
      <w:r w:rsidR="00235C0B">
        <w:t xml:space="preserve"> </w:t>
      </w:r>
      <w:r w:rsidR="00F76DF2">
        <w:t>guideline</w:t>
      </w:r>
      <w:r w:rsidR="00235C0B">
        <w:t>s</w:t>
      </w:r>
      <w:r w:rsidR="00F76DF2">
        <w:t xml:space="preserve">, statins are grouped into 3 different intensity categories according to the percentage reduction in low-density lipoprotein cholesterol (see </w:t>
      </w:r>
      <w:r w:rsidR="00F76DF2" w:rsidRPr="004575A1">
        <w:t xml:space="preserve">Table </w:t>
      </w:r>
      <w:r w:rsidR="004575A1" w:rsidRPr="004575A1">
        <w:t>A</w:t>
      </w:r>
      <w:r w:rsidR="00512650" w:rsidRPr="004575A1">
        <w:t>4.1</w:t>
      </w:r>
      <w:r w:rsidR="00F76DF2" w:rsidRPr="004575A1">
        <w:t xml:space="preserve"> in Appendix).</w:t>
      </w:r>
      <w:r w:rsidR="004575A1">
        <w:t xml:space="preserve"> The assigned intensity categories are generally consistent with the categories assigned by the ACC/AHA experts (</w:t>
      </w:r>
      <w:r w:rsidR="004575A1" w:rsidRPr="004575A1">
        <w:t>Table A</w:t>
      </w:r>
      <w:r w:rsidR="004575A1">
        <w:t>3</w:t>
      </w:r>
      <w:r w:rsidR="004575A1" w:rsidRPr="004575A1">
        <w:t>.1 in Appendix</w:t>
      </w:r>
      <w:r w:rsidR="004575A1">
        <w:t>).</w:t>
      </w:r>
    </w:p>
    <w:p w:rsidR="00C66428" w:rsidRDefault="00C66428" w:rsidP="00C66428">
      <w:pPr>
        <w:spacing w:after="0"/>
        <w:jc w:val="both"/>
      </w:pPr>
    </w:p>
    <w:p w:rsidR="00C66428" w:rsidRPr="00CD01D7" w:rsidRDefault="00DB56E6" w:rsidP="0049776C">
      <w:pPr>
        <w:spacing w:after="0"/>
        <w:jc w:val="both"/>
        <w:sectPr w:rsidR="00C66428" w:rsidRPr="00CD01D7" w:rsidSect="005A58FF">
          <w:pgSz w:w="11906" w:h="16838"/>
          <w:pgMar w:top="1440" w:right="1440" w:bottom="1440" w:left="1440" w:header="709" w:footer="709" w:gutter="0"/>
          <w:cols w:space="708"/>
          <w:docGrid w:linePitch="360"/>
        </w:sectPr>
      </w:pPr>
      <w:r>
        <w:t>Both t</w:t>
      </w:r>
      <w:r w:rsidR="00C66428">
        <w:t xml:space="preserve">he NICE approach </w:t>
      </w:r>
      <w:r>
        <w:t xml:space="preserve">and </w:t>
      </w:r>
      <w:r w:rsidR="00C66428">
        <w:t>the ACC/AHA guideline</w:t>
      </w:r>
      <w:r w:rsidR="00DC6BBF">
        <w:t xml:space="preserve"> </w:t>
      </w:r>
      <w:r>
        <w:t xml:space="preserve">offer </w:t>
      </w:r>
      <w:r w:rsidR="00C66428">
        <w:t xml:space="preserve">statin therapy </w:t>
      </w:r>
      <w:r w:rsidR="00DC6BBF">
        <w:t>on the basis of</w:t>
      </w:r>
      <w:r w:rsidR="00C66428">
        <w:t xml:space="preserve"> an estimated 10-year risk of ASCVD</w:t>
      </w:r>
      <w:r>
        <w:t xml:space="preserve"> (Table </w:t>
      </w:r>
      <w:r w:rsidR="00512650">
        <w:t>4</w:t>
      </w:r>
      <w:r>
        <w:t>.1)</w:t>
      </w:r>
      <w:r w:rsidR="00DC6BBF">
        <w:t>.</w:t>
      </w:r>
      <w:r w:rsidR="00512650">
        <w:t xml:space="preserve"> </w:t>
      </w:r>
      <w:r w:rsidR="00512650" w:rsidRPr="00512650">
        <w:rPr>
          <w:i/>
        </w:rPr>
        <w:t>In comparison</w:t>
      </w:r>
      <w:r w:rsidR="00175885">
        <w:rPr>
          <w:i/>
        </w:rPr>
        <w:t>,</w:t>
      </w:r>
      <w:r w:rsidR="00512650" w:rsidRPr="00512650">
        <w:rPr>
          <w:i/>
        </w:rPr>
        <w:t xml:space="preserve"> the Australian NVDPA</w:t>
      </w:r>
      <w:r w:rsidR="00D13D5A">
        <w:rPr>
          <w:i/>
        </w:rPr>
        <w:t>-2012 guidelines are based on 5-</w:t>
      </w:r>
      <w:r w:rsidR="00512650" w:rsidRPr="00512650">
        <w:rPr>
          <w:i/>
        </w:rPr>
        <w:t>year risk assessment</w:t>
      </w:r>
      <w:r w:rsidR="00512650">
        <w:t>.</w:t>
      </w:r>
      <w:r w:rsidR="00DC6BBF">
        <w:t xml:space="preserve"> </w:t>
      </w:r>
      <w:r w:rsidR="00DC6BBF" w:rsidRPr="00512650">
        <w:rPr>
          <w:i/>
        </w:rPr>
        <w:t xml:space="preserve">The </w:t>
      </w:r>
      <w:r w:rsidR="00175885">
        <w:rPr>
          <w:i/>
        </w:rPr>
        <w:t xml:space="preserve">risk </w:t>
      </w:r>
      <w:r w:rsidR="00DC6BBF" w:rsidRPr="00512650">
        <w:rPr>
          <w:i/>
        </w:rPr>
        <w:t>threshold</w:t>
      </w:r>
      <w:r w:rsidR="00175885">
        <w:rPr>
          <w:i/>
        </w:rPr>
        <w:t xml:space="preserve"> </w:t>
      </w:r>
      <w:r w:rsidR="00175885" w:rsidRPr="00512650">
        <w:rPr>
          <w:i/>
        </w:rPr>
        <w:t xml:space="preserve">of ≥10% </w:t>
      </w:r>
      <w:r w:rsidR="00175885">
        <w:rPr>
          <w:i/>
        </w:rPr>
        <w:t xml:space="preserve">for </w:t>
      </w:r>
      <w:r w:rsidR="00175885" w:rsidRPr="00512650">
        <w:rPr>
          <w:i/>
        </w:rPr>
        <w:t xml:space="preserve">treatment initiation </w:t>
      </w:r>
      <w:r w:rsidR="00DC6BBF" w:rsidRPr="00512650">
        <w:rPr>
          <w:i/>
        </w:rPr>
        <w:t xml:space="preserve">is set </w:t>
      </w:r>
      <w:r w:rsidR="00C66428" w:rsidRPr="00512650">
        <w:rPr>
          <w:i/>
        </w:rPr>
        <w:t xml:space="preserve">by </w:t>
      </w:r>
      <w:r w:rsidR="00512650" w:rsidRPr="00512650">
        <w:rPr>
          <w:i/>
        </w:rPr>
        <w:t xml:space="preserve">both Australian and </w:t>
      </w:r>
      <w:r w:rsidR="00C66428" w:rsidRPr="00512650">
        <w:rPr>
          <w:i/>
        </w:rPr>
        <w:t>NICE</w:t>
      </w:r>
      <w:r w:rsidR="00512650" w:rsidRPr="00512650">
        <w:rPr>
          <w:i/>
        </w:rPr>
        <w:t xml:space="preserve"> guidelines, in contrast to the </w:t>
      </w:r>
      <w:r w:rsidR="00C66428" w:rsidRPr="00512650">
        <w:rPr>
          <w:i/>
        </w:rPr>
        <w:t xml:space="preserve">≥7.5% </w:t>
      </w:r>
      <w:r w:rsidR="00512650" w:rsidRPr="00512650">
        <w:rPr>
          <w:i/>
        </w:rPr>
        <w:t xml:space="preserve">threshold </w:t>
      </w:r>
      <w:r w:rsidR="00DC6BBF" w:rsidRPr="00512650">
        <w:rPr>
          <w:i/>
        </w:rPr>
        <w:t xml:space="preserve">set </w:t>
      </w:r>
      <w:r w:rsidR="00C66428" w:rsidRPr="00512650">
        <w:rPr>
          <w:i/>
        </w:rPr>
        <w:t>by ACC/AHA</w:t>
      </w:r>
      <w:r w:rsidR="0049776C" w:rsidRPr="00512650">
        <w:rPr>
          <w:i/>
        </w:rPr>
        <w:t xml:space="preserve">, which is </w:t>
      </w:r>
      <w:r w:rsidR="00512650" w:rsidRPr="00512650">
        <w:rPr>
          <w:i/>
        </w:rPr>
        <w:t xml:space="preserve">the </w:t>
      </w:r>
      <w:r w:rsidR="0049776C" w:rsidRPr="00512650">
        <w:rPr>
          <w:i/>
        </w:rPr>
        <w:t>lowest</w:t>
      </w:r>
      <w:r w:rsidR="00C66428" w:rsidRPr="00512650">
        <w:rPr>
          <w:i/>
        </w:rPr>
        <w:t xml:space="preserve"> </w:t>
      </w:r>
      <w:r w:rsidR="0049776C" w:rsidRPr="00512650">
        <w:rPr>
          <w:i/>
        </w:rPr>
        <w:t>threshold</w:t>
      </w:r>
      <w:r w:rsidR="00C66428" w:rsidRPr="00512650">
        <w:rPr>
          <w:i/>
        </w:rPr>
        <w:t xml:space="preserve"> </w:t>
      </w:r>
      <w:r w:rsidR="0049776C" w:rsidRPr="00512650">
        <w:rPr>
          <w:i/>
        </w:rPr>
        <w:t>in all</w:t>
      </w:r>
      <w:r w:rsidR="00C66428" w:rsidRPr="00512650">
        <w:rPr>
          <w:i/>
        </w:rPr>
        <w:t xml:space="preserve"> other leading international guidelines</w:t>
      </w:r>
      <w:r w:rsidR="00C66428">
        <w:t xml:space="preserve">. </w:t>
      </w:r>
      <w:r w:rsidR="00711171">
        <w:t>Neither</w:t>
      </w:r>
      <w:r w:rsidR="00512650">
        <w:t xml:space="preserve"> </w:t>
      </w:r>
      <w:r w:rsidR="00711171">
        <w:t xml:space="preserve">the </w:t>
      </w:r>
      <w:r w:rsidR="00E03112">
        <w:t xml:space="preserve">2013 </w:t>
      </w:r>
      <w:r w:rsidR="00711171">
        <w:t>ACC/AHA nor</w:t>
      </w:r>
      <w:r w:rsidR="00512650">
        <w:t xml:space="preserve"> </w:t>
      </w:r>
      <w:r w:rsidR="00E03112">
        <w:t xml:space="preserve">the 2014 </w:t>
      </w:r>
      <w:r w:rsidR="00512650" w:rsidRPr="00235C0B">
        <w:t xml:space="preserve">NICE </w:t>
      </w:r>
      <w:r w:rsidR="00512650">
        <w:t>guid</w:t>
      </w:r>
      <w:r w:rsidR="00E03112">
        <w:t>ance (cg181)</w:t>
      </w:r>
      <w:r w:rsidR="00C66428">
        <w:t xml:space="preserve"> endorse a treat-to-target strategy but specify </w:t>
      </w:r>
      <w:r w:rsidR="00F57F90">
        <w:t xml:space="preserve">instead </w:t>
      </w:r>
      <w:r w:rsidR="00C66428">
        <w:t xml:space="preserve">the appropriate intensity of statin for each risk category. </w:t>
      </w:r>
      <w:r w:rsidR="00A81BD3">
        <w:t xml:space="preserve"> </w:t>
      </w:r>
      <w:r w:rsidR="00F57F90">
        <w:t>However, t</w:t>
      </w:r>
      <w:r w:rsidR="00EB296F">
        <w:t xml:space="preserve">he </w:t>
      </w:r>
      <w:r w:rsidR="00F57F90">
        <w:t xml:space="preserve">separate recent </w:t>
      </w:r>
      <w:r w:rsidR="0049776C" w:rsidRPr="0049776C">
        <w:t>technology appraisal</w:t>
      </w:r>
      <w:r w:rsidR="00F57F90">
        <w:rPr>
          <w:b/>
        </w:rPr>
        <w:t xml:space="preserve"> “</w:t>
      </w:r>
      <w:r w:rsidR="00F57F90" w:rsidRPr="00F57F90">
        <w:t>Ezetimibe for treating primary heterozygous-familial and non-familial hypercholesterolaemia</w:t>
      </w:r>
      <w:r w:rsidR="00F57F90">
        <w:t>”</w:t>
      </w:r>
      <w:r w:rsidR="00F57F90" w:rsidRPr="00F57F90">
        <w:t xml:space="preserve"> </w:t>
      </w:r>
      <w:r w:rsidR="0049776C">
        <w:t>(</w:t>
      </w:r>
      <w:r w:rsidR="00F57F90">
        <w:t xml:space="preserve">2016 NICE </w:t>
      </w:r>
      <w:r w:rsidR="0049776C">
        <w:t>TA</w:t>
      </w:r>
      <w:r w:rsidR="0049776C" w:rsidRPr="00A81BD3">
        <w:t>385</w:t>
      </w:r>
      <w:r w:rsidR="0049776C">
        <w:t xml:space="preserve">) departed from the </w:t>
      </w:r>
      <w:r w:rsidR="00F57F90">
        <w:t xml:space="preserve">2014 </w:t>
      </w:r>
      <w:r w:rsidR="0049776C">
        <w:t xml:space="preserve">NICE guidelines by </w:t>
      </w:r>
      <w:r w:rsidR="00EB296F">
        <w:rPr>
          <w:b/>
        </w:rPr>
        <w:t>rul</w:t>
      </w:r>
      <w:r w:rsidR="0049776C">
        <w:rPr>
          <w:b/>
        </w:rPr>
        <w:t>ing</w:t>
      </w:r>
      <w:r w:rsidR="00EB296F">
        <w:rPr>
          <w:b/>
        </w:rPr>
        <w:t xml:space="preserve"> that d</w:t>
      </w:r>
      <w:r w:rsidR="004A2ECF" w:rsidRPr="004507AF">
        <w:rPr>
          <w:b/>
        </w:rPr>
        <w:t>espite the recommendations in NICE's guideline</w:t>
      </w:r>
      <w:r w:rsidR="004A2ECF" w:rsidRPr="00816989">
        <w:t xml:space="preserve"> on lipid modification, based on 10-year cardiovascular risk </w:t>
      </w:r>
      <w:r w:rsidR="004A2ECF">
        <w:t>assessment</w:t>
      </w:r>
      <w:r w:rsidR="004A2ECF" w:rsidRPr="00816989">
        <w:t xml:space="preserve">, </w:t>
      </w:r>
      <w:r w:rsidR="004A2ECF" w:rsidRPr="004507AF">
        <w:rPr>
          <w:b/>
        </w:rPr>
        <w:t>mee</w:t>
      </w:r>
      <w:r w:rsidR="00EB296F">
        <w:rPr>
          <w:b/>
        </w:rPr>
        <w:t xml:space="preserve">ting target cholesterol levels </w:t>
      </w:r>
      <w:r w:rsidR="004A2ECF" w:rsidRPr="004507AF">
        <w:rPr>
          <w:b/>
        </w:rPr>
        <w:t>to prevent CV disease remained an important part of clinical practice in England.</w:t>
      </w:r>
      <w:r w:rsidR="0049776C" w:rsidRPr="0049776C">
        <w:t xml:space="preserve"> </w:t>
      </w:r>
      <w:r w:rsidR="00F57F90">
        <w:t xml:space="preserve">This is the same dilemma that brought about the 2016 ACC/AHA Consensus statement, namely that without the defined lipid targets it is not clear for the clinicians when initiation of non-satin second line treatment is warranted. </w:t>
      </w:r>
      <w:r w:rsidR="00E03112">
        <w:t>Therefore both the recent ACC/AHA Consensus statement on the role of non-statin therapies and the 2016 NICE TA</w:t>
      </w:r>
      <w:r w:rsidR="00E03112" w:rsidRPr="00A81BD3">
        <w:t>385</w:t>
      </w:r>
      <w:r w:rsidR="00E03112">
        <w:t xml:space="preserve"> clearly identify the position of ezetimibe in the treatment algorithm in the context of failure to achieve lipid targets. </w:t>
      </w:r>
      <w:r w:rsidR="00F57F90">
        <w:t>The</w:t>
      </w:r>
      <w:r w:rsidR="00E03112">
        <w:t xml:space="preserve"> TA</w:t>
      </w:r>
      <w:r w:rsidR="00E03112" w:rsidRPr="00A81BD3">
        <w:t>385</w:t>
      </w:r>
      <w:r w:rsidR="00F57F90">
        <w:t xml:space="preserve"> </w:t>
      </w:r>
      <w:r w:rsidR="0049776C">
        <w:t xml:space="preserve">also concluded that no </w:t>
      </w:r>
      <w:r w:rsidR="00373683">
        <w:t xml:space="preserve">treatments apart from ezetimibe </w:t>
      </w:r>
      <w:r w:rsidR="0049776C">
        <w:t xml:space="preserve">monotherapy are established NHS practice in England for treating familial and non-familial hypercholesterolaemia in adults </w:t>
      </w:r>
      <w:r w:rsidR="00373683">
        <w:t>who are unable to take a statin (</w:t>
      </w:r>
      <w:r w:rsidR="00F57F90">
        <w:t>Table 4</w:t>
      </w:r>
      <w:r w:rsidR="0049776C">
        <w:t>.2</w:t>
      </w:r>
      <w:r w:rsidR="00373683">
        <w:t>).</w:t>
      </w:r>
    </w:p>
    <w:p w:rsidR="00A81BD3" w:rsidRPr="00D7094B" w:rsidRDefault="00A81BD3" w:rsidP="00D7094B">
      <w:pPr>
        <w:pStyle w:val="Heading3"/>
        <w:spacing w:before="0" w:line="240" w:lineRule="auto"/>
        <w:rPr>
          <w:rFonts w:eastAsia="Times New Roman"/>
          <w:lang w:eastAsia="en-AU"/>
        </w:rPr>
      </w:pPr>
      <w:bookmarkStart w:id="14" w:name="_Toc461644663"/>
      <w:r w:rsidRPr="00D7094B">
        <w:rPr>
          <w:rFonts w:eastAsia="Times New Roman"/>
          <w:lang w:eastAsia="en-AU"/>
        </w:rPr>
        <w:t xml:space="preserve">Table </w:t>
      </w:r>
      <w:r w:rsidR="00C87AC5" w:rsidRPr="00D7094B">
        <w:rPr>
          <w:rFonts w:eastAsia="Times New Roman"/>
          <w:lang w:eastAsia="en-AU"/>
        </w:rPr>
        <w:t>4</w:t>
      </w:r>
      <w:r w:rsidRPr="00D7094B">
        <w:rPr>
          <w:rFonts w:eastAsia="Times New Roman"/>
          <w:lang w:eastAsia="en-AU"/>
        </w:rPr>
        <w:t xml:space="preserve">.1 </w:t>
      </w:r>
      <w:r w:rsidR="008A5119">
        <w:rPr>
          <w:rFonts w:eastAsia="Times New Roman"/>
          <w:lang w:eastAsia="en-AU"/>
        </w:rPr>
        <w:t xml:space="preserve">the 2014 </w:t>
      </w:r>
      <w:r w:rsidR="00DC6BBF" w:rsidRPr="00D7094B">
        <w:rPr>
          <w:rFonts w:eastAsia="Times New Roman"/>
          <w:lang w:eastAsia="en-AU"/>
        </w:rPr>
        <w:t>National Institute for Health and Care Excellence (NICE) guidelines</w:t>
      </w:r>
      <w:bookmarkEnd w:id="14"/>
      <w:r w:rsidR="00DC6BBF" w:rsidRPr="00D7094B">
        <w:rPr>
          <w:rFonts w:eastAsia="Times New Roman"/>
          <w:lang w:eastAsia="en-AU"/>
        </w:rPr>
        <w:t xml:space="preserve"> </w:t>
      </w:r>
    </w:p>
    <w:tbl>
      <w:tblPr>
        <w:tblStyle w:val="TableGrid"/>
        <w:tblpPr w:leftFromText="180" w:rightFromText="180" w:vertAnchor="text" w:horzAnchor="margin" w:tblpY="145"/>
        <w:tblW w:w="14737" w:type="dxa"/>
        <w:tblLayout w:type="fixed"/>
        <w:tblLook w:val="04A0" w:firstRow="1" w:lastRow="0" w:firstColumn="1" w:lastColumn="0" w:noHBand="0" w:noVBand="1"/>
      </w:tblPr>
      <w:tblGrid>
        <w:gridCol w:w="2122"/>
        <w:gridCol w:w="2137"/>
        <w:gridCol w:w="2257"/>
        <w:gridCol w:w="2092"/>
        <w:gridCol w:w="6129"/>
      </w:tblGrid>
      <w:tr w:rsidR="00A81BD3" w:rsidTr="00A81BD3">
        <w:tc>
          <w:tcPr>
            <w:tcW w:w="2122" w:type="dxa"/>
          </w:tcPr>
          <w:p w:rsidR="00A81BD3" w:rsidRPr="008013A7" w:rsidRDefault="00A81BD3" w:rsidP="00D7094B">
            <w:pPr>
              <w:rPr>
                <w:b/>
              </w:rPr>
            </w:pPr>
            <w:r w:rsidRPr="008013A7">
              <w:rPr>
                <w:b/>
              </w:rPr>
              <w:t>Guidelines/country/year</w:t>
            </w:r>
          </w:p>
        </w:tc>
        <w:tc>
          <w:tcPr>
            <w:tcW w:w="2137" w:type="dxa"/>
          </w:tcPr>
          <w:p w:rsidR="00A81BD3" w:rsidRPr="008013A7" w:rsidRDefault="00A81BD3" w:rsidP="00D7094B">
            <w:pPr>
              <w:rPr>
                <w:b/>
              </w:rPr>
            </w:pPr>
            <w:r w:rsidRPr="008013A7">
              <w:rPr>
                <w:b/>
              </w:rPr>
              <w:t>Setting/Population/scope</w:t>
            </w:r>
          </w:p>
        </w:tc>
        <w:tc>
          <w:tcPr>
            <w:tcW w:w="2257" w:type="dxa"/>
          </w:tcPr>
          <w:p w:rsidR="00A81BD3" w:rsidRPr="00E86312" w:rsidRDefault="00A81BD3" w:rsidP="00D7094B">
            <w:pPr>
              <w:rPr>
                <w:b/>
              </w:rPr>
            </w:pPr>
            <w:r w:rsidRPr="00E86312">
              <w:rPr>
                <w:b/>
              </w:rPr>
              <w:t>Risk factors included</w:t>
            </w:r>
          </w:p>
        </w:tc>
        <w:tc>
          <w:tcPr>
            <w:tcW w:w="2092" w:type="dxa"/>
          </w:tcPr>
          <w:p w:rsidR="00A81BD3" w:rsidRPr="00E86312" w:rsidRDefault="00A81BD3" w:rsidP="00D7094B">
            <w:pPr>
              <w:rPr>
                <w:b/>
              </w:rPr>
            </w:pPr>
            <w:r>
              <w:rPr>
                <w:b/>
              </w:rPr>
              <w:t>Absolute r</w:t>
            </w:r>
            <w:r w:rsidRPr="00E86312">
              <w:rPr>
                <w:b/>
              </w:rPr>
              <w:t>isk assessment tool</w:t>
            </w:r>
          </w:p>
        </w:tc>
        <w:tc>
          <w:tcPr>
            <w:tcW w:w="6129" w:type="dxa"/>
          </w:tcPr>
          <w:p w:rsidR="00A81BD3" w:rsidRPr="00A6442E" w:rsidRDefault="00A81BD3" w:rsidP="00D7094B">
            <w:pPr>
              <w:rPr>
                <w:b/>
              </w:rPr>
            </w:pPr>
            <w:r w:rsidRPr="00A6442E">
              <w:rPr>
                <w:b/>
              </w:rPr>
              <w:t xml:space="preserve">Suggested </w:t>
            </w:r>
            <w:r>
              <w:rPr>
                <w:b/>
              </w:rPr>
              <w:t xml:space="preserve">lipid lowering </w:t>
            </w:r>
            <w:r w:rsidRPr="00A6442E">
              <w:rPr>
                <w:b/>
              </w:rPr>
              <w:t>management</w:t>
            </w:r>
            <w:r>
              <w:rPr>
                <w:b/>
              </w:rPr>
              <w:t xml:space="preserve"> </w:t>
            </w:r>
          </w:p>
        </w:tc>
      </w:tr>
      <w:tr w:rsidR="00A81BD3" w:rsidTr="00A81BD3">
        <w:tc>
          <w:tcPr>
            <w:tcW w:w="2122" w:type="dxa"/>
          </w:tcPr>
          <w:p w:rsidR="00A81BD3" w:rsidRDefault="00A81BD3" w:rsidP="00A81BD3">
            <w:pPr>
              <w:autoSpaceDE w:val="0"/>
              <w:autoSpaceDN w:val="0"/>
              <w:adjustRightInd w:val="0"/>
            </w:pPr>
            <w:r w:rsidRPr="005E156A">
              <w:t>Cardiovascular disease: risk assessment and reduction, including lipid modification</w:t>
            </w:r>
            <w:r>
              <w:t xml:space="preserve">. </w:t>
            </w:r>
            <w:r w:rsidRPr="00A93CEE">
              <w:rPr>
                <w:i/>
              </w:rPr>
              <w:t>Clinical guideline</w:t>
            </w:r>
            <w:r>
              <w:t xml:space="preserve"> CG181</w:t>
            </w:r>
            <w:r w:rsidRPr="008F346D">
              <w:t xml:space="preserve"> </w:t>
            </w:r>
          </w:p>
          <w:p w:rsidR="00A81BD3" w:rsidRPr="005C721F" w:rsidRDefault="00A81BD3" w:rsidP="00A81BD3">
            <w:pPr>
              <w:autoSpaceDE w:val="0"/>
              <w:autoSpaceDN w:val="0"/>
              <w:adjustRightInd w:val="0"/>
              <w:rPr>
                <w:b/>
              </w:rPr>
            </w:pPr>
            <w:r w:rsidRPr="005C721F">
              <w:rPr>
                <w:b/>
              </w:rPr>
              <w:t xml:space="preserve">July 2014  </w:t>
            </w:r>
          </w:p>
          <w:p w:rsidR="00A81BD3" w:rsidRPr="00CD01D7" w:rsidRDefault="00A81BD3" w:rsidP="00A81BD3">
            <w:pPr>
              <w:autoSpaceDE w:val="0"/>
              <w:autoSpaceDN w:val="0"/>
              <w:adjustRightInd w:val="0"/>
              <w:rPr>
                <w:i/>
              </w:rPr>
            </w:pPr>
            <w:r w:rsidRPr="008F346D">
              <w:rPr>
                <w:color w:val="2E74B5" w:themeColor="accent1" w:themeShade="BF"/>
              </w:rPr>
              <w:t>nice.org.uk/guidance/</w:t>
            </w:r>
            <w:r w:rsidRPr="00CD01D7">
              <w:rPr>
                <w:color w:val="2E74B5" w:themeColor="accent1" w:themeShade="BF"/>
              </w:rPr>
              <w:t>cg181</w:t>
            </w:r>
            <w:r w:rsidRPr="00CD01D7">
              <w:rPr>
                <w:i/>
              </w:rPr>
              <w:t xml:space="preserve"> R</w:t>
            </w:r>
            <w:r w:rsidRPr="00D45DFB">
              <w:rPr>
                <w:i/>
              </w:rPr>
              <w:t xml:space="preserve">eplacement of clinical guidelines </w:t>
            </w:r>
            <w:hyperlink r:id="rId15" w:history="1">
              <w:r w:rsidRPr="00D45DFB">
                <w:rPr>
                  <w:i/>
                </w:rPr>
                <w:t>CG67</w:t>
              </w:r>
            </w:hyperlink>
            <w:r>
              <w:rPr>
                <w:i/>
              </w:rPr>
              <w:t xml:space="preserve"> and </w:t>
            </w:r>
            <w:r w:rsidRPr="00CD01D7">
              <w:rPr>
                <w:i/>
              </w:rPr>
              <w:t>NICE technology appraisal</w:t>
            </w:r>
          </w:p>
          <w:p w:rsidR="00A81BD3" w:rsidRDefault="00A81BD3" w:rsidP="00A81BD3">
            <w:pPr>
              <w:autoSpaceDE w:val="0"/>
              <w:autoSpaceDN w:val="0"/>
              <w:adjustRightInd w:val="0"/>
              <w:rPr>
                <w:color w:val="2E74B5" w:themeColor="accent1" w:themeShade="BF"/>
              </w:rPr>
            </w:pPr>
            <w:r w:rsidRPr="00CD01D7">
              <w:rPr>
                <w:i/>
              </w:rPr>
              <w:t>guidance 94</w:t>
            </w:r>
          </w:p>
          <w:p w:rsidR="00A81BD3" w:rsidRDefault="00A81BD3" w:rsidP="00A81BD3">
            <w:pPr>
              <w:autoSpaceDE w:val="0"/>
              <w:autoSpaceDN w:val="0"/>
              <w:adjustRightInd w:val="0"/>
              <w:rPr>
                <w:color w:val="2E74B5" w:themeColor="accent1" w:themeShade="BF"/>
              </w:rPr>
            </w:pPr>
          </w:p>
          <w:p w:rsidR="00A81BD3" w:rsidRPr="005C721F" w:rsidRDefault="00A81BD3" w:rsidP="00A81BD3">
            <w:pPr>
              <w:autoSpaceDE w:val="0"/>
              <w:autoSpaceDN w:val="0"/>
              <w:adjustRightInd w:val="0"/>
              <w:rPr>
                <w:color w:val="2E74B5" w:themeColor="accent1" w:themeShade="BF"/>
              </w:rPr>
            </w:pPr>
          </w:p>
        </w:tc>
        <w:tc>
          <w:tcPr>
            <w:tcW w:w="2137" w:type="dxa"/>
          </w:tcPr>
          <w:p w:rsidR="00A81BD3" w:rsidRDefault="00A81BD3" w:rsidP="00A81BD3">
            <w:pPr>
              <w:autoSpaceDE w:val="0"/>
              <w:autoSpaceDN w:val="0"/>
              <w:adjustRightInd w:val="0"/>
            </w:pPr>
            <w:r>
              <w:t>P</w:t>
            </w:r>
            <w:r w:rsidRPr="0056357C">
              <w:t>eople at risk of cardiovascular disease</w:t>
            </w:r>
            <w:r>
              <w:t xml:space="preserve"> (except p</w:t>
            </w:r>
            <w:r w:rsidRPr="0056357C">
              <w:t>eople on renal replacement therapy</w:t>
            </w:r>
            <w:r>
              <w:t xml:space="preserve">). </w:t>
            </w:r>
            <w:r w:rsidRPr="0056357C">
              <w:t xml:space="preserve"> </w:t>
            </w:r>
            <w:r>
              <w:t xml:space="preserve">Guidelines differentiate between </w:t>
            </w:r>
            <w:r w:rsidRPr="00E25F91">
              <w:rPr>
                <w:b/>
              </w:rPr>
              <w:t>p</w:t>
            </w:r>
            <w:r w:rsidR="008A5119">
              <w:rPr>
                <w:b/>
              </w:rPr>
              <w:t>rimary and secondary prevention populations</w:t>
            </w:r>
          </w:p>
        </w:tc>
        <w:tc>
          <w:tcPr>
            <w:tcW w:w="2257" w:type="dxa"/>
          </w:tcPr>
          <w:p w:rsidR="00A81BD3" w:rsidRDefault="00A81BD3" w:rsidP="00A81BD3">
            <w:pPr>
              <w:autoSpaceDE w:val="0"/>
              <w:autoSpaceDN w:val="0"/>
              <w:adjustRightInd w:val="0"/>
            </w:pPr>
            <w:r w:rsidRPr="000957AB">
              <w:t xml:space="preserve">None of the risk factors </w:t>
            </w:r>
            <w:r>
              <w:t>were explicitly identified, the emphasis is paid to the factors that can result in the underestimation of the  QRISK2 risk assessment score:</w:t>
            </w:r>
          </w:p>
          <w:p w:rsidR="00A81BD3" w:rsidRDefault="00A81BD3" w:rsidP="00A81BD3">
            <w:pPr>
              <w:autoSpaceDE w:val="0"/>
              <w:autoSpaceDN w:val="0"/>
              <w:adjustRightInd w:val="0"/>
            </w:pPr>
            <w:r>
              <w:t>People being treated for HIV</w:t>
            </w:r>
          </w:p>
          <w:p w:rsidR="00A81BD3" w:rsidRDefault="00A81BD3" w:rsidP="00A81BD3">
            <w:pPr>
              <w:autoSpaceDE w:val="0"/>
              <w:autoSpaceDN w:val="0"/>
              <w:adjustRightInd w:val="0"/>
            </w:pPr>
          </w:p>
          <w:p w:rsidR="00A81BD3" w:rsidRDefault="00A81BD3" w:rsidP="00A81BD3">
            <w:pPr>
              <w:autoSpaceDE w:val="0"/>
              <w:autoSpaceDN w:val="0"/>
              <w:adjustRightInd w:val="0"/>
            </w:pPr>
            <w:r>
              <w:t>-People with serious mental health problems</w:t>
            </w:r>
          </w:p>
          <w:p w:rsidR="00A81BD3" w:rsidRDefault="00A81BD3" w:rsidP="00A81BD3">
            <w:pPr>
              <w:autoSpaceDE w:val="0"/>
              <w:autoSpaceDN w:val="0"/>
              <w:adjustRightInd w:val="0"/>
            </w:pPr>
          </w:p>
          <w:p w:rsidR="00A81BD3" w:rsidRDefault="00A81BD3" w:rsidP="00A81BD3">
            <w:pPr>
              <w:autoSpaceDE w:val="0"/>
              <w:autoSpaceDN w:val="0"/>
              <w:adjustRightInd w:val="0"/>
            </w:pPr>
            <w:r>
              <w:t>-People taking drugs that can cause dyslipidaemia such as antipsychotic drugs, corticosteroids, or immunosuppressants</w:t>
            </w:r>
          </w:p>
          <w:p w:rsidR="00A81BD3" w:rsidRDefault="00A81BD3" w:rsidP="00A81BD3">
            <w:pPr>
              <w:autoSpaceDE w:val="0"/>
              <w:autoSpaceDN w:val="0"/>
              <w:adjustRightInd w:val="0"/>
            </w:pPr>
          </w:p>
          <w:p w:rsidR="00A81BD3" w:rsidRDefault="00A81BD3" w:rsidP="00A81BD3">
            <w:pPr>
              <w:autoSpaceDE w:val="0"/>
              <w:autoSpaceDN w:val="0"/>
              <w:adjustRightInd w:val="0"/>
            </w:pPr>
            <w:r>
              <w:t>-People with systemic inflammatory disorders such as systemic lupus erythematosus</w:t>
            </w:r>
          </w:p>
          <w:p w:rsidR="00A81BD3" w:rsidRDefault="00A81BD3" w:rsidP="00A81BD3">
            <w:pPr>
              <w:autoSpaceDE w:val="0"/>
              <w:autoSpaceDN w:val="0"/>
              <w:adjustRightInd w:val="0"/>
            </w:pPr>
          </w:p>
          <w:p w:rsidR="00A81BD3" w:rsidRDefault="00A81BD3" w:rsidP="00A81BD3">
            <w:pPr>
              <w:autoSpaceDE w:val="0"/>
              <w:autoSpaceDN w:val="0"/>
              <w:adjustRightInd w:val="0"/>
            </w:pPr>
            <w:r>
              <w:t xml:space="preserve">-People who are already taking </w:t>
            </w:r>
            <w:r w:rsidR="003157B6">
              <w:t>antihypertensive</w:t>
            </w:r>
            <w:r>
              <w:t xml:space="preserve"> or lipid modifying drugs</w:t>
            </w:r>
          </w:p>
          <w:p w:rsidR="00A81BD3" w:rsidRDefault="00A81BD3" w:rsidP="00A81BD3">
            <w:pPr>
              <w:autoSpaceDE w:val="0"/>
              <w:autoSpaceDN w:val="0"/>
              <w:adjustRightInd w:val="0"/>
            </w:pPr>
          </w:p>
          <w:p w:rsidR="00A81BD3" w:rsidRDefault="00A81BD3" w:rsidP="00A81BD3">
            <w:pPr>
              <w:autoSpaceDE w:val="0"/>
              <w:autoSpaceDN w:val="0"/>
              <w:adjustRightInd w:val="0"/>
            </w:pPr>
            <w:r>
              <w:t>-People who have recently stopped smoking</w:t>
            </w:r>
          </w:p>
          <w:p w:rsidR="00A81BD3" w:rsidRDefault="00A81BD3" w:rsidP="00A81BD3">
            <w:pPr>
              <w:autoSpaceDE w:val="0"/>
              <w:autoSpaceDN w:val="0"/>
              <w:adjustRightInd w:val="0"/>
            </w:pPr>
          </w:p>
          <w:p w:rsidR="00A81BD3" w:rsidRPr="005736AB" w:rsidRDefault="00A81BD3" w:rsidP="00A81BD3">
            <w:pPr>
              <w:autoSpaceDE w:val="0"/>
              <w:autoSpaceDN w:val="0"/>
              <w:adjustRightInd w:val="0"/>
              <w:rPr>
                <w:highlight w:val="yellow"/>
              </w:rPr>
            </w:pPr>
            <w:r>
              <w:t>-Severely obese people (body mass index greater than 40).</w:t>
            </w:r>
          </w:p>
        </w:tc>
        <w:tc>
          <w:tcPr>
            <w:tcW w:w="2092" w:type="dxa"/>
          </w:tcPr>
          <w:p w:rsidR="00A81BD3" w:rsidRDefault="00A45E3C" w:rsidP="00A81BD3">
            <w:pPr>
              <w:autoSpaceDE w:val="0"/>
              <w:autoSpaceDN w:val="0"/>
              <w:adjustRightInd w:val="0"/>
            </w:pPr>
            <w:r>
              <w:t xml:space="preserve">The 10 year </w:t>
            </w:r>
            <w:r w:rsidR="00A81BD3">
              <w:t xml:space="preserve">QRISK2 risk assessment tool is used to assess CVD risk </w:t>
            </w:r>
            <w:r w:rsidR="00A81BD3" w:rsidRPr="00930F31">
              <w:rPr>
                <w:b/>
              </w:rPr>
              <w:t>for the primary prevention</w:t>
            </w:r>
            <w:r w:rsidR="00A81BD3">
              <w:t xml:space="preserve"> of CVD in people ≤84 years, based on their risk profile in medical records. QRISK2 risk assessment tool is not suitable for people with </w:t>
            </w:r>
            <w:r w:rsidR="00A81BD3" w:rsidRPr="00C249DA">
              <w:t>familial hyper</w:t>
            </w:r>
            <w:r w:rsidR="00A81BD3">
              <w:t>-</w:t>
            </w:r>
            <w:r w:rsidR="00A81BD3" w:rsidRPr="00C249DA">
              <w:t>cholesterolaemia</w:t>
            </w:r>
            <w:r w:rsidR="00A81BD3">
              <w:t>; type 1 diabetes or in people with (eGFR) ≤60 ml/min/1.73m2 and/or albuminuria</w:t>
            </w:r>
            <w:r w:rsidR="00175885">
              <w:t xml:space="preserve"> and </w:t>
            </w:r>
          </w:p>
          <w:p w:rsidR="00A81BD3" w:rsidRDefault="00175885" w:rsidP="00A81BD3">
            <w:pPr>
              <w:autoSpaceDE w:val="0"/>
              <w:autoSpaceDN w:val="0"/>
              <w:adjustRightInd w:val="0"/>
            </w:pPr>
            <w:r>
              <w:t>p</w:t>
            </w:r>
            <w:r w:rsidR="00A81BD3">
              <w:t>re-existing CVD</w:t>
            </w:r>
          </w:p>
          <w:p w:rsidR="00A81BD3" w:rsidRDefault="00A81BD3" w:rsidP="00A81BD3">
            <w:pPr>
              <w:autoSpaceDE w:val="0"/>
              <w:autoSpaceDN w:val="0"/>
              <w:adjustRightInd w:val="0"/>
            </w:pPr>
          </w:p>
          <w:p w:rsidR="00A81BD3" w:rsidRDefault="00A81BD3" w:rsidP="00A81BD3">
            <w:pPr>
              <w:autoSpaceDE w:val="0"/>
              <w:autoSpaceDN w:val="0"/>
              <w:adjustRightInd w:val="0"/>
            </w:pPr>
            <w:r>
              <w:t xml:space="preserve">Threshold for the high risk </w:t>
            </w:r>
            <w:r w:rsidRPr="003B322A">
              <w:t>of CVD is 10%</w:t>
            </w:r>
            <w:r>
              <w:t xml:space="preserve"> over </w:t>
            </w:r>
            <w:r w:rsidRPr="003B322A">
              <w:t>10</w:t>
            </w:r>
            <w:r>
              <w:t xml:space="preserve"> </w:t>
            </w:r>
            <w:r w:rsidRPr="003B322A">
              <w:t>year</w:t>
            </w:r>
            <w:r>
              <w:t>s</w:t>
            </w:r>
            <w:r w:rsidRPr="003B322A">
              <w:t xml:space="preserve"> </w:t>
            </w:r>
          </w:p>
        </w:tc>
        <w:tc>
          <w:tcPr>
            <w:tcW w:w="6129" w:type="dxa"/>
          </w:tcPr>
          <w:p w:rsidR="00A81BD3" w:rsidRDefault="00A81BD3" w:rsidP="00A81BD3">
            <w:pPr>
              <w:autoSpaceDE w:val="0"/>
              <w:autoSpaceDN w:val="0"/>
              <w:adjustRightInd w:val="0"/>
            </w:pPr>
            <w:r>
              <w:t>Before starting lipid modification therapy for the primary prevention of CVD, measure a full lipid profile including measurement of TC, HDL-C, non-HDL cholesterol, and triglyceride concentrations. A fasting sample is not needed.</w:t>
            </w:r>
          </w:p>
          <w:p w:rsidR="00A81BD3" w:rsidRDefault="00A81BD3" w:rsidP="00A81BD3">
            <w:pPr>
              <w:autoSpaceDE w:val="0"/>
              <w:autoSpaceDN w:val="0"/>
              <w:adjustRightInd w:val="0"/>
            </w:pPr>
            <w:r w:rsidRPr="00851672">
              <w:rPr>
                <w:b/>
              </w:rPr>
              <w:t>For the primary prevention of CVD</w:t>
            </w:r>
            <w:r>
              <w:t xml:space="preserve"> </w:t>
            </w:r>
          </w:p>
          <w:p w:rsidR="00A81BD3" w:rsidRDefault="00A81BD3" w:rsidP="00A81BD3">
            <w:pPr>
              <w:autoSpaceDE w:val="0"/>
              <w:autoSpaceDN w:val="0"/>
              <w:adjustRightInd w:val="0"/>
            </w:pPr>
            <w:r w:rsidRPr="002E6FB0">
              <w:t xml:space="preserve">Discuss the benefits of lifestyle modification and offer statins </w:t>
            </w:r>
            <w:r>
              <w:t xml:space="preserve">after the patients </w:t>
            </w:r>
            <w:r w:rsidRPr="002E6FB0">
              <w:t>have tried to change their lifestyle</w:t>
            </w:r>
            <w:r>
              <w:t>.</w:t>
            </w:r>
            <w:r w:rsidRPr="002E6FB0">
              <w:t xml:space="preserve"> </w:t>
            </w:r>
          </w:p>
          <w:p w:rsidR="00A81BD3" w:rsidRDefault="00A81BD3" w:rsidP="00A81BD3">
            <w:pPr>
              <w:autoSpaceDE w:val="0"/>
              <w:autoSpaceDN w:val="0"/>
              <w:adjustRightInd w:val="0"/>
            </w:pPr>
            <w:r>
              <w:t>Offer statin treatment after [a repeated] risk assessment to adults with type 1 diabetes; type 2 diabetes and CKD (</w:t>
            </w:r>
            <w:r w:rsidRPr="004507AF">
              <w:rPr>
                <w:i/>
              </w:rPr>
              <w:t>if some specific conditions are met</w:t>
            </w:r>
            <w:r>
              <w:t>)</w:t>
            </w:r>
          </w:p>
          <w:p w:rsidR="00A81BD3" w:rsidRDefault="00A81BD3" w:rsidP="00A81BD3">
            <w:pPr>
              <w:autoSpaceDE w:val="0"/>
              <w:autoSpaceDN w:val="0"/>
              <w:adjustRightInd w:val="0"/>
            </w:pPr>
            <w:r>
              <w:t>Start statin treatment with</w:t>
            </w:r>
          </w:p>
          <w:p w:rsidR="00A81BD3" w:rsidRDefault="00A81BD3" w:rsidP="00A81BD3">
            <w:pPr>
              <w:pStyle w:val="ListParagraph"/>
              <w:numPr>
                <w:ilvl w:val="0"/>
                <w:numId w:val="10"/>
              </w:numPr>
              <w:autoSpaceDE w:val="0"/>
              <w:autoSpaceDN w:val="0"/>
              <w:adjustRightInd w:val="0"/>
            </w:pPr>
            <w:r>
              <w:t xml:space="preserve">atorvastatin 20 mg </w:t>
            </w:r>
          </w:p>
          <w:p w:rsidR="00A81BD3" w:rsidRDefault="00A81BD3" w:rsidP="00A81BD3">
            <w:pPr>
              <w:autoSpaceDE w:val="0"/>
              <w:autoSpaceDN w:val="0"/>
              <w:adjustRightInd w:val="0"/>
            </w:pPr>
            <w:r>
              <w:t>for other categories of people with≥ 10% 10-year risk of developing CVD  discuss the benefits of lifestyle modification and optimise the management of all other modifiable CVD risk factors if possible;</w:t>
            </w:r>
          </w:p>
          <w:p w:rsidR="00A81BD3" w:rsidRDefault="00A81BD3" w:rsidP="00A81BD3">
            <w:pPr>
              <w:autoSpaceDE w:val="0"/>
              <w:autoSpaceDN w:val="0"/>
              <w:adjustRightInd w:val="0"/>
            </w:pPr>
            <w:r>
              <w:t>If lifestyle modification is ineffective or inappropriate</w:t>
            </w:r>
          </w:p>
          <w:p w:rsidR="00A81BD3" w:rsidRDefault="00A81BD3" w:rsidP="00A81BD3">
            <w:pPr>
              <w:autoSpaceDE w:val="0"/>
              <w:autoSpaceDN w:val="0"/>
              <w:adjustRightInd w:val="0"/>
            </w:pPr>
            <w:r>
              <w:t>start statin treatment with</w:t>
            </w:r>
          </w:p>
          <w:p w:rsidR="00A81BD3" w:rsidRDefault="00A81BD3" w:rsidP="00A81BD3">
            <w:pPr>
              <w:pStyle w:val="ListParagraph"/>
              <w:numPr>
                <w:ilvl w:val="0"/>
                <w:numId w:val="10"/>
              </w:numPr>
              <w:autoSpaceDE w:val="0"/>
              <w:autoSpaceDN w:val="0"/>
              <w:adjustRightInd w:val="0"/>
            </w:pPr>
            <w:r>
              <w:t xml:space="preserve">atorvastatin 20 mg </w:t>
            </w:r>
          </w:p>
          <w:p w:rsidR="00A81BD3" w:rsidRPr="00DC6BBF" w:rsidRDefault="00DC6BBF" w:rsidP="00A81BD3">
            <w:pPr>
              <w:autoSpaceDE w:val="0"/>
              <w:autoSpaceDN w:val="0"/>
              <w:adjustRightInd w:val="0"/>
            </w:pPr>
            <w:r>
              <w:t xml:space="preserve"> </w:t>
            </w:r>
            <w:r w:rsidR="00A81BD3" w:rsidRPr="00851672">
              <w:rPr>
                <w:b/>
              </w:rPr>
              <w:t xml:space="preserve">For people with CVD  (secondary prevention) </w:t>
            </w:r>
          </w:p>
          <w:p w:rsidR="00A81BD3" w:rsidRDefault="00A81BD3" w:rsidP="00A81BD3">
            <w:pPr>
              <w:autoSpaceDE w:val="0"/>
              <w:autoSpaceDN w:val="0"/>
              <w:adjustRightInd w:val="0"/>
            </w:pPr>
            <w:r w:rsidRPr="009908D9">
              <w:t xml:space="preserve">Do not delay statin treatment in secondary </w:t>
            </w:r>
            <w:r>
              <w:t xml:space="preserve">prevention to manage modifiable </w:t>
            </w:r>
            <w:r w:rsidRPr="009908D9">
              <w:t>risk factors</w:t>
            </w:r>
            <w:r>
              <w:t>;</w:t>
            </w:r>
          </w:p>
          <w:p w:rsidR="00A81BD3" w:rsidRPr="009908D9" w:rsidRDefault="00A81BD3" w:rsidP="00A81BD3">
            <w:pPr>
              <w:autoSpaceDE w:val="0"/>
              <w:autoSpaceDN w:val="0"/>
              <w:adjustRightInd w:val="0"/>
            </w:pPr>
            <w:r>
              <w:t>Do not delay statin treatment i</w:t>
            </w:r>
            <w:r w:rsidRPr="009908D9">
              <w:t>f a per</w:t>
            </w:r>
            <w:r>
              <w:t>son has acute coronary syndrome. Start statin treatment with</w:t>
            </w:r>
          </w:p>
          <w:p w:rsidR="00A81BD3" w:rsidRDefault="00A81BD3" w:rsidP="00A81BD3">
            <w:pPr>
              <w:pStyle w:val="ListParagraph"/>
              <w:numPr>
                <w:ilvl w:val="0"/>
                <w:numId w:val="10"/>
              </w:numPr>
              <w:autoSpaceDE w:val="0"/>
              <w:autoSpaceDN w:val="0"/>
              <w:adjustRightInd w:val="0"/>
            </w:pPr>
            <w:r w:rsidRPr="00E43006">
              <w:t>atorvastatin 80 mg</w:t>
            </w:r>
            <w:r>
              <w:t xml:space="preserve"> or</w:t>
            </w:r>
          </w:p>
          <w:p w:rsidR="00A81BD3" w:rsidRDefault="00A81BD3" w:rsidP="00A81BD3">
            <w:pPr>
              <w:pStyle w:val="ListParagraph"/>
              <w:numPr>
                <w:ilvl w:val="0"/>
                <w:numId w:val="10"/>
              </w:numPr>
              <w:autoSpaceDE w:val="0"/>
              <w:autoSpaceDN w:val="0"/>
              <w:adjustRightInd w:val="0"/>
            </w:pPr>
            <w:r>
              <w:t>a lower dose if potential drug interactions and/or high risk of adverse effects are likely</w:t>
            </w:r>
          </w:p>
          <w:p w:rsidR="00A81BD3" w:rsidRDefault="00A81BD3" w:rsidP="00A81BD3">
            <w:pPr>
              <w:autoSpaceDE w:val="0"/>
              <w:autoSpaceDN w:val="0"/>
              <w:adjustRightInd w:val="0"/>
            </w:pPr>
            <w:r>
              <w:t xml:space="preserve">Measure TC, HDL-C and non-HDL cholesterol at 3 months of high-intensity treatment and aim for ≥ 40% reduction in non-HDL cholesterol. If ≥ 40% reduction in non-HDL cholesterol is not achieved: discuss adherence and timing of dose; optimise adherence to diet and lifestyle measures; consider increasing </w:t>
            </w:r>
            <w:r w:rsidR="00D13D5A">
              <w:t xml:space="preserve">the </w:t>
            </w:r>
            <w:r>
              <w:t>dose if started on less than atorvastatin 80 mg and the person is judged to be at higher risk because of comorbidities, risk score or using clinical judgement.</w:t>
            </w:r>
          </w:p>
          <w:p w:rsidR="00A81BD3" w:rsidRDefault="00A81BD3" w:rsidP="00A81BD3">
            <w:pPr>
              <w:autoSpaceDE w:val="0"/>
              <w:autoSpaceDN w:val="0"/>
              <w:adjustRightInd w:val="0"/>
            </w:pPr>
            <w:r w:rsidRPr="001975E2">
              <w:rPr>
                <w:b/>
              </w:rPr>
              <w:t>When people who are stable on a low- or middle-intensity statin</w:t>
            </w:r>
            <w:r>
              <w:t>, discuss the likely benefits and potential risks of changing to a high-intensity statin when they have an annual medication review and agree with the person whether a change is needed.</w:t>
            </w:r>
          </w:p>
          <w:p w:rsidR="00A81BD3" w:rsidRPr="000C478C" w:rsidRDefault="00A81BD3" w:rsidP="00A81BD3">
            <w:pPr>
              <w:autoSpaceDE w:val="0"/>
              <w:autoSpaceDN w:val="0"/>
              <w:adjustRightInd w:val="0"/>
              <w:rPr>
                <w:b/>
              </w:rPr>
            </w:pPr>
            <w:r w:rsidRPr="000C478C">
              <w:rPr>
                <w:b/>
              </w:rPr>
              <w:t>Statin intolerance</w:t>
            </w:r>
          </w:p>
          <w:p w:rsidR="00A81BD3" w:rsidRDefault="00A81BD3" w:rsidP="00A81BD3">
            <w:pPr>
              <w:autoSpaceDE w:val="0"/>
              <w:autoSpaceDN w:val="0"/>
              <w:adjustRightInd w:val="0"/>
            </w:pPr>
            <w:r>
              <w:t>• Stop the statin and try again when the symptoms have resolved to check if the symptoms are related to the statin</w:t>
            </w:r>
          </w:p>
          <w:p w:rsidR="00A81BD3" w:rsidRDefault="00A81BD3" w:rsidP="00A81BD3">
            <w:pPr>
              <w:autoSpaceDE w:val="0"/>
              <w:autoSpaceDN w:val="0"/>
              <w:adjustRightInd w:val="0"/>
            </w:pPr>
            <w:r>
              <w:t>• Reducing the dose within the same intensity group</w:t>
            </w:r>
          </w:p>
          <w:p w:rsidR="00A81BD3" w:rsidRDefault="00A81BD3" w:rsidP="00A81BD3">
            <w:pPr>
              <w:autoSpaceDE w:val="0"/>
              <w:autoSpaceDN w:val="0"/>
              <w:adjustRightInd w:val="0"/>
            </w:pPr>
            <w:r>
              <w:t>• Changing the statin to a lower intensity group.</w:t>
            </w:r>
          </w:p>
          <w:p w:rsidR="00A81BD3" w:rsidRPr="001975E2" w:rsidRDefault="00A81BD3" w:rsidP="00A81BD3">
            <w:pPr>
              <w:autoSpaceDE w:val="0"/>
              <w:autoSpaceDN w:val="0"/>
              <w:adjustRightInd w:val="0"/>
              <w:rPr>
                <w:b/>
              </w:rPr>
            </w:pPr>
            <w:r w:rsidRPr="001975E2">
              <w:rPr>
                <w:b/>
              </w:rPr>
              <w:t>Combination therapy for preventing CVD</w:t>
            </w:r>
          </w:p>
          <w:p w:rsidR="00A81BD3" w:rsidRDefault="00A81BD3" w:rsidP="00A81BD3">
            <w:pPr>
              <w:autoSpaceDE w:val="0"/>
              <w:autoSpaceDN w:val="0"/>
              <w:adjustRightInd w:val="0"/>
            </w:pPr>
            <w:r>
              <w:t>Do not offer the combination of a bile acid sequestrant (anion exchange resin), fibrate, nicotinic acid or omega-3 fatty acid compound with a statin for the</w:t>
            </w:r>
          </w:p>
          <w:p w:rsidR="00A81BD3" w:rsidRDefault="00A81BD3" w:rsidP="00A81BD3">
            <w:pPr>
              <w:autoSpaceDE w:val="0"/>
              <w:autoSpaceDN w:val="0"/>
              <w:adjustRightInd w:val="0"/>
            </w:pPr>
            <w:r>
              <w:t>primary or secondary prevention of CVD</w:t>
            </w:r>
          </w:p>
          <w:p w:rsidR="00A81BD3" w:rsidRPr="005736AB" w:rsidRDefault="00A81BD3" w:rsidP="00A81BD3">
            <w:pPr>
              <w:autoSpaceDE w:val="0"/>
              <w:autoSpaceDN w:val="0"/>
              <w:adjustRightInd w:val="0"/>
              <w:rPr>
                <w:b/>
              </w:rPr>
            </w:pPr>
            <w:r w:rsidRPr="005736AB">
              <w:rPr>
                <w:b/>
              </w:rPr>
              <w:t>Ezetimibe treatment</w:t>
            </w:r>
          </w:p>
          <w:p w:rsidR="00A81BD3" w:rsidRDefault="00E272E4" w:rsidP="00A81BD3">
            <w:pPr>
              <w:autoSpaceDE w:val="0"/>
              <w:autoSpaceDN w:val="0"/>
              <w:adjustRightInd w:val="0"/>
            </w:pPr>
            <w:r>
              <w:t>E</w:t>
            </w:r>
            <w:r w:rsidR="00A81BD3">
              <w:t xml:space="preserve">zetimibe treatment </w:t>
            </w:r>
            <w:r>
              <w:t xml:space="preserve">is initiated </w:t>
            </w:r>
            <w:r w:rsidR="00A81BD3">
              <w:t>in line with ezetimibe for the treatment of primary hyper-cholesterolaemia guidelines (</w:t>
            </w:r>
            <w:r w:rsidR="00A81BD3" w:rsidRPr="004507AF">
              <w:rPr>
                <w:i/>
              </w:rPr>
              <w:t>TA385, replacing TA132</w:t>
            </w:r>
            <w:r w:rsidR="00A81BD3">
              <w:t xml:space="preserve">). </w:t>
            </w:r>
          </w:p>
        </w:tc>
      </w:tr>
    </w:tbl>
    <w:p w:rsidR="00DC6BBF" w:rsidRDefault="00DC6BBF"/>
    <w:p w:rsidR="00C329C1" w:rsidRDefault="00C329C1"/>
    <w:p w:rsidR="00175885" w:rsidRDefault="00175885"/>
    <w:p w:rsidR="006A3829" w:rsidRDefault="006A3829"/>
    <w:p w:rsidR="00C329C1" w:rsidRDefault="00C329C1"/>
    <w:p w:rsidR="00DC6BBF" w:rsidRPr="004C7457" w:rsidRDefault="00DC6BBF" w:rsidP="00D7094B">
      <w:pPr>
        <w:pStyle w:val="Heading3"/>
        <w:rPr>
          <w:rFonts w:eastAsia="Times New Roman"/>
          <w:lang w:eastAsia="en-AU"/>
        </w:rPr>
      </w:pPr>
      <w:bookmarkStart w:id="15" w:name="_Toc461644664"/>
      <w:r w:rsidRPr="004C7457">
        <w:rPr>
          <w:rFonts w:eastAsia="Times New Roman"/>
          <w:lang w:eastAsia="en-AU"/>
        </w:rPr>
        <w:t xml:space="preserve">Table </w:t>
      </w:r>
      <w:r w:rsidR="00C87AC5">
        <w:rPr>
          <w:rFonts w:eastAsia="Times New Roman"/>
          <w:lang w:eastAsia="en-AU"/>
        </w:rPr>
        <w:t>4</w:t>
      </w:r>
      <w:r>
        <w:rPr>
          <w:rFonts w:eastAsia="Times New Roman"/>
          <w:lang w:eastAsia="en-AU"/>
        </w:rPr>
        <w:t>.2</w:t>
      </w:r>
      <w:r w:rsidRPr="004C7457">
        <w:rPr>
          <w:rFonts w:eastAsia="Times New Roman"/>
          <w:lang w:eastAsia="en-AU"/>
        </w:rPr>
        <w:t xml:space="preserve"> </w:t>
      </w:r>
      <w:r w:rsidR="008A5119">
        <w:rPr>
          <w:rFonts w:eastAsia="Times New Roman"/>
          <w:lang w:eastAsia="en-AU"/>
        </w:rPr>
        <w:t xml:space="preserve">the 2016 </w:t>
      </w:r>
      <w:r w:rsidRPr="00DC6BBF">
        <w:rPr>
          <w:rFonts w:eastAsia="Times New Roman"/>
          <w:lang w:eastAsia="en-AU"/>
        </w:rPr>
        <w:t>National Institute for Health and Care Excellence (NICE)</w:t>
      </w:r>
      <w:r>
        <w:rPr>
          <w:rFonts w:eastAsia="Times New Roman"/>
          <w:lang w:eastAsia="en-AU"/>
        </w:rPr>
        <w:t xml:space="preserve"> ezetimibe</w:t>
      </w:r>
      <w:r w:rsidRPr="00DC6BBF">
        <w:rPr>
          <w:rFonts w:eastAsia="Times New Roman"/>
          <w:lang w:eastAsia="en-AU"/>
        </w:rPr>
        <w:t xml:space="preserve"> </w:t>
      </w:r>
      <w:r>
        <w:rPr>
          <w:rFonts w:eastAsia="Times New Roman"/>
          <w:lang w:eastAsia="en-AU"/>
        </w:rPr>
        <w:t>technology appraisal</w:t>
      </w:r>
      <w:r w:rsidR="00C329C1">
        <w:rPr>
          <w:rFonts w:eastAsia="Times New Roman"/>
          <w:lang w:eastAsia="en-AU"/>
        </w:rPr>
        <w:t xml:space="preserve"> </w:t>
      </w:r>
      <w:r w:rsidR="00C329C1" w:rsidRPr="00C329C1">
        <w:rPr>
          <w:rFonts w:eastAsia="Times New Roman"/>
          <w:lang w:eastAsia="en-AU"/>
        </w:rPr>
        <w:t>guidance [TA385]</w:t>
      </w:r>
      <w:r w:rsidR="00A6314D">
        <w:rPr>
          <w:rFonts w:eastAsia="Times New Roman"/>
          <w:lang w:eastAsia="en-AU"/>
        </w:rPr>
        <w:t>.</w:t>
      </w:r>
      <w:bookmarkEnd w:id="15"/>
    </w:p>
    <w:tbl>
      <w:tblPr>
        <w:tblStyle w:val="TableGrid"/>
        <w:tblpPr w:leftFromText="180" w:rightFromText="180" w:vertAnchor="text" w:horzAnchor="margin" w:tblpY="145"/>
        <w:tblW w:w="14737" w:type="dxa"/>
        <w:tblLayout w:type="fixed"/>
        <w:tblLook w:val="04A0" w:firstRow="1" w:lastRow="0" w:firstColumn="1" w:lastColumn="0" w:noHBand="0" w:noVBand="1"/>
      </w:tblPr>
      <w:tblGrid>
        <w:gridCol w:w="2122"/>
        <w:gridCol w:w="2137"/>
        <w:gridCol w:w="2257"/>
        <w:gridCol w:w="2092"/>
        <w:gridCol w:w="6129"/>
      </w:tblGrid>
      <w:tr w:rsidR="00E6731F" w:rsidTr="00A81BD3">
        <w:tc>
          <w:tcPr>
            <w:tcW w:w="2122" w:type="dxa"/>
          </w:tcPr>
          <w:p w:rsidR="00E6731F" w:rsidRPr="008013A7" w:rsidRDefault="00E6731F" w:rsidP="00E6731F">
            <w:pPr>
              <w:ind w:right="-108"/>
              <w:rPr>
                <w:b/>
              </w:rPr>
            </w:pPr>
            <w:r w:rsidRPr="008013A7">
              <w:rPr>
                <w:b/>
              </w:rPr>
              <w:t>Guidelines</w:t>
            </w:r>
            <w:r>
              <w:rPr>
                <w:b/>
              </w:rPr>
              <w:t>/Technical appraisal /year</w:t>
            </w:r>
          </w:p>
        </w:tc>
        <w:tc>
          <w:tcPr>
            <w:tcW w:w="2137" w:type="dxa"/>
          </w:tcPr>
          <w:p w:rsidR="00E6731F" w:rsidRPr="008013A7" w:rsidRDefault="00E6731F" w:rsidP="00E6731F">
            <w:pPr>
              <w:rPr>
                <w:b/>
              </w:rPr>
            </w:pPr>
            <w:r w:rsidRPr="008013A7">
              <w:rPr>
                <w:b/>
              </w:rPr>
              <w:t>Population/scope</w:t>
            </w:r>
          </w:p>
        </w:tc>
        <w:tc>
          <w:tcPr>
            <w:tcW w:w="2257" w:type="dxa"/>
          </w:tcPr>
          <w:p w:rsidR="00E6731F" w:rsidRPr="00E86312" w:rsidRDefault="00E6731F" w:rsidP="00E6731F">
            <w:pPr>
              <w:rPr>
                <w:b/>
              </w:rPr>
            </w:pPr>
            <w:r w:rsidRPr="00E86312">
              <w:rPr>
                <w:b/>
              </w:rPr>
              <w:t>Risk factors included</w:t>
            </w:r>
          </w:p>
        </w:tc>
        <w:tc>
          <w:tcPr>
            <w:tcW w:w="2092" w:type="dxa"/>
          </w:tcPr>
          <w:p w:rsidR="00E6731F" w:rsidRPr="00E86312" w:rsidRDefault="00E6731F" w:rsidP="00E6731F">
            <w:pPr>
              <w:rPr>
                <w:b/>
              </w:rPr>
            </w:pPr>
            <w:r>
              <w:rPr>
                <w:b/>
              </w:rPr>
              <w:t>Absolute r</w:t>
            </w:r>
            <w:r w:rsidRPr="00E86312">
              <w:rPr>
                <w:b/>
              </w:rPr>
              <w:t>isk assessment tool</w:t>
            </w:r>
          </w:p>
        </w:tc>
        <w:tc>
          <w:tcPr>
            <w:tcW w:w="6129" w:type="dxa"/>
          </w:tcPr>
          <w:p w:rsidR="00E6731F" w:rsidRPr="00A6442E" w:rsidRDefault="00E6731F" w:rsidP="00E6731F">
            <w:pPr>
              <w:rPr>
                <w:b/>
              </w:rPr>
            </w:pPr>
            <w:r w:rsidRPr="00A6442E">
              <w:rPr>
                <w:b/>
              </w:rPr>
              <w:t xml:space="preserve">Suggested </w:t>
            </w:r>
            <w:r>
              <w:rPr>
                <w:b/>
              </w:rPr>
              <w:t xml:space="preserve">lipid lowering </w:t>
            </w:r>
            <w:r w:rsidRPr="00A6442E">
              <w:rPr>
                <w:b/>
              </w:rPr>
              <w:t>management</w:t>
            </w:r>
            <w:r>
              <w:rPr>
                <w:b/>
              </w:rPr>
              <w:t xml:space="preserve"> </w:t>
            </w:r>
          </w:p>
        </w:tc>
      </w:tr>
      <w:tr w:rsidR="00E6731F" w:rsidTr="00A81BD3">
        <w:tc>
          <w:tcPr>
            <w:tcW w:w="2122" w:type="dxa"/>
          </w:tcPr>
          <w:p w:rsidR="00E6731F" w:rsidRPr="00175885" w:rsidRDefault="00E6731F" w:rsidP="00E6731F">
            <w:pPr>
              <w:autoSpaceDE w:val="0"/>
              <w:autoSpaceDN w:val="0"/>
              <w:adjustRightInd w:val="0"/>
            </w:pPr>
            <w:r>
              <w:t xml:space="preserve">Ezetimibe for treating primary </w:t>
            </w:r>
            <w:r w:rsidRPr="00175885">
              <w:t>heterozygous-familial and non-familial hypercholesterolaemia</w:t>
            </w:r>
          </w:p>
          <w:p w:rsidR="00E6731F" w:rsidRDefault="00E6731F" w:rsidP="00E6731F">
            <w:pPr>
              <w:autoSpaceDE w:val="0"/>
              <w:autoSpaceDN w:val="0"/>
              <w:adjustRightInd w:val="0"/>
            </w:pPr>
            <w:r w:rsidRPr="005C721F">
              <w:rPr>
                <w:i/>
              </w:rPr>
              <w:t>NICE technology appraisal guidance</w:t>
            </w:r>
            <w:r>
              <w:t xml:space="preserve"> [TA385] </w:t>
            </w:r>
          </w:p>
          <w:p w:rsidR="00E6731F" w:rsidRPr="005C721F" w:rsidRDefault="00E6731F" w:rsidP="00E6731F">
            <w:pPr>
              <w:autoSpaceDE w:val="0"/>
              <w:autoSpaceDN w:val="0"/>
              <w:adjustRightInd w:val="0"/>
              <w:rPr>
                <w:b/>
              </w:rPr>
            </w:pPr>
            <w:r w:rsidRPr="005C721F">
              <w:rPr>
                <w:b/>
              </w:rPr>
              <w:t>February 2016</w:t>
            </w:r>
          </w:p>
          <w:p w:rsidR="00E6731F" w:rsidRDefault="00E6731F" w:rsidP="00E6731F">
            <w:pPr>
              <w:autoSpaceDE w:val="0"/>
              <w:autoSpaceDN w:val="0"/>
              <w:adjustRightInd w:val="0"/>
            </w:pPr>
            <w:r w:rsidRPr="008F346D">
              <w:rPr>
                <w:color w:val="2E74B5" w:themeColor="accent1" w:themeShade="BF"/>
              </w:rPr>
              <w:t>nice.org.uk/guidance/ta385</w:t>
            </w:r>
          </w:p>
        </w:tc>
        <w:tc>
          <w:tcPr>
            <w:tcW w:w="2137" w:type="dxa"/>
          </w:tcPr>
          <w:p w:rsidR="00E6731F" w:rsidRDefault="00E6731F" w:rsidP="00E6731F">
            <w:pPr>
              <w:autoSpaceDE w:val="0"/>
              <w:autoSpaceDN w:val="0"/>
              <w:adjustRightInd w:val="0"/>
            </w:pPr>
            <w:r>
              <w:t xml:space="preserve">Adults with </w:t>
            </w:r>
            <w:r w:rsidRPr="00816989">
              <w:t>primary heterozygous-familial and non-familial hyper</w:t>
            </w:r>
            <w:r>
              <w:t>-</w:t>
            </w:r>
            <w:r w:rsidRPr="00816989">
              <w:t>cholesterolaemia</w:t>
            </w:r>
            <w:r>
              <w:t>.</w:t>
            </w:r>
          </w:p>
          <w:p w:rsidR="00E6731F" w:rsidRDefault="00E6731F" w:rsidP="00E6731F">
            <w:pPr>
              <w:autoSpaceDE w:val="0"/>
              <w:autoSpaceDN w:val="0"/>
              <w:adjustRightInd w:val="0"/>
            </w:pPr>
          </w:p>
        </w:tc>
        <w:tc>
          <w:tcPr>
            <w:tcW w:w="2257" w:type="dxa"/>
          </w:tcPr>
          <w:p w:rsidR="00E6731F" w:rsidRDefault="00E6731F" w:rsidP="00E6731F">
            <w:pPr>
              <w:autoSpaceDE w:val="0"/>
              <w:autoSpaceDN w:val="0"/>
              <w:adjustRightInd w:val="0"/>
            </w:pPr>
            <w:r>
              <w:t>A</w:t>
            </w:r>
            <w:r w:rsidRPr="004507AF">
              <w:t xml:space="preserve">ppropriate control of cholesterol concentrations should be based on individual risk assessment according to national guidance on </w:t>
            </w:r>
            <w:r>
              <w:t xml:space="preserve">managing cardiovascular disease </w:t>
            </w:r>
            <w:r w:rsidRPr="00C329C1">
              <w:t>(CG181).</w:t>
            </w:r>
          </w:p>
          <w:p w:rsidR="00E6731F" w:rsidRDefault="00E6731F" w:rsidP="00E6731F">
            <w:pPr>
              <w:autoSpaceDE w:val="0"/>
              <w:autoSpaceDN w:val="0"/>
              <w:adjustRightInd w:val="0"/>
            </w:pPr>
          </w:p>
          <w:p w:rsidR="00E6731F" w:rsidRPr="00DF47C9" w:rsidRDefault="00E6731F" w:rsidP="00E6731F">
            <w:pPr>
              <w:autoSpaceDE w:val="0"/>
              <w:autoSpaceDN w:val="0"/>
              <w:adjustRightInd w:val="0"/>
              <w:rPr>
                <w:highlight w:val="yellow"/>
              </w:rPr>
            </w:pPr>
          </w:p>
        </w:tc>
        <w:tc>
          <w:tcPr>
            <w:tcW w:w="2092" w:type="dxa"/>
          </w:tcPr>
          <w:p w:rsidR="00E6731F" w:rsidRDefault="00E6731F" w:rsidP="00E6731F">
            <w:pPr>
              <w:autoSpaceDE w:val="0"/>
              <w:autoSpaceDN w:val="0"/>
              <w:adjustRightInd w:val="0"/>
            </w:pPr>
            <w:r>
              <w:t>C</w:t>
            </w:r>
            <w:r w:rsidRPr="00816989">
              <w:t>ardiovascular disease risk calculator QRISK2</w:t>
            </w:r>
            <w:r>
              <w:t xml:space="preserve"> for </w:t>
            </w:r>
            <w:r w:rsidRPr="00816989">
              <w:t xml:space="preserve">assessing 10-year cardiovascular risk </w:t>
            </w:r>
            <w:r>
              <w:t>may be used in clinical decision making</w:t>
            </w:r>
          </w:p>
          <w:p w:rsidR="003157B6" w:rsidRDefault="003157B6" w:rsidP="00E6731F">
            <w:pPr>
              <w:autoSpaceDE w:val="0"/>
              <w:autoSpaceDN w:val="0"/>
              <w:adjustRightInd w:val="0"/>
            </w:pPr>
          </w:p>
          <w:p w:rsidR="003157B6" w:rsidRPr="00440092" w:rsidRDefault="00803D79" w:rsidP="00E6731F">
            <w:pPr>
              <w:autoSpaceDE w:val="0"/>
              <w:autoSpaceDN w:val="0"/>
              <w:adjustRightInd w:val="0"/>
              <w:rPr>
                <w:i/>
              </w:rPr>
            </w:pPr>
            <w:r w:rsidRPr="00440092">
              <w:rPr>
                <w:i/>
              </w:rPr>
              <w:t>Although meeting a lipid target is acknowledged as a legitimate therapy goal, no specific targets are recommended</w:t>
            </w:r>
          </w:p>
        </w:tc>
        <w:tc>
          <w:tcPr>
            <w:tcW w:w="6129" w:type="dxa"/>
          </w:tcPr>
          <w:p w:rsidR="00E6731F" w:rsidRDefault="00E6731F" w:rsidP="00E6731F">
            <w:pPr>
              <w:autoSpaceDE w:val="0"/>
              <w:autoSpaceDN w:val="0"/>
              <w:adjustRightInd w:val="0"/>
              <w:rPr>
                <w:i/>
              </w:rPr>
            </w:pPr>
            <w:r w:rsidRPr="0018072A">
              <w:rPr>
                <w:i/>
              </w:rPr>
              <w:t xml:space="preserve">Consistent with clinical practice in the NHS, treating hypercholesterolaemia to prevent cardiovascular disease starts </w:t>
            </w:r>
            <w:r w:rsidRPr="0018072A">
              <w:rPr>
                <w:i/>
                <w:u w:val="single"/>
              </w:rPr>
              <w:t xml:space="preserve">either </w:t>
            </w:r>
            <w:r w:rsidRPr="0018072A">
              <w:rPr>
                <w:i/>
              </w:rPr>
              <w:t xml:space="preserve">because of a person's 10-year risk of developing cardiovascular disease </w:t>
            </w:r>
            <w:r w:rsidRPr="0018072A">
              <w:rPr>
                <w:i/>
                <w:u w:val="single"/>
              </w:rPr>
              <w:t>or</w:t>
            </w:r>
            <w:r w:rsidRPr="0018072A">
              <w:rPr>
                <w:i/>
              </w:rPr>
              <w:t xml:space="preserve"> to meet a specific target cholesterol level.</w:t>
            </w:r>
          </w:p>
          <w:p w:rsidR="00E6731F" w:rsidRPr="0018072A" w:rsidRDefault="00E6731F" w:rsidP="00E6731F">
            <w:pPr>
              <w:autoSpaceDE w:val="0"/>
              <w:autoSpaceDN w:val="0"/>
              <w:adjustRightInd w:val="0"/>
              <w:rPr>
                <w:i/>
              </w:rPr>
            </w:pPr>
            <w:r w:rsidRPr="00816989">
              <w:rPr>
                <w:i/>
              </w:rPr>
              <w:t xml:space="preserve">The Committee concluded that </w:t>
            </w:r>
            <w:r>
              <w:rPr>
                <w:i/>
              </w:rPr>
              <w:t xml:space="preserve">statins are the main option for </w:t>
            </w:r>
            <w:r w:rsidRPr="00816989">
              <w:rPr>
                <w:i/>
              </w:rPr>
              <w:t>treating primary hypercho</w:t>
            </w:r>
            <w:r>
              <w:rPr>
                <w:i/>
              </w:rPr>
              <w:t xml:space="preserve">lesterolaemia (when a statin is </w:t>
            </w:r>
            <w:r w:rsidRPr="00816989">
              <w:rPr>
                <w:i/>
              </w:rPr>
              <w:t>considered appropriate), an</w:t>
            </w:r>
            <w:r>
              <w:rPr>
                <w:i/>
              </w:rPr>
              <w:t xml:space="preserve">d that no treatments apart from </w:t>
            </w:r>
            <w:r w:rsidRPr="00816989">
              <w:rPr>
                <w:i/>
              </w:rPr>
              <w:t>ezetimibe monotherapy are established NHS practice</w:t>
            </w:r>
            <w:r>
              <w:rPr>
                <w:i/>
              </w:rPr>
              <w:t xml:space="preserve"> </w:t>
            </w:r>
            <w:r w:rsidRPr="00816989">
              <w:rPr>
                <w:i/>
              </w:rPr>
              <w:t>in adults who are unable to take a statin</w:t>
            </w:r>
          </w:p>
          <w:p w:rsidR="00E6731F" w:rsidRDefault="00E6731F" w:rsidP="00E6731F">
            <w:pPr>
              <w:autoSpaceDE w:val="0"/>
              <w:autoSpaceDN w:val="0"/>
              <w:adjustRightInd w:val="0"/>
            </w:pPr>
            <w:r w:rsidRPr="005C721F">
              <w:rPr>
                <w:b/>
              </w:rPr>
              <w:t>Ezetimibe monotherapy</w:t>
            </w:r>
            <w:r>
              <w:t xml:space="preserve"> is recommended as an option in adults </w:t>
            </w:r>
          </w:p>
          <w:p w:rsidR="00E6731F" w:rsidRDefault="00E6731F" w:rsidP="00E6731F">
            <w:pPr>
              <w:pStyle w:val="ListParagraph"/>
              <w:numPr>
                <w:ilvl w:val="0"/>
                <w:numId w:val="5"/>
              </w:numPr>
              <w:autoSpaceDE w:val="0"/>
              <w:autoSpaceDN w:val="0"/>
              <w:adjustRightInd w:val="0"/>
              <w:ind w:left="344" w:hanging="284"/>
            </w:pPr>
            <w:r>
              <w:t>in whom initial statin therapy is contraindicated;</w:t>
            </w:r>
          </w:p>
          <w:p w:rsidR="00E6731F" w:rsidRDefault="00E6731F" w:rsidP="00E6731F">
            <w:pPr>
              <w:pStyle w:val="ListParagraph"/>
              <w:numPr>
                <w:ilvl w:val="0"/>
                <w:numId w:val="5"/>
              </w:numPr>
              <w:autoSpaceDE w:val="0"/>
              <w:autoSpaceDN w:val="0"/>
              <w:adjustRightInd w:val="0"/>
              <w:ind w:left="344" w:hanging="284"/>
            </w:pPr>
            <w:r>
              <w:t>who cannot tolerate statin therapy (i.e. in presence of clinically significant adverse effects that represent an</w:t>
            </w:r>
          </w:p>
          <w:p w:rsidR="00E6731F" w:rsidRDefault="00E6731F" w:rsidP="00E6731F">
            <w:pPr>
              <w:pStyle w:val="ListParagraph"/>
              <w:autoSpaceDE w:val="0"/>
              <w:autoSpaceDN w:val="0"/>
              <w:adjustRightInd w:val="0"/>
              <w:ind w:left="344"/>
            </w:pPr>
            <w:r>
              <w:t>unacceptable risk to the patient or that may reduce compliance with therapy);</w:t>
            </w:r>
          </w:p>
          <w:p w:rsidR="00E6731F" w:rsidRDefault="00E6731F" w:rsidP="00E6731F">
            <w:pPr>
              <w:autoSpaceDE w:val="0"/>
              <w:autoSpaceDN w:val="0"/>
              <w:adjustRightInd w:val="0"/>
            </w:pPr>
            <w:r w:rsidRPr="005C721F">
              <w:rPr>
                <w:b/>
              </w:rPr>
              <w:t>Ezetimibe, co-administered with initial statin therapy</w:t>
            </w:r>
            <w:r w:rsidRPr="005C721F">
              <w:t>, is recommended</w:t>
            </w:r>
            <w:r>
              <w:t xml:space="preserve"> in adults when </w:t>
            </w:r>
          </w:p>
          <w:p w:rsidR="00E6731F" w:rsidRDefault="00E6731F" w:rsidP="00E6731F">
            <w:pPr>
              <w:pStyle w:val="ListParagraph"/>
              <w:numPr>
                <w:ilvl w:val="0"/>
                <w:numId w:val="9"/>
              </w:numPr>
              <w:autoSpaceDE w:val="0"/>
              <w:autoSpaceDN w:val="0"/>
              <w:adjustRightInd w:val="0"/>
              <w:ind w:left="358" w:hanging="283"/>
            </w:pPr>
            <w:r>
              <w:t>serum total or low-density lipoprotein (LDL) cholesterol concentration is not appropriately controlled (</w:t>
            </w:r>
            <w:r w:rsidRPr="00006F88">
              <w:rPr>
                <w:i/>
              </w:rPr>
              <w:t>according to the national guidance on managing cardiovascular disease CG181</w:t>
            </w:r>
            <w:r>
              <w:t>) either after appropriate dose titration of initial statin therapy or because dose titration is limited by intolerance to the initial statin therapy and</w:t>
            </w:r>
          </w:p>
          <w:p w:rsidR="00E6731F" w:rsidRPr="00043CC2" w:rsidRDefault="00E6731F" w:rsidP="00E6731F">
            <w:pPr>
              <w:pStyle w:val="ListParagraph"/>
              <w:numPr>
                <w:ilvl w:val="0"/>
                <w:numId w:val="9"/>
              </w:numPr>
              <w:autoSpaceDE w:val="0"/>
              <w:autoSpaceDN w:val="0"/>
              <w:adjustRightInd w:val="0"/>
              <w:ind w:left="344" w:hanging="284"/>
            </w:pPr>
            <w:r>
              <w:t>a change from initial statin therapy to an alternative statin is being considered</w:t>
            </w:r>
          </w:p>
        </w:tc>
      </w:tr>
    </w:tbl>
    <w:p w:rsidR="00C55A03" w:rsidRDefault="00C55A03">
      <w:pPr>
        <w:rPr>
          <w:rFonts w:ascii="Calibri" w:hAnsi="Calibri" w:cs="Arial"/>
          <w:b/>
          <w:color w:val="000000"/>
          <w:sz w:val="24"/>
          <w:szCs w:val="24"/>
          <w:shd w:val="clear" w:color="auto" w:fill="FFFFFF"/>
        </w:rPr>
        <w:sectPr w:rsidR="00C55A03" w:rsidSect="008013A7">
          <w:pgSz w:w="16838" w:h="11906" w:orient="landscape"/>
          <w:pgMar w:top="1440" w:right="1440" w:bottom="1440" w:left="1440" w:header="708" w:footer="708" w:gutter="0"/>
          <w:cols w:space="708"/>
          <w:docGrid w:linePitch="360"/>
        </w:sectPr>
      </w:pPr>
    </w:p>
    <w:p w:rsidR="00C329C1" w:rsidRDefault="00C55A03" w:rsidP="00C329C1">
      <w:pPr>
        <w:pStyle w:val="Heading2"/>
        <w:keepNext/>
        <w:keepLines/>
        <w:numPr>
          <w:ilvl w:val="0"/>
          <w:numId w:val="13"/>
        </w:numPr>
        <w:spacing w:before="0" w:beforeAutospacing="0" w:after="0" w:afterAutospacing="0" w:line="259" w:lineRule="auto"/>
        <w:rPr>
          <w:rFonts w:asciiTheme="majorHAnsi" w:eastAsiaTheme="majorEastAsia" w:hAnsiTheme="majorHAnsi" w:cstheme="majorBidi"/>
          <w:b w:val="0"/>
          <w:bCs w:val="0"/>
          <w:color w:val="2E74B5" w:themeColor="accent1" w:themeShade="BF"/>
          <w:sz w:val="26"/>
          <w:szCs w:val="26"/>
          <w:lang w:eastAsia="zh-CN"/>
        </w:rPr>
      </w:pPr>
      <w:bookmarkStart w:id="16" w:name="_Toc461644665"/>
      <w:r>
        <w:rPr>
          <w:rFonts w:asciiTheme="majorHAnsi" w:eastAsiaTheme="majorEastAsia" w:hAnsiTheme="majorHAnsi" w:cstheme="majorBidi"/>
          <w:b w:val="0"/>
          <w:bCs w:val="0"/>
          <w:color w:val="2E74B5" w:themeColor="accent1" w:themeShade="BF"/>
          <w:sz w:val="26"/>
          <w:szCs w:val="26"/>
          <w:lang w:eastAsia="zh-CN"/>
        </w:rPr>
        <w:t>European guidelines</w:t>
      </w:r>
      <w:bookmarkEnd w:id="16"/>
      <w:r>
        <w:rPr>
          <w:rFonts w:asciiTheme="majorHAnsi" w:eastAsiaTheme="majorEastAsia" w:hAnsiTheme="majorHAnsi" w:cstheme="majorBidi"/>
          <w:b w:val="0"/>
          <w:bCs w:val="0"/>
          <w:color w:val="2E74B5" w:themeColor="accent1" w:themeShade="BF"/>
          <w:sz w:val="26"/>
          <w:szCs w:val="26"/>
          <w:lang w:eastAsia="zh-CN"/>
        </w:rPr>
        <w:t xml:space="preserve"> </w:t>
      </w:r>
    </w:p>
    <w:p w:rsidR="00C55A03" w:rsidRPr="00C55A03" w:rsidRDefault="00C55A03" w:rsidP="00C55A03">
      <w:pPr>
        <w:pStyle w:val="Heading2"/>
        <w:keepNext/>
        <w:keepLines/>
        <w:spacing w:before="0" w:beforeAutospacing="0" w:after="0" w:afterAutospacing="0" w:line="259" w:lineRule="auto"/>
        <w:ind w:left="720"/>
        <w:rPr>
          <w:rFonts w:asciiTheme="majorHAnsi" w:eastAsiaTheme="majorEastAsia" w:hAnsiTheme="majorHAnsi" w:cstheme="majorBidi"/>
          <w:b w:val="0"/>
          <w:bCs w:val="0"/>
          <w:color w:val="2E74B5" w:themeColor="accent1" w:themeShade="BF"/>
          <w:sz w:val="26"/>
          <w:szCs w:val="26"/>
          <w:lang w:eastAsia="zh-CN"/>
        </w:rPr>
      </w:pPr>
    </w:p>
    <w:p w:rsidR="007B4305" w:rsidRPr="007E6E49" w:rsidRDefault="008F1B32" w:rsidP="00BA5AAA">
      <w:pPr>
        <w:autoSpaceDE w:val="0"/>
        <w:autoSpaceDN w:val="0"/>
        <w:adjustRightInd w:val="0"/>
        <w:spacing w:after="0" w:line="240" w:lineRule="auto"/>
        <w:jc w:val="both"/>
      </w:pPr>
      <w:r w:rsidRPr="007E6E49">
        <w:t>The</w:t>
      </w:r>
      <w:r w:rsidR="007B4305" w:rsidRPr="007E6E49">
        <w:t xml:space="preserve"> literature search identified the</w:t>
      </w:r>
      <w:r w:rsidR="00CB668D" w:rsidRPr="007E6E49">
        <w:t xml:space="preserve"> 2012 European Guidelines on cardiovascular disease prevention in clinical practice by the Fifth Joint Task Force of the European Society of Cardiology and Other Societies on Cardiovascular Disease Prevention in Clinical Practice (Perk 2012)</w:t>
      </w:r>
      <w:r w:rsidR="004408BF" w:rsidRPr="007E6E49">
        <w:t xml:space="preserve">. The lifetime approach to </w:t>
      </w:r>
      <w:r w:rsidR="00BA5AAA" w:rsidRPr="007E6E49">
        <w:t>cardiovascular (</w:t>
      </w:r>
      <w:r w:rsidR="004408BF" w:rsidRPr="007E6E49">
        <w:t>CV</w:t>
      </w:r>
      <w:r w:rsidR="00BA5AAA" w:rsidRPr="007E6E49">
        <w:t>)</w:t>
      </w:r>
      <w:r w:rsidR="004408BF" w:rsidRPr="007E6E49">
        <w:t xml:space="preserve"> risk advocated in the 2012 European Guidelines was adopted </w:t>
      </w:r>
      <w:r w:rsidR="005049C0" w:rsidRPr="007E6E49">
        <w:t>in</w:t>
      </w:r>
      <w:r w:rsidR="00CB668D" w:rsidRPr="007E6E49">
        <w:t xml:space="preserve"> the </w:t>
      </w:r>
      <w:r w:rsidRPr="007E6E49">
        <w:t>2016 “Guidelines for the Management of Dyslipidaemias” by the European Society of Card</w:t>
      </w:r>
      <w:r w:rsidR="00CB668D" w:rsidRPr="007E6E49">
        <w:t>iology/</w:t>
      </w:r>
      <w:r w:rsidR="00BA5AAA" w:rsidRPr="007E6E49">
        <w:t xml:space="preserve"> </w:t>
      </w:r>
      <w:r w:rsidR="00CB668D" w:rsidRPr="007E6E49">
        <w:t xml:space="preserve">European </w:t>
      </w:r>
      <w:r w:rsidRPr="007E6E49">
        <w:t>Atherosclerosis Society</w:t>
      </w:r>
      <w:r w:rsidR="00CB668D" w:rsidRPr="007E6E49">
        <w:t xml:space="preserve"> (Catapano 2016), which</w:t>
      </w:r>
      <w:r w:rsidRPr="007E6E49">
        <w:t xml:space="preserve"> update</w:t>
      </w:r>
      <w:r w:rsidR="00BA5AAA" w:rsidRPr="007E6E49">
        <w:t>d</w:t>
      </w:r>
      <w:r w:rsidRPr="007E6E49">
        <w:t xml:space="preserve"> the </w:t>
      </w:r>
      <w:r w:rsidR="000D3C23" w:rsidRPr="007E6E49">
        <w:t xml:space="preserve">2011 </w:t>
      </w:r>
      <w:r w:rsidRPr="007E6E49">
        <w:t xml:space="preserve">version of the </w:t>
      </w:r>
      <w:r w:rsidR="000D3C23" w:rsidRPr="007E6E49">
        <w:t xml:space="preserve">ESC/EAS </w:t>
      </w:r>
      <w:r w:rsidRPr="007E6E49">
        <w:t>guidelines (Reiner</w:t>
      </w:r>
      <w:r w:rsidR="000D3C23" w:rsidRPr="007E6E49">
        <w:t xml:space="preserve"> 2011).</w:t>
      </w:r>
      <w:r w:rsidR="007B4305" w:rsidRPr="007E6E49">
        <w:t xml:space="preserve"> </w:t>
      </w:r>
      <w:r w:rsidR="000D3C23" w:rsidRPr="007E6E49">
        <w:t xml:space="preserve">As </w:t>
      </w:r>
      <w:r w:rsidR="00BA5AAA" w:rsidRPr="007E6E49">
        <w:t xml:space="preserve">in </w:t>
      </w:r>
      <w:r w:rsidR="000D3C23" w:rsidRPr="007E6E49">
        <w:t>the previous version, the 2016 guidelines</w:t>
      </w:r>
      <w:r w:rsidR="003157B6" w:rsidRPr="007E6E49">
        <w:t xml:space="preserve"> </w:t>
      </w:r>
      <w:r w:rsidR="00BA5AAA" w:rsidRPr="007E6E49">
        <w:t>makes</w:t>
      </w:r>
      <w:r w:rsidR="00C55A03" w:rsidRPr="007E6E49">
        <w:t xml:space="preserve"> a comprehensive document </w:t>
      </w:r>
      <w:r w:rsidR="00C329C1" w:rsidRPr="007E6E49">
        <w:t>addressing cardiovascular risk asse</w:t>
      </w:r>
      <w:r w:rsidR="00C55A03" w:rsidRPr="007E6E49">
        <w:t>ssment, laboratory e</w:t>
      </w:r>
      <w:r w:rsidR="003157B6" w:rsidRPr="007E6E49">
        <w:t>xamination</w:t>
      </w:r>
      <w:r w:rsidR="000D3C23" w:rsidRPr="007E6E49">
        <w:t>s</w:t>
      </w:r>
      <w:r w:rsidR="00C55A03" w:rsidRPr="007E6E49">
        <w:t xml:space="preserve">, </w:t>
      </w:r>
      <w:r w:rsidR="00C329C1" w:rsidRPr="007E6E49">
        <w:t>lifestyle modifications, d</w:t>
      </w:r>
      <w:r w:rsidR="00C55A03" w:rsidRPr="007E6E49">
        <w:t xml:space="preserve">rug treatment, and the approach </w:t>
      </w:r>
      <w:r w:rsidR="00C329C1" w:rsidRPr="007E6E49">
        <w:t xml:space="preserve">to </w:t>
      </w:r>
      <w:r w:rsidR="003157B6" w:rsidRPr="007E6E49">
        <w:t xml:space="preserve">treatment of </w:t>
      </w:r>
      <w:r w:rsidR="00C329C1" w:rsidRPr="007E6E49">
        <w:t xml:space="preserve">specific clinical </w:t>
      </w:r>
      <w:r w:rsidR="003157B6" w:rsidRPr="007E6E49">
        <w:t>subgroups</w:t>
      </w:r>
      <w:r w:rsidR="00C329C1" w:rsidRPr="007E6E49">
        <w:t xml:space="preserve"> such</w:t>
      </w:r>
      <w:r w:rsidR="00C55A03" w:rsidRPr="007E6E49">
        <w:t xml:space="preserve"> as </w:t>
      </w:r>
      <w:r w:rsidR="003157B6" w:rsidRPr="007E6E49">
        <w:t xml:space="preserve">patients with </w:t>
      </w:r>
      <w:r w:rsidR="00C55A03" w:rsidRPr="007E6E49">
        <w:t>familial dyslipidemias</w:t>
      </w:r>
      <w:r w:rsidR="000D3C23" w:rsidRPr="007E6E49">
        <w:t xml:space="preserve"> or diabetes</w:t>
      </w:r>
      <w:r w:rsidR="00C55A03" w:rsidRPr="007E6E49">
        <w:t xml:space="preserve">. The </w:t>
      </w:r>
      <w:r w:rsidR="00C329C1" w:rsidRPr="007E6E49">
        <w:t xml:space="preserve">ESC/EAS task force based </w:t>
      </w:r>
      <w:r w:rsidR="00C55A03" w:rsidRPr="007E6E49">
        <w:t xml:space="preserve">its findings on a comprehensive </w:t>
      </w:r>
      <w:r w:rsidR="00C329C1" w:rsidRPr="007E6E49">
        <w:t>review of the literature in which greater co</w:t>
      </w:r>
      <w:r w:rsidR="00C55A03" w:rsidRPr="007E6E49">
        <w:t xml:space="preserve">nfidence was placed </w:t>
      </w:r>
      <w:r w:rsidR="00C329C1" w:rsidRPr="007E6E49">
        <w:t>in the results of randomized, cont</w:t>
      </w:r>
      <w:r w:rsidR="00C55A03" w:rsidRPr="007E6E49">
        <w:t xml:space="preserve">rolled trials but was inclusive </w:t>
      </w:r>
      <w:r w:rsidR="00C329C1" w:rsidRPr="007E6E49">
        <w:t>of all study designs.</w:t>
      </w:r>
      <w:r w:rsidR="00C55A03" w:rsidRPr="007E6E49">
        <w:t xml:space="preserve"> </w:t>
      </w:r>
    </w:p>
    <w:p w:rsidR="007B4305" w:rsidRPr="007E6E49" w:rsidRDefault="007B4305" w:rsidP="0089183C">
      <w:pPr>
        <w:spacing w:after="0"/>
        <w:jc w:val="both"/>
      </w:pPr>
    </w:p>
    <w:p w:rsidR="00A72FF3" w:rsidRPr="007E6E49" w:rsidRDefault="00BA5AAA" w:rsidP="00E20B64">
      <w:pPr>
        <w:spacing w:after="0"/>
        <w:jc w:val="both"/>
      </w:pPr>
      <w:r w:rsidRPr="007E6E49">
        <w:t xml:space="preserve">A </w:t>
      </w:r>
      <w:r w:rsidR="007B4305" w:rsidRPr="007E6E49">
        <w:t xml:space="preserve">CV risk in the context of these guidelines means the likelihood of a person developing a fatal or non-fatal atherosclerotic CV event over a defined period of time. </w:t>
      </w:r>
      <w:r w:rsidR="00B8344E" w:rsidRPr="007E6E49">
        <w:t>For the primary prevention population</w:t>
      </w:r>
      <w:r w:rsidR="00D13D5A">
        <w:t>,</w:t>
      </w:r>
      <w:r w:rsidR="00B8344E" w:rsidRPr="007E6E49">
        <w:t xml:space="preserve"> b</w:t>
      </w:r>
      <w:r w:rsidRPr="007E6E49">
        <w:t>oth t</w:t>
      </w:r>
      <w:r w:rsidR="000D3C23" w:rsidRPr="007E6E49">
        <w:t xml:space="preserve">he ESC/EAS </w:t>
      </w:r>
      <w:r w:rsidRPr="007E6E49">
        <w:t xml:space="preserve">and the European </w:t>
      </w:r>
      <w:r w:rsidR="000D3C23" w:rsidRPr="007E6E49">
        <w:t>guidelines recommend</w:t>
      </w:r>
      <w:r w:rsidRPr="007E6E49">
        <w:t xml:space="preserve"> </w:t>
      </w:r>
      <w:r w:rsidR="000D3C23" w:rsidRPr="007E6E49">
        <w:t>the Systematic Coronary Risk Evaluation (SCORE)</w:t>
      </w:r>
      <w:r w:rsidRPr="007E6E49">
        <w:t xml:space="preserve"> risk assessment tool because it is based on large, representative European cohort datasets. Of note, the SCORE risk assessment is also based on the Framingham risk equation</w:t>
      </w:r>
      <w:r w:rsidR="00A72FF3" w:rsidRPr="007E6E49">
        <w:t xml:space="preserve"> (Anderson Mitchell 2015)</w:t>
      </w:r>
      <w:r w:rsidR="00B8344E" w:rsidRPr="007E6E49">
        <w:t xml:space="preserve"> and is not used for patients with diagnosed CVD, diabetes, </w:t>
      </w:r>
      <w:r w:rsidR="0062000F" w:rsidRPr="007E6E49">
        <w:t>chronic kidney disease (</w:t>
      </w:r>
      <w:r w:rsidR="00B8344E" w:rsidRPr="007E6E49">
        <w:t>CKD</w:t>
      </w:r>
      <w:r w:rsidR="0062000F" w:rsidRPr="007E6E49">
        <w:t>)</w:t>
      </w:r>
      <w:r w:rsidR="00B8344E" w:rsidRPr="007E6E49">
        <w:t>, familial hypercholesterolaemia or very high levels of individual risk factors because such people are already defined as at high-risk</w:t>
      </w:r>
      <w:r w:rsidR="008C4266" w:rsidRPr="007E6E49">
        <w:t xml:space="preserve"> (see below)</w:t>
      </w:r>
      <w:r w:rsidR="00B8344E" w:rsidRPr="007E6E49">
        <w:t>.</w:t>
      </w:r>
      <w:r w:rsidR="00E20B64" w:rsidRPr="007E6E49">
        <w:t xml:space="preserve"> SCORE charts (and electronic version, HeartScore) are available for both total cholesterol (TC), HDL-C and the TC:HDL-C ratio.</w:t>
      </w:r>
      <w:r w:rsidR="008C4266" w:rsidRPr="007E6E49">
        <w:t xml:space="preserve"> </w:t>
      </w:r>
      <w:r w:rsidRPr="007E6E49">
        <w:t>The SCORE system estimates the 10-</w:t>
      </w:r>
      <w:r w:rsidR="00A72FF3" w:rsidRPr="007E6E49">
        <w:t xml:space="preserve">year cumulative risk of a first </w:t>
      </w:r>
      <w:r w:rsidRPr="007E6E49">
        <w:t>fatal atherosclerotic event, whethe</w:t>
      </w:r>
      <w:r w:rsidR="00B8344E" w:rsidRPr="007E6E49">
        <w:t xml:space="preserve">r heart attack, stroke or other </w:t>
      </w:r>
      <w:r w:rsidRPr="007E6E49">
        <w:t>occlusive arterial disease, including sudden cardiac death</w:t>
      </w:r>
      <w:r w:rsidR="00A72FF3" w:rsidRPr="007E6E49">
        <w:t>.</w:t>
      </w:r>
      <w:r w:rsidRPr="007E6E49">
        <w:t xml:space="preserve"> </w:t>
      </w:r>
      <w:r w:rsidR="00A72FF3" w:rsidRPr="007E6E49">
        <w:t>The reasons for retaining a system that estimates fatal as opposed to total fatal + non-fatal events are that</w:t>
      </w:r>
      <w:r w:rsidR="00B8344E" w:rsidRPr="007E6E49">
        <w:t xml:space="preserve"> non-fatal events are dependent </w:t>
      </w:r>
      <w:r w:rsidR="00A72FF3" w:rsidRPr="007E6E49">
        <w:t xml:space="preserve">on </w:t>
      </w:r>
      <w:r w:rsidR="00D13D5A">
        <w:t xml:space="preserve">the </w:t>
      </w:r>
      <w:r w:rsidR="00A72FF3" w:rsidRPr="007E6E49">
        <w:t xml:space="preserve">definition, developments in diagnostic tests and methods of ascertainment, all of which can vary. </w:t>
      </w:r>
      <w:r w:rsidRPr="007E6E49">
        <w:t>The</w:t>
      </w:r>
      <w:r w:rsidR="000D3C23" w:rsidRPr="007E6E49">
        <w:t xml:space="preserve"> total cardiovascular mortality </w:t>
      </w:r>
      <w:r w:rsidRPr="007E6E49">
        <w:t>can be easier re-</w:t>
      </w:r>
      <w:r w:rsidR="000D3C23" w:rsidRPr="007E6E49">
        <w:t xml:space="preserve">calibrated </w:t>
      </w:r>
      <w:r w:rsidRPr="007E6E49">
        <w:t>to obtain the</w:t>
      </w:r>
      <w:r w:rsidR="00B8344E" w:rsidRPr="007E6E49">
        <w:t xml:space="preserve"> risk estimates as charts for high- and low-risk regions in Europe</w:t>
      </w:r>
      <w:r w:rsidR="000D3C23" w:rsidRPr="007E6E49">
        <w:t xml:space="preserve">. </w:t>
      </w:r>
      <w:r w:rsidR="00B8344E" w:rsidRPr="007E6E49">
        <w:t xml:space="preserve">To convert the risk of fatal CVD to </w:t>
      </w:r>
      <w:r w:rsidR="005049C0" w:rsidRPr="007E6E49">
        <w:t xml:space="preserve">the </w:t>
      </w:r>
      <w:r w:rsidR="00B8344E" w:rsidRPr="007E6E49">
        <w:t xml:space="preserve">risk of total (fatal + nonfatal) CVD, </w:t>
      </w:r>
      <w:r w:rsidR="005049C0" w:rsidRPr="007E6E49">
        <w:t xml:space="preserve">the former is </w:t>
      </w:r>
      <w:r w:rsidR="00B8344E" w:rsidRPr="007E6E49">
        <w:t>multipl</w:t>
      </w:r>
      <w:r w:rsidR="005049C0" w:rsidRPr="007E6E49">
        <w:t>ied</w:t>
      </w:r>
      <w:r w:rsidR="00B8344E" w:rsidRPr="007E6E49">
        <w:t xml:space="preserve"> by 3 in men and 4 in women, and slightly less in old people (Catapano 2016).</w:t>
      </w:r>
    </w:p>
    <w:p w:rsidR="0062000F" w:rsidRPr="007E6E49" w:rsidRDefault="0062000F" w:rsidP="008C4266">
      <w:pPr>
        <w:spacing w:after="0"/>
        <w:jc w:val="both"/>
      </w:pPr>
    </w:p>
    <w:p w:rsidR="009252CB" w:rsidRDefault="0062000F" w:rsidP="00F85C4C">
      <w:pPr>
        <w:spacing w:after="0"/>
        <w:jc w:val="both"/>
      </w:pPr>
      <w:r w:rsidRPr="007E6E49">
        <w:t>The European guidelines are c</w:t>
      </w:r>
      <w:r w:rsidR="008C4266" w:rsidRPr="007E6E49">
        <w:t xml:space="preserve">onsistent with the </w:t>
      </w:r>
      <w:r w:rsidRPr="007E6E49">
        <w:t xml:space="preserve">2004 and 2014 </w:t>
      </w:r>
      <w:r w:rsidR="008C4266" w:rsidRPr="007E6E49">
        <w:t>NCEP ATP III recommendations (</w:t>
      </w:r>
      <w:r w:rsidRPr="007E6E49">
        <w:t xml:space="preserve">Grundy 2004, </w:t>
      </w:r>
      <w:r w:rsidR="008C4266" w:rsidRPr="007E6E49">
        <w:t xml:space="preserve">Jacobson 2014 a,b) </w:t>
      </w:r>
      <w:r w:rsidRPr="007E6E49">
        <w:t xml:space="preserve">in dividing </w:t>
      </w:r>
      <w:r w:rsidR="008C4266" w:rsidRPr="007E6E49">
        <w:t>cardiovascular risk into four categories (low, moderate, high, very high).</w:t>
      </w:r>
      <w:r w:rsidRPr="007E6E49">
        <w:t xml:space="preserve"> </w:t>
      </w:r>
      <w:r w:rsidR="004A2ECF" w:rsidRPr="007E6E49">
        <w:t>V</w:t>
      </w:r>
      <w:r w:rsidR="00C55A03" w:rsidRPr="007E6E49">
        <w:t xml:space="preserve">ery high </w:t>
      </w:r>
      <w:r w:rsidR="004A2ECF" w:rsidRPr="007E6E49">
        <w:t xml:space="preserve">risk </w:t>
      </w:r>
      <w:r w:rsidR="005049C0" w:rsidRPr="007E6E49">
        <w:t>is assigned to patients with</w:t>
      </w:r>
      <w:r w:rsidR="004A2ECF" w:rsidRPr="007E6E49">
        <w:t xml:space="preserve"> documented CVD, type 2 </w:t>
      </w:r>
      <w:r w:rsidR="00C55A03" w:rsidRPr="007E6E49">
        <w:t>diabetes mellitus, type 1 diab</w:t>
      </w:r>
      <w:r w:rsidR="004A2ECF" w:rsidRPr="007E6E49">
        <w:t xml:space="preserve">etes mellitus with target organ </w:t>
      </w:r>
      <w:r w:rsidR="00C55A03" w:rsidRPr="007E6E49">
        <w:t>damage</w:t>
      </w:r>
      <w:r w:rsidR="009A3EE1" w:rsidRPr="007E6E49">
        <w:t xml:space="preserve"> or with a major risk factor such</w:t>
      </w:r>
      <w:r w:rsidR="009A3EE1">
        <w:t xml:space="preserve"> as smoking, hypertension or dyslipidaemia</w:t>
      </w:r>
      <w:r w:rsidR="00C55A03" w:rsidRPr="004A2ECF">
        <w:t xml:space="preserve">, severe </w:t>
      </w:r>
      <w:r>
        <w:t>CKD</w:t>
      </w:r>
      <w:r w:rsidR="009A3EE1">
        <w:t xml:space="preserve"> (</w:t>
      </w:r>
      <w:r w:rsidR="00F85C4C">
        <w:t>glomerular filtration rate (</w:t>
      </w:r>
      <w:r w:rsidR="009A3EE1" w:rsidRPr="009A3EE1">
        <w:t>GFR</w:t>
      </w:r>
      <w:r w:rsidR="00F85C4C">
        <w:t>)</w:t>
      </w:r>
      <w:r w:rsidR="009A3EE1" w:rsidRPr="009A3EE1">
        <w:t xml:space="preserve"> &lt;30 mL/min/1.73 m</w:t>
      </w:r>
      <w:r w:rsidR="009A3EE1" w:rsidRPr="009A3EE1">
        <w:rPr>
          <w:vertAlign w:val="superscript"/>
        </w:rPr>
        <w:t>2</w:t>
      </w:r>
      <w:r w:rsidR="009A3EE1">
        <w:t>)</w:t>
      </w:r>
      <w:r w:rsidR="004A2ECF" w:rsidRPr="004A2ECF">
        <w:t xml:space="preserve">, or </w:t>
      </w:r>
      <w:r w:rsidR="00C55A03" w:rsidRPr="004A2ECF">
        <w:t>estimated 10-year absolute ri</w:t>
      </w:r>
      <w:r w:rsidR="004A2ECF" w:rsidRPr="004A2ECF">
        <w:t xml:space="preserve">sk of fatal CVD ≥10%. High-risk </w:t>
      </w:r>
      <w:r w:rsidR="00C55A03" w:rsidRPr="004A2ECF">
        <w:t>individuals are those with</w:t>
      </w:r>
      <w:r w:rsidR="00F85C4C">
        <w:t xml:space="preserve"> markedly e</w:t>
      </w:r>
      <w:r w:rsidR="009252CB">
        <w:t>levated single risk factors</w:t>
      </w:r>
      <w:r w:rsidR="00F85C4C">
        <w:t xml:space="preserve"> (e.g. in familial hypercholesterolaemia) or severe hypertension; most patients with DM</w:t>
      </w:r>
      <w:r w:rsidR="00E20B64">
        <w:t xml:space="preserve"> (unless in the high risk category);</w:t>
      </w:r>
      <w:r w:rsidR="009252CB">
        <w:t xml:space="preserve"> </w:t>
      </w:r>
      <w:r w:rsidR="00E20B64">
        <w:t>patients with</w:t>
      </w:r>
      <w:r w:rsidR="00F85C4C">
        <w:t xml:space="preserve"> moderate CKD (GFR 30–59 mL/min/1.73 m</w:t>
      </w:r>
      <w:r w:rsidR="00F85C4C" w:rsidRPr="009252CB">
        <w:rPr>
          <w:vertAlign w:val="superscript"/>
        </w:rPr>
        <w:t>2</w:t>
      </w:r>
      <w:r w:rsidR="009252CB">
        <w:t>);</w:t>
      </w:r>
      <w:r w:rsidR="00C55A03" w:rsidRPr="004A2ECF">
        <w:t xml:space="preserve"> </w:t>
      </w:r>
      <w:r w:rsidR="00E20B64">
        <w:t xml:space="preserve">or with </w:t>
      </w:r>
      <w:r w:rsidR="00C55A03" w:rsidRPr="004A2ECF">
        <w:t xml:space="preserve">a </w:t>
      </w:r>
      <w:r w:rsidR="004A2ECF" w:rsidRPr="004A2ECF">
        <w:t xml:space="preserve">10-year risk of fatal CVD of 5% </w:t>
      </w:r>
      <w:r w:rsidR="00C55A03" w:rsidRPr="004A2ECF">
        <w:t>to 9.9%. Mod</w:t>
      </w:r>
      <w:r w:rsidR="004A2ECF" w:rsidRPr="004A2ECF">
        <w:t xml:space="preserve">erate risk is defined </w:t>
      </w:r>
      <w:r w:rsidR="00C55A03" w:rsidRPr="004A2ECF">
        <w:t>as a 10-year risk of fatal CVD</w:t>
      </w:r>
      <w:r w:rsidR="004A2ECF" w:rsidRPr="004A2ECF">
        <w:t xml:space="preserve"> of 1% to 4.9%, and low risk is </w:t>
      </w:r>
      <w:r w:rsidR="00C55A03" w:rsidRPr="004A2ECF">
        <w:t>defined as an estimated 10-ye</w:t>
      </w:r>
      <w:r w:rsidR="004A2ECF" w:rsidRPr="004A2ECF">
        <w:t>ar risk of fatal CVD event &lt;1%</w:t>
      </w:r>
      <w:r w:rsidR="00A6314D">
        <w:t xml:space="preserve"> (Table</w:t>
      </w:r>
      <w:r w:rsidR="00B1762B">
        <w:t xml:space="preserve"> 5.1</w:t>
      </w:r>
      <w:r w:rsidR="00A6314D">
        <w:t>)</w:t>
      </w:r>
      <w:r w:rsidR="004A2ECF" w:rsidRPr="004A2ECF">
        <w:t xml:space="preserve">. </w:t>
      </w:r>
    </w:p>
    <w:p w:rsidR="00C80850" w:rsidRDefault="00C80850" w:rsidP="0089183C">
      <w:pPr>
        <w:spacing w:after="0"/>
        <w:jc w:val="both"/>
      </w:pPr>
    </w:p>
    <w:p w:rsidR="00A6314D" w:rsidRDefault="00D80542" w:rsidP="0089183C">
      <w:pPr>
        <w:spacing w:after="0"/>
        <w:jc w:val="both"/>
      </w:pPr>
      <w:r w:rsidRPr="004A2ECF">
        <w:t>Extrapolating from clinical trials, the task force recommended LDL-C goals of approximately &lt;70 mg/dL (1.8 mmol/L) for</w:t>
      </w:r>
      <w:r>
        <w:t xml:space="preserve"> very high risk, &lt;100 mg/dL (</w:t>
      </w:r>
      <w:r w:rsidR="00F62272">
        <w:t>2.6 mmol/L) for high risk, &lt;11</w:t>
      </w:r>
      <w:r>
        <w:t xml:space="preserve">5 </w:t>
      </w:r>
      <w:r w:rsidR="00F62272">
        <w:t>mg/dL (3</w:t>
      </w:r>
      <w:r>
        <w:t xml:space="preserve">.0 mmol/L) for </w:t>
      </w:r>
      <w:r w:rsidR="00F62272">
        <w:t xml:space="preserve">low to </w:t>
      </w:r>
      <w:r>
        <w:t>moderate risk</w:t>
      </w:r>
      <w:r w:rsidR="00F62272">
        <w:t xml:space="preserve"> subgroups</w:t>
      </w:r>
      <w:r>
        <w:t xml:space="preserve"> (Table 5.1) </w:t>
      </w:r>
    </w:p>
    <w:p w:rsidR="00A6314D" w:rsidRPr="004A2ECF" w:rsidRDefault="00A6314D" w:rsidP="0089183C">
      <w:pPr>
        <w:spacing w:after="0"/>
        <w:jc w:val="both"/>
        <w:sectPr w:rsidR="00A6314D" w:rsidRPr="004A2ECF" w:rsidSect="00C55A03">
          <w:pgSz w:w="11906" w:h="16838"/>
          <w:pgMar w:top="1440" w:right="1440" w:bottom="1440" w:left="1440" w:header="709" w:footer="709" w:gutter="0"/>
          <w:cols w:space="708"/>
          <w:docGrid w:linePitch="360"/>
        </w:sectPr>
      </w:pPr>
    </w:p>
    <w:p w:rsidR="0020475E" w:rsidRPr="0020475E" w:rsidRDefault="0020475E" w:rsidP="00A6314D">
      <w:pPr>
        <w:pStyle w:val="Heading3"/>
        <w:rPr>
          <w:shd w:val="clear" w:color="auto" w:fill="FFFFFF"/>
        </w:rPr>
      </w:pPr>
      <w:bookmarkStart w:id="17" w:name="_Toc461644666"/>
      <w:r w:rsidRPr="0020475E">
        <w:rPr>
          <w:shd w:val="clear" w:color="auto" w:fill="FFFFFF"/>
        </w:rPr>
        <w:t xml:space="preserve">Table </w:t>
      </w:r>
      <w:r w:rsidR="00A6314D">
        <w:rPr>
          <w:shd w:val="clear" w:color="auto" w:fill="FFFFFF"/>
        </w:rPr>
        <w:t>5.</w:t>
      </w:r>
      <w:r w:rsidR="00B1762B">
        <w:rPr>
          <w:shd w:val="clear" w:color="auto" w:fill="FFFFFF"/>
        </w:rPr>
        <w:t>1</w:t>
      </w:r>
      <w:r w:rsidR="004A2ECF">
        <w:rPr>
          <w:shd w:val="clear" w:color="auto" w:fill="FFFFFF"/>
        </w:rPr>
        <w:t xml:space="preserve"> </w:t>
      </w:r>
      <w:r w:rsidR="00A6314D">
        <w:rPr>
          <w:shd w:val="clear" w:color="auto" w:fill="FFFFFF"/>
        </w:rPr>
        <w:t>t</w:t>
      </w:r>
      <w:r w:rsidR="003157B6">
        <w:rPr>
          <w:shd w:val="clear" w:color="auto" w:fill="FFFFFF"/>
        </w:rPr>
        <w:t xml:space="preserve">he 2016 ESC/EAS </w:t>
      </w:r>
      <w:r w:rsidR="004A2ECF">
        <w:rPr>
          <w:shd w:val="clear" w:color="auto" w:fill="FFFFFF"/>
        </w:rPr>
        <w:t>European g</w:t>
      </w:r>
      <w:r w:rsidRPr="0020475E">
        <w:rPr>
          <w:shd w:val="clear" w:color="auto" w:fill="FFFFFF"/>
        </w:rPr>
        <w:t>uidelines</w:t>
      </w:r>
      <w:bookmarkEnd w:id="17"/>
      <w:r w:rsidRPr="0020475E">
        <w:rPr>
          <w:shd w:val="clear" w:color="auto" w:fill="FFFFFF"/>
        </w:rPr>
        <w:t xml:space="preserve"> </w:t>
      </w:r>
    </w:p>
    <w:tbl>
      <w:tblPr>
        <w:tblStyle w:val="TableGrid"/>
        <w:tblW w:w="14454" w:type="dxa"/>
        <w:tblLayout w:type="fixed"/>
        <w:tblLook w:val="04A0" w:firstRow="1" w:lastRow="0" w:firstColumn="1" w:lastColumn="0" w:noHBand="0" w:noVBand="1"/>
      </w:tblPr>
      <w:tblGrid>
        <w:gridCol w:w="2830"/>
        <w:gridCol w:w="2694"/>
        <w:gridCol w:w="3401"/>
        <w:gridCol w:w="1843"/>
        <w:gridCol w:w="3686"/>
      </w:tblGrid>
      <w:tr w:rsidR="00230652" w:rsidTr="00AF7151">
        <w:tc>
          <w:tcPr>
            <w:tcW w:w="2830" w:type="dxa"/>
          </w:tcPr>
          <w:p w:rsidR="00230652" w:rsidRPr="008013A7" w:rsidRDefault="00230652" w:rsidP="00230652">
            <w:pPr>
              <w:ind w:right="-108"/>
              <w:rPr>
                <w:b/>
              </w:rPr>
            </w:pPr>
            <w:r w:rsidRPr="008013A7">
              <w:rPr>
                <w:b/>
              </w:rPr>
              <w:t>Guidelines/country/year</w:t>
            </w:r>
          </w:p>
        </w:tc>
        <w:tc>
          <w:tcPr>
            <w:tcW w:w="2694" w:type="dxa"/>
          </w:tcPr>
          <w:p w:rsidR="00230652" w:rsidRPr="008013A7" w:rsidRDefault="00230652" w:rsidP="00230652">
            <w:pPr>
              <w:rPr>
                <w:b/>
              </w:rPr>
            </w:pPr>
            <w:r w:rsidRPr="008013A7">
              <w:rPr>
                <w:b/>
              </w:rPr>
              <w:t>Population/scope</w:t>
            </w:r>
            <w:r>
              <w:rPr>
                <w:b/>
              </w:rPr>
              <w:t>/setting</w:t>
            </w:r>
          </w:p>
        </w:tc>
        <w:tc>
          <w:tcPr>
            <w:tcW w:w="3401" w:type="dxa"/>
          </w:tcPr>
          <w:p w:rsidR="00230652" w:rsidRPr="00E86312" w:rsidRDefault="00230652" w:rsidP="00230652">
            <w:pPr>
              <w:rPr>
                <w:b/>
              </w:rPr>
            </w:pPr>
            <w:r w:rsidRPr="00E86312">
              <w:rPr>
                <w:b/>
              </w:rPr>
              <w:t>Risk factors</w:t>
            </w:r>
            <w:r>
              <w:rPr>
                <w:b/>
              </w:rPr>
              <w:t xml:space="preserve"> and categories </w:t>
            </w:r>
          </w:p>
        </w:tc>
        <w:tc>
          <w:tcPr>
            <w:tcW w:w="1843" w:type="dxa"/>
          </w:tcPr>
          <w:p w:rsidR="00230652" w:rsidRPr="00E86312" w:rsidRDefault="00230652" w:rsidP="00230652">
            <w:pPr>
              <w:rPr>
                <w:b/>
              </w:rPr>
            </w:pPr>
            <w:r>
              <w:rPr>
                <w:b/>
              </w:rPr>
              <w:t>Absolute r</w:t>
            </w:r>
            <w:r w:rsidRPr="00E86312">
              <w:rPr>
                <w:b/>
              </w:rPr>
              <w:t>isk assessment tool</w:t>
            </w:r>
          </w:p>
        </w:tc>
        <w:tc>
          <w:tcPr>
            <w:tcW w:w="3686" w:type="dxa"/>
          </w:tcPr>
          <w:p w:rsidR="00230652" w:rsidRPr="00A6442E" w:rsidRDefault="00230652" w:rsidP="00230652">
            <w:pPr>
              <w:rPr>
                <w:b/>
              </w:rPr>
            </w:pPr>
            <w:r w:rsidRPr="00FA7D06">
              <w:rPr>
                <w:b/>
              </w:rPr>
              <w:t>Suggested lipid lowering management</w:t>
            </w:r>
            <w:r>
              <w:rPr>
                <w:b/>
              </w:rPr>
              <w:t xml:space="preserve"> </w:t>
            </w:r>
            <w:r w:rsidR="00FA7D06">
              <w:rPr>
                <w:b/>
              </w:rPr>
              <w:t>**</w:t>
            </w:r>
          </w:p>
        </w:tc>
      </w:tr>
      <w:tr w:rsidR="00230652" w:rsidTr="00AF7151">
        <w:tc>
          <w:tcPr>
            <w:tcW w:w="2830" w:type="dxa"/>
          </w:tcPr>
          <w:p w:rsidR="00E6731F" w:rsidRDefault="00E6731F" w:rsidP="00230652">
            <w:pPr>
              <w:autoSpaceDE w:val="0"/>
              <w:autoSpaceDN w:val="0"/>
              <w:adjustRightInd w:val="0"/>
            </w:pPr>
            <w:r w:rsidRPr="00E6731F">
              <w:rPr>
                <w:b/>
              </w:rPr>
              <w:t>European Society of Cardiology (ESC)</w:t>
            </w:r>
            <w:r>
              <w:t xml:space="preserve"> and </w:t>
            </w:r>
            <w:r w:rsidRPr="00E6731F">
              <w:rPr>
                <w:b/>
              </w:rPr>
              <w:t>European Atherosclerosis Society (EAS)</w:t>
            </w:r>
            <w:r w:rsidR="009F007D">
              <w:rPr>
                <w:b/>
              </w:rPr>
              <w:t xml:space="preserve"> task force</w:t>
            </w:r>
          </w:p>
          <w:p w:rsidR="00175885" w:rsidRDefault="00175885" w:rsidP="00E020A9">
            <w:pPr>
              <w:autoSpaceDE w:val="0"/>
              <w:autoSpaceDN w:val="0"/>
              <w:adjustRightInd w:val="0"/>
            </w:pPr>
            <w:r>
              <w:t xml:space="preserve">A.L. Catapano, et al., 2016 ESC/EAS guidelines for the management of dyslipidaemias. The task force for the management of dyslipidaemias of the </w:t>
            </w:r>
            <w:r w:rsidRPr="00E6731F">
              <w:t xml:space="preserve">European Society of Cardiology (ESC) and European Atherosclerosis Society (EAS) Eur Heart J, </w:t>
            </w:r>
            <w:r>
              <w:t>27 August, 2016 (</w:t>
            </w:r>
            <w:r w:rsidRPr="00175885">
              <w:t>http://eurheartj.oxfordjournals.org/content/early/2016/08/26/eurheartj.ehw272</w:t>
            </w:r>
            <w:r>
              <w:t>)</w:t>
            </w:r>
          </w:p>
          <w:p w:rsidR="00175885" w:rsidRDefault="00175885" w:rsidP="00E020A9">
            <w:pPr>
              <w:autoSpaceDE w:val="0"/>
              <w:autoSpaceDN w:val="0"/>
              <w:adjustRightInd w:val="0"/>
            </w:pPr>
          </w:p>
          <w:p w:rsidR="00E6731F" w:rsidRPr="00E54653" w:rsidRDefault="00F936B7" w:rsidP="00E020A9">
            <w:pPr>
              <w:autoSpaceDE w:val="0"/>
              <w:autoSpaceDN w:val="0"/>
              <w:adjustRightInd w:val="0"/>
              <w:rPr>
                <w:b/>
              </w:rPr>
            </w:pPr>
            <w:r>
              <w:rPr>
                <w:b/>
              </w:rPr>
              <w:t>Is an u</w:t>
            </w:r>
            <w:r w:rsidR="00E020A9">
              <w:rPr>
                <w:b/>
              </w:rPr>
              <w:t>pdate of</w:t>
            </w:r>
            <w:r w:rsidR="00E020A9" w:rsidRPr="00E020A9">
              <w:rPr>
                <w:b/>
              </w:rPr>
              <w:t xml:space="preserve"> </w:t>
            </w:r>
            <w:r w:rsidR="00E020A9">
              <w:rPr>
                <w:b/>
              </w:rPr>
              <w:t>the 2011 ESC/EAS guidelines</w:t>
            </w:r>
          </w:p>
          <w:p w:rsidR="00230652" w:rsidRDefault="00230652" w:rsidP="00E54653">
            <w:pPr>
              <w:autoSpaceDE w:val="0"/>
              <w:autoSpaceDN w:val="0"/>
              <w:adjustRightInd w:val="0"/>
            </w:pPr>
            <w:r>
              <w:t xml:space="preserve">Z. Reiner, A.L. Catapano, ESC/EAS guidelines for the management of dyslipidaemias: the task force for the management of dyslipidaemias of the </w:t>
            </w:r>
            <w:r w:rsidR="00FA7D06">
              <w:t>ESC</w:t>
            </w:r>
            <w:r w:rsidRPr="00E6731F">
              <w:t xml:space="preserve"> and </w:t>
            </w:r>
            <w:r w:rsidR="00FA7D06">
              <w:t>EAS.</w:t>
            </w:r>
            <w:r w:rsidRPr="00E6731F">
              <w:t xml:space="preserve"> Eur Heart J, 32 (2011)</w:t>
            </w:r>
            <w:r>
              <w:t>, pp. 1769–1818</w:t>
            </w:r>
          </w:p>
        </w:tc>
        <w:tc>
          <w:tcPr>
            <w:tcW w:w="2694" w:type="dxa"/>
          </w:tcPr>
          <w:p w:rsidR="00E6731F" w:rsidRDefault="00E020A9" w:rsidP="00E6731F">
            <w:pPr>
              <w:autoSpaceDE w:val="0"/>
              <w:autoSpaceDN w:val="0"/>
              <w:adjustRightInd w:val="0"/>
            </w:pPr>
            <w:r>
              <w:t>T</w:t>
            </w:r>
            <w:r w:rsidR="00E6731F">
              <w:t xml:space="preserve">he aim </w:t>
            </w:r>
            <w:r w:rsidR="00AB6998">
              <w:t xml:space="preserve">is to </w:t>
            </w:r>
            <w:r w:rsidR="00E6731F">
              <w:t>assist physicians [e.g. general practitioners and cardiologists]</w:t>
            </w:r>
          </w:p>
          <w:p w:rsidR="00E6731F" w:rsidRDefault="00E6731F" w:rsidP="00E6731F">
            <w:pPr>
              <w:autoSpaceDE w:val="0"/>
              <w:autoSpaceDN w:val="0"/>
              <w:adjustRightInd w:val="0"/>
            </w:pPr>
            <w:r>
              <w:t xml:space="preserve">interested in CVD prevention, </w:t>
            </w:r>
            <w:r w:rsidR="00AB6998">
              <w:t xml:space="preserve">and also specialists from </w:t>
            </w:r>
            <w:r>
              <w:t>lipid clinics or metabolic units  in selecting the best management strategies</w:t>
            </w:r>
          </w:p>
          <w:p w:rsidR="00230652" w:rsidRDefault="00E6731F" w:rsidP="00E6731F">
            <w:pPr>
              <w:autoSpaceDE w:val="0"/>
              <w:autoSpaceDN w:val="0"/>
              <w:adjustRightInd w:val="0"/>
            </w:pPr>
            <w:r>
              <w:t>for an individual patient, with</w:t>
            </w:r>
            <w:r w:rsidR="00AB6998">
              <w:t xml:space="preserve"> a given condition, taking into </w:t>
            </w:r>
            <w:r>
              <w:t xml:space="preserve">account the impact on outcome, as </w:t>
            </w:r>
            <w:r w:rsidR="00AB6998">
              <w:t xml:space="preserve">well as the risk –benefit ratio </w:t>
            </w:r>
            <w:r>
              <w:t>of particular diagnostic or therapeutic means</w:t>
            </w:r>
          </w:p>
        </w:tc>
        <w:tc>
          <w:tcPr>
            <w:tcW w:w="3401" w:type="dxa"/>
          </w:tcPr>
          <w:p w:rsidR="00967BF2" w:rsidRPr="00A23D11" w:rsidRDefault="00A84E0D" w:rsidP="00967BF2">
            <w:pPr>
              <w:autoSpaceDE w:val="0"/>
              <w:autoSpaceDN w:val="0"/>
              <w:adjustRightInd w:val="0"/>
              <w:rPr>
                <w:b/>
              </w:rPr>
            </w:pPr>
            <w:r>
              <w:rPr>
                <w:b/>
              </w:rPr>
              <w:t>V</w:t>
            </w:r>
            <w:r w:rsidR="00AB6998">
              <w:rPr>
                <w:b/>
              </w:rPr>
              <w:t>ery high</w:t>
            </w:r>
            <w:r w:rsidR="00967BF2" w:rsidRPr="00A23D11">
              <w:rPr>
                <w:b/>
              </w:rPr>
              <w:t xml:space="preserve"> </w:t>
            </w:r>
            <w:r w:rsidR="00AB6998">
              <w:rPr>
                <w:b/>
              </w:rPr>
              <w:t>r</w:t>
            </w:r>
            <w:r w:rsidR="00AB6998" w:rsidRPr="00A23D11">
              <w:rPr>
                <w:b/>
              </w:rPr>
              <w:t>isk</w:t>
            </w:r>
            <w:r w:rsidR="00967BF2" w:rsidRPr="00A23D11">
              <w:rPr>
                <w:b/>
              </w:rPr>
              <w:t>:</w:t>
            </w:r>
          </w:p>
          <w:p w:rsidR="00AB6998" w:rsidRDefault="00AB6998" w:rsidP="00AB6998">
            <w:pPr>
              <w:autoSpaceDE w:val="0"/>
              <w:autoSpaceDN w:val="0"/>
              <w:adjustRightInd w:val="0"/>
            </w:pPr>
            <w:r>
              <w:t xml:space="preserve">• </w:t>
            </w:r>
            <w:r w:rsidR="00F85C4C">
              <w:t>Diagnosed</w:t>
            </w:r>
            <w:r w:rsidRPr="004E6C82">
              <w:t xml:space="preserve"> CVD</w:t>
            </w:r>
          </w:p>
          <w:p w:rsidR="00967BF2" w:rsidRPr="004E6C82" w:rsidRDefault="00AB6998" w:rsidP="00A84E0D">
            <w:pPr>
              <w:autoSpaceDE w:val="0"/>
              <w:autoSpaceDN w:val="0"/>
              <w:adjustRightInd w:val="0"/>
            </w:pPr>
            <w:r w:rsidRPr="004E6C82">
              <w:t xml:space="preserve">• </w:t>
            </w:r>
            <w:r w:rsidR="00F85C4C">
              <w:t xml:space="preserve">Severe CKD [GFR &lt;30 </w:t>
            </w:r>
            <w:r w:rsidR="00F85C4C" w:rsidRPr="009A3EE1">
              <w:t>mL/min/1.73 m</w:t>
            </w:r>
            <w:r w:rsidR="00F85C4C" w:rsidRPr="009A3EE1">
              <w:rPr>
                <w:vertAlign w:val="superscript"/>
              </w:rPr>
              <w:t>2</w:t>
            </w:r>
            <w:r w:rsidR="00A84E0D">
              <w:t>]</w:t>
            </w:r>
          </w:p>
          <w:p w:rsidR="00AB6998" w:rsidRDefault="00967BF2" w:rsidP="00F85C4C">
            <w:pPr>
              <w:autoSpaceDE w:val="0"/>
              <w:autoSpaceDN w:val="0"/>
              <w:adjustRightInd w:val="0"/>
              <w:ind w:right="-109"/>
            </w:pPr>
            <w:r>
              <w:t xml:space="preserve">• </w:t>
            </w:r>
            <w:r w:rsidR="00AB6998">
              <w:t>Type 2 d</w:t>
            </w:r>
            <w:r w:rsidR="00F85C4C">
              <w:t>iabetes or type 1 diabetes with target organ damage;</w:t>
            </w:r>
          </w:p>
          <w:p w:rsidR="00A84E0D" w:rsidRPr="004E6C82" w:rsidRDefault="00A84E0D" w:rsidP="00A84E0D">
            <w:pPr>
              <w:autoSpaceDE w:val="0"/>
              <w:autoSpaceDN w:val="0"/>
              <w:adjustRightInd w:val="0"/>
            </w:pPr>
            <w:r w:rsidRPr="004E6C82">
              <w:t xml:space="preserve">• </w:t>
            </w:r>
            <w:r w:rsidRPr="00A84E0D">
              <w:t>10 year risk SCORE ≥10%.</w:t>
            </w:r>
          </w:p>
          <w:p w:rsidR="00AB6998" w:rsidRDefault="00AB6998" w:rsidP="00AB6998">
            <w:pPr>
              <w:autoSpaceDE w:val="0"/>
              <w:autoSpaceDN w:val="0"/>
              <w:adjustRightInd w:val="0"/>
            </w:pPr>
          </w:p>
          <w:p w:rsidR="001F7934" w:rsidRDefault="001F7934" w:rsidP="00AB6998">
            <w:pPr>
              <w:autoSpaceDE w:val="0"/>
              <w:autoSpaceDN w:val="0"/>
              <w:adjustRightInd w:val="0"/>
              <w:rPr>
                <w:b/>
              </w:rPr>
            </w:pPr>
            <w:r>
              <w:rPr>
                <w:b/>
              </w:rPr>
              <w:t>High</w:t>
            </w:r>
            <w:r w:rsidRPr="00A23D11">
              <w:rPr>
                <w:b/>
              </w:rPr>
              <w:t xml:space="preserve"> </w:t>
            </w:r>
            <w:r>
              <w:rPr>
                <w:b/>
              </w:rPr>
              <w:t>r</w:t>
            </w:r>
            <w:r w:rsidRPr="00A23D11">
              <w:rPr>
                <w:b/>
              </w:rPr>
              <w:t>isk:</w:t>
            </w:r>
          </w:p>
          <w:p w:rsidR="00F85C4C" w:rsidRDefault="00044846" w:rsidP="00F85C4C">
            <w:pPr>
              <w:autoSpaceDE w:val="0"/>
              <w:autoSpaceDN w:val="0"/>
              <w:adjustRightInd w:val="0"/>
              <w:ind w:right="-109"/>
            </w:pPr>
            <w:r>
              <w:t xml:space="preserve">• Markedly elevated single risk factors </w:t>
            </w:r>
            <w:r w:rsidR="00F85C4C">
              <w:t>e.g. in familial hyper-cholesterolaemia; cholesterol &gt;8 mmol/L (&gt;310 mg/dL) or severe hypertension (BP ≥180/110 mmHg)</w:t>
            </w:r>
          </w:p>
          <w:p w:rsidR="00F85C4C" w:rsidRDefault="00F85C4C" w:rsidP="00F85C4C">
            <w:pPr>
              <w:autoSpaceDE w:val="0"/>
              <w:autoSpaceDN w:val="0"/>
              <w:adjustRightInd w:val="0"/>
              <w:ind w:right="-109"/>
            </w:pPr>
            <w:r>
              <w:t>• most patients with DM</w:t>
            </w:r>
          </w:p>
          <w:p w:rsidR="00F85C4C" w:rsidRDefault="00F85C4C" w:rsidP="00F85C4C">
            <w:pPr>
              <w:autoSpaceDE w:val="0"/>
              <w:autoSpaceDN w:val="0"/>
              <w:adjustRightInd w:val="0"/>
              <w:ind w:right="-109"/>
            </w:pPr>
            <w:r>
              <w:t>• moderate CKD (GFR 30–59 mL/min/1.73 m2).</w:t>
            </w:r>
          </w:p>
          <w:p w:rsidR="00044846" w:rsidRDefault="00044846" w:rsidP="00044846">
            <w:pPr>
              <w:autoSpaceDE w:val="0"/>
              <w:autoSpaceDN w:val="0"/>
              <w:adjustRightInd w:val="0"/>
            </w:pPr>
            <w:r>
              <w:t xml:space="preserve">• </w:t>
            </w:r>
            <w:r w:rsidRPr="00A84E0D">
              <w:t xml:space="preserve">10 year risk </w:t>
            </w:r>
            <w:r>
              <w:t>SCORE ≥5% to &lt;10%</w:t>
            </w:r>
          </w:p>
          <w:p w:rsidR="00044846" w:rsidRDefault="00044846" w:rsidP="00044846">
            <w:pPr>
              <w:autoSpaceDE w:val="0"/>
              <w:autoSpaceDN w:val="0"/>
              <w:adjustRightInd w:val="0"/>
            </w:pPr>
          </w:p>
          <w:p w:rsidR="00044846" w:rsidRPr="00044846" w:rsidRDefault="00044846" w:rsidP="00044846">
            <w:pPr>
              <w:autoSpaceDE w:val="0"/>
              <w:autoSpaceDN w:val="0"/>
              <w:adjustRightInd w:val="0"/>
              <w:rPr>
                <w:b/>
              </w:rPr>
            </w:pPr>
            <w:r w:rsidRPr="00044846">
              <w:rPr>
                <w:b/>
              </w:rPr>
              <w:t>Moderate risk</w:t>
            </w:r>
            <w:r>
              <w:rPr>
                <w:b/>
              </w:rPr>
              <w:t>:</w:t>
            </w:r>
          </w:p>
          <w:p w:rsidR="00044846" w:rsidRDefault="00044846" w:rsidP="00044846">
            <w:pPr>
              <w:autoSpaceDE w:val="0"/>
              <w:autoSpaceDN w:val="0"/>
              <w:adjustRightInd w:val="0"/>
            </w:pPr>
            <w:r>
              <w:t>•</w:t>
            </w:r>
            <w:r w:rsidRPr="00A84E0D">
              <w:t xml:space="preserve">10 year risk </w:t>
            </w:r>
            <w:r>
              <w:t>SCORE ≥1% to &lt;5%;</w:t>
            </w:r>
          </w:p>
          <w:p w:rsidR="009252CB" w:rsidRDefault="009252CB" w:rsidP="00044846">
            <w:pPr>
              <w:autoSpaceDE w:val="0"/>
              <w:autoSpaceDN w:val="0"/>
              <w:adjustRightInd w:val="0"/>
              <w:rPr>
                <w:b/>
              </w:rPr>
            </w:pPr>
          </w:p>
          <w:p w:rsidR="00044846" w:rsidRPr="00044846" w:rsidRDefault="00044846" w:rsidP="00044846">
            <w:pPr>
              <w:autoSpaceDE w:val="0"/>
              <w:autoSpaceDN w:val="0"/>
              <w:adjustRightInd w:val="0"/>
              <w:rPr>
                <w:b/>
              </w:rPr>
            </w:pPr>
            <w:r w:rsidRPr="00044846">
              <w:rPr>
                <w:b/>
              </w:rPr>
              <w:t>Low risk:</w:t>
            </w:r>
          </w:p>
          <w:p w:rsidR="00044846" w:rsidRDefault="00044846" w:rsidP="00044846">
            <w:pPr>
              <w:autoSpaceDE w:val="0"/>
              <w:autoSpaceDN w:val="0"/>
              <w:adjustRightInd w:val="0"/>
            </w:pPr>
            <w:r>
              <w:t>•</w:t>
            </w:r>
            <w:r w:rsidRPr="00A84E0D">
              <w:t xml:space="preserve">10 year risk </w:t>
            </w:r>
            <w:r>
              <w:t>SCORE &lt;1%</w:t>
            </w:r>
          </w:p>
          <w:p w:rsidR="00044846" w:rsidRDefault="00044846" w:rsidP="00044846">
            <w:pPr>
              <w:autoSpaceDE w:val="0"/>
              <w:autoSpaceDN w:val="0"/>
              <w:adjustRightInd w:val="0"/>
            </w:pPr>
          </w:p>
          <w:p w:rsidR="0089183C" w:rsidRDefault="0089183C" w:rsidP="00230652">
            <w:pPr>
              <w:autoSpaceDE w:val="0"/>
              <w:autoSpaceDN w:val="0"/>
              <w:adjustRightInd w:val="0"/>
            </w:pPr>
          </w:p>
        </w:tc>
        <w:tc>
          <w:tcPr>
            <w:tcW w:w="1843" w:type="dxa"/>
          </w:tcPr>
          <w:p w:rsidR="00230652" w:rsidRDefault="00F40DCE" w:rsidP="00230652">
            <w:pPr>
              <w:autoSpaceDE w:val="0"/>
              <w:autoSpaceDN w:val="0"/>
              <w:adjustRightInd w:val="0"/>
            </w:pPr>
            <w:r>
              <w:t xml:space="preserve">The </w:t>
            </w:r>
            <w:r w:rsidR="00D02A33">
              <w:t>Systematic COronary Risk Evaluation (</w:t>
            </w:r>
            <w:r w:rsidR="00D14561" w:rsidRPr="00D14561">
              <w:t>SCORE</w:t>
            </w:r>
            <w:r w:rsidR="00D02A33">
              <w:t>)</w:t>
            </w:r>
            <w:r w:rsidR="00D14561" w:rsidRPr="00D14561">
              <w:t xml:space="preserve"> risk assessment tool,</w:t>
            </w:r>
            <w:r w:rsidR="00D02A33">
              <w:t xml:space="preserve"> </w:t>
            </w:r>
          </w:p>
          <w:p w:rsidR="00AB6998" w:rsidRDefault="00967BF2" w:rsidP="00AB6998">
            <w:pPr>
              <w:autoSpaceDE w:val="0"/>
              <w:autoSpaceDN w:val="0"/>
              <w:adjustRightInd w:val="0"/>
            </w:pPr>
            <w:r>
              <w:t>designed to assess</w:t>
            </w:r>
            <w:r w:rsidR="005F32A0">
              <w:t xml:space="preserve"> the risk of </w:t>
            </w:r>
            <w:r w:rsidR="00AB6998">
              <w:t>a first fatal</w:t>
            </w:r>
          </w:p>
          <w:p w:rsidR="00AB6998" w:rsidRDefault="00AB6998" w:rsidP="00AB6998">
            <w:pPr>
              <w:autoSpaceDE w:val="0"/>
              <w:autoSpaceDN w:val="0"/>
              <w:adjustRightInd w:val="0"/>
            </w:pPr>
            <w:r>
              <w:t>atherosclerotic event, whether heart attack, stroke, or other</w:t>
            </w:r>
          </w:p>
          <w:p w:rsidR="00D02A33" w:rsidRDefault="00AB6998" w:rsidP="00BE2503">
            <w:pPr>
              <w:autoSpaceDE w:val="0"/>
              <w:autoSpaceDN w:val="0"/>
              <w:adjustRightInd w:val="0"/>
            </w:pPr>
            <w:r>
              <w:t>occlusive arterial disease, including sudden cardiac death</w:t>
            </w:r>
            <w:r w:rsidR="00D02A33">
              <w:t>, calculated for 10 years or until age 60</w:t>
            </w:r>
            <w:r w:rsidR="00F40DCE">
              <w:t xml:space="preserve">. </w:t>
            </w:r>
            <w:r w:rsidR="00F40DCE" w:rsidRPr="00BE2503">
              <w:t>Requires TC value to be entered</w:t>
            </w:r>
            <w:r w:rsidR="00BE2503">
              <w:t xml:space="preserve">; and the charts are also available for TC:HDL-C ratio; electronic version exists for HDL-C inputs. </w:t>
            </w:r>
          </w:p>
        </w:tc>
        <w:tc>
          <w:tcPr>
            <w:tcW w:w="3686" w:type="dxa"/>
          </w:tcPr>
          <w:p w:rsidR="00DE3114" w:rsidRDefault="004A2ECF" w:rsidP="00F936B7">
            <w:pPr>
              <w:autoSpaceDE w:val="0"/>
              <w:autoSpaceDN w:val="0"/>
              <w:adjustRightInd w:val="0"/>
            </w:pPr>
            <w:r w:rsidRPr="00667F1F">
              <w:rPr>
                <w:b/>
              </w:rPr>
              <w:t>After exploiting lifestyle</w:t>
            </w:r>
            <w:r w:rsidR="00D228FB">
              <w:rPr>
                <w:b/>
              </w:rPr>
              <w:t xml:space="preserve"> and dietary modifications</w:t>
            </w:r>
            <w:r>
              <w:t xml:space="preserve"> </w:t>
            </w:r>
            <w:r w:rsidR="004D745D">
              <w:t>start</w:t>
            </w:r>
            <w:r>
              <w:t xml:space="preserve"> with a statin; statin doses </w:t>
            </w:r>
            <w:r w:rsidR="00DE3114">
              <w:t xml:space="preserve">and the type of statin </w:t>
            </w:r>
            <w:r w:rsidR="00F40DCE">
              <w:t>should reflect the degree of LDL-</w:t>
            </w:r>
            <w:r w:rsidR="00DE3114">
              <w:t>C reduction that is req</w:t>
            </w:r>
            <w:r w:rsidR="00D228FB">
              <w:t>uired to reach the target LDL-C (Table A5.1</w:t>
            </w:r>
            <w:r w:rsidR="009D1254">
              <w:t xml:space="preserve"> in Appendix</w:t>
            </w:r>
            <w:r w:rsidR="00D228FB">
              <w:t>).</w:t>
            </w:r>
            <w:r w:rsidR="00F936B7">
              <w:t xml:space="preserve"> Prescribe statin up to the highest recommended dose or highest tolerable dose to reach the goal. In the case of </w:t>
            </w:r>
            <w:r w:rsidR="00F936B7" w:rsidRPr="00F936B7">
              <w:rPr>
                <w:b/>
              </w:rPr>
              <w:t>statin intolerance</w:t>
            </w:r>
            <w:r w:rsidR="00F936B7">
              <w:t xml:space="preserve">, </w:t>
            </w:r>
            <w:r w:rsidR="00F936B7" w:rsidRPr="00F936B7">
              <w:rPr>
                <w:b/>
              </w:rPr>
              <w:t>ezetimibe or bile acid sequestrants</w:t>
            </w:r>
            <w:r w:rsidR="00F936B7">
              <w:t>, or these combined, should be considered.</w:t>
            </w:r>
          </w:p>
          <w:p w:rsidR="00DE3114" w:rsidRDefault="00DE3114" w:rsidP="00F936B7">
            <w:pPr>
              <w:autoSpaceDE w:val="0"/>
              <w:autoSpaceDN w:val="0"/>
              <w:adjustRightInd w:val="0"/>
            </w:pPr>
            <w:r>
              <w:t xml:space="preserve">Should the target value have not been met, </w:t>
            </w:r>
            <w:r w:rsidR="00F936B7" w:rsidRPr="00F936B7">
              <w:rPr>
                <w:b/>
              </w:rPr>
              <w:t>statin combination with</w:t>
            </w:r>
            <w:r w:rsidR="00F936B7">
              <w:t xml:space="preserve"> a cholesterol absorption inhibitor (</w:t>
            </w:r>
            <w:r w:rsidR="00F936B7" w:rsidRPr="00F936B7">
              <w:rPr>
                <w:b/>
              </w:rPr>
              <w:t>ezetimibe</w:t>
            </w:r>
            <w:r w:rsidR="00F936B7">
              <w:t xml:space="preserve">) should be considered first followed by the </w:t>
            </w:r>
            <w:r w:rsidR="00F936B7" w:rsidRPr="00F936B7">
              <w:rPr>
                <w:b/>
              </w:rPr>
              <w:t>statin combination with a bile acid sequestrant</w:t>
            </w:r>
            <w:r w:rsidR="00F936B7">
              <w:t xml:space="preserve">. </w:t>
            </w:r>
          </w:p>
          <w:p w:rsidR="00F936B7" w:rsidRDefault="00F936B7" w:rsidP="00F936B7">
            <w:pPr>
              <w:autoSpaceDE w:val="0"/>
              <w:autoSpaceDN w:val="0"/>
              <w:adjustRightInd w:val="0"/>
            </w:pPr>
            <w:r>
              <w:t>In patients at very high-risk, with</w:t>
            </w:r>
          </w:p>
          <w:p w:rsidR="00F936B7" w:rsidRDefault="00F936B7" w:rsidP="00F936B7">
            <w:pPr>
              <w:autoSpaceDE w:val="0"/>
              <w:autoSpaceDN w:val="0"/>
              <w:adjustRightInd w:val="0"/>
            </w:pPr>
            <w:r>
              <w:t>persistent high LDL-C despite</w:t>
            </w:r>
          </w:p>
          <w:p w:rsidR="00F936B7" w:rsidRDefault="00F936B7" w:rsidP="00F936B7">
            <w:pPr>
              <w:autoSpaceDE w:val="0"/>
              <w:autoSpaceDN w:val="0"/>
              <w:adjustRightInd w:val="0"/>
            </w:pPr>
            <w:r>
              <w:t>treatment with maximal tolerated</w:t>
            </w:r>
          </w:p>
          <w:p w:rsidR="00F936B7" w:rsidRDefault="00F936B7" w:rsidP="00F936B7">
            <w:pPr>
              <w:autoSpaceDE w:val="0"/>
              <w:autoSpaceDN w:val="0"/>
              <w:adjustRightInd w:val="0"/>
            </w:pPr>
            <w:r>
              <w:t>statin dose, in combination with</w:t>
            </w:r>
          </w:p>
          <w:p w:rsidR="00F936B7" w:rsidRDefault="00F936B7" w:rsidP="00F936B7">
            <w:pPr>
              <w:autoSpaceDE w:val="0"/>
              <w:autoSpaceDN w:val="0"/>
              <w:adjustRightInd w:val="0"/>
            </w:pPr>
            <w:r>
              <w:t>ezeti</w:t>
            </w:r>
            <w:r w:rsidR="008545EE">
              <w:t xml:space="preserve">mibe or in patients with statin </w:t>
            </w:r>
            <w:r>
              <w:t>intolerance, a PCSK9 inhibitor may be considered.</w:t>
            </w:r>
            <w:r w:rsidR="00FA7D06">
              <w:t xml:space="preserve"> </w:t>
            </w:r>
          </w:p>
          <w:p w:rsidR="005E222D" w:rsidRDefault="005E222D" w:rsidP="005E222D">
            <w:pPr>
              <w:autoSpaceDE w:val="0"/>
              <w:autoSpaceDN w:val="0"/>
              <w:adjustRightInd w:val="0"/>
            </w:pPr>
          </w:p>
        </w:tc>
      </w:tr>
    </w:tbl>
    <w:p w:rsidR="00B1762B" w:rsidRDefault="00A20107" w:rsidP="00E54653">
      <w:pPr>
        <w:spacing w:after="0" w:line="240" w:lineRule="auto"/>
      </w:pPr>
      <w:r>
        <w:t>*</w:t>
      </w:r>
      <w:r w:rsidRPr="00F62272">
        <w:rPr>
          <w:i/>
        </w:rPr>
        <w:t>Source</w:t>
      </w:r>
      <w:r>
        <w:t>: Table 5, p.16</w:t>
      </w:r>
      <w:r w:rsidR="00096B17">
        <w:t xml:space="preserve"> &amp; Table 10, p.21</w:t>
      </w:r>
      <w:r>
        <w:t xml:space="preserve"> (Catapano, 2016)</w:t>
      </w:r>
      <w:r w:rsidR="00E54653">
        <w:t xml:space="preserve"> </w:t>
      </w:r>
      <w:r w:rsidR="00FA7D06">
        <w:t>**</w:t>
      </w:r>
      <w:r w:rsidR="00FA7D06" w:rsidRPr="00FA7D06">
        <w:rPr>
          <w:i/>
        </w:rPr>
        <w:t xml:space="preserve"> </w:t>
      </w:r>
      <w:r w:rsidR="00FA7D06" w:rsidRPr="00F62272">
        <w:rPr>
          <w:i/>
        </w:rPr>
        <w:t>Source</w:t>
      </w:r>
      <w:r w:rsidR="00FA7D06">
        <w:t>: Table 16, p.32 (Catapano, 2016)</w:t>
      </w:r>
    </w:p>
    <w:p w:rsidR="00B1762B" w:rsidRDefault="00B1762B">
      <w:pPr>
        <w:sectPr w:rsidR="00B1762B" w:rsidSect="008013A7">
          <w:pgSz w:w="16838" w:h="11906" w:orient="landscape"/>
          <w:pgMar w:top="1440" w:right="1440" w:bottom="1440" w:left="1440" w:header="708" w:footer="708" w:gutter="0"/>
          <w:cols w:space="708"/>
          <w:docGrid w:linePitch="360"/>
        </w:sectPr>
      </w:pPr>
    </w:p>
    <w:p w:rsidR="00B1762B" w:rsidRDefault="00B1762B"/>
    <w:p w:rsidR="00B1762B" w:rsidRDefault="0004382B" w:rsidP="0004382B">
      <w:pPr>
        <w:spacing w:after="0"/>
        <w:jc w:val="both"/>
      </w:pPr>
      <w:r>
        <w:t>TC and LDL-C remain the primary targets recommended in the</w:t>
      </w:r>
      <w:r w:rsidR="00B1762B">
        <w:t xml:space="preserve"> </w:t>
      </w:r>
      <w:r w:rsidR="00B1762B" w:rsidRPr="004A2ECF">
        <w:t xml:space="preserve">ESC/EAS </w:t>
      </w:r>
      <w:r w:rsidR="00B1762B">
        <w:t>guidelines</w:t>
      </w:r>
      <w:r>
        <w:t xml:space="preserve"> since</w:t>
      </w:r>
      <w:r w:rsidR="00B1762B">
        <w:t xml:space="preserve"> </w:t>
      </w:r>
      <w:r>
        <w:t xml:space="preserve">virtually all drug trials are based on TC and LDL-C, and that clinical benefit from using other measures, including apoB, non-HDL-C and various ratios, has largely been based on post hoc analyses. </w:t>
      </w:r>
      <w:r w:rsidR="00B1762B">
        <w:t>LDL-C levels continue to constitute the primary targets of therapy. However, with TG values beyond &gt; 200 mg/dL (5.2 mmol/L), treatment decisions should be made on the basis of non-HDL-C.</w:t>
      </w:r>
      <w:r>
        <w:t xml:space="preserve"> </w:t>
      </w:r>
    </w:p>
    <w:p w:rsidR="00A20107" w:rsidRDefault="00A20107" w:rsidP="0004382B">
      <w:pPr>
        <w:spacing w:after="0"/>
        <w:jc w:val="both"/>
      </w:pPr>
    </w:p>
    <w:p w:rsidR="00A20107" w:rsidRDefault="00A20107" w:rsidP="0004382B">
      <w:pPr>
        <w:spacing w:after="0"/>
        <w:jc w:val="both"/>
      </w:pPr>
      <w:r>
        <w:t>In the 2016 update</w:t>
      </w:r>
      <w:r w:rsidR="00F62272">
        <w:t xml:space="preserve"> of</w:t>
      </w:r>
      <w:r>
        <w:t xml:space="preserve"> the </w:t>
      </w:r>
      <w:r w:rsidRPr="004A2ECF">
        <w:t xml:space="preserve">ESC/EAS </w:t>
      </w:r>
      <w:r>
        <w:t xml:space="preserve">guidelines the definitions of treatment targets for LDL-C </w:t>
      </w:r>
      <w:r w:rsidR="00F62272">
        <w:t xml:space="preserve">was expanded </w:t>
      </w:r>
      <w:r>
        <w:t>by</w:t>
      </w:r>
      <w:r w:rsidR="00924276">
        <w:t xml:space="preserve"> including the percentage reduction from the baseline LDL-C for the very high and high risk groups. </w:t>
      </w:r>
      <w:r>
        <w:t xml:space="preserve"> </w:t>
      </w:r>
      <w:r w:rsidR="00924276">
        <w:t xml:space="preserve">The </w:t>
      </w:r>
      <w:r w:rsidR="00F62272">
        <w:t xml:space="preserve">secondary </w:t>
      </w:r>
      <w:r w:rsidR="00924276">
        <w:t xml:space="preserve">targets expressed in </w:t>
      </w:r>
      <w:r w:rsidR="00F62272">
        <w:t>n</w:t>
      </w:r>
      <w:r w:rsidR="00F62272" w:rsidRPr="00924276">
        <w:t xml:space="preserve">on-HDL-C </w:t>
      </w:r>
      <w:r w:rsidR="00924276">
        <w:t xml:space="preserve">were introduced for some patient subgroups. </w:t>
      </w:r>
      <w:r>
        <w:t xml:space="preserve"> </w:t>
      </w:r>
      <w:r w:rsidR="00924276">
        <w:t>Table 5.2 summarises the treatment targets.</w:t>
      </w:r>
    </w:p>
    <w:p w:rsidR="00924276" w:rsidRDefault="00924276" w:rsidP="0004382B">
      <w:pPr>
        <w:spacing w:after="0"/>
        <w:jc w:val="both"/>
      </w:pPr>
    </w:p>
    <w:p w:rsidR="00924276" w:rsidRDefault="00154E34" w:rsidP="00154E34">
      <w:pPr>
        <w:pStyle w:val="Heading3"/>
      </w:pPr>
      <w:bookmarkStart w:id="18" w:name="_Toc461644667"/>
      <w:r>
        <w:t>Table 5.2 Primary and secondary treatment targets</w:t>
      </w:r>
      <w:bookmarkEnd w:id="18"/>
      <w:r>
        <w:t xml:space="preserve"> </w:t>
      </w:r>
    </w:p>
    <w:tbl>
      <w:tblPr>
        <w:tblStyle w:val="TableGrid"/>
        <w:tblW w:w="9210" w:type="dxa"/>
        <w:tblLook w:val="04A0" w:firstRow="1" w:lastRow="0" w:firstColumn="1" w:lastColumn="0" w:noHBand="0" w:noVBand="1"/>
      </w:tblPr>
      <w:tblGrid>
        <w:gridCol w:w="2254"/>
        <w:gridCol w:w="2136"/>
        <w:gridCol w:w="2254"/>
        <w:gridCol w:w="2566"/>
      </w:tblGrid>
      <w:tr w:rsidR="00924276" w:rsidTr="00154E34">
        <w:tc>
          <w:tcPr>
            <w:tcW w:w="2254" w:type="dxa"/>
          </w:tcPr>
          <w:p w:rsidR="00924276" w:rsidRPr="00924276" w:rsidRDefault="00924276" w:rsidP="00B1762B">
            <w:pPr>
              <w:jc w:val="both"/>
              <w:rPr>
                <w:b/>
              </w:rPr>
            </w:pPr>
            <w:r w:rsidRPr="00924276">
              <w:rPr>
                <w:b/>
              </w:rPr>
              <w:t>Subgroup</w:t>
            </w:r>
          </w:p>
        </w:tc>
        <w:tc>
          <w:tcPr>
            <w:tcW w:w="2136" w:type="dxa"/>
          </w:tcPr>
          <w:p w:rsidR="00924276" w:rsidRPr="00924276" w:rsidRDefault="00924276" w:rsidP="00B1762B">
            <w:pPr>
              <w:jc w:val="both"/>
              <w:rPr>
                <w:b/>
              </w:rPr>
            </w:pPr>
            <w:r w:rsidRPr="00924276">
              <w:rPr>
                <w:b/>
              </w:rPr>
              <w:t>LDL-C target</w:t>
            </w:r>
          </w:p>
        </w:tc>
        <w:tc>
          <w:tcPr>
            <w:tcW w:w="2254" w:type="dxa"/>
            <w:vAlign w:val="center"/>
          </w:tcPr>
          <w:p w:rsidR="00924276" w:rsidRPr="00924276" w:rsidRDefault="00924276" w:rsidP="00F62272">
            <w:pPr>
              <w:rPr>
                <w:b/>
              </w:rPr>
            </w:pPr>
            <w:r w:rsidRPr="00924276">
              <w:rPr>
                <w:b/>
              </w:rPr>
              <w:t xml:space="preserve">% </w:t>
            </w:r>
            <w:r w:rsidR="00F62272" w:rsidRPr="00924276">
              <w:rPr>
                <w:b/>
              </w:rPr>
              <w:t xml:space="preserve">reduction </w:t>
            </w:r>
            <w:r w:rsidRPr="00924276">
              <w:rPr>
                <w:b/>
              </w:rPr>
              <w:t xml:space="preserve">from </w:t>
            </w:r>
            <w:r w:rsidR="00F62272">
              <w:rPr>
                <w:b/>
              </w:rPr>
              <w:t xml:space="preserve">the </w:t>
            </w:r>
            <w:r w:rsidRPr="00924276">
              <w:rPr>
                <w:b/>
              </w:rPr>
              <w:t xml:space="preserve">baseline </w:t>
            </w:r>
            <w:r w:rsidR="00F62272">
              <w:rPr>
                <w:b/>
              </w:rPr>
              <w:t>LDL-C</w:t>
            </w:r>
          </w:p>
        </w:tc>
        <w:tc>
          <w:tcPr>
            <w:tcW w:w="2566" w:type="dxa"/>
            <w:vAlign w:val="center"/>
          </w:tcPr>
          <w:p w:rsidR="00924276" w:rsidRPr="00924276" w:rsidRDefault="00924276" w:rsidP="00924276">
            <w:pPr>
              <w:rPr>
                <w:b/>
              </w:rPr>
            </w:pPr>
            <w:r w:rsidRPr="00924276">
              <w:rPr>
                <w:b/>
              </w:rPr>
              <w:t>Other lipids (secondary targets)</w:t>
            </w:r>
          </w:p>
        </w:tc>
      </w:tr>
      <w:tr w:rsidR="00924276" w:rsidTr="00154E34">
        <w:tc>
          <w:tcPr>
            <w:tcW w:w="2254" w:type="dxa"/>
          </w:tcPr>
          <w:p w:rsidR="00924276" w:rsidRDefault="00924276" w:rsidP="00924276">
            <w:pPr>
              <w:jc w:val="both"/>
            </w:pPr>
            <w:r>
              <w:t>Very high-risk</w:t>
            </w:r>
          </w:p>
        </w:tc>
        <w:tc>
          <w:tcPr>
            <w:tcW w:w="2136" w:type="dxa"/>
          </w:tcPr>
          <w:p w:rsidR="00924276" w:rsidRDefault="00924276" w:rsidP="00924276">
            <w:pPr>
              <w:jc w:val="both"/>
            </w:pPr>
            <w:r>
              <w:t>&lt;1.8 mmol/L</w:t>
            </w:r>
          </w:p>
          <w:p w:rsidR="00924276" w:rsidRDefault="00924276" w:rsidP="00924276">
            <w:pPr>
              <w:jc w:val="both"/>
            </w:pPr>
            <w:r>
              <w:t>(70 mg/dL)</w:t>
            </w:r>
          </w:p>
        </w:tc>
        <w:tc>
          <w:tcPr>
            <w:tcW w:w="2254" w:type="dxa"/>
          </w:tcPr>
          <w:p w:rsidR="00924276" w:rsidRDefault="00924276" w:rsidP="00924276">
            <w:pPr>
              <w:jc w:val="both"/>
            </w:pPr>
            <w:r>
              <w:t>at least 50% if the baseline is between 1.8 and 3.5 mmol/L (70 and 135 mg/dL).</w:t>
            </w:r>
          </w:p>
        </w:tc>
        <w:tc>
          <w:tcPr>
            <w:tcW w:w="2566" w:type="dxa"/>
          </w:tcPr>
          <w:p w:rsidR="00924276" w:rsidRDefault="00924276" w:rsidP="00154E34">
            <w:r w:rsidRPr="00924276">
              <w:t>Non-HDL-C &lt;2.6</w:t>
            </w:r>
            <w:r w:rsidR="00154E34">
              <w:t xml:space="preserve"> mmol/L</w:t>
            </w:r>
          </w:p>
          <w:p w:rsidR="00154E34" w:rsidRDefault="00154E34" w:rsidP="00154E34">
            <w:r>
              <w:t>(100 mg/dL)</w:t>
            </w:r>
          </w:p>
        </w:tc>
      </w:tr>
      <w:tr w:rsidR="00924276" w:rsidTr="00154E34">
        <w:tc>
          <w:tcPr>
            <w:tcW w:w="2254" w:type="dxa"/>
          </w:tcPr>
          <w:p w:rsidR="00154E34" w:rsidRDefault="00154E34" w:rsidP="00154E34">
            <w:pPr>
              <w:jc w:val="both"/>
            </w:pPr>
            <w:r>
              <w:t xml:space="preserve">High-risk </w:t>
            </w:r>
          </w:p>
          <w:p w:rsidR="00924276" w:rsidRDefault="00924276" w:rsidP="00154E34">
            <w:pPr>
              <w:jc w:val="both"/>
            </w:pPr>
          </w:p>
        </w:tc>
        <w:tc>
          <w:tcPr>
            <w:tcW w:w="2136" w:type="dxa"/>
          </w:tcPr>
          <w:p w:rsidR="00154E34" w:rsidRDefault="00154E34" w:rsidP="00154E34">
            <w:r>
              <w:t xml:space="preserve">&lt;2.6 mmol/L </w:t>
            </w:r>
          </w:p>
          <w:p w:rsidR="00924276" w:rsidRDefault="00154E34" w:rsidP="00154E34">
            <w:r>
              <w:t xml:space="preserve">(100 mg/dL) </w:t>
            </w:r>
          </w:p>
        </w:tc>
        <w:tc>
          <w:tcPr>
            <w:tcW w:w="2254" w:type="dxa"/>
          </w:tcPr>
          <w:p w:rsidR="00924276" w:rsidRDefault="00154E34" w:rsidP="00154E34">
            <w:pPr>
              <w:jc w:val="both"/>
            </w:pPr>
            <w:r>
              <w:t>at least 50% if the baseline is between 2.6 and 5.2 mmol/L (100 and 200 mg/dL).</w:t>
            </w:r>
          </w:p>
        </w:tc>
        <w:tc>
          <w:tcPr>
            <w:tcW w:w="2566" w:type="dxa"/>
          </w:tcPr>
          <w:p w:rsidR="00154E34" w:rsidRDefault="00154E34" w:rsidP="00154E34">
            <w:r w:rsidRPr="00924276">
              <w:t xml:space="preserve">Non-HDL-C </w:t>
            </w:r>
            <w:r>
              <w:t>&lt;3.4 mmol/L</w:t>
            </w:r>
          </w:p>
          <w:p w:rsidR="00924276" w:rsidRDefault="00154E34" w:rsidP="00154E34">
            <w:pPr>
              <w:jc w:val="both"/>
            </w:pPr>
            <w:r>
              <w:t>(130 mg/dL)</w:t>
            </w:r>
          </w:p>
        </w:tc>
      </w:tr>
      <w:tr w:rsidR="00924276" w:rsidTr="00154E34">
        <w:tc>
          <w:tcPr>
            <w:tcW w:w="2254" w:type="dxa"/>
          </w:tcPr>
          <w:p w:rsidR="00154E34" w:rsidRDefault="00154E34" w:rsidP="00154E34">
            <w:pPr>
              <w:jc w:val="both"/>
            </w:pPr>
            <w:r>
              <w:t xml:space="preserve">Low to moderate risk: </w:t>
            </w:r>
          </w:p>
          <w:p w:rsidR="00924276" w:rsidRDefault="00924276" w:rsidP="00154E34">
            <w:pPr>
              <w:jc w:val="both"/>
            </w:pPr>
          </w:p>
        </w:tc>
        <w:tc>
          <w:tcPr>
            <w:tcW w:w="2136" w:type="dxa"/>
          </w:tcPr>
          <w:p w:rsidR="00154E34" w:rsidRDefault="00154E34" w:rsidP="00154E34">
            <w:pPr>
              <w:jc w:val="both"/>
            </w:pPr>
            <w:r>
              <w:t>&lt;3.0 mmol/L</w:t>
            </w:r>
          </w:p>
          <w:p w:rsidR="00924276" w:rsidRDefault="00154E34" w:rsidP="00154E34">
            <w:pPr>
              <w:jc w:val="both"/>
            </w:pPr>
            <w:r>
              <w:t>(115 mg/dL)</w:t>
            </w:r>
          </w:p>
        </w:tc>
        <w:tc>
          <w:tcPr>
            <w:tcW w:w="2254" w:type="dxa"/>
          </w:tcPr>
          <w:p w:rsidR="00924276" w:rsidRDefault="00154E34" w:rsidP="00B1762B">
            <w:pPr>
              <w:jc w:val="both"/>
            </w:pPr>
            <w:r>
              <w:t xml:space="preserve"> Not defined</w:t>
            </w:r>
          </w:p>
        </w:tc>
        <w:tc>
          <w:tcPr>
            <w:tcW w:w="2566" w:type="dxa"/>
          </w:tcPr>
          <w:p w:rsidR="00154E34" w:rsidRDefault="00154E34" w:rsidP="00154E34">
            <w:r w:rsidRPr="00924276">
              <w:t xml:space="preserve">Non-HDL-C </w:t>
            </w:r>
            <w:r>
              <w:t>&lt;3.8 mmol/L</w:t>
            </w:r>
          </w:p>
          <w:p w:rsidR="00924276" w:rsidRDefault="00154E34" w:rsidP="00154E34">
            <w:pPr>
              <w:jc w:val="both"/>
            </w:pPr>
            <w:r>
              <w:t>(145 mg/dL)</w:t>
            </w:r>
          </w:p>
        </w:tc>
      </w:tr>
    </w:tbl>
    <w:p w:rsidR="00B1762B" w:rsidRPr="00F62272" w:rsidRDefault="00F62272" w:rsidP="00B1762B">
      <w:pPr>
        <w:spacing w:after="0"/>
        <w:jc w:val="both"/>
        <w:rPr>
          <w:sz w:val="18"/>
          <w:szCs w:val="18"/>
        </w:rPr>
      </w:pPr>
      <w:r w:rsidRPr="00F62272">
        <w:rPr>
          <w:i/>
          <w:sz w:val="18"/>
          <w:szCs w:val="18"/>
        </w:rPr>
        <w:t>Source:</w:t>
      </w:r>
      <w:r w:rsidRPr="00F62272">
        <w:rPr>
          <w:sz w:val="18"/>
          <w:szCs w:val="18"/>
        </w:rPr>
        <w:t xml:space="preserve"> Table 10, p.21 (Catapano, 2016)</w:t>
      </w:r>
    </w:p>
    <w:p w:rsidR="00F62272" w:rsidRDefault="00F62272"/>
    <w:p w:rsidR="00A25E01" w:rsidRDefault="00F62272" w:rsidP="008E43D4">
      <w:pPr>
        <w:jc w:val="both"/>
      </w:pPr>
      <w:r>
        <w:t>Variations in the treatment target</w:t>
      </w:r>
      <w:r w:rsidR="008E43D4">
        <w:t>s</w:t>
      </w:r>
      <w:r>
        <w:t xml:space="preserve"> introduced in the 2016 update of the </w:t>
      </w:r>
      <w:r w:rsidRPr="004A2ECF">
        <w:t xml:space="preserve">ESC/EAS </w:t>
      </w:r>
      <w:r>
        <w:t>guidelines reflect the</w:t>
      </w:r>
      <w:r w:rsidR="008E43D4">
        <w:t xml:space="preserve"> ACC/AHA</w:t>
      </w:r>
      <w:r>
        <w:t xml:space="preserve"> </w:t>
      </w:r>
      <w:r w:rsidR="008E43D4">
        <w:t>preference</w:t>
      </w:r>
      <w:r>
        <w:t xml:space="preserve"> to </w:t>
      </w:r>
      <w:r w:rsidR="008E43D4">
        <w:t>fixed-dose strategies instead of targeted goals to lower blood cholesterol by introducing percentage reduction from the LDL-C baseline. The secondary target expressed in n</w:t>
      </w:r>
      <w:r w:rsidR="008E43D4" w:rsidRPr="00924276">
        <w:t>on-HDL-C</w:t>
      </w:r>
      <w:r w:rsidR="008E43D4">
        <w:t xml:space="preserve"> lipid measure is consistent with the recent NICE guidelines that utilise n</w:t>
      </w:r>
      <w:r w:rsidR="008E43D4" w:rsidRPr="00924276">
        <w:t>on-HDL-C</w:t>
      </w:r>
      <w:r w:rsidR="008E43D4">
        <w:t xml:space="preserve"> in the QRISK2 risk calculator.</w:t>
      </w:r>
    </w:p>
    <w:p w:rsidR="00904C79" w:rsidRDefault="004D745D" w:rsidP="00904C79">
      <w:pPr>
        <w:spacing w:after="0" w:line="240" w:lineRule="auto"/>
        <w:jc w:val="both"/>
      </w:pPr>
      <w:r>
        <w:t xml:space="preserve">The </w:t>
      </w:r>
      <w:r w:rsidRPr="004A2ECF">
        <w:t xml:space="preserve">ESC/EAS </w:t>
      </w:r>
      <w:r>
        <w:t xml:space="preserve">guidelines </w:t>
      </w:r>
      <w:r w:rsidR="00904C79">
        <w:t>also summarised the current evidence of</w:t>
      </w:r>
      <w:r>
        <w:t xml:space="preserve"> clinical effectiveness of ezetimibe</w:t>
      </w:r>
      <w:r w:rsidR="00904C79">
        <w:t xml:space="preserve"> (p.31):</w:t>
      </w:r>
      <w:r>
        <w:t xml:space="preserve"> </w:t>
      </w:r>
    </w:p>
    <w:p w:rsidR="00904C79" w:rsidRDefault="00904C79" w:rsidP="00904C79">
      <w:pPr>
        <w:pStyle w:val="ListParagraph"/>
        <w:numPr>
          <w:ilvl w:val="0"/>
          <w:numId w:val="20"/>
        </w:numPr>
        <w:spacing w:after="0" w:line="240" w:lineRule="auto"/>
        <w:jc w:val="both"/>
      </w:pPr>
      <w:r>
        <w:t>As a</w:t>
      </w:r>
      <w:r w:rsidR="004D745D">
        <w:t xml:space="preserve"> monotherapy </w:t>
      </w:r>
      <w:r>
        <w:t xml:space="preserve">ezetimibe </w:t>
      </w:r>
      <w:r w:rsidR="004D745D">
        <w:t>reduc</w:t>
      </w:r>
      <w:r>
        <w:t>e</w:t>
      </w:r>
      <w:r w:rsidR="004D745D">
        <w:t xml:space="preserve"> LDL-C by 15–22%. </w:t>
      </w:r>
    </w:p>
    <w:p w:rsidR="00904C79" w:rsidRDefault="004D745D" w:rsidP="00904C79">
      <w:pPr>
        <w:pStyle w:val="ListParagraph"/>
        <w:numPr>
          <w:ilvl w:val="0"/>
          <w:numId w:val="20"/>
        </w:numPr>
        <w:spacing w:after="0" w:line="240" w:lineRule="auto"/>
        <w:jc w:val="both"/>
      </w:pPr>
      <w:r>
        <w:t xml:space="preserve">Combined therapy with ezetimibe and a statin provides an incremental reduction in LDL-C of 15–20%.  </w:t>
      </w:r>
    </w:p>
    <w:p w:rsidR="00D228FB" w:rsidRDefault="004D745D" w:rsidP="00904C79">
      <w:pPr>
        <w:pStyle w:val="ListParagraph"/>
        <w:numPr>
          <w:ilvl w:val="0"/>
          <w:numId w:val="20"/>
        </w:numPr>
        <w:spacing w:after="0" w:line="240" w:lineRule="auto"/>
        <w:jc w:val="both"/>
      </w:pPr>
      <w:r>
        <w:t>The efficacy of PCSK9 inhibitor at reducing LDL-C is in the range of 50–70%, independent of the presence of a background therapy (statins, ezetimibe, etc</w:t>
      </w:r>
      <w:r w:rsidR="00904C79">
        <w:t>)</w:t>
      </w:r>
      <w:r>
        <w:t xml:space="preserve">. </w:t>
      </w:r>
    </w:p>
    <w:p w:rsidR="008E43D4" w:rsidRDefault="008E43D4" w:rsidP="00904C79">
      <w:pPr>
        <w:spacing w:after="0" w:line="240" w:lineRule="auto"/>
        <w:jc w:val="both"/>
      </w:pPr>
    </w:p>
    <w:p w:rsidR="000E752E" w:rsidRDefault="000E752E" w:rsidP="00904C79">
      <w:pPr>
        <w:spacing w:after="0" w:line="240" w:lineRule="auto"/>
        <w:sectPr w:rsidR="000E752E" w:rsidSect="00B1762B">
          <w:pgSz w:w="11906" w:h="16838"/>
          <w:pgMar w:top="1440" w:right="1440" w:bottom="1440" w:left="1440" w:header="709" w:footer="709" w:gutter="0"/>
          <w:cols w:space="708"/>
          <w:docGrid w:linePitch="360"/>
        </w:sectPr>
      </w:pPr>
    </w:p>
    <w:p w:rsidR="006A2AD0" w:rsidRDefault="006A2AD0" w:rsidP="006A2AD0">
      <w:pPr>
        <w:pStyle w:val="Heading1"/>
      </w:pPr>
      <w:bookmarkStart w:id="19" w:name="_Toc461644668"/>
      <w:r>
        <w:t>Conclusion</w:t>
      </w:r>
      <w:bookmarkEnd w:id="19"/>
    </w:p>
    <w:p w:rsidR="006A2AD0" w:rsidRDefault="006A2AD0" w:rsidP="00904C79">
      <w:pPr>
        <w:spacing w:after="0" w:line="240" w:lineRule="auto"/>
      </w:pPr>
    </w:p>
    <w:p w:rsidR="006A2AD0" w:rsidRDefault="006A2AD0" w:rsidP="00904C79">
      <w:pPr>
        <w:spacing w:after="0" w:line="240" w:lineRule="auto"/>
      </w:pPr>
    </w:p>
    <w:p w:rsidR="007E6E49" w:rsidRDefault="007E6E49" w:rsidP="007E6E49">
      <w:pPr>
        <w:spacing w:after="0"/>
        <w:rPr>
          <w:lang w:eastAsia="zh-CN"/>
        </w:rPr>
      </w:pPr>
      <w:r w:rsidRPr="00F878A0">
        <w:rPr>
          <w:b/>
        </w:rPr>
        <w:t>ToR</w:t>
      </w:r>
      <w:r>
        <w:rPr>
          <w:b/>
        </w:rPr>
        <w:t xml:space="preserve"> 2</w:t>
      </w:r>
      <w:r w:rsidRPr="00F878A0">
        <w:rPr>
          <w:b/>
        </w:rPr>
        <w:t>:</w:t>
      </w:r>
      <w:r>
        <w:rPr>
          <w:b/>
        </w:rPr>
        <w:t xml:space="preserve"> </w:t>
      </w:r>
      <w:r w:rsidRPr="00B3594C">
        <w:rPr>
          <w:lang w:eastAsia="zh-CN"/>
        </w:rPr>
        <w:t>Review recent clinical guidelines for the treatment of hypercholesterolaemia and compare this to how ezetimibe is currently used on the Pharmaceutical Benefits Scheme (PBS);</w:t>
      </w:r>
    </w:p>
    <w:p w:rsidR="007E6E49" w:rsidRDefault="007E6E49" w:rsidP="007E6E49">
      <w:pPr>
        <w:spacing w:after="0" w:line="264" w:lineRule="auto"/>
        <w:rPr>
          <w:rFonts w:ascii="Calibri" w:eastAsia="Calibri" w:hAnsi="Calibri" w:cs="Times New Roman"/>
          <w:b/>
        </w:rPr>
      </w:pPr>
    </w:p>
    <w:p w:rsidR="007E6E49" w:rsidRPr="00B3594C" w:rsidRDefault="007E6E49" w:rsidP="007E6E49">
      <w:pPr>
        <w:spacing w:after="0" w:line="264" w:lineRule="auto"/>
        <w:rPr>
          <w:rFonts w:ascii="Calibri" w:eastAsia="Calibri" w:hAnsi="Calibri" w:cs="Times New Roman"/>
          <w:b/>
        </w:rPr>
      </w:pPr>
      <w:r w:rsidRPr="00B3594C">
        <w:rPr>
          <w:rFonts w:ascii="Calibri" w:eastAsia="Calibri" w:hAnsi="Calibri" w:cs="Times New Roman"/>
          <w:b/>
        </w:rPr>
        <w:t>The research questions in relation to the ToR 2 include:</w:t>
      </w:r>
    </w:p>
    <w:p w:rsidR="007E6E49" w:rsidRDefault="007E6E49" w:rsidP="007E6E49">
      <w:pPr>
        <w:spacing w:after="0" w:line="264" w:lineRule="auto"/>
        <w:ind w:left="567" w:hanging="567"/>
        <w:rPr>
          <w:rFonts w:ascii="Calibri" w:eastAsia="Calibri" w:hAnsi="Calibri" w:cs="Times New Roman"/>
        </w:rPr>
      </w:pPr>
      <w:r w:rsidRPr="00B3594C">
        <w:rPr>
          <w:rFonts w:ascii="Calibri" w:eastAsia="Calibri" w:hAnsi="Calibri" w:cs="Times New Roman"/>
          <w:b/>
        </w:rPr>
        <w:t>Q1:</w:t>
      </w:r>
      <w:r w:rsidRPr="00B3594C">
        <w:rPr>
          <w:rFonts w:ascii="Calibri" w:eastAsia="Calibri" w:hAnsi="Calibri" w:cs="Times New Roman"/>
        </w:rPr>
        <w:tab/>
        <w:t xml:space="preserve">Are the eligibility criteria for PBS subsidy of lipid-lowering therapies (as specified in the General Statement for Lipid-Lowering Drugs [GSLLD]) consistent with Australian guidelines for primary (NVDPA-2012) and secondary (NHF-2012) prevention of cardiovascular events? </w:t>
      </w:r>
    </w:p>
    <w:p w:rsidR="0095367F" w:rsidRDefault="0095367F" w:rsidP="0095367F">
      <w:pPr>
        <w:jc w:val="both"/>
      </w:pPr>
    </w:p>
    <w:p w:rsidR="0095367F" w:rsidRPr="006723AC" w:rsidRDefault="0095367F" w:rsidP="0095367F">
      <w:pPr>
        <w:jc w:val="both"/>
      </w:pPr>
      <w:r>
        <w:t xml:space="preserve">The GSLLD covers both subgroups with and without a diagnosis of cardiovascular disease (CVD), where coronary heart disease (CHD) is just one condition in the broader category of CVD. Consistent with the NVDPA guidelines, the GSLLD assigns a high risk category to patients with a symptomatic CVD (CHD; cerebrovascular disease and peripheral vascular disease).  Also consistent with NVDPA guidelines, patients with diabetes mellitus (DM) are assigned a high risk category if they are ≥ 60 years of age, Aboriginal or Torres Strait Islander patients or diagnosed with DM with microalbuminuria. Other criteria for high risk are defined differently in the GSLLD and the NVDPA guidelines. </w:t>
      </w:r>
      <w:r>
        <w:rPr>
          <w:lang w:eastAsia="en-AU"/>
        </w:rPr>
        <w:t>The Table below, reproduced from Section 2 lists discrepancies in r</w:t>
      </w:r>
      <w:r w:rsidRPr="006723AC">
        <w:rPr>
          <w:lang w:eastAsia="en-AU"/>
        </w:rPr>
        <w:t xml:space="preserve">isk factors corresponding to the high risk </w:t>
      </w:r>
      <w:r>
        <w:rPr>
          <w:lang w:eastAsia="en-AU"/>
        </w:rPr>
        <w:t>of a</w:t>
      </w:r>
      <w:r w:rsidRPr="006723AC">
        <w:rPr>
          <w:lang w:eastAsia="en-AU"/>
        </w:rPr>
        <w:t xml:space="preserve"> CVD event</w:t>
      </w:r>
      <w:r>
        <w:rPr>
          <w:lang w:eastAsia="en-AU"/>
        </w:rPr>
        <w:t>.</w:t>
      </w:r>
    </w:p>
    <w:tbl>
      <w:tblPr>
        <w:tblStyle w:val="TableGrid"/>
        <w:tblW w:w="9748" w:type="dxa"/>
        <w:tblLook w:val="04A0" w:firstRow="1" w:lastRow="0" w:firstColumn="1" w:lastColumn="0" w:noHBand="0" w:noVBand="1"/>
      </w:tblPr>
      <w:tblGrid>
        <w:gridCol w:w="3114"/>
        <w:gridCol w:w="3260"/>
        <w:gridCol w:w="3374"/>
      </w:tblGrid>
      <w:tr w:rsidR="0095367F" w:rsidTr="00DE2740">
        <w:tc>
          <w:tcPr>
            <w:tcW w:w="3114" w:type="dxa"/>
          </w:tcPr>
          <w:p w:rsidR="0095367F" w:rsidRPr="006723AC" w:rsidRDefault="0095367F" w:rsidP="00DE2740">
            <w:pPr>
              <w:rPr>
                <w:b/>
              </w:rPr>
            </w:pPr>
            <w:r w:rsidRPr="006723AC">
              <w:rPr>
                <w:b/>
              </w:rPr>
              <w:t>Risk factor</w:t>
            </w:r>
          </w:p>
        </w:tc>
        <w:tc>
          <w:tcPr>
            <w:tcW w:w="3260" w:type="dxa"/>
          </w:tcPr>
          <w:p w:rsidR="0095367F" w:rsidRPr="006723AC" w:rsidRDefault="0095367F" w:rsidP="00DE2740">
            <w:pPr>
              <w:rPr>
                <w:b/>
              </w:rPr>
            </w:pPr>
            <w:r w:rsidRPr="006723AC">
              <w:rPr>
                <w:b/>
              </w:rPr>
              <w:t>Included in GSLLD</w:t>
            </w:r>
          </w:p>
        </w:tc>
        <w:tc>
          <w:tcPr>
            <w:tcW w:w="3374" w:type="dxa"/>
          </w:tcPr>
          <w:p w:rsidR="0095367F" w:rsidRPr="006723AC" w:rsidRDefault="0095367F" w:rsidP="00DE2740">
            <w:pPr>
              <w:rPr>
                <w:b/>
              </w:rPr>
            </w:pPr>
            <w:r w:rsidRPr="006723AC">
              <w:rPr>
                <w:b/>
              </w:rPr>
              <w:t>Included in NVDPA</w:t>
            </w:r>
            <w:r>
              <w:rPr>
                <w:b/>
              </w:rPr>
              <w:t>-2012</w:t>
            </w:r>
          </w:p>
        </w:tc>
      </w:tr>
      <w:tr w:rsidR="0095367F" w:rsidTr="00DE2740">
        <w:tc>
          <w:tcPr>
            <w:tcW w:w="3114" w:type="dxa"/>
          </w:tcPr>
          <w:p w:rsidR="0095367F" w:rsidRDefault="0095367F" w:rsidP="00DE2740">
            <w:r>
              <w:t>moderate or severe chronic kidney disease (CKD)</w:t>
            </w:r>
          </w:p>
        </w:tc>
        <w:tc>
          <w:tcPr>
            <w:tcW w:w="3260" w:type="dxa"/>
          </w:tcPr>
          <w:p w:rsidR="0095367F" w:rsidRDefault="0095367F" w:rsidP="00DE2740">
            <w:r>
              <w:t>no</w:t>
            </w:r>
          </w:p>
        </w:tc>
        <w:tc>
          <w:tcPr>
            <w:tcW w:w="3374" w:type="dxa"/>
          </w:tcPr>
          <w:p w:rsidR="0095367F" w:rsidRDefault="0095367F" w:rsidP="00DE2740">
            <w:r>
              <w:t>yes</w:t>
            </w:r>
          </w:p>
        </w:tc>
      </w:tr>
      <w:tr w:rsidR="0095367F" w:rsidTr="00DE2740">
        <w:tc>
          <w:tcPr>
            <w:tcW w:w="3114" w:type="dxa"/>
          </w:tcPr>
          <w:p w:rsidR="0095367F" w:rsidRPr="00706E78" w:rsidRDefault="0095367F" w:rsidP="00DE2740">
            <w:r w:rsidRPr="00706E78">
              <w:t xml:space="preserve">family history of </w:t>
            </w:r>
            <w:r>
              <w:t xml:space="preserve">CHD </w:t>
            </w:r>
            <w:r w:rsidRPr="00706E78">
              <w:t xml:space="preserve">which has become symptomatic before the age of 55 years in two or more </w:t>
            </w:r>
            <w:r>
              <w:t>1</w:t>
            </w:r>
            <w:r w:rsidRPr="00512F31">
              <w:rPr>
                <w:vertAlign w:val="superscript"/>
              </w:rPr>
              <w:t>st</w:t>
            </w:r>
            <w:r>
              <w:t xml:space="preserve"> </w:t>
            </w:r>
            <w:r w:rsidRPr="00706E78">
              <w:t>degree relatives</w:t>
            </w:r>
          </w:p>
        </w:tc>
        <w:tc>
          <w:tcPr>
            <w:tcW w:w="3260" w:type="dxa"/>
          </w:tcPr>
          <w:p w:rsidR="0095367F" w:rsidRDefault="0095367F" w:rsidP="00DE2740">
            <w:r>
              <w:t>yes</w:t>
            </w:r>
          </w:p>
        </w:tc>
        <w:tc>
          <w:tcPr>
            <w:tcW w:w="3374" w:type="dxa"/>
          </w:tcPr>
          <w:p w:rsidR="0095367F" w:rsidRDefault="0095367F" w:rsidP="00DE2740">
            <w:r>
              <w:t xml:space="preserve">Not explicitly, but carries additional weight in the calculation of a cardiovascular risk with a web calculator or a chart </w:t>
            </w:r>
          </w:p>
        </w:tc>
      </w:tr>
      <w:tr w:rsidR="0095367F" w:rsidTr="00DE2740">
        <w:tc>
          <w:tcPr>
            <w:tcW w:w="3114" w:type="dxa"/>
          </w:tcPr>
          <w:p w:rsidR="0095367F" w:rsidRPr="00706E78" w:rsidRDefault="0095367F" w:rsidP="00DE2740">
            <w:r w:rsidRPr="00706E78">
              <w:t xml:space="preserve">family history of </w:t>
            </w:r>
            <w:r>
              <w:t xml:space="preserve">CHD </w:t>
            </w:r>
            <w:r w:rsidRPr="00706E78">
              <w:t xml:space="preserve">which has become symptomatic before the age of 45 years in one or more </w:t>
            </w:r>
            <w:r>
              <w:t>1</w:t>
            </w:r>
            <w:r w:rsidRPr="00512F31">
              <w:rPr>
                <w:vertAlign w:val="superscript"/>
              </w:rPr>
              <w:t>st</w:t>
            </w:r>
            <w:r w:rsidRPr="00706E78">
              <w:t xml:space="preserve"> degree relatives</w:t>
            </w:r>
          </w:p>
        </w:tc>
        <w:tc>
          <w:tcPr>
            <w:tcW w:w="3260" w:type="dxa"/>
          </w:tcPr>
          <w:p w:rsidR="0095367F" w:rsidRDefault="0095367F" w:rsidP="00DE2740">
            <w:r>
              <w:t>yes</w:t>
            </w:r>
          </w:p>
        </w:tc>
        <w:tc>
          <w:tcPr>
            <w:tcW w:w="3374" w:type="dxa"/>
          </w:tcPr>
          <w:p w:rsidR="0095367F" w:rsidRDefault="0095367F" w:rsidP="00DE2740">
            <w:r>
              <w:t>Not explicitly, but carries additional weight in the calculation of a cardiovascular risk with a web calculator or a chart</w:t>
            </w:r>
          </w:p>
        </w:tc>
      </w:tr>
      <w:tr w:rsidR="0095367F" w:rsidTr="00DE2740">
        <w:tc>
          <w:tcPr>
            <w:tcW w:w="3114" w:type="dxa"/>
          </w:tcPr>
          <w:p w:rsidR="0095367F" w:rsidRPr="00512F31" w:rsidRDefault="0095367F" w:rsidP="00DE2740">
            <w:r w:rsidRPr="00512F31">
              <w:t>A previous diagnosis of familial hypercholesterolaemia</w:t>
            </w:r>
          </w:p>
        </w:tc>
        <w:tc>
          <w:tcPr>
            <w:tcW w:w="3260" w:type="dxa"/>
          </w:tcPr>
          <w:p w:rsidR="0095367F" w:rsidRDefault="0095367F" w:rsidP="00DE2740">
            <w:r>
              <w:t>Yes, conditional on the specified threshold in cholesterol level as in Table 2.4.</w:t>
            </w:r>
          </w:p>
        </w:tc>
        <w:tc>
          <w:tcPr>
            <w:tcW w:w="3374" w:type="dxa"/>
          </w:tcPr>
          <w:p w:rsidR="0095367F" w:rsidRDefault="0095367F" w:rsidP="00DE2740">
            <w:r>
              <w:t>Yes, unconditionally^</w:t>
            </w:r>
          </w:p>
        </w:tc>
      </w:tr>
      <w:tr w:rsidR="0095367F" w:rsidTr="00DE2740">
        <w:tc>
          <w:tcPr>
            <w:tcW w:w="3114" w:type="dxa"/>
          </w:tcPr>
          <w:p w:rsidR="0095367F" w:rsidRPr="00512F31" w:rsidRDefault="0095367F" w:rsidP="00DE2740">
            <w:r w:rsidRPr="00512F31">
              <w:t>Systolic blood pressure ≥180 mmHg or diastolic blood pressure</w:t>
            </w:r>
            <w:r>
              <w:t xml:space="preserve"> </w:t>
            </w:r>
            <w:r w:rsidRPr="00512F31">
              <w:t>≥110 mmHg</w:t>
            </w:r>
          </w:p>
        </w:tc>
        <w:tc>
          <w:tcPr>
            <w:tcW w:w="3260" w:type="dxa"/>
          </w:tcPr>
          <w:p w:rsidR="0095367F" w:rsidRDefault="0095367F" w:rsidP="00DE2740">
            <w:r>
              <w:t>Yes, conditional on the specified threshold in cholesterol level as in Table 2.4.</w:t>
            </w:r>
          </w:p>
        </w:tc>
        <w:tc>
          <w:tcPr>
            <w:tcW w:w="3374" w:type="dxa"/>
          </w:tcPr>
          <w:p w:rsidR="0095367F" w:rsidRDefault="0095367F" w:rsidP="00DE2740">
            <w:r>
              <w:t>Yes, unconditionally</w:t>
            </w:r>
          </w:p>
        </w:tc>
      </w:tr>
      <w:tr w:rsidR="0095367F" w:rsidTr="00DE2740">
        <w:tc>
          <w:tcPr>
            <w:tcW w:w="3114" w:type="dxa"/>
          </w:tcPr>
          <w:p w:rsidR="0095367F" w:rsidRPr="00512F31" w:rsidRDefault="0095367F" w:rsidP="00DE2740">
            <w:r w:rsidRPr="00512F31">
              <w:t>Serum total cholesterol &gt;7.5 mmol/L</w:t>
            </w:r>
          </w:p>
        </w:tc>
        <w:tc>
          <w:tcPr>
            <w:tcW w:w="3260" w:type="dxa"/>
          </w:tcPr>
          <w:p w:rsidR="0095367F" w:rsidRDefault="0095367F" w:rsidP="00DE2740">
            <w:r>
              <w:t>No, except for males aged 35-75 years and post-menopausal women Table 2.4.</w:t>
            </w:r>
          </w:p>
        </w:tc>
        <w:tc>
          <w:tcPr>
            <w:tcW w:w="3374" w:type="dxa"/>
          </w:tcPr>
          <w:p w:rsidR="0095367F" w:rsidRDefault="0095367F" w:rsidP="00DE2740">
            <w:r>
              <w:t>Yes, unconditionally</w:t>
            </w:r>
          </w:p>
        </w:tc>
      </w:tr>
    </w:tbl>
    <w:p w:rsidR="0095367F" w:rsidRPr="00C226DE" w:rsidRDefault="0095367F" w:rsidP="0095367F">
      <w:pPr>
        <w:spacing w:after="0"/>
        <w:rPr>
          <w:sz w:val="18"/>
          <w:szCs w:val="18"/>
        </w:rPr>
      </w:pPr>
      <w:r w:rsidRPr="00C226DE">
        <w:rPr>
          <w:sz w:val="18"/>
          <w:szCs w:val="18"/>
        </w:rPr>
        <w:t xml:space="preserve">^consistent with guidelines identification and management of familial hypercholesterolaemia (Table </w:t>
      </w:r>
      <w:r>
        <w:rPr>
          <w:sz w:val="18"/>
          <w:szCs w:val="18"/>
        </w:rPr>
        <w:t>A2</w:t>
      </w:r>
      <w:r w:rsidRPr="00C226DE">
        <w:rPr>
          <w:sz w:val="18"/>
          <w:szCs w:val="18"/>
        </w:rPr>
        <w:t>.</w:t>
      </w:r>
      <w:r>
        <w:rPr>
          <w:sz w:val="18"/>
          <w:szCs w:val="18"/>
        </w:rPr>
        <w:t>1 in appendix</w:t>
      </w:r>
      <w:r w:rsidRPr="00C226DE">
        <w:rPr>
          <w:sz w:val="18"/>
          <w:szCs w:val="18"/>
        </w:rPr>
        <w:t>)</w:t>
      </w:r>
    </w:p>
    <w:p w:rsidR="0095367F" w:rsidRDefault="0095367F" w:rsidP="007E6E49">
      <w:pPr>
        <w:spacing w:after="0" w:line="264" w:lineRule="auto"/>
        <w:ind w:left="567" w:hanging="567"/>
        <w:rPr>
          <w:rFonts w:ascii="Calibri" w:eastAsia="Calibri" w:hAnsi="Calibri" w:cs="Times New Roman"/>
        </w:rPr>
      </w:pPr>
    </w:p>
    <w:p w:rsidR="0095367F" w:rsidRDefault="0095367F" w:rsidP="0095367F">
      <w:pPr>
        <w:spacing w:after="0"/>
        <w:jc w:val="both"/>
      </w:pPr>
      <w:r>
        <w:t xml:space="preserve">According to the </w:t>
      </w:r>
      <w:r w:rsidRPr="003D633A">
        <w:t>GSLLD</w:t>
      </w:r>
      <w:r>
        <w:t xml:space="preserve"> eligibility criteria, patients from the h</w:t>
      </w:r>
      <w:r w:rsidRPr="002D54BA">
        <w:t xml:space="preserve">igh risk </w:t>
      </w:r>
      <w:r>
        <w:t>categories</w:t>
      </w:r>
      <w:r w:rsidRPr="002D54BA">
        <w:t xml:space="preserve"> </w:t>
      </w:r>
      <w:r>
        <w:t>are eligible for</w:t>
      </w:r>
      <w:r w:rsidRPr="002D54BA">
        <w:t xml:space="preserve"> statins/other lipid lowering drugs at any level of fasting cholesterol.</w:t>
      </w:r>
      <w:r>
        <w:t xml:space="preserve"> Patients who do not meet the criteria for high risk listed may still be eligible for the subsidised prescription of lipid-lowering drugs if they meet specified threshold in cholesterol level.</w:t>
      </w:r>
    </w:p>
    <w:p w:rsidR="0095367F" w:rsidRDefault="0095367F" w:rsidP="0095367F">
      <w:pPr>
        <w:spacing w:after="0" w:line="240" w:lineRule="auto"/>
      </w:pPr>
    </w:p>
    <w:p w:rsidR="0095367F" w:rsidRDefault="0095367F" w:rsidP="0095367F">
      <w:pPr>
        <w:spacing w:after="0" w:line="240" w:lineRule="auto"/>
        <w:jc w:val="both"/>
      </w:pPr>
      <w:r>
        <w:t>Comparison of t</w:t>
      </w:r>
      <w:r w:rsidRPr="003D633A">
        <w:t>he GSLLD</w:t>
      </w:r>
      <w:r>
        <w:t xml:space="preserve"> eligibility criteria with NVDPA/NHF guidelines</w:t>
      </w:r>
      <w:r w:rsidRPr="003D633A">
        <w:t xml:space="preserve"> </w:t>
      </w:r>
      <w:r>
        <w:t xml:space="preserve">is not straightforward as the documents differ in their objectives and scope. The </w:t>
      </w:r>
      <w:r w:rsidRPr="003D633A">
        <w:t>GSLLD</w:t>
      </w:r>
      <w:r>
        <w:t xml:space="preserve"> objective needs to be interpreted within the framework of the universal Australian health care system.  One way of maximising the overall health of Australians is by restricting the PBS subsidised medications to the patients who are most likely to achieve the expected health gains at a given budget. The objective of the NVDPA/NHF guidelines should be interpreted within the specific professional context of providing the evidence-based care to the population at risk of CVD. On the other hand, while any PBS restriction is necessarily focused on the specific medication (or a group, as in case of statins), the focus of NVDPA/NHF guidelines is in helping the clinicians to develop an optimal clinical pathway, where any specific medication is only one of many inputs to consider. </w:t>
      </w:r>
    </w:p>
    <w:p w:rsidR="0095367F" w:rsidRDefault="0095367F" w:rsidP="0095367F">
      <w:pPr>
        <w:spacing w:after="0" w:line="240" w:lineRule="auto"/>
        <w:jc w:val="both"/>
      </w:pPr>
    </w:p>
    <w:p w:rsidR="0095367F" w:rsidRDefault="0095367F" w:rsidP="0095367F">
      <w:pPr>
        <w:spacing w:after="0" w:line="240" w:lineRule="auto"/>
        <w:jc w:val="both"/>
      </w:pPr>
      <w:r>
        <w:t xml:space="preserve">Although the </w:t>
      </w:r>
      <w:r w:rsidRPr="003D633A">
        <w:t>GSLLD</w:t>
      </w:r>
      <w:r>
        <w:t xml:space="preserve"> eligibility criteria are broadly consistent with NVDPA/NHF guidelines the outlined differences are manifested in the definition of the target population and details of treatment recommendations. The NVDPA-2012, but not NHF guidelines include the lipid control targets (by TC; LDL-C; HDL-C, non HDL-C and TG) equally for all the patients with high to moderate risk of CVD events (Table 2.1). In comparison, the </w:t>
      </w:r>
      <w:r w:rsidRPr="003D633A">
        <w:t>GSLLD</w:t>
      </w:r>
      <w:r>
        <w:t xml:space="preserve"> sets the differential lipid eligibility thresholds for various combinations of risk factors in the population who are not in the high risk category. </w:t>
      </w:r>
    </w:p>
    <w:p w:rsidR="0095367F" w:rsidRDefault="0095367F" w:rsidP="0095367F">
      <w:pPr>
        <w:spacing w:after="0" w:line="240" w:lineRule="auto"/>
        <w:jc w:val="both"/>
      </w:pPr>
    </w:p>
    <w:p w:rsidR="00CB796F" w:rsidRDefault="0095367F" w:rsidP="006A3829">
      <w:pPr>
        <w:spacing w:after="0"/>
        <w:jc w:val="both"/>
        <w:rPr>
          <w:lang w:eastAsia="zh-CN"/>
        </w:rPr>
      </w:pPr>
      <w:r>
        <w:rPr>
          <w:lang w:eastAsia="zh-CN"/>
        </w:rPr>
        <w:t xml:space="preserve">With respect to the high risk population, the most obvious discrepancy is the absence of CKD from the list of the high risk factors in the </w:t>
      </w:r>
      <w:r w:rsidRPr="003D633A">
        <w:rPr>
          <w:lang w:eastAsia="zh-CN"/>
        </w:rPr>
        <w:t>GSLLD</w:t>
      </w:r>
      <w:r>
        <w:rPr>
          <w:lang w:eastAsia="zh-CN"/>
        </w:rPr>
        <w:t>. Also, the NVDPA guidelines</w:t>
      </w:r>
      <w:r w:rsidRPr="003D633A">
        <w:rPr>
          <w:lang w:eastAsia="zh-CN"/>
        </w:rPr>
        <w:t xml:space="preserve"> </w:t>
      </w:r>
      <w:r>
        <w:rPr>
          <w:lang w:eastAsia="zh-CN"/>
        </w:rPr>
        <w:t>include a TC threshold of &gt;</w:t>
      </w:r>
      <w:r w:rsidRPr="00512F31">
        <w:rPr>
          <w:lang w:eastAsia="zh-CN"/>
        </w:rPr>
        <w:t>7.5 mmol/L</w:t>
      </w:r>
      <w:r>
        <w:rPr>
          <w:lang w:eastAsia="zh-CN"/>
        </w:rPr>
        <w:t xml:space="preserve"> as a separate high risk criteria and not in combination with other risk factors (i.e. being a male aged 35-75 years or a post-menopausal woman) as in the </w:t>
      </w:r>
      <w:r w:rsidRPr="003D633A">
        <w:rPr>
          <w:lang w:eastAsia="zh-CN"/>
        </w:rPr>
        <w:t>GSLLD</w:t>
      </w:r>
      <w:r>
        <w:rPr>
          <w:lang w:eastAsia="zh-CN"/>
        </w:rPr>
        <w:t xml:space="preserve">. The </w:t>
      </w:r>
      <w:r w:rsidRPr="003D633A">
        <w:rPr>
          <w:lang w:eastAsia="zh-CN"/>
        </w:rPr>
        <w:t>GSLLD</w:t>
      </w:r>
      <w:r>
        <w:rPr>
          <w:lang w:eastAsia="zh-CN"/>
        </w:rPr>
        <w:t xml:space="preserve"> elaborates on the </w:t>
      </w:r>
      <w:r w:rsidRPr="00706E78">
        <w:rPr>
          <w:lang w:eastAsia="zh-CN"/>
        </w:rPr>
        <w:t xml:space="preserve">family history of </w:t>
      </w:r>
      <w:r>
        <w:rPr>
          <w:lang w:eastAsia="zh-CN"/>
        </w:rPr>
        <w:t>CHD by specifying 4 separate risk categories depending on the age, ethnicity, degree of relations and number of relatives. Depending on the combination of these factors the patients could be categorised as a high or low risk, where the low risk outcome would attract additional restrictions on the lipid levels. In contrast, the NVDPA guidelines include an unspecified family history of premature CVD as one of the risk categories. The same applies to a single risk factor of s</w:t>
      </w:r>
      <w:r w:rsidRPr="00512F31">
        <w:rPr>
          <w:lang w:eastAsia="zh-CN"/>
        </w:rPr>
        <w:t>ystolic blood pressure ≥180 mmHg or diastolic blood pressure</w:t>
      </w:r>
      <w:r>
        <w:rPr>
          <w:lang w:eastAsia="zh-CN"/>
        </w:rPr>
        <w:t xml:space="preserve"> </w:t>
      </w:r>
      <w:r w:rsidRPr="00512F31">
        <w:rPr>
          <w:lang w:eastAsia="zh-CN"/>
        </w:rPr>
        <w:t>≥110 mmHg</w:t>
      </w:r>
      <w:r>
        <w:rPr>
          <w:lang w:eastAsia="zh-CN"/>
        </w:rPr>
        <w:t>, a factor that, according to the NVDPA guidelines, would identify a patient as a high risk and in need of blood pressure (BP) a</w:t>
      </w:r>
      <w:r w:rsidR="00203688">
        <w:rPr>
          <w:lang w:eastAsia="zh-CN"/>
        </w:rPr>
        <w:t xml:space="preserve">nd lipid lowering medications. </w:t>
      </w:r>
      <w:r w:rsidR="00203688" w:rsidRPr="009D6E44">
        <w:rPr>
          <w:lang w:eastAsia="zh-CN"/>
        </w:rPr>
        <w:t>According to the GSLLD</w:t>
      </w:r>
      <w:r w:rsidR="00203688">
        <w:rPr>
          <w:lang w:eastAsia="zh-CN"/>
        </w:rPr>
        <w:t>,</w:t>
      </w:r>
      <w:r w:rsidR="00203688" w:rsidRPr="009D6E44">
        <w:rPr>
          <w:lang w:eastAsia="zh-CN"/>
        </w:rPr>
        <w:t xml:space="preserve"> a</w:t>
      </w:r>
      <w:r w:rsidR="00203688" w:rsidRPr="009E20FF">
        <w:rPr>
          <w:lang w:eastAsia="zh-CN"/>
        </w:rPr>
        <w:t xml:space="preserve"> patient with hypertension </w:t>
      </w:r>
      <w:r w:rsidR="00203688">
        <w:rPr>
          <w:lang w:eastAsia="zh-CN"/>
        </w:rPr>
        <w:t xml:space="preserve">is required to try </w:t>
      </w:r>
      <w:r w:rsidR="00203688" w:rsidRPr="009E20FF">
        <w:rPr>
          <w:lang w:eastAsia="zh-CN"/>
        </w:rPr>
        <w:t>dietary th</w:t>
      </w:r>
      <w:r w:rsidR="00203688">
        <w:rPr>
          <w:lang w:eastAsia="zh-CN"/>
        </w:rPr>
        <w:t xml:space="preserve">erapy for at least 6 weeks and, if lipids are still above the </w:t>
      </w:r>
      <w:r w:rsidR="00203688" w:rsidRPr="009E20FF">
        <w:rPr>
          <w:lang w:eastAsia="zh-CN"/>
        </w:rPr>
        <w:t>specified levels</w:t>
      </w:r>
      <w:r w:rsidR="00203688">
        <w:rPr>
          <w:lang w:eastAsia="zh-CN"/>
        </w:rPr>
        <w:t>, a patient would</w:t>
      </w:r>
      <w:r w:rsidR="00203688" w:rsidRPr="009E20FF">
        <w:rPr>
          <w:lang w:eastAsia="zh-CN"/>
        </w:rPr>
        <w:t xml:space="preserve"> qualify for </w:t>
      </w:r>
      <w:r w:rsidR="00203688">
        <w:rPr>
          <w:lang w:eastAsia="zh-CN"/>
        </w:rPr>
        <w:t xml:space="preserve">a subsidised </w:t>
      </w:r>
      <w:r w:rsidR="00203688" w:rsidRPr="009E20FF">
        <w:rPr>
          <w:lang w:eastAsia="zh-CN"/>
        </w:rPr>
        <w:t>treatment</w:t>
      </w:r>
      <w:r>
        <w:rPr>
          <w:lang w:eastAsia="zh-CN"/>
        </w:rPr>
        <w:t xml:space="preserve">. There are some apparent inconsistencies in the NVDPA guidelines and the </w:t>
      </w:r>
      <w:r w:rsidRPr="003D633A">
        <w:rPr>
          <w:lang w:eastAsia="zh-CN"/>
        </w:rPr>
        <w:t>GSLLD</w:t>
      </w:r>
      <w:r>
        <w:rPr>
          <w:lang w:eastAsia="zh-CN"/>
        </w:rPr>
        <w:t xml:space="preserve"> in assigning the degree of risk to some patients that result in differences between the recommendations of the professional body of Australian cardiologists and</w:t>
      </w:r>
      <w:r w:rsidR="00CB796F">
        <w:rPr>
          <w:lang w:eastAsia="zh-CN"/>
        </w:rPr>
        <w:t xml:space="preserve"> the patients’ eligibility for the subsidised lipid-lowering medications. </w:t>
      </w:r>
      <w:r>
        <w:rPr>
          <w:lang w:eastAsia="zh-CN"/>
        </w:rPr>
        <w:t xml:space="preserve"> </w:t>
      </w:r>
    </w:p>
    <w:p w:rsidR="00CB796F" w:rsidRDefault="00CB796F" w:rsidP="006A3829">
      <w:pPr>
        <w:spacing w:after="0"/>
        <w:jc w:val="both"/>
        <w:rPr>
          <w:lang w:eastAsia="zh-CN"/>
        </w:rPr>
      </w:pPr>
    </w:p>
    <w:p w:rsidR="007E6E49" w:rsidRPr="00B3594C" w:rsidRDefault="007E6E49" w:rsidP="007E6E49">
      <w:pPr>
        <w:spacing w:after="0" w:line="264" w:lineRule="auto"/>
        <w:ind w:left="567" w:hanging="567"/>
        <w:rPr>
          <w:rFonts w:ascii="Calibri" w:eastAsia="Calibri" w:hAnsi="Calibri" w:cs="Times New Roman"/>
        </w:rPr>
      </w:pPr>
    </w:p>
    <w:p w:rsidR="007E6E49" w:rsidRPr="00B3594C" w:rsidRDefault="007E6E49" w:rsidP="007E6E49">
      <w:pPr>
        <w:spacing w:after="0" w:line="264" w:lineRule="auto"/>
        <w:ind w:left="567" w:hanging="567"/>
        <w:rPr>
          <w:rFonts w:ascii="Calibri" w:eastAsia="Calibri" w:hAnsi="Calibri" w:cs="Times New Roman"/>
        </w:rPr>
      </w:pPr>
      <w:r w:rsidRPr="00B3594C">
        <w:rPr>
          <w:rFonts w:ascii="Calibri" w:eastAsia="Calibri" w:hAnsi="Calibri" w:cs="Times New Roman"/>
          <w:b/>
        </w:rPr>
        <w:t>Q2:</w:t>
      </w:r>
      <w:r w:rsidRPr="00B3594C">
        <w:rPr>
          <w:rFonts w:ascii="Calibri" w:eastAsia="Calibri" w:hAnsi="Calibri" w:cs="Times New Roman"/>
        </w:rPr>
        <w:tab/>
        <w:t>Are the Australian NVDPA</w:t>
      </w:r>
      <w:r>
        <w:rPr>
          <w:rFonts w:ascii="Calibri" w:eastAsia="Calibri" w:hAnsi="Calibri" w:cs="Times New Roman"/>
        </w:rPr>
        <w:t>-12</w:t>
      </w:r>
      <w:r w:rsidRPr="00B3594C">
        <w:rPr>
          <w:rFonts w:ascii="Calibri" w:eastAsia="Calibri" w:hAnsi="Calibri" w:cs="Times New Roman"/>
        </w:rPr>
        <w:t xml:space="preserve"> guidelines consistent with international guidelines?</w:t>
      </w:r>
      <w:r>
        <w:rPr>
          <w:rFonts w:ascii="Calibri" w:eastAsia="Calibri" w:hAnsi="Calibri" w:cs="Times New Roman"/>
        </w:rPr>
        <w:t xml:space="preserve"> </w:t>
      </w:r>
    </w:p>
    <w:p w:rsidR="00E54653" w:rsidRDefault="00E54653" w:rsidP="00904C79">
      <w:pPr>
        <w:spacing w:after="0" w:line="240" w:lineRule="auto"/>
        <w:rPr>
          <w:b/>
        </w:rPr>
      </w:pPr>
    </w:p>
    <w:p w:rsidR="00CB796F" w:rsidRDefault="007E6E49" w:rsidP="007E6E49">
      <w:pPr>
        <w:spacing w:after="0" w:line="240" w:lineRule="auto"/>
        <w:jc w:val="both"/>
      </w:pPr>
      <w:r>
        <w:rPr>
          <w:lang w:eastAsia="zh-CN"/>
        </w:rPr>
        <w:t>The Australian guidelines, along with every other identified guideline, approach cholesterol management in the context of the absolute CVD risk reduction. Absolute risk assessment is based on the variation of the</w:t>
      </w:r>
      <w:r>
        <w:t xml:space="preserve"> FRE, which is frequently used in other assessment tools across the world. However the time horizon for risk assessment of 5 years is the shortest among the identified guidelines. The 10% cut-off point for a </w:t>
      </w:r>
      <w:r w:rsidR="002E4FD1">
        <w:t>10</w:t>
      </w:r>
      <w:r>
        <w:t>-year risk of CVD is also recommended in every other guideline, but the 2013 ACC/AHA guideline, that used 7.5% threshold. The Australian guidelines adhere to the treatment targets that are defined for each cholesterol metric, rather than only in LDL-cholesterol levels, as became customary in other countries. The recommended LDL-C levels are the same as in Canadian guidelines and in the ballpark as other guidelines that maintain treatment targets in LDL-C levels. If LDL-C levels are not sufficiently reduced on maximally tolerated dose of statin, the Australian guidelines recommend a combination of statin with one or more of alternative drugs: ezetimibe, bile acid binding resin, or nicotinic acid. This recommendation is replicated in other guidelines, however may be limited to high- or very high risk categories of patients. The Australian guidelines do not recommend a</w:t>
      </w:r>
      <w:r w:rsidRPr="000D508E">
        <w:t xml:space="preserve"> PCSK9 inhibitor</w:t>
      </w:r>
      <w:r>
        <w:t xml:space="preserve"> as the second or third line of therapy as the most recent the 2016 ESC/EAS guidelines or the </w:t>
      </w:r>
      <w:r w:rsidRPr="00834A8F">
        <w:t>2016 ACC Clinical Expert Consensus</w:t>
      </w:r>
      <w:r>
        <w:t xml:space="preserve"> statement. The latter suggests that, depending on the characteristics of the subgroup, a </w:t>
      </w:r>
      <w:r w:rsidRPr="000D508E">
        <w:t>PCSK9 inhibitor</w:t>
      </w:r>
      <w:r>
        <w:t xml:space="preserve"> can be </w:t>
      </w:r>
      <w:r w:rsidRPr="000D508E">
        <w:t xml:space="preserve">a first choice </w:t>
      </w:r>
      <w:r>
        <w:t xml:space="preserve">in the second line therapy (i.e. </w:t>
      </w:r>
      <w:r w:rsidRPr="000D508E">
        <w:t>rather than ezetimibe</w:t>
      </w:r>
      <w:r>
        <w:t>), the second choice (i.e. after ezetimibe)</w:t>
      </w:r>
      <w:r w:rsidR="00CB796F">
        <w:t xml:space="preserve"> or an equal option.</w:t>
      </w:r>
    </w:p>
    <w:p w:rsidR="00CB796F" w:rsidRDefault="00CB796F" w:rsidP="007E6E49">
      <w:pPr>
        <w:spacing w:after="0" w:line="240" w:lineRule="auto"/>
        <w:jc w:val="both"/>
      </w:pPr>
    </w:p>
    <w:p w:rsidR="00E54653" w:rsidRDefault="007E6E49" w:rsidP="007E6E49">
      <w:pPr>
        <w:spacing w:after="0" w:line="240" w:lineRule="auto"/>
        <w:jc w:val="both"/>
        <w:sectPr w:rsidR="00E54653" w:rsidSect="00B1762B">
          <w:pgSz w:w="11906" w:h="16838"/>
          <w:pgMar w:top="1440" w:right="1440" w:bottom="1440" w:left="1440" w:header="709" w:footer="709" w:gutter="0"/>
          <w:cols w:space="708"/>
          <w:docGrid w:linePitch="360"/>
        </w:sectPr>
      </w:pPr>
      <w:r>
        <w:t xml:space="preserve"> </w:t>
      </w:r>
    </w:p>
    <w:p w:rsidR="00385E94" w:rsidRDefault="00385E94" w:rsidP="00FF5D37">
      <w:pPr>
        <w:spacing w:after="0" w:line="240" w:lineRule="auto"/>
      </w:pPr>
    </w:p>
    <w:p w:rsidR="006A2AD0" w:rsidRDefault="00065A99" w:rsidP="006A2AD0">
      <w:pPr>
        <w:pStyle w:val="Heading1"/>
      </w:pPr>
      <w:bookmarkStart w:id="20" w:name="_Toc461644669"/>
      <w:r w:rsidRPr="00065A99">
        <w:t>References</w:t>
      </w:r>
      <w:bookmarkEnd w:id="20"/>
      <w:r w:rsidRPr="00065A99">
        <w:t xml:space="preserve"> </w:t>
      </w:r>
    </w:p>
    <w:p w:rsidR="006A2AD0" w:rsidRDefault="006A2AD0" w:rsidP="0024377F">
      <w:pPr>
        <w:pStyle w:val="ListParagraph"/>
        <w:spacing w:after="0" w:line="240" w:lineRule="auto"/>
        <w:ind w:left="0"/>
      </w:pPr>
    </w:p>
    <w:p w:rsidR="006A2AD0" w:rsidRDefault="006A2AD0" w:rsidP="002072B5">
      <w:pPr>
        <w:autoSpaceDE w:val="0"/>
        <w:autoSpaceDN w:val="0"/>
        <w:adjustRightInd w:val="0"/>
      </w:pPr>
      <w:r>
        <w:t xml:space="preserve">2006 NICE technology appraisal guidance /TA94. </w:t>
      </w:r>
      <w:r w:rsidRPr="002C0826">
        <w:t>Statins for the prevention of cardiovascular events</w:t>
      </w:r>
      <w:r>
        <w:t xml:space="preserve">. January 2006. </w:t>
      </w:r>
      <w:hyperlink r:id="rId16" w:history="1">
        <w:r w:rsidRPr="006400A4">
          <w:rPr>
            <w:rStyle w:val="Hyperlink"/>
          </w:rPr>
          <w:t>https://www.nice.org.uk/guidance/ta94?unlid=12172069920161211789</w:t>
        </w:r>
      </w:hyperlink>
      <w:r>
        <w:t>.</w:t>
      </w:r>
    </w:p>
    <w:p w:rsidR="006A2AD0" w:rsidRDefault="006A2AD0" w:rsidP="002072B5">
      <w:pPr>
        <w:autoSpaceDE w:val="0"/>
        <w:autoSpaceDN w:val="0"/>
        <w:adjustRightInd w:val="0"/>
      </w:pPr>
      <w:r>
        <w:t xml:space="preserve">2008 NICE guidance/cg67. </w:t>
      </w:r>
      <w:r w:rsidRPr="002072B5">
        <w:t>Lipid modification: Cardiovascular risk assessment and the modification of blood lipids for the primary and secondary prevention of cardiovascular disease</w:t>
      </w:r>
      <w:r>
        <w:t xml:space="preserve">. NICE guideline CG67. May 2008. </w:t>
      </w:r>
      <w:hyperlink r:id="rId17" w:history="1">
        <w:r w:rsidRPr="006400A4">
          <w:rPr>
            <w:rStyle w:val="Hyperlink"/>
          </w:rPr>
          <w:t>www.nice.org/uk/guidance/cg67</w:t>
        </w:r>
      </w:hyperlink>
      <w:r>
        <w:t>.</w:t>
      </w:r>
    </w:p>
    <w:p w:rsidR="006A2AD0" w:rsidRDefault="006A2AD0" w:rsidP="002072B5">
      <w:pPr>
        <w:autoSpaceDE w:val="0"/>
        <w:autoSpaceDN w:val="0"/>
        <w:adjustRightInd w:val="0"/>
      </w:pPr>
      <w:r>
        <w:t xml:space="preserve">2014 NICE guidance/cg181. National Institute for Health Care and Excellence. Cardiovascular disease: risk assessment and reduction, including lipid modification: NICE guideline CG181. July 2014. </w:t>
      </w:r>
      <w:r w:rsidRPr="006A2AD0">
        <w:rPr>
          <w:rStyle w:val="Hyperlink"/>
        </w:rPr>
        <w:t>www.nice.org/uk/guidance/cg181.</w:t>
      </w:r>
      <w:r>
        <w:t xml:space="preserve"> </w:t>
      </w:r>
    </w:p>
    <w:p w:rsidR="006A2AD0" w:rsidRDefault="006A2AD0" w:rsidP="00861F88">
      <w:pPr>
        <w:autoSpaceDE w:val="0"/>
        <w:autoSpaceDN w:val="0"/>
        <w:adjustRightInd w:val="0"/>
      </w:pPr>
      <w:r>
        <w:t xml:space="preserve">Anderson T.J. 2012 update of the Canadian Cardiovascular Society guidelines for the diagnosis and treatment of dyslipidemia for the prevention of cardiovascular disease in the adult, Can. J. Cardiol. (2013) 29:151-167 </w:t>
      </w:r>
    </w:p>
    <w:p w:rsidR="006A2AD0" w:rsidRDefault="006A2AD0">
      <w:r>
        <w:t>Anderson</w:t>
      </w:r>
      <w:r w:rsidRPr="006A2AD0">
        <w:t xml:space="preserve"> </w:t>
      </w:r>
      <w:r>
        <w:t xml:space="preserve">T.J., G.B. Mancini et al. </w:t>
      </w:r>
      <w:r w:rsidRPr="009D2F54">
        <w:t>The New Dyslipidemia Guidelines: What Is the Debate?</w:t>
      </w:r>
      <w:r>
        <w:t xml:space="preserve"> </w:t>
      </w:r>
      <w:r w:rsidRPr="006A2AD0">
        <w:rPr>
          <w:i/>
        </w:rPr>
        <w:t>Canadian Journal of Cardiology</w:t>
      </w:r>
      <w:r>
        <w:t xml:space="preserve"> (2015) 31:605-</w:t>
      </w:r>
      <w:r w:rsidRPr="009D2F54">
        <w:t>612</w:t>
      </w:r>
    </w:p>
    <w:p w:rsidR="006A2AD0" w:rsidRDefault="006A2AD0" w:rsidP="00175885">
      <w:pPr>
        <w:autoSpaceDE w:val="0"/>
        <w:autoSpaceDN w:val="0"/>
        <w:adjustRightInd w:val="0"/>
      </w:pPr>
      <w:r>
        <w:t>Catapano</w:t>
      </w:r>
      <w:r w:rsidRPr="006A2AD0">
        <w:t xml:space="preserve"> </w:t>
      </w:r>
      <w:r>
        <w:t xml:space="preserve">A.L., et al., </w:t>
      </w:r>
      <w:r w:rsidRPr="00E6731F">
        <w:t>ESC/EAS guidelines</w:t>
      </w:r>
      <w:r w:rsidRPr="00E6731F">
        <w:rPr>
          <w:b/>
        </w:rPr>
        <w:t xml:space="preserve"> </w:t>
      </w:r>
      <w:r>
        <w:t xml:space="preserve">for the management of dyslipidaemias. The task force for the management of dyslipidaemias ESC/EAS. </w:t>
      </w:r>
      <w:r w:rsidRPr="006A2AD0">
        <w:rPr>
          <w:i/>
        </w:rPr>
        <w:t>Atherosclerosis</w:t>
      </w:r>
      <w:r>
        <w:t xml:space="preserve"> (</w:t>
      </w:r>
      <w:r w:rsidRPr="00E6731F">
        <w:rPr>
          <w:b/>
        </w:rPr>
        <w:t>2011</w:t>
      </w:r>
      <w:r>
        <w:t>) 217; 3-46.</w:t>
      </w:r>
    </w:p>
    <w:p w:rsidR="006A2AD0" w:rsidRDefault="006A2AD0" w:rsidP="00175885">
      <w:pPr>
        <w:autoSpaceDE w:val="0"/>
        <w:autoSpaceDN w:val="0"/>
        <w:adjustRightInd w:val="0"/>
      </w:pPr>
      <w:r>
        <w:t xml:space="preserve">Catapano, A.L. et al., 2016 ESC/EAS guidelines for the management of dyslipidaemias. The task force for the management of dyslipidaemias of the </w:t>
      </w:r>
      <w:r w:rsidRPr="00E6731F">
        <w:t xml:space="preserve">European Society of Cardiology (ESC) and European Atherosclerosis Society (EAS) </w:t>
      </w:r>
      <w:r w:rsidRPr="006A2AD0">
        <w:rPr>
          <w:i/>
        </w:rPr>
        <w:t>Eur Heart J</w:t>
      </w:r>
      <w:r w:rsidRPr="00E6731F">
        <w:t xml:space="preserve">, </w:t>
      </w:r>
      <w:r>
        <w:t xml:space="preserve">27 August, 2016 </w:t>
      </w:r>
      <w:r w:rsidRPr="006A2AD0">
        <w:rPr>
          <w:rStyle w:val="Hyperlink"/>
        </w:rPr>
        <w:t>(http://eurheartj.oxfordjournals.org/content/early/2016/08/26/eurheartj.ehw272)</w:t>
      </w:r>
    </w:p>
    <w:p w:rsidR="006A2AD0" w:rsidRDefault="006A2AD0" w:rsidP="008113D2">
      <w:r w:rsidRPr="008113D2">
        <w:t>Doust J, Sanders S, Shaw J, Glasziou P. Priori</w:t>
      </w:r>
      <w:r>
        <w:t xml:space="preserve">tising CVD prevention therapy - </w:t>
      </w:r>
      <w:r w:rsidRPr="008113D2">
        <w:t xml:space="preserve">absolute risk versus individual risk factors. </w:t>
      </w:r>
      <w:r w:rsidRPr="006A2AD0">
        <w:rPr>
          <w:i/>
        </w:rPr>
        <w:t>Aust Fam Physician</w:t>
      </w:r>
      <w:r w:rsidRPr="008113D2">
        <w:t xml:space="preserve"> </w:t>
      </w:r>
      <w:r>
        <w:t>2012; 41:</w:t>
      </w:r>
      <w:r w:rsidRPr="008113D2">
        <w:t>805-809.</w:t>
      </w:r>
    </w:p>
    <w:p w:rsidR="006A2AD0" w:rsidRDefault="006A2AD0" w:rsidP="00256E97">
      <w:r w:rsidRPr="00A671FA">
        <w:t xml:space="preserve">Fihn SD, Gardin JM, Abrams J, Berra K, et. al. American College of Cardiology Foundation/American Heart Association Task Force. ACCF/AHA/ACP/AATS/PCNA/ SCAI/STS guideline for the diagnosis and management of patients with stable ischemic heart disease: a report of the American College of Cardiology Foundation/American Heart Association task force on practice guidelines, and the American College of Physicians, American Association for Thoracic Surgery, Preventive Cardiovascular Nurses Association, Society for Cardiovascular Angiography and Interventions, and Society of Thoracic Surgeons. </w:t>
      </w:r>
      <w:r w:rsidRPr="006A2AD0">
        <w:rPr>
          <w:i/>
        </w:rPr>
        <w:t>Circulation</w:t>
      </w:r>
      <w:r w:rsidRPr="00A671FA">
        <w:t xml:space="preserve"> 2012; 126(25).</w:t>
      </w:r>
    </w:p>
    <w:p w:rsidR="006A2AD0" w:rsidRDefault="006A2AD0" w:rsidP="008A6787">
      <w:r>
        <w:t xml:space="preserve">Goff DC, , Lloyd-Jones DM, Bennett G, et al. 2013 ACC/AHA guideline on the assessment of cardiovascular risk: a report of the American College of Cardiology/American Heart Association Task Force on Practice Guidelines. </w:t>
      </w:r>
      <w:r w:rsidRPr="006A2AD0">
        <w:rPr>
          <w:i/>
        </w:rPr>
        <w:t>Circulation</w:t>
      </w:r>
      <w:r>
        <w:t>. 2014;129(25 suppl 2):s49-s73.</w:t>
      </w:r>
    </w:p>
    <w:p w:rsidR="006A2AD0" w:rsidRDefault="006A2AD0" w:rsidP="0062000F">
      <w:pPr>
        <w:autoSpaceDE w:val="0"/>
        <w:autoSpaceDN w:val="0"/>
        <w:adjustRightInd w:val="0"/>
      </w:pPr>
      <w:r w:rsidRPr="0062000F">
        <w:t>Grundy SM, Cleeman JI,M</w:t>
      </w:r>
      <w:r>
        <w:t xml:space="preserve">erz CN, et al. American college </w:t>
      </w:r>
      <w:r w:rsidRPr="0062000F">
        <w:t>of cardiology foundati</w:t>
      </w:r>
      <w:r>
        <w:t>on; American heart association. I</w:t>
      </w:r>
      <w:r w:rsidRPr="0062000F">
        <w:t>mplications of recent c</w:t>
      </w:r>
      <w:r>
        <w:t xml:space="preserve">linical trials for the national </w:t>
      </w:r>
      <w:r w:rsidRPr="0062000F">
        <w:t>cholesterol education pr</w:t>
      </w:r>
      <w:r>
        <w:t xml:space="preserve">ogram adult treatment panel III </w:t>
      </w:r>
      <w:r w:rsidRPr="0062000F">
        <w:t xml:space="preserve">guidelines. </w:t>
      </w:r>
      <w:r w:rsidRPr="006A2AD0">
        <w:rPr>
          <w:i/>
        </w:rPr>
        <w:t>Circulation</w:t>
      </w:r>
      <w:r w:rsidRPr="0062000F">
        <w:t>. 2004;110(2):227–239.</w:t>
      </w:r>
    </w:p>
    <w:p w:rsidR="006A2AD0" w:rsidRDefault="006A2AD0" w:rsidP="00030C68">
      <w:r>
        <w:t xml:space="preserve">Jacobson TA, Maki KC, Orringer C, et al. National Lipid Association recommendations for patient centered management of dyslipidemia: part 2. </w:t>
      </w:r>
      <w:r w:rsidRPr="006A2AD0">
        <w:rPr>
          <w:i/>
        </w:rPr>
        <w:t>J Clin Lipidol</w:t>
      </w:r>
      <w:r>
        <w:t>. 2015;9(6 suppl):S1-S122.</w:t>
      </w:r>
    </w:p>
    <w:p w:rsidR="006A2AD0" w:rsidRDefault="006A2AD0" w:rsidP="0066691A">
      <w:r>
        <w:t xml:space="preserve">Jacobson(a) TA, Ito MK, Maki KC, et al. National Lipid Association recommendations for patient-centered management of dyslipidemia: part 1 - executive summary. </w:t>
      </w:r>
      <w:r w:rsidRPr="006A2AD0">
        <w:rPr>
          <w:i/>
        </w:rPr>
        <w:t>J Clin Lipidol</w:t>
      </w:r>
      <w:r>
        <w:t>. 2014;8(5): 473-488.</w:t>
      </w:r>
      <w:r w:rsidRPr="0066691A">
        <w:t xml:space="preserve"> </w:t>
      </w:r>
    </w:p>
    <w:p w:rsidR="006A2AD0" w:rsidRDefault="006A2AD0" w:rsidP="0066691A">
      <w:r>
        <w:t>Jacobson(b) TA. NLA Task Force on Statin Safety–2014 update.</w:t>
      </w:r>
      <w:r w:rsidRPr="006A2AD0">
        <w:rPr>
          <w:i/>
        </w:rPr>
        <w:t xml:space="preserve"> J Clin Lipidol</w:t>
      </w:r>
      <w:r>
        <w:t>. 2014; 8(3 suppl ):s1-s4.</w:t>
      </w:r>
    </w:p>
    <w:p w:rsidR="006A2AD0" w:rsidRDefault="006A2AD0" w:rsidP="00AC5002">
      <w:pPr>
        <w:autoSpaceDE w:val="0"/>
        <w:autoSpaceDN w:val="0"/>
        <w:adjustRightInd w:val="0"/>
      </w:pPr>
      <w:r w:rsidRPr="00AC5002">
        <w:t>Lloyd-Jones</w:t>
      </w:r>
      <w:r>
        <w:t xml:space="preserve"> D.M. et al, </w:t>
      </w:r>
      <w:r w:rsidRPr="00AC5002">
        <w:t xml:space="preserve">2016 ACC Expert Consensus Decision Pathway on the Role of Non-Statin </w:t>
      </w:r>
      <w:r>
        <w:t xml:space="preserve">for LDL-Cholesterol Lowering in the Management of Atherosclerotic Cardiovascular Disease Risk. A Report of the American College of Cardiology Task Force on Clinical Expert Consensus Documents. </w:t>
      </w:r>
      <w:r w:rsidRPr="006A2AD0">
        <w:rPr>
          <w:i/>
        </w:rPr>
        <w:t>J Am Coll Cardiol</w:t>
      </w:r>
      <w:r w:rsidRPr="00AC5002">
        <w:t>. 2016;68(1):92-125</w:t>
      </w:r>
    </w:p>
    <w:p w:rsidR="006A2AD0" w:rsidRDefault="006A2AD0" w:rsidP="007836C7">
      <w:pPr>
        <w:spacing w:after="0" w:line="240" w:lineRule="auto"/>
      </w:pPr>
      <w:r>
        <w:t xml:space="preserve">Lopez-Jimienez F, Simha V, Thomas RJ, et al: A Summary and Critical Assessment of the 2013 ACC/AHA Guideline on the Treatment of Blood Cholesterol to Reduce Atherosclerotic Cardiovascular Disease Risk in Adults: Filling the Gaps. </w:t>
      </w:r>
      <w:r w:rsidRPr="006A2AD0">
        <w:rPr>
          <w:i/>
        </w:rPr>
        <w:t>Mayo Clin Proc</w:t>
      </w:r>
      <w:r>
        <w:t xml:space="preserve"> 2014;89:1257-1278</w:t>
      </w:r>
    </w:p>
    <w:p w:rsidR="007836C7" w:rsidRDefault="007836C7" w:rsidP="007836C7">
      <w:pPr>
        <w:spacing w:after="0" w:line="240" w:lineRule="auto"/>
      </w:pPr>
    </w:p>
    <w:p w:rsidR="006A2AD0" w:rsidRDefault="006A2AD0" w:rsidP="00861F88">
      <w:pPr>
        <w:autoSpaceDE w:val="0"/>
        <w:autoSpaceDN w:val="0"/>
        <w:adjustRightInd w:val="0"/>
      </w:pPr>
      <w:r>
        <w:t>Mancini</w:t>
      </w:r>
      <w:r w:rsidRPr="006A2AD0">
        <w:t xml:space="preserve"> </w:t>
      </w:r>
      <w:r>
        <w:t xml:space="preserve">G.B., S. Baker, J. Bergeron, et al. Diagnosis, prevention, and management of statin adverse effects and intolerance: proceedings of a Canadian working group consensus </w:t>
      </w:r>
      <w:r w:rsidRPr="007836C7">
        <w:t>conference</w:t>
      </w:r>
      <w:r w:rsidR="007836C7">
        <w:rPr>
          <w:i/>
        </w:rPr>
        <w:t>.</w:t>
      </w:r>
      <w:r w:rsidRPr="007836C7">
        <w:rPr>
          <w:i/>
        </w:rPr>
        <w:t xml:space="preserve"> Can J Cardiol,</w:t>
      </w:r>
      <w:r>
        <w:t xml:space="preserve"> (2011), 27:635–662</w:t>
      </w:r>
    </w:p>
    <w:p w:rsidR="006A2AD0" w:rsidRDefault="006A2AD0" w:rsidP="00BC74E9">
      <w:r>
        <w:t xml:space="preserve">McKenney JM. Something important is missing in the ACC/AHA cholesterol treatment guidelines. </w:t>
      </w:r>
      <w:r w:rsidRPr="007836C7">
        <w:rPr>
          <w:i/>
        </w:rPr>
        <w:t>J Am Pharm Assoc</w:t>
      </w:r>
      <w:r>
        <w:t>. 2015;55(3):324-329.</w:t>
      </w:r>
    </w:p>
    <w:p w:rsidR="00A1194C" w:rsidRDefault="00A1194C" w:rsidP="00FA6CBB">
      <w:pPr>
        <w:autoSpaceDE w:val="0"/>
        <w:autoSpaceDN w:val="0"/>
        <w:adjustRightInd w:val="0"/>
      </w:pPr>
      <w:r>
        <w:t xml:space="preserve">Morris P, </w:t>
      </w:r>
      <w:r w:rsidRPr="00A1194C">
        <w:t>Ballantyne</w:t>
      </w:r>
      <w:r>
        <w:t xml:space="preserve"> C M et al. Review of Clinical Practice Guidelines for the Management of LDL-Related Risk. </w:t>
      </w:r>
      <w:r w:rsidRPr="006A2AD0">
        <w:rPr>
          <w:i/>
        </w:rPr>
        <w:t>J Am Coll Cardiol</w:t>
      </w:r>
      <w:r>
        <w:t>. 2014;64(2</w:t>
      </w:r>
      <w:r w:rsidRPr="00AC5002">
        <w:t>):</w:t>
      </w:r>
      <w:r w:rsidR="00FA6CBB">
        <w:t>196-206.</w:t>
      </w:r>
    </w:p>
    <w:p w:rsidR="006A2AD0" w:rsidRDefault="006A2AD0" w:rsidP="00A25E01">
      <w:r w:rsidRPr="00A25E01">
        <w:t>N</w:t>
      </w:r>
      <w:r>
        <w:t>ayor</w:t>
      </w:r>
      <w:r w:rsidRPr="006A2AD0">
        <w:t xml:space="preserve"> </w:t>
      </w:r>
      <w:r>
        <w:t>M.,</w:t>
      </w:r>
      <w:r w:rsidRPr="00A25E01">
        <w:t xml:space="preserve"> Vasan</w:t>
      </w:r>
      <w:r w:rsidRPr="006A2AD0">
        <w:t xml:space="preserve"> </w:t>
      </w:r>
      <w:r>
        <w:t>R.S.</w:t>
      </w:r>
      <w:r w:rsidRPr="00A25E01">
        <w:t>,</w:t>
      </w:r>
      <w:r>
        <w:t xml:space="preserve"> Recent Update to the US Cholesterol Treatment Guidelines. A Comparison with International Guidelines.</w:t>
      </w:r>
      <w:r w:rsidRPr="00A25E01">
        <w:t xml:space="preserve"> </w:t>
      </w:r>
      <w:r w:rsidRPr="007836C7">
        <w:rPr>
          <w:i/>
        </w:rPr>
        <w:t>Circulation.</w:t>
      </w:r>
      <w:r w:rsidRPr="00A25E01">
        <w:t xml:space="preserve"> 2016;133:1795-1806</w:t>
      </w:r>
    </w:p>
    <w:p w:rsidR="006A2AD0" w:rsidRDefault="006A2AD0" w:rsidP="008113D2">
      <w:pPr>
        <w:rPr>
          <w:i/>
        </w:rPr>
      </w:pPr>
      <w:r>
        <w:t>NCEP-ATP III, 2002;</w:t>
      </w:r>
      <w:r w:rsidRPr="007836C7">
        <w:t>Third Report of the National Cholesterol Education Program (NCEP) Expert Panel on Detection, Evaluation, and Treatment of High Blood Cholesterol in Adults (Adult Treatment Panel III) final report.</w:t>
      </w:r>
      <w:r w:rsidRPr="00EC6DC3">
        <w:rPr>
          <w:i/>
        </w:rPr>
        <w:t xml:space="preserve"> Circulation 2002; 106(25):3143-421</w:t>
      </w:r>
      <w:r>
        <w:rPr>
          <w:i/>
        </w:rPr>
        <w:t>.</w:t>
      </w:r>
      <w:r w:rsidR="007836C7">
        <w:rPr>
          <w:i/>
        </w:rPr>
        <w:t xml:space="preserve"> </w:t>
      </w:r>
    </w:p>
    <w:p w:rsidR="006A2AD0" w:rsidRDefault="006A2AD0" w:rsidP="008113D2">
      <w:r>
        <w:t>NCEP-ATP III, 2004;</w:t>
      </w:r>
      <w:r w:rsidRPr="00B412CB">
        <w:t xml:space="preserve"> </w:t>
      </w:r>
      <w:r w:rsidRPr="007836C7">
        <w:t>Grundy et al. Implications of recent clinical trials for the National Cholesterol Education Program Adult Treatment Panel III guidelines</w:t>
      </w:r>
      <w:r w:rsidRPr="00950558">
        <w:rPr>
          <w:i/>
        </w:rPr>
        <w:t>. Circulation. 2004 Jul 13;110(2):227-39</w:t>
      </w:r>
      <w:r>
        <w:t xml:space="preserve">, </w:t>
      </w:r>
    </w:p>
    <w:p w:rsidR="006A2AD0" w:rsidRDefault="006A2AD0" w:rsidP="00633D90">
      <w:r w:rsidRPr="003267EA">
        <w:t>Nelson</w:t>
      </w:r>
      <w:r>
        <w:t xml:space="preserve"> M, Doust J. Primary prevention of cardiovascular disease: new guidelines, technologies and therapies, </w:t>
      </w:r>
      <w:r w:rsidRPr="0084693C">
        <w:t>MJA</w:t>
      </w:r>
      <w:r>
        <w:t xml:space="preserve"> 2013</w:t>
      </w:r>
      <w:r w:rsidRPr="0084693C">
        <w:t xml:space="preserve"> 198 (11)</w:t>
      </w:r>
      <w:r>
        <w:t xml:space="preserve"> 604-610</w:t>
      </w:r>
    </w:p>
    <w:p w:rsidR="006A2AD0" w:rsidRDefault="006A2AD0" w:rsidP="00B75862">
      <w:r>
        <w:t xml:space="preserve">NHF -2001: National Heart Foundation of Australia &amp; The Cardiac Society of Australian and New Zealand. Lipid management guidelines – 2001. National Heart Foundation of Australia, The Cardiac Society of Australia and New Zealand. </w:t>
      </w:r>
      <w:r w:rsidRPr="007836C7">
        <w:rPr>
          <w:i/>
        </w:rPr>
        <w:t>Med J Aust</w:t>
      </w:r>
      <w:r>
        <w:t xml:space="preserve"> 2001;175[suppl]:S57–85. </w:t>
      </w:r>
    </w:p>
    <w:p w:rsidR="006A2AD0" w:rsidRDefault="006A2AD0" w:rsidP="00B75862">
      <w:r>
        <w:t xml:space="preserve">NHF-2005: Tonkin A, Barter P, Best J, et al. National Heart Foundation of Australia and the Cardiac Society of Australia and New Zealand. Position statement on lipid management 2005. </w:t>
      </w:r>
      <w:r w:rsidRPr="007836C7">
        <w:rPr>
          <w:i/>
        </w:rPr>
        <w:t>Heart Lung Circ</w:t>
      </w:r>
      <w:r>
        <w:t xml:space="preserve"> 2005;14:275–91. </w:t>
      </w:r>
    </w:p>
    <w:p w:rsidR="006A2AD0" w:rsidRDefault="006A2AD0" w:rsidP="00473549">
      <w:pPr>
        <w:spacing w:after="0" w:line="240" w:lineRule="auto"/>
      </w:pPr>
      <w:r>
        <w:t xml:space="preserve">NHF-2012: The National Heart Foundation of Australia and the Cardiac Society of Australia and New Zealand. Reducing risk in heart disease: an expert guide to </w:t>
      </w:r>
      <w:r w:rsidRPr="004D0A92">
        <w:t xml:space="preserve">clinical practice for secondary prevention </w:t>
      </w:r>
      <w:r>
        <w:t>of coronary heart disease. Melbourne: National Heart Foundation of Australia, 2012. (NHF-2012)</w:t>
      </w:r>
    </w:p>
    <w:p w:rsidR="006A2AD0" w:rsidRDefault="006A2AD0" w:rsidP="00633D90">
      <w:r>
        <w:t>NVDPA-2009; National Vascular Disease Prevention Alliance. Absolute cardiovascular disease risk assessment. Quick reference guide for health professionals. 2009.</w:t>
      </w:r>
    </w:p>
    <w:p w:rsidR="006A2AD0" w:rsidRDefault="006A2AD0" w:rsidP="00633D90">
      <w:r>
        <w:t xml:space="preserve">NVDPA-2012; </w:t>
      </w:r>
      <w:r w:rsidRPr="00633D90">
        <w:t xml:space="preserve">National Vascular Disease Prevention Alliance. Guidelines for the management of absolute cardiovascular disease risk. </w:t>
      </w:r>
      <w:r>
        <w:t xml:space="preserve">National stroke foundation. </w:t>
      </w:r>
      <w:r w:rsidRPr="00633D90">
        <w:t>2012.</w:t>
      </w:r>
    </w:p>
    <w:p w:rsidR="006A2AD0" w:rsidRDefault="006A2AD0" w:rsidP="007B4305">
      <w:pPr>
        <w:autoSpaceDE w:val="0"/>
        <w:autoSpaceDN w:val="0"/>
        <w:adjustRightInd w:val="0"/>
      </w:pPr>
      <w:r>
        <w:t xml:space="preserve">Perk J, De Backer G, Gohlke H, Graham I, Reiner Z, et al. European Guidelines on cardiovascular disease prevention in clinical practice (version 2012). The Fifth Joint Task Force of the European Society of Cardiology and Other Societies on Cardiovascular Disease Prevention in Clinical Practice (constituted by representatives of nine societies and by invited experts). </w:t>
      </w:r>
      <w:r w:rsidRPr="007836C7">
        <w:rPr>
          <w:i/>
        </w:rPr>
        <w:t xml:space="preserve">Eur Heart J </w:t>
      </w:r>
      <w:r>
        <w:t>2012;33:1635–1701.</w:t>
      </w:r>
    </w:p>
    <w:p w:rsidR="006A2AD0" w:rsidRDefault="006A2AD0" w:rsidP="00027533">
      <w:r>
        <w:t>Phillips E, Saseen</w:t>
      </w:r>
      <w:r w:rsidRPr="00027533">
        <w:t xml:space="preserve"> </w:t>
      </w:r>
      <w:r>
        <w:t>JJ, Current controversies with recent cholesterol treatment guidelines</w:t>
      </w:r>
      <w:r w:rsidR="007836C7">
        <w:t>.</w:t>
      </w:r>
      <w:r>
        <w:t xml:space="preserve"> </w:t>
      </w:r>
      <w:r w:rsidRPr="007836C7">
        <w:rPr>
          <w:i/>
        </w:rPr>
        <w:t>Journal of</w:t>
      </w:r>
      <w:r w:rsidRPr="00027533">
        <w:t xml:space="preserve"> </w:t>
      </w:r>
      <w:r w:rsidRPr="007836C7">
        <w:rPr>
          <w:i/>
        </w:rPr>
        <w:t>Pharmacy Practice</w:t>
      </w:r>
      <w:r>
        <w:t xml:space="preserve"> 2016;</w:t>
      </w:r>
      <w:r w:rsidRPr="00027533">
        <w:t xml:space="preserve"> 29(1)</w:t>
      </w:r>
      <w:r>
        <w:t>:</w:t>
      </w:r>
      <w:r w:rsidRPr="00027533">
        <w:t xml:space="preserve"> 15-25</w:t>
      </w:r>
    </w:p>
    <w:p w:rsidR="006A2AD0" w:rsidRDefault="006A2AD0">
      <w:r w:rsidRPr="00CD01D7">
        <w:t>Rabar</w:t>
      </w:r>
      <w:r w:rsidRPr="006A2AD0">
        <w:t xml:space="preserve"> </w:t>
      </w:r>
      <w:r w:rsidRPr="00CD01D7">
        <w:t>S</w:t>
      </w:r>
      <w:r>
        <w:t>.</w:t>
      </w:r>
      <w:r w:rsidRPr="00CD01D7">
        <w:t xml:space="preserve">, M </w:t>
      </w:r>
      <w:r>
        <w:t>.Harker, N.</w:t>
      </w:r>
      <w:r w:rsidRPr="00CD01D7">
        <w:t>O'Flynn, A</w:t>
      </w:r>
      <w:r>
        <w:t>.</w:t>
      </w:r>
      <w:r w:rsidRPr="00CD01D7">
        <w:t>S</w:t>
      </w:r>
      <w:r>
        <w:t>.</w:t>
      </w:r>
      <w:r w:rsidRPr="00CD01D7">
        <w:t xml:space="preserve"> Wierzbicki</w:t>
      </w:r>
      <w:r>
        <w:t>.</w:t>
      </w:r>
      <w:r w:rsidRPr="00CD01D7">
        <w:t xml:space="preserve"> Lipid modification and cardiovascular risk assessment for the primary and secondary prevention of cardiovascular disease: summary of updated NICE guidance- 2014 - bmj.com</w:t>
      </w:r>
    </w:p>
    <w:p w:rsidR="006A2AD0" w:rsidRDefault="006A2AD0" w:rsidP="009F007D">
      <w:pPr>
        <w:autoSpaceDE w:val="0"/>
        <w:autoSpaceDN w:val="0"/>
        <w:adjustRightInd w:val="0"/>
      </w:pPr>
      <w:r>
        <w:t>Reiner</w:t>
      </w:r>
      <w:r w:rsidRPr="006A2AD0">
        <w:t xml:space="preserve"> </w:t>
      </w:r>
      <w:r>
        <w:t xml:space="preserve">Z., A.L. Catapano, European Association for Cardiovascular Prevention and Rehabilitation, et al. ESC/EAS guidelines for the management of dyslipidaemias: the task force for the management of dyslipidaemias of the </w:t>
      </w:r>
      <w:r w:rsidRPr="00E6731F">
        <w:t xml:space="preserve">European Society of Cardiology (ESC) and the European Atherosclerosis Society (EAS) </w:t>
      </w:r>
      <w:r w:rsidRPr="007836C7">
        <w:rPr>
          <w:i/>
        </w:rPr>
        <w:t>Eur Heart J,</w:t>
      </w:r>
      <w:r w:rsidRPr="00E6731F">
        <w:t xml:space="preserve"> (2011)</w:t>
      </w:r>
      <w:r>
        <w:t>, 32:1769–1818</w:t>
      </w:r>
    </w:p>
    <w:p w:rsidR="006A2AD0" w:rsidRDefault="006A2AD0" w:rsidP="00CA5345">
      <w:r>
        <w:t xml:space="preserve">Risk Assessment Working Group. Pooled Cohort Risk Assessment Equations. Available at: </w:t>
      </w:r>
      <w:hyperlink r:id="rId18" w:history="1">
        <w:r w:rsidRPr="006C314F">
          <w:rPr>
            <w:rStyle w:val="Hyperlink"/>
          </w:rPr>
          <w:t>http://www.cardiosource.org/science-and-quality/</w:t>
        </w:r>
      </w:hyperlink>
      <w:r>
        <w:t xml:space="preserve"> practice-guidelines-and-quality-standards/2013- prevention-guideline-tools.aspx. </w:t>
      </w:r>
    </w:p>
    <w:p w:rsidR="006A2AD0" w:rsidRDefault="006A2AD0" w:rsidP="006E58D9">
      <w:r>
        <w:t>Smith SC, Grundy</w:t>
      </w:r>
      <w:r w:rsidRPr="006E58D9">
        <w:t xml:space="preserve"> </w:t>
      </w:r>
      <w:r>
        <w:t xml:space="preserve">SM. 2013 ACC/AHA Guideline Recommends Fixed-Dose Strategies Instead of Targeted Goals to Lower Blood Cholesterol. </w:t>
      </w:r>
      <w:r w:rsidR="007836C7" w:rsidRPr="007836C7">
        <w:rPr>
          <w:i/>
        </w:rPr>
        <w:t>J Am Coll Cardiol</w:t>
      </w:r>
      <w:r w:rsidR="007836C7">
        <w:t xml:space="preserve"> </w:t>
      </w:r>
      <w:r>
        <w:t>201</w:t>
      </w:r>
      <w:r w:rsidRPr="006E58D9">
        <w:t>4</w:t>
      </w:r>
      <w:r>
        <w:t>; 6</w:t>
      </w:r>
      <w:r w:rsidRPr="006E58D9">
        <w:t>4</w:t>
      </w:r>
      <w:r>
        <w:t>(</w:t>
      </w:r>
      <w:r w:rsidRPr="006E58D9">
        <w:t>6</w:t>
      </w:r>
      <w:r>
        <w:t>):601-12</w:t>
      </w:r>
      <w:r w:rsidRPr="006E58D9">
        <w:t xml:space="preserve"> </w:t>
      </w:r>
    </w:p>
    <w:p w:rsidR="006A2AD0" w:rsidRDefault="006A2AD0" w:rsidP="00065A99">
      <w:pPr>
        <w:spacing w:after="0" w:line="240" w:lineRule="auto"/>
      </w:pPr>
      <w:r>
        <w:t xml:space="preserve">Stone NJ, Robinson JG, Lichtenstein AH, et al: 2013 ACC/AHA guideline on the treatment of blood cholesterol to reduce atherosclerotic cardiovascular risk in adults. a report of the American College of Cardiology/American Heart Association Task Force on Practice Guidelines. </w:t>
      </w:r>
      <w:r w:rsidRPr="007836C7">
        <w:rPr>
          <w:i/>
        </w:rPr>
        <w:t>J Am Coll Cardiol</w:t>
      </w:r>
      <w:r>
        <w:t xml:space="preserve"> 2014 Jul 1;63(25 Pt B):2889-2934</w:t>
      </w:r>
    </w:p>
    <w:p w:rsidR="006A2AD0" w:rsidRDefault="006A2AD0" w:rsidP="0024377F">
      <w:pPr>
        <w:pStyle w:val="ListParagraph"/>
        <w:spacing w:after="0" w:line="240" w:lineRule="auto"/>
        <w:ind w:left="0"/>
      </w:pPr>
    </w:p>
    <w:p w:rsidR="006A2AD0" w:rsidRDefault="006A2AD0" w:rsidP="00BC74E9">
      <w:r>
        <w:t>Waite LH, Phan</w:t>
      </w:r>
      <w:r w:rsidRPr="00BC74E9">
        <w:t xml:space="preserve"> </w:t>
      </w:r>
      <w:r>
        <w:t>YL, Spinler</w:t>
      </w:r>
      <w:r w:rsidRPr="00BC74E9">
        <w:t xml:space="preserve"> </w:t>
      </w:r>
      <w:r>
        <w:t>SA. What's next for dyslipidemia management? The 2013 ACC/AHA Guidelines, the NLA recommendations, and beyond.</w:t>
      </w:r>
      <w:r w:rsidRPr="00BC74E9">
        <w:t xml:space="preserve"> Journal of the American Pharma</w:t>
      </w:r>
      <w:r>
        <w:t>cists Association (2016) 56:284-</w:t>
      </w:r>
      <w:r w:rsidRPr="00BC74E9">
        <w:t>292</w:t>
      </w:r>
      <w:r>
        <w:t>.</w:t>
      </w:r>
    </w:p>
    <w:p w:rsidR="00155A4E" w:rsidRDefault="00155A4E" w:rsidP="00BC74E9">
      <w:pPr>
        <w:sectPr w:rsidR="00155A4E" w:rsidSect="00155A4E">
          <w:pgSz w:w="11906" w:h="16838"/>
          <w:pgMar w:top="1440" w:right="1440" w:bottom="1440" w:left="1440" w:header="709" w:footer="709" w:gutter="0"/>
          <w:cols w:space="708"/>
          <w:docGrid w:linePitch="360"/>
        </w:sectPr>
      </w:pPr>
    </w:p>
    <w:p w:rsidR="00155A4E" w:rsidRPr="00155A4E" w:rsidRDefault="00155A4E" w:rsidP="00155A4E">
      <w:pPr>
        <w:keepNext/>
        <w:keepLines/>
        <w:spacing w:before="240" w:after="0"/>
        <w:outlineLvl w:val="0"/>
        <w:rPr>
          <w:rFonts w:asciiTheme="majorHAnsi" w:eastAsiaTheme="majorEastAsia" w:hAnsiTheme="majorHAnsi" w:cstheme="majorBidi"/>
          <w:color w:val="2E74B5" w:themeColor="accent1" w:themeShade="BF"/>
          <w:sz w:val="32"/>
          <w:szCs w:val="32"/>
        </w:rPr>
      </w:pPr>
      <w:bookmarkStart w:id="21" w:name="_Toc461644670"/>
      <w:r w:rsidRPr="00155A4E">
        <w:rPr>
          <w:rFonts w:asciiTheme="majorHAnsi" w:eastAsiaTheme="majorEastAsia" w:hAnsiTheme="majorHAnsi" w:cstheme="majorBidi"/>
          <w:color w:val="2E74B5" w:themeColor="accent1" w:themeShade="BF"/>
          <w:sz w:val="32"/>
          <w:szCs w:val="32"/>
        </w:rPr>
        <w:t>Appendix</w:t>
      </w:r>
      <w:bookmarkEnd w:id="21"/>
    </w:p>
    <w:p w:rsidR="00155A4E" w:rsidRDefault="00155A4E" w:rsidP="00BC74E9"/>
    <w:p w:rsidR="00155A4E" w:rsidRPr="00155A4E" w:rsidRDefault="00155A4E" w:rsidP="00155A4E">
      <w:pPr>
        <w:keepNext/>
        <w:keepLines/>
        <w:spacing w:before="40" w:after="0"/>
        <w:outlineLvl w:val="1"/>
        <w:rPr>
          <w:rFonts w:asciiTheme="majorHAnsi" w:eastAsia="Times New Roman" w:hAnsiTheme="majorHAnsi" w:cstheme="majorBidi"/>
          <w:i/>
          <w:iCs/>
          <w:color w:val="2E74B5" w:themeColor="accent1" w:themeShade="BF"/>
          <w:sz w:val="26"/>
          <w:szCs w:val="26"/>
          <w:lang w:eastAsia="en-AU"/>
        </w:rPr>
      </w:pPr>
      <w:bookmarkStart w:id="22" w:name="_Toc461644671"/>
      <w:r w:rsidRPr="00155A4E">
        <w:rPr>
          <w:rFonts w:asciiTheme="majorHAnsi" w:eastAsia="Times New Roman" w:hAnsiTheme="majorHAnsi" w:cstheme="majorBidi"/>
          <w:color w:val="2E74B5" w:themeColor="accent1" w:themeShade="BF"/>
          <w:sz w:val="26"/>
          <w:szCs w:val="26"/>
          <w:lang w:eastAsia="en-AU"/>
        </w:rPr>
        <w:t xml:space="preserve">Table </w:t>
      </w:r>
      <w:r w:rsidRPr="00155A4E">
        <w:rPr>
          <w:rFonts w:asciiTheme="majorHAnsi" w:eastAsia="Times New Roman" w:hAnsiTheme="majorHAnsi" w:cstheme="majorBidi"/>
          <w:i/>
          <w:iCs/>
          <w:color w:val="2E74B5" w:themeColor="accent1" w:themeShade="BF"/>
          <w:sz w:val="26"/>
          <w:szCs w:val="26"/>
          <w:lang w:eastAsia="en-AU"/>
        </w:rPr>
        <w:t>A</w:t>
      </w:r>
      <w:r w:rsidRPr="00155A4E">
        <w:rPr>
          <w:rFonts w:asciiTheme="majorHAnsi" w:eastAsia="Times New Roman" w:hAnsiTheme="majorHAnsi" w:cstheme="majorBidi"/>
          <w:color w:val="2E74B5" w:themeColor="accent1" w:themeShade="BF"/>
          <w:sz w:val="26"/>
          <w:szCs w:val="26"/>
          <w:lang w:eastAsia="en-AU"/>
        </w:rPr>
        <w:t>2</w:t>
      </w:r>
      <w:r w:rsidRPr="00155A4E">
        <w:rPr>
          <w:rFonts w:asciiTheme="majorHAnsi" w:eastAsia="Times New Roman" w:hAnsiTheme="majorHAnsi" w:cstheme="majorBidi"/>
          <w:i/>
          <w:iCs/>
          <w:color w:val="2E74B5" w:themeColor="accent1" w:themeShade="BF"/>
          <w:sz w:val="26"/>
          <w:szCs w:val="26"/>
          <w:lang w:eastAsia="en-AU"/>
        </w:rPr>
        <w:t>.1</w:t>
      </w:r>
      <w:r w:rsidRPr="00155A4E">
        <w:rPr>
          <w:rFonts w:asciiTheme="majorHAnsi" w:eastAsia="Times New Roman" w:hAnsiTheme="majorHAnsi" w:cstheme="majorBidi"/>
          <w:color w:val="2E74B5" w:themeColor="accent1" w:themeShade="BF"/>
          <w:sz w:val="26"/>
          <w:szCs w:val="26"/>
          <w:lang w:eastAsia="en-AU"/>
        </w:rPr>
        <w:t xml:space="preserve"> Australian guidelines for identification and management of familial hypercholesterolaemia (FH)</w:t>
      </w:r>
      <w:bookmarkEnd w:id="22"/>
      <w:r w:rsidRPr="00155A4E">
        <w:rPr>
          <w:rFonts w:asciiTheme="majorHAnsi" w:eastAsia="Times New Roman" w:hAnsiTheme="majorHAnsi" w:cstheme="majorBidi"/>
          <w:color w:val="2E74B5" w:themeColor="accent1" w:themeShade="BF"/>
          <w:sz w:val="26"/>
          <w:szCs w:val="26"/>
          <w:lang w:eastAsia="en-AU"/>
        </w:rPr>
        <w:t xml:space="preserve"> </w:t>
      </w:r>
    </w:p>
    <w:tbl>
      <w:tblPr>
        <w:tblStyle w:val="TableGrid1"/>
        <w:tblW w:w="14453" w:type="dxa"/>
        <w:tblLayout w:type="fixed"/>
        <w:tblLook w:val="04A0" w:firstRow="1" w:lastRow="0" w:firstColumn="1" w:lastColumn="0" w:noHBand="0" w:noVBand="1"/>
      </w:tblPr>
      <w:tblGrid>
        <w:gridCol w:w="3539"/>
        <w:gridCol w:w="1512"/>
        <w:gridCol w:w="6143"/>
        <w:gridCol w:w="3259"/>
      </w:tblGrid>
      <w:tr w:rsidR="00155A4E" w:rsidRPr="00155A4E" w:rsidTr="0094783C">
        <w:tc>
          <w:tcPr>
            <w:tcW w:w="3539" w:type="dxa"/>
          </w:tcPr>
          <w:p w:rsidR="00155A4E" w:rsidRPr="00155A4E" w:rsidRDefault="00155A4E" w:rsidP="00155A4E">
            <w:pPr>
              <w:rPr>
                <w:rFonts w:ascii="Calibri" w:hAnsi="Calibri" w:cs="Arial"/>
                <w:b/>
                <w:color w:val="000000"/>
                <w:sz w:val="24"/>
                <w:szCs w:val="24"/>
                <w:shd w:val="clear" w:color="auto" w:fill="FFFFFF"/>
              </w:rPr>
            </w:pPr>
            <w:r w:rsidRPr="00155A4E">
              <w:rPr>
                <w:rFonts w:ascii="Calibri" w:hAnsi="Calibri" w:cs="Arial"/>
                <w:b/>
                <w:color w:val="000000"/>
                <w:sz w:val="24"/>
                <w:szCs w:val="24"/>
                <w:shd w:val="clear" w:color="auto" w:fill="FFFFFF"/>
              </w:rPr>
              <w:t>Guidelines</w:t>
            </w:r>
          </w:p>
        </w:tc>
        <w:tc>
          <w:tcPr>
            <w:tcW w:w="7655" w:type="dxa"/>
            <w:gridSpan w:val="2"/>
            <w:vAlign w:val="center"/>
          </w:tcPr>
          <w:p w:rsidR="00155A4E" w:rsidRPr="00155A4E" w:rsidRDefault="00155A4E" w:rsidP="00155A4E">
            <w:pPr>
              <w:jc w:val="center"/>
              <w:rPr>
                <w:rFonts w:ascii="Calibri" w:hAnsi="Calibri" w:cs="Arial"/>
                <w:b/>
                <w:color w:val="000000"/>
                <w:sz w:val="24"/>
                <w:szCs w:val="24"/>
                <w:shd w:val="clear" w:color="auto" w:fill="FFFFFF"/>
              </w:rPr>
            </w:pPr>
            <w:r w:rsidRPr="00155A4E">
              <w:rPr>
                <w:rFonts w:ascii="Calibri" w:hAnsi="Calibri" w:cs="Arial"/>
                <w:b/>
                <w:color w:val="000000"/>
                <w:sz w:val="24"/>
                <w:szCs w:val="24"/>
                <w:shd w:val="clear" w:color="auto" w:fill="FFFFFF"/>
              </w:rPr>
              <w:t>Diagnosis</w:t>
            </w:r>
          </w:p>
        </w:tc>
        <w:tc>
          <w:tcPr>
            <w:tcW w:w="3259" w:type="dxa"/>
          </w:tcPr>
          <w:p w:rsidR="00155A4E" w:rsidRPr="00155A4E" w:rsidRDefault="00155A4E" w:rsidP="00155A4E">
            <w:pPr>
              <w:rPr>
                <w:rFonts w:ascii="Calibri" w:hAnsi="Calibri" w:cs="Arial"/>
                <w:b/>
                <w:color w:val="000000"/>
                <w:sz w:val="24"/>
                <w:szCs w:val="24"/>
                <w:shd w:val="clear" w:color="auto" w:fill="FFFFFF"/>
              </w:rPr>
            </w:pPr>
            <w:r w:rsidRPr="00155A4E">
              <w:rPr>
                <w:rFonts w:ascii="Calibri" w:hAnsi="Calibri" w:cs="Arial"/>
                <w:b/>
                <w:color w:val="000000"/>
                <w:sz w:val="24"/>
                <w:szCs w:val="24"/>
                <w:shd w:val="clear" w:color="auto" w:fill="FFFFFF"/>
              </w:rPr>
              <w:t>Management</w:t>
            </w:r>
          </w:p>
        </w:tc>
      </w:tr>
      <w:tr w:rsidR="00155A4E" w:rsidRPr="00155A4E" w:rsidTr="0094783C">
        <w:tc>
          <w:tcPr>
            <w:tcW w:w="3539" w:type="dxa"/>
          </w:tcPr>
          <w:p w:rsidR="00155A4E" w:rsidRPr="00155A4E" w:rsidRDefault="00155A4E" w:rsidP="00155A4E">
            <w:pPr>
              <w:rPr>
                <w:rFonts w:ascii="Calibri" w:hAnsi="Calibri" w:cs="Arial"/>
                <w:b/>
                <w:color w:val="000000"/>
                <w:shd w:val="clear" w:color="auto" w:fill="FFFFFF"/>
              </w:rPr>
            </w:pPr>
          </w:p>
        </w:tc>
        <w:tc>
          <w:tcPr>
            <w:tcW w:w="7655" w:type="dxa"/>
            <w:gridSpan w:val="2"/>
            <w:vAlign w:val="center"/>
          </w:tcPr>
          <w:p w:rsidR="00155A4E" w:rsidRPr="00155A4E" w:rsidRDefault="00155A4E" w:rsidP="00155A4E">
            <w:pPr>
              <w:jc w:val="center"/>
              <w:rPr>
                <w:rFonts w:ascii="Calibri" w:hAnsi="Calibri" w:cs="Arial"/>
                <w:i/>
                <w:color w:val="000000"/>
                <w:shd w:val="clear" w:color="auto" w:fill="FFFFFF"/>
              </w:rPr>
            </w:pPr>
            <w:r w:rsidRPr="00155A4E">
              <w:rPr>
                <w:rFonts w:ascii="Calibri" w:hAnsi="Calibri" w:cs="Arial"/>
                <w:i/>
                <w:color w:val="000000"/>
                <w:shd w:val="clear" w:color="auto" w:fill="FFFFFF"/>
              </w:rPr>
              <w:t>Dutch Lipid Clinic criteria:</w:t>
            </w:r>
          </w:p>
        </w:tc>
        <w:tc>
          <w:tcPr>
            <w:tcW w:w="3259" w:type="dxa"/>
          </w:tcPr>
          <w:p w:rsidR="00155A4E" w:rsidRPr="00155A4E" w:rsidRDefault="00155A4E" w:rsidP="00155A4E">
            <w:pPr>
              <w:rPr>
                <w:rFonts w:ascii="Calibri" w:hAnsi="Calibri" w:cs="Arial"/>
                <w:b/>
                <w:color w:val="000000"/>
                <w:shd w:val="clear" w:color="auto" w:fill="FFFFFF"/>
              </w:rPr>
            </w:pPr>
          </w:p>
        </w:tc>
      </w:tr>
      <w:tr w:rsidR="00155A4E" w:rsidRPr="00155A4E" w:rsidTr="0094783C">
        <w:tc>
          <w:tcPr>
            <w:tcW w:w="3539" w:type="dxa"/>
          </w:tcPr>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The Cardiac Society of Australia and New Zealand (CSANZ). Guidelines for the Diagnosis and Management of Familial Hypercholesterolaemia. November 2013.</w:t>
            </w:r>
          </w:p>
          <w:p w:rsidR="00155A4E" w:rsidRPr="00155A4E" w:rsidRDefault="005F620C" w:rsidP="00155A4E">
            <w:pPr>
              <w:ind w:right="-108"/>
              <w:rPr>
                <w:rFonts w:ascii="Calibri" w:hAnsi="Calibri" w:cs="Arial"/>
                <w:color w:val="000000"/>
                <w:shd w:val="clear" w:color="auto" w:fill="FFFFFF"/>
              </w:rPr>
            </w:pPr>
            <w:hyperlink r:id="rId19" w:history="1">
              <w:r w:rsidR="00155A4E" w:rsidRPr="00155A4E">
                <w:rPr>
                  <w:rFonts w:ascii="Calibri" w:hAnsi="Calibri" w:cs="Arial"/>
                  <w:color w:val="0000FF"/>
                  <w:u w:val="single"/>
                  <w:shd w:val="clear" w:color="auto" w:fill="FFFFFF"/>
                </w:rPr>
                <w:t>http://www.csanz.edu.au/wp-content/uploads/2013/12/</w:t>
              </w:r>
            </w:hyperlink>
            <w:r w:rsidR="00155A4E" w:rsidRPr="00155A4E">
              <w:rPr>
                <w:rFonts w:ascii="Calibri" w:hAnsi="Calibri" w:cs="Arial"/>
                <w:color w:val="000000"/>
                <w:shd w:val="clear" w:color="auto" w:fill="FFFFFF"/>
              </w:rPr>
              <w:t xml:space="preserve"> </w:t>
            </w:r>
            <w:r w:rsidR="00155A4E" w:rsidRPr="00155A4E">
              <w:rPr>
                <w:color w:val="0000FF"/>
                <w:u w:val="single"/>
              </w:rPr>
              <w:t>Familial_Hypercholesterolemia_2013.pdf</w:t>
            </w:r>
          </w:p>
          <w:p w:rsidR="00155A4E" w:rsidRPr="00155A4E" w:rsidRDefault="00155A4E" w:rsidP="00155A4E">
            <w:pPr>
              <w:rPr>
                <w:rFonts w:ascii="Calibri" w:hAnsi="Calibri" w:cs="Arial"/>
                <w:color w:val="000000"/>
                <w:shd w:val="clear" w:color="auto" w:fill="FFFFFF"/>
              </w:rPr>
            </w:pPr>
          </w:p>
        </w:tc>
        <w:tc>
          <w:tcPr>
            <w:tcW w:w="1512" w:type="dxa"/>
          </w:tcPr>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8 points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6 points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5 points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4 points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3 points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2 points </w:t>
            </w:r>
          </w:p>
          <w:p w:rsidR="00155A4E" w:rsidRPr="00155A4E" w:rsidRDefault="00155A4E" w:rsidP="00155A4E">
            <w:pPr>
              <w:rPr>
                <w:rFonts w:ascii="Calibri" w:hAnsi="Calibri" w:cs="Arial"/>
                <w:color w:val="000000"/>
                <w:shd w:val="clear" w:color="auto" w:fill="FFFFFF"/>
              </w:rPr>
            </w:pP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1 point </w:t>
            </w:r>
          </w:p>
          <w:p w:rsidR="00155A4E" w:rsidRPr="00155A4E" w:rsidRDefault="00155A4E" w:rsidP="00155A4E">
            <w:pPr>
              <w:rPr>
                <w:rFonts w:ascii="Calibri" w:hAnsi="Calibri" w:cs="Arial"/>
                <w:color w:val="000000"/>
                <w:shd w:val="clear" w:color="auto" w:fill="FFFFFF"/>
              </w:rPr>
            </w:pPr>
          </w:p>
          <w:p w:rsidR="00155A4E" w:rsidRPr="00155A4E" w:rsidRDefault="00155A4E" w:rsidP="00155A4E">
            <w:pPr>
              <w:rPr>
                <w:rFonts w:ascii="Calibri" w:hAnsi="Calibri" w:cs="Arial"/>
                <w:color w:val="000000"/>
                <w:shd w:val="clear" w:color="auto" w:fill="FFFFFF"/>
              </w:rPr>
            </w:pPr>
          </w:p>
        </w:tc>
        <w:tc>
          <w:tcPr>
            <w:tcW w:w="6143" w:type="dxa"/>
          </w:tcPr>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DNA Mutation, or LDL-C &gt; 8.5 </w:t>
            </w:r>
            <w:r w:rsidRPr="00155A4E">
              <w:t>mmol/L</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Tendon xanthomas</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LDL-C 6.5 – 8.4 </w:t>
            </w:r>
            <w:r w:rsidRPr="00155A4E">
              <w:t>mmol/L</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Arcus senilis &lt; 45 yrs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LDL 5.0 – 6.4 </w:t>
            </w:r>
            <w:r w:rsidRPr="00155A4E">
              <w:t>mmol/L</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Xanthomas or premature arcus in 1st degree relative, childhood LDL &gt; 95</w:t>
            </w:r>
            <w:r w:rsidRPr="00155A4E">
              <w:rPr>
                <w:rFonts w:ascii="Calibri" w:hAnsi="Calibri" w:cs="Arial"/>
                <w:color w:val="000000"/>
                <w:shd w:val="clear" w:color="auto" w:fill="FFFFFF"/>
                <w:vertAlign w:val="superscript"/>
              </w:rPr>
              <w:t>th</w:t>
            </w:r>
            <w:r w:rsidRPr="00155A4E">
              <w:rPr>
                <w:rFonts w:ascii="Calibri" w:hAnsi="Calibri" w:cs="Arial"/>
                <w:color w:val="000000"/>
                <w:shd w:val="clear" w:color="auto" w:fill="FFFFFF"/>
              </w:rPr>
              <w:t xml:space="preserve"> percentile, or premature CHD</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1st degree relative with premature CVD or LDL &gt; 95th percentile, personal history of LDL 4.0 – 4.9 </w:t>
            </w:r>
            <w:r w:rsidRPr="00155A4E">
              <w:t xml:space="preserve">mmol/L </w:t>
            </w:r>
            <w:r w:rsidRPr="00155A4E">
              <w:rPr>
                <w:rFonts w:ascii="Calibri" w:hAnsi="Calibri" w:cs="Arial"/>
                <w:color w:val="000000"/>
                <w:shd w:val="clear" w:color="auto" w:fill="FFFFFF"/>
              </w:rPr>
              <w:t>or premature CVD</w:t>
            </w:r>
          </w:p>
          <w:p w:rsidR="00155A4E" w:rsidRPr="00155A4E" w:rsidRDefault="00155A4E" w:rsidP="00155A4E">
            <w:pPr>
              <w:rPr>
                <w:rFonts w:ascii="Calibri" w:hAnsi="Calibri" w:cs="Arial"/>
                <w:color w:val="000000"/>
                <w:shd w:val="clear" w:color="auto" w:fill="FFFFFF"/>
              </w:rPr>
            </w:pPr>
          </w:p>
        </w:tc>
        <w:tc>
          <w:tcPr>
            <w:tcW w:w="3259" w:type="dxa"/>
          </w:tcPr>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Diet, exercise and avoidance of smoking are mandatory, and all cardiovascular risk factors should be evaluated and treated. Consideration should be given to general measures to protect against vascular events including the use of aspirin.</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First line treatment is with statins. The effect of statins can be enhanced by bile acid sequestrants or cholesterol absorption inhibitors such as plant sterols or </w:t>
            </w:r>
            <w:r w:rsidRPr="00155A4E">
              <w:rPr>
                <w:rFonts w:ascii="Calibri" w:hAnsi="Calibri" w:cs="Arial"/>
                <w:b/>
                <w:color w:val="000000"/>
                <w:shd w:val="clear" w:color="auto" w:fill="FFFFFF"/>
              </w:rPr>
              <w:t>ezetimibe.</w:t>
            </w:r>
            <w:r w:rsidRPr="00155A4E">
              <w:rPr>
                <w:rFonts w:ascii="Calibri" w:hAnsi="Calibri" w:cs="Arial"/>
                <w:color w:val="000000"/>
                <w:shd w:val="clear" w:color="auto" w:fill="FFFFFF"/>
              </w:rPr>
              <w:t xml:space="preserve"> </w:t>
            </w:r>
          </w:p>
          <w:p w:rsidR="00155A4E" w:rsidRPr="00155A4E" w:rsidRDefault="00155A4E" w:rsidP="00155A4E">
            <w:pPr>
              <w:rPr>
                <w:rFonts w:ascii="Calibri" w:hAnsi="Calibri" w:cs="Arial"/>
                <w:color w:val="000000"/>
                <w:shd w:val="clear" w:color="auto" w:fill="FFFFFF"/>
              </w:rPr>
            </w:pPr>
          </w:p>
        </w:tc>
      </w:tr>
      <w:tr w:rsidR="00155A4E" w:rsidRPr="00155A4E" w:rsidTr="0094783C">
        <w:tc>
          <w:tcPr>
            <w:tcW w:w="3539" w:type="dxa"/>
          </w:tcPr>
          <w:p w:rsidR="00155A4E" w:rsidRPr="00155A4E" w:rsidRDefault="00155A4E" w:rsidP="00155A4E">
            <w:pPr>
              <w:rPr>
                <w:rFonts w:ascii="Calibri" w:hAnsi="Calibri" w:cs="Arial"/>
                <w:color w:val="000000"/>
                <w:shd w:val="clear" w:color="auto" w:fill="FFFFFF"/>
              </w:rPr>
            </w:pPr>
          </w:p>
        </w:tc>
        <w:tc>
          <w:tcPr>
            <w:tcW w:w="7655" w:type="dxa"/>
            <w:gridSpan w:val="2"/>
            <w:vAlign w:val="center"/>
          </w:tcPr>
          <w:p w:rsidR="00155A4E" w:rsidRPr="00155A4E" w:rsidRDefault="00155A4E" w:rsidP="00155A4E">
            <w:pPr>
              <w:jc w:val="center"/>
              <w:rPr>
                <w:i/>
              </w:rPr>
            </w:pPr>
            <w:r w:rsidRPr="00155A4E">
              <w:rPr>
                <w:rFonts w:ascii="Calibri" w:hAnsi="Calibri" w:cs="Arial"/>
                <w:b/>
                <w:color w:val="000000"/>
                <w:shd w:val="clear" w:color="auto" w:fill="FFFFFF"/>
              </w:rPr>
              <w:t>Definite FH:</w:t>
            </w:r>
            <w:r w:rsidRPr="00155A4E">
              <w:rPr>
                <w:rFonts w:ascii="Calibri" w:hAnsi="Calibri" w:cs="Arial"/>
                <w:color w:val="000000"/>
                <w:shd w:val="clear" w:color="auto" w:fill="FFFFFF"/>
              </w:rPr>
              <w:t xml:space="preserve"> &gt; 8 points </w:t>
            </w:r>
            <w:r w:rsidRPr="00155A4E">
              <w:rPr>
                <w:rFonts w:ascii="Calibri" w:hAnsi="Calibri" w:cs="Arial"/>
                <w:b/>
                <w:color w:val="000000"/>
                <w:shd w:val="clear" w:color="auto" w:fill="FFFFFF"/>
              </w:rPr>
              <w:t>Probable FH:</w:t>
            </w:r>
            <w:r w:rsidRPr="00155A4E">
              <w:rPr>
                <w:rFonts w:ascii="Calibri" w:hAnsi="Calibri" w:cs="Arial"/>
                <w:color w:val="000000"/>
                <w:shd w:val="clear" w:color="auto" w:fill="FFFFFF"/>
              </w:rPr>
              <w:t xml:space="preserve"> 6 – 8 points </w:t>
            </w:r>
            <w:r w:rsidRPr="00155A4E">
              <w:rPr>
                <w:rFonts w:ascii="Calibri" w:hAnsi="Calibri" w:cs="Arial"/>
                <w:b/>
                <w:color w:val="000000"/>
                <w:shd w:val="clear" w:color="auto" w:fill="FFFFFF"/>
              </w:rPr>
              <w:t>Possible</w:t>
            </w:r>
            <w:r w:rsidRPr="00155A4E">
              <w:rPr>
                <w:rFonts w:ascii="Calibri" w:hAnsi="Calibri" w:cs="Arial"/>
                <w:color w:val="000000"/>
                <w:shd w:val="clear" w:color="auto" w:fill="FFFFFF"/>
              </w:rPr>
              <w:t xml:space="preserve"> </w:t>
            </w:r>
            <w:r w:rsidRPr="00155A4E">
              <w:rPr>
                <w:rFonts w:ascii="Calibri" w:hAnsi="Calibri" w:cs="Arial"/>
                <w:b/>
                <w:color w:val="000000"/>
                <w:shd w:val="clear" w:color="auto" w:fill="FFFFFF"/>
              </w:rPr>
              <w:t>FH</w:t>
            </w:r>
            <w:r w:rsidRPr="00155A4E">
              <w:rPr>
                <w:rFonts w:ascii="Calibri" w:hAnsi="Calibri" w:cs="Arial"/>
                <w:color w:val="000000"/>
                <w:shd w:val="clear" w:color="auto" w:fill="FFFFFF"/>
              </w:rPr>
              <w:t>: 3-5 points</w:t>
            </w:r>
          </w:p>
        </w:tc>
        <w:tc>
          <w:tcPr>
            <w:tcW w:w="3259" w:type="dxa"/>
            <w:vMerge w:val="restart"/>
          </w:tcPr>
          <w:p w:rsidR="00155A4E" w:rsidRPr="00155A4E" w:rsidRDefault="00155A4E" w:rsidP="00155A4E">
            <w:pPr>
              <w:rPr>
                <w:rFonts w:ascii="Calibri" w:hAnsi="Calibri" w:cs="Arial"/>
                <w:color w:val="000000"/>
                <w:shd w:val="clear" w:color="auto" w:fill="FFFFFF"/>
              </w:rPr>
            </w:pPr>
          </w:p>
          <w:p w:rsidR="00155A4E" w:rsidRPr="00155A4E" w:rsidRDefault="00155A4E" w:rsidP="00155A4E">
            <w:pPr>
              <w:rPr>
                <w:rFonts w:ascii="Calibri" w:hAnsi="Calibri" w:cs="Arial"/>
                <w:b/>
                <w:color w:val="000000"/>
                <w:shd w:val="clear" w:color="auto" w:fill="FFFFFF"/>
              </w:rPr>
            </w:pPr>
            <w:r w:rsidRPr="00155A4E">
              <w:rPr>
                <w:rFonts w:ascii="Calibri" w:hAnsi="Calibri" w:cs="Arial"/>
                <w:b/>
                <w:color w:val="000000"/>
                <w:shd w:val="clear" w:color="auto" w:fill="FFFFFF"/>
              </w:rPr>
              <w:t>target plasma levels for</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low risk FH = LDL-C &lt;4 </w:t>
            </w:r>
            <w:r w:rsidRPr="00155A4E">
              <w:t xml:space="preserve">mmol/L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intermediate = LDL-C &lt;3 </w:t>
            </w:r>
            <w:r w:rsidRPr="00155A4E">
              <w:t>mmol/L</w:t>
            </w:r>
            <w:r w:rsidRPr="00155A4E">
              <w:rPr>
                <w:rFonts w:ascii="Calibri" w:hAnsi="Calibri" w:cs="Arial"/>
                <w:color w:val="000000"/>
                <w:shd w:val="clear" w:color="auto" w:fill="FFFFFF"/>
              </w:rPr>
              <w:t xml:space="preserve">  </w:t>
            </w:r>
          </w:p>
          <w:p w:rsidR="00155A4E" w:rsidRPr="00155A4E" w:rsidRDefault="00155A4E" w:rsidP="00155A4E">
            <w:pPr>
              <w:rPr>
                <w:rFonts w:ascii="Calibri" w:hAnsi="Calibri" w:cs="Arial"/>
                <w:color w:val="000000"/>
                <w:shd w:val="clear" w:color="auto" w:fill="FFFFFF"/>
              </w:rPr>
            </w:pPr>
            <w:r w:rsidRPr="00155A4E">
              <w:rPr>
                <w:rFonts w:ascii="Calibri" w:hAnsi="Calibri" w:cs="Arial"/>
                <w:color w:val="000000"/>
                <w:shd w:val="clear" w:color="auto" w:fill="FFFFFF"/>
              </w:rPr>
              <w:t xml:space="preserve">high risk FH = LDL-C &lt; 2 mmol/L, </w:t>
            </w:r>
          </w:p>
        </w:tc>
      </w:tr>
      <w:tr w:rsidR="00155A4E" w:rsidRPr="00155A4E" w:rsidTr="0094783C">
        <w:tc>
          <w:tcPr>
            <w:tcW w:w="3539" w:type="dxa"/>
          </w:tcPr>
          <w:p w:rsidR="00155A4E" w:rsidRPr="00155A4E" w:rsidRDefault="00155A4E" w:rsidP="00155A4E">
            <w:pPr>
              <w:rPr>
                <w:rFonts w:ascii="Calibri" w:hAnsi="Calibri" w:cs="Arial"/>
                <w:color w:val="000000"/>
                <w:shd w:val="clear" w:color="auto" w:fill="FFFFFF"/>
              </w:rPr>
            </w:pPr>
          </w:p>
        </w:tc>
        <w:tc>
          <w:tcPr>
            <w:tcW w:w="7655" w:type="dxa"/>
            <w:gridSpan w:val="2"/>
            <w:vAlign w:val="center"/>
          </w:tcPr>
          <w:p w:rsidR="00155A4E" w:rsidRPr="00155A4E" w:rsidRDefault="00155A4E" w:rsidP="00155A4E">
            <w:pPr>
              <w:jc w:val="center"/>
              <w:rPr>
                <w:rFonts w:ascii="Calibri" w:hAnsi="Calibri" w:cs="Arial"/>
                <w:i/>
                <w:color w:val="000000"/>
                <w:shd w:val="clear" w:color="auto" w:fill="FFFFFF"/>
              </w:rPr>
            </w:pPr>
            <w:r w:rsidRPr="00155A4E">
              <w:rPr>
                <w:i/>
              </w:rPr>
              <w:t>Modified UK (Simon Broome) criteria</w:t>
            </w:r>
          </w:p>
        </w:tc>
        <w:tc>
          <w:tcPr>
            <w:tcW w:w="3259" w:type="dxa"/>
            <w:vMerge/>
          </w:tcPr>
          <w:p w:rsidR="00155A4E" w:rsidRPr="00155A4E" w:rsidRDefault="00155A4E" w:rsidP="00155A4E">
            <w:pPr>
              <w:rPr>
                <w:rFonts w:ascii="Calibri" w:hAnsi="Calibri" w:cs="Arial"/>
                <w:color w:val="000000"/>
                <w:shd w:val="clear" w:color="auto" w:fill="FFFFFF"/>
              </w:rPr>
            </w:pPr>
          </w:p>
        </w:tc>
      </w:tr>
      <w:tr w:rsidR="00155A4E" w:rsidRPr="00155A4E" w:rsidTr="0094783C">
        <w:tc>
          <w:tcPr>
            <w:tcW w:w="3539" w:type="dxa"/>
          </w:tcPr>
          <w:p w:rsidR="00155A4E" w:rsidRPr="00155A4E" w:rsidRDefault="00155A4E" w:rsidP="00155A4E">
            <w:pPr>
              <w:rPr>
                <w:rFonts w:ascii="Calibri" w:hAnsi="Calibri" w:cs="Arial"/>
                <w:i/>
                <w:color w:val="000000"/>
                <w:shd w:val="clear" w:color="auto" w:fill="FFFFFF"/>
              </w:rPr>
            </w:pPr>
            <w:r w:rsidRPr="00155A4E">
              <w:rPr>
                <w:rFonts w:ascii="Calibri" w:hAnsi="Calibri" w:cs="Arial"/>
                <w:i/>
                <w:color w:val="000000"/>
                <w:shd w:val="clear" w:color="auto" w:fill="FFFFFF"/>
              </w:rPr>
              <w:t>The Australian guidelines are compatible, but more detailed</w:t>
            </w:r>
          </w:p>
          <w:p w:rsidR="00155A4E" w:rsidRPr="00155A4E" w:rsidRDefault="00155A4E" w:rsidP="00155A4E">
            <w:pPr>
              <w:rPr>
                <w:rFonts w:ascii="Calibri" w:hAnsi="Calibri" w:cs="Arial"/>
                <w:color w:val="000000"/>
                <w:shd w:val="clear" w:color="auto" w:fill="FFFFFF"/>
              </w:rPr>
            </w:pPr>
            <w:r w:rsidRPr="00155A4E">
              <w:rPr>
                <w:rFonts w:ascii="Calibri" w:hAnsi="Calibri" w:cs="Arial"/>
                <w:i/>
                <w:color w:val="000000"/>
                <w:shd w:val="clear" w:color="auto" w:fill="FFFFFF"/>
              </w:rPr>
              <w:t>than the UK NICE and other European guidelines for FH.</w:t>
            </w:r>
          </w:p>
        </w:tc>
        <w:tc>
          <w:tcPr>
            <w:tcW w:w="1512" w:type="dxa"/>
          </w:tcPr>
          <w:p w:rsidR="00155A4E" w:rsidRPr="00155A4E" w:rsidRDefault="00155A4E" w:rsidP="00155A4E">
            <w:r w:rsidRPr="00155A4E">
              <w:t xml:space="preserve">1. </w:t>
            </w:r>
          </w:p>
          <w:p w:rsidR="00155A4E" w:rsidRPr="00155A4E" w:rsidRDefault="00155A4E" w:rsidP="00155A4E">
            <w:r w:rsidRPr="00155A4E">
              <w:t xml:space="preserve">2. </w:t>
            </w:r>
          </w:p>
          <w:p w:rsidR="00155A4E" w:rsidRPr="00155A4E" w:rsidRDefault="00155A4E" w:rsidP="00155A4E">
            <w:r w:rsidRPr="00155A4E">
              <w:t xml:space="preserve">3. </w:t>
            </w:r>
          </w:p>
          <w:p w:rsidR="00155A4E" w:rsidRPr="00155A4E" w:rsidRDefault="00155A4E" w:rsidP="00155A4E">
            <w:r w:rsidRPr="00155A4E">
              <w:t>4.</w:t>
            </w:r>
          </w:p>
          <w:p w:rsidR="00155A4E" w:rsidRPr="00155A4E" w:rsidRDefault="00155A4E" w:rsidP="00155A4E">
            <w:r w:rsidRPr="00155A4E">
              <w:t xml:space="preserve">5. </w:t>
            </w:r>
          </w:p>
          <w:p w:rsidR="00155A4E" w:rsidRPr="00155A4E" w:rsidRDefault="00155A4E" w:rsidP="00155A4E">
            <w:pPr>
              <w:rPr>
                <w:rFonts w:ascii="Calibri" w:hAnsi="Calibri" w:cs="Arial"/>
                <w:color w:val="000000"/>
                <w:shd w:val="clear" w:color="auto" w:fill="FFFFFF"/>
              </w:rPr>
            </w:pPr>
            <w:r w:rsidRPr="00155A4E">
              <w:t>6.</w:t>
            </w:r>
          </w:p>
        </w:tc>
        <w:tc>
          <w:tcPr>
            <w:tcW w:w="6143" w:type="dxa"/>
          </w:tcPr>
          <w:p w:rsidR="00155A4E" w:rsidRPr="00155A4E" w:rsidRDefault="00155A4E" w:rsidP="00155A4E">
            <w:r w:rsidRPr="00155A4E">
              <w:t>DNA Mutation</w:t>
            </w:r>
          </w:p>
          <w:p w:rsidR="00155A4E" w:rsidRPr="00155A4E" w:rsidRDefault="00155A4E" w:rsidP="00155A4E">
            <w:r w:rsidRPr="00155A4E">
              <w:t xml:space="preserve">Tendon xanthomas in patient or 1st /2nd degree relative </w:t>
            </w:r>
          </w:p>
          <w:p w:rsidR="00155A4E" w:rsidRPr="00155A4E" w:rsidRDefault="00155A4E" w:rsidP="00155A4E">
            <w:r w:rsidRPr="00155A4E">
              <w:t xml:space="preserve">Family history MI&lt;60 in 1st or MI&lt;50 in 2nd degree relative </w:t>
            </w:r>
          </w:p>
          <w:p w:rsidR="00155A4E" w:rsidRPr="00155A4E" w:rsidRDefault="00155A4E" w:rsidP="00155A4E">
            <w:r w:rsidRPr="00155A4E">
              <w:t>Family history Cholesterol &gt;7.5 mmol/L in 1st /2nd degree relative</w:t>
            </w:r>
          </w:p>
          <w:p w:rsidR="00155A4E" w:rsidRPr="00155A4E" w:rsidRDefault="00155A4E" w:rsidP="00155A4E">
            <w:r w:rsidRPr="00155A4E">
              <w:t xml:space="preserve">Cholesterol &gt;7.5 mmol/L (adult) or &gt;6.7 mmol/L (age&lt;16) </w:t>
            </w:r>
          </w:p>
          <w:p w:rsidR="00155A4E" w:rsidRPr="00155A4E" w:rsidRDefault="00155A4E" w:rsidP="00155A4E">
            <w:r w:rsidRPr="00155A4E">
              <w:t>LDL-C &gt;4.9 mmol/L (adult) or &gt;4.0 mmol/L (age&lt;16)</w:t>
            </w:r>
          </w:p>
        </w:tc>
        <w:tc>
          <w:tcPr>
            <w:tcW w:w="3259" w:type="dxa"/>
            <w:vMerge/>
          </w:tcPr>
          <w:p w:rsidR="00155A4E" w:rsidRPr="00155A4E" w:rsidRDefault="00155A4E" w:rsidP="00155A4E">
            <w:pPr>
              <w:rPr>
                <w:rFonts w:ascii="Calibri" w:hAnsi="Calibri" w:cs="Arial"/>
                <w:color w:val="000000"/>
                <w:shd w:val="clear" w:color="auto" w:fill="FFFFFF"/>
              </w:rPr>
            </w:pPr>
          </w:p>
        </w:tc>
      </w:tr>
      <w:tr w:rsidR="00155A4E" w:rsidRPr="00155A4E" w:rsidTr="0094783C">
        <w:tc>
          <w:tcPr>
            <w:tcW w:w="3539" w:type="dxa"/>
          </w:tcPr>
          <w:p w:rsidR="00155A4E" w:rsidRPr="00155A4E" w:rsidRDefault="00155A4E" w:rsidP="00155A4E">
            <w:pPr>
              <w:rPr>
                <w:rFonts w:ascii="Calibri" w:hAnsi="Calibri" w:cs="Arial"/>
                <w:color w:val="000000"/>
                <w:shd w:val="clear" w:color="auto" w:fill="FFFFFF"/>
              </w:rPr>
            </w:pPr>
          </w:p>
        </w:tc>
        <w:tc>
          <w:tcPr>
            <w:tcW w:w="7655" w:type="dxa"/>
            <w:gridSpan w:val="2"/>
          </w:tcPr>
          <w:p w:rsidR="00155A4E" w:rsidRPr="00155A4E" w:rsidRDefault="00155A4E" w:rsidP="00155A4E">
            <w:r w:rsidRPr="00155A4E">
              <w:rPr>
                <w:rFonts w:ascii="Calibri" w:hAnsi="Calibri" w:cs="Arial"/>
                <w:b/>
                <w:color w:val="000000"/>
                <w:shd w:val="clear" w:color="auto" w:fill="FFFFFF"/>
              </w:rPr>
              <w:t>Definite FH:</w:t>
            </w:r>
            <w:r w:rsidRPr="00155A4E">
              <w:rPr>
                <w:rFonts w:ascii="Calibri" w:hAnsi="Calibri" w:cs="Arial"/>
                <w:color w:val="000000"/>
                <w:shd w:val="clear" w:color="auto" w:fill="FFFFFF"/>
              </w:rPr>
              <w:t xml:space="preserve"> </w:t>
            </w:r>
            <w:r w:rsidRPr="00155A4E">
              <w:t xml:space="preserve">(5 or 6) + 1 </w:t>
            </w:r>
            <w:r w:rsidRPr="00155A4E">
              <w:rPr>
                <w:rFonts w:ascii="Calibri" w:hAnsi="Calibri" w:cs="Arial"/>
                <w:b/>
                <w:color w:val="000000"/>
                <w:shd w:val="clear" w:color="auto" w:fill="FFFFFF"/>
              </w:rPr>
              <w:t>Probable FH:</w:t>
            </w:r>
            <w:r w:rsidRPr="00155A4E">
              <w:rPr>
                <w:rFonts w:ascii="Calibri" w:hAnsi="Calibri" w:cs="Arial"/>
                <w:color w:val="000000"/>
                <w:shd w:val="clear" w:color="auto" w:fill="FFFFFF"/>
              </w:rPr>
              <w:t xml:space="preserve"> </w:t>
            </w:r>
            <w:r w:rsidRPr="00155A4E">
              <w:t xml:space="preserve">(5 or 6) + 2 </w:t>
            </w:r>
            <w:r w:rsidRPr="00155A4E">
              <w:rPr>
                <w:rFonts w:ascii="Calibri" w:hAnsi="Calibri" w:cs="Arial"/>
                <w:b/>
                <w:color w:val="000000"/>
                <w:shd w:val="clear" w:color="auto" w:fill="FFFFFF"/>
              </w:rPr>
              <w:t>Possible</w:t>
            </w:r>
            <w:r w:rsidRPr="00155A4E">
              <w:rPr>
                <w:rFonts w:ascii="Calibri" w:hAnsi="Calibri" w:cs="Arial"/>
                <w:color w:val="000000"/>
                <w:shd w:val="clear" w:color="auto" w:fill="FFFFFF"/>
              </w:rPr>
              <w:t xml:space="preserve"> </w:t>
            </w:r>
            <w:r w:rsidRPr="00155A4E">
              <w:rPr>
                <w:rFonts w:ascii="Calibri" w:hAnsi="Calibri" w:cs="Arial"/>
                <w:b/>
                <w:color w:val="000000"/>
                <w:shd w:val="clear" w:color="auto" w:fill="FFFFFF"/>
              </w:rPr>
              <w:t>FH</w:t>
            </w:r>
            <w:r w:rsidRPr="00155A4E">
              <w:rPr>
                <w:rFonts w:ascii="Calibri" w:hAnsi="Calibri" w:cs="Arial"/>
                <w:color w:val="000000"/>
                <w:shd w:val="clear" w:color="auto" w:fill="FFFFFF"/>
              </w:rPr>
              <w:t xml:space="preserve">: </w:t>
            </w:r>
            <w:r w:rsidRPr="00155A4E">
              <w:t>(5 or 6) + (3 or 4)</w:t>
            </w:r>
          </w:p>
        </w:tc>
        <w:tc>
          <w:tcPr>
            <w:tcW w:w="3259" w:type="dxa"/>
          </w:tcPr>
          <w:p w:rsidR="00155A4E" w:rsidRPr="00155A4E" w:rsidRDefault="00155A4E" w:rsidP="00155A4E">
            <w:pPr>
              <w:rPr>
                <w:rFonts w:ascii="Calibri" w:hAnsi="Calibri" w:cs="Arial"/>
                <w:color w:val="000000"/>
                <w:shd w:val="clear" w:color="auto" w:fill="FFFFFF"/>
              </w:rPr>
            </w:pPr>
          </w:p>
        </w:tc>
      </w:tr>
    </w:tbl>
    <w:p w:rsidR="00155A4E" w:rsidRPr="00155A4E" w:rsidRDefault="00155A4E" w:rsidP="00155A4E">
      <w:pPr>
        <w:rPr>
          <w:rFonts w:ascii="Calibri" w:hAnsi="Calibri" w:cs="Arial"/>
          <w:color w:val="000000"/>
          <w:sz w:val="24"/>
          <w:szCs w:val="24"/>
          <w:shd w:val="clear" w:color="auto" w:fill="FFFFFF"/>
        </w:rPr>
        <w:sectPr w:rsidR="00155A4E" w:rsidRPr="00155A4E" w:rsidSect="008013A7">
          <w:pgSz w:w="16838" w:h="11906" w:orient="landscape"/>
          <w:pgMar w:top="1440" w:right="1440" w:bottom="1440" w:left="1440" w:header="708" w:footer="708" w:gutter="0"/>
          <w:cols w:space="708"/>
          <w:docGrid w:linePitch="360"/>
        </w:sectPr>
      </w:pPr>
    </w:p>
    <w:p w:rsidR="00155A4E" w:rsidRPr="00155A4E" w:rsidRDefault="00155A4E" w:rsidP="00155A4E">
      <w:pPr>
        <w:keepNext/>
        <w:keepLines/>
        <w:spacing w:before="40" w:after="0"/>
        <w:outlineLvl w:val="1"/>
        <w:rPr>
          <w:rFonts w:asciiTheme="majorHAnsi" w:eastAsia="Times New Roman" w:hAnsiTheme="majorHAnsi" w:cstheme="majorBidi"/>
          <w:i/>
          <w:iCs/>
          <w:color w:val="2E74B5" w:themeColor="accent1" w:themeShade="BF"/>
          <w:sz w:val="26"/>
          <w:szCs w:val="26"/>
          <w:lang w:eastAsia="en-AU"/>
        </w:rPr>
      </w:pPr>
      <w:bookmarkStart w:id="23" w:name="_Toc461644672"/>
      <w:r w:rsidRPr="00155A4E">
        <w:rPr>
          <w:rFonts w:asciiTheme="majorHAnsi" w:eastAsia="Times New Roman" w:hAnsiTheme="majorHAnsi" w:cstheme="majorBidi"/>
          <w:color w:val="2E74B5" w:themeColor="accent1" w:themeShade="BF"/>
          <w:sz w:val="26"/>
          <w:szCs w:val="26"/>
          <w:lang w:eastAsia="en-AU"/>
        </w:rPr>
        <w:t xml:space="preserve">Table </w:t>
      </w:r>
      <w:r w:rsidRPr="00155A4E">
        <w:rPr>
          <w:rFonts w:asciiTheme="majorHAnsi" w:eastAsia="Times New Roman" w:hAnsiTheme="majorHAnsi" w:cstheme="majorBidi"/>
          <w:i/>
          <w:iCs/>
          <w:color w:val="2E74B5" w:themeColor="accent1" w:themeShade="BF"/>
          <w:sz w:val="26"/>
          <w:szCs w:val="26"/>
          <w:lang w:eastAsia="en-AU"/>
        </w:rPr>
        <w:t>A</w:t>
      </w:r>
      <w:r w:rsidRPr="00155A4E">
        <w:rPr>
          <w:rFonts w:asciiTheme="majorHAnsi" w:eastAsia="Times New Roman" w:hAnsiTheme="majorHAnsi" w:cstheme="majorBidi"/>
          <w:color w:val="2E74B5" w:themeColor="accent1" w:themeShade="BF"/>
          <w:sz w:val="26"/>
          <w:szCs w:val="26"/>
          <w:lang w:eastAsia="en-AU"/>
        </w:rPr>
        <w:t>3</w:t>
      </w:r>
      <w:r w:rsidRPr="00155A4E">
        <w:rPr>
          <w:rFonts w:asciiTheme="majorHAnsi" w:eastAsia="Times New Roman" w:hAnsiTheme="majorHAnsi" w:cstheme="majorBidi"/>
          <w:i/>
          <w:iCs/>
          <w:color w:val="2E74B5" w:themeColor="accent1" w:themeShade="BF"/>
          <w:sz w:val="26"/>
          <w:szCs w:val="26"/>
          <w:lang w:eastAsia="en-AU"/>
        </w:rPr>
        <w:t>.1</w:t>
      </w:r>
      <w:r w:rsidRPr="00155A4E">
        <w:rPr>
          <w:rFonts w:asciiTheme="majorHAnsi" w:eastAsia="Times New Roman" w:hAnsiTheme="majorHAnsi" w:cstheme="majorBidi"/>
          <w:color w:val="2E74B5" w:themeColor="accent1" w:themeShade="BF"/>
          <w:sz w:val="26"/>
          <w:szCs w:val="26"/>
          <w:lang w:eastAsia="en-AU"/>
        </w:rPr>
        <w:t xml:space="preserve"> High-, Moderate-, and Low-Intensity Statin Therapy as classified in the 2013 ACC/AHA Guideline</w:t>
      </w:r>
      <w:bookmarkEnd w:id="23"/>
    </w:p>
    <w:tbl>
      <w:tblPr>
        <w:tblStyle w:val="TableGrid1"/>
        <w:tblW w:w="0" w:type="auto"/>
        <w:tblLook w:val="04A0" w:firstRow="1" w:lastRow="0" w:firstColumn="1" w:lastColumn="0" w:noHBand="0" w:noVBand="1"/>
      </w:tblPr>
      <w:tblGrid>
        <w:gridCol w:w="6974"/>
        <w:gridCol w:w="6974"/>
      </w:tblGrid>
      <w:tr w:rsidR="00155A4E" w:rsidRPr="00155A4E" w:rsidTr="0094783C">
        <w:tc>
          <w:tcPr>
            <w:tcW w:w="6974" w:type="dxa"/>
          </w:tcPr>
          <w:p w:rsidR="00155A4E" w:rsidRPr="00155A4E" w:rsidRDefault="00155A4E" w:rsidP="00155A4E">
            <w:pPr>
              <w:rPr>
                <w:rFonts w:cs="AdvOT863180fb"/>
                <w:b/>
              </w:rPr>
            </w:pPr>
            <w:r w:rsidRPr="00155A4E">
              <w:rPr>
                <w:rFonts w:cs="AdvOT863180fb"/>
                <w:b/>
              </w:rPr>
              <w:t>Intensity of statin therapy*</w:t>
            </w:r>
            <w:r w:rsidRPr="00155A4E">
              <w:rPr>
                <w:rFonts w:cs="AdvOT863180fb"/>
                <w:b/>
                <w:vertAlign w:val="superscript"/>
              </w:rPr>
              <w:t>,#</w:t>
            </w:r>
          </w:p>
          <w:p w:rsidR="00155A4E" w:rsidRPr="00155A4E" w:rsidRDefault="00155A4E" w:rsidP="00155A4E">
            <w:pPr>
              <w:rPr>
                <w:rFonts w:cs="AdvOT863180fb"/>
                <w:b/>
              </w:rPr>
            </w:pPr>
          </w:p>
        </w:tc>
        <w:tc>
          <w:tcPr>
            <w:tcW w:w="6974" w:type="dxa"/>
          </w:tcPr>
          <w:p w:rsidR="00155A4E" w:rsidRPr="00155A4E" w:rsidRDefault="00155A4E" w:rsidP="00155A4E">
            <w:pPr>
              <w:rPr>
                <w:rFonts w:cs="AdvOT863180fb"/>
                <w:b/>
              </w:rPr>
            </w:pPr>
            <w:r w:rsidRPr="00155A4E">
              <w:rPr>
                <w:rFonts w:cs="AdvOT863180fb"/>
                <w:b/>
              </w:rPr>
              <w:t>Drug and dose~</w:t>
            </w:r>
          </w:p>
        </w:tc>
      </w:tr>
      <w:tr w:rsidR="00155A4E" w:rsidRPr="00155A4E" w:rsidTr="0094783C">
        <w:tc>
          <w:tcPr>
            <w:tcW w:w="6974" w:type="dxa"/>
            <w:vAlign w:val="center"/>
          </w:tcPr>
          <w:p w:rsidR="00155A4E" w:rsidRPr="00155A4E" w:rsidRDefault="00155A4E" w:rsidP="00155A4E">
            <w:pPr>
              <w:rPr>
                <w:rFonts w:cs="AdvOT863180fb"/>
              </w:rPr>
            </w:pPr>
            <w:r w:rsidRPr="00155A4E">
              <w:rPr>
                <w:rFonts w:cs="AdvOT863180fb"/>
              </w:rPr>
              <w:t>High-intensity daily dose</w:t>
            </w:r>
          </w:p>
          <w:p w:rsidR="00155A4E" w:rsidRPr="00155A4E" w:rsidRDefault="00155A4E" w:rsidP="00155A4E">
            <w:pPr>
              <w:rPr>
                <w:rFonts w:cs="AdvOT863180fb"/>
              </w:rPr>
            </w:pPr>
            <w:r w:rsidRPr="00155A4E">
              <w:rPr>
                <w:rFonts w:cs="AdvOT863180fb"/>
              </w:rPr>
              <w:t>(reduces LDL-C, on average,  by ≥50%)</w:t>
            </w:r>
          </w:p>
          <w:p w:rsidR="00155A4E" w:rsidRPr="00155A4E" w:rsidRDefault="00155A4E" w:rsidP="00155A4E"/>
        </w:tc>
        <w:tc>
          <w:tcPr>
            <w:tcW w:w="6974" w:type="dxa"/>
          </w:tcPr>
          <w:p w:rsidR="00155A4E" w:rsidRPr="00155A4E" w:rsidRDefault="00155A4E" w:rsidP="00155A4E">
            <w:pPr>
              <w:rPr>
                <w:rFonts w:cs="AdvOT863180fb"/>
              </w:rPr>
            </w:pPr>
            <w:r w:rsidRPr="00155A4E">
              <w:rPr>
                <w:rFonts w:cs="AdvOT863180fb"/>
              </w:rPr>
              <w:t>Atorvastatin, 40-80</w:t>
            </w:r>
            <w:r w:rsidRPr="00155A4E">
              <w:rPr>
                <w:rFonts w:cs="AdvOT863180fb"/>
                <w:vertAlign w:val="superscript"/>
              </w:rPr>
              <w:t>ǂ</w:t>
            </w:r>
            <w:r w:rsidRPr="00155A4E">
              <w:rPr>
                <w:rFonts w:cs="AdvOT863180fb"/>
              </w:rPr>
              <w:t>mg</w:t>
            </w:r>
          </w:p>
          <w:p w:rsidR="00155A4E" w:rsidRPr="00155A4E" w:rsidRDefault="00155A4E" w:rsidP="00155A4E">
            <w:pPr>
              <w:rPr>
                <w:rFonts w:cs="AdvOT863180fb"/>
              </w:rPr>
            </w:pPr>
            <w:r w:rsidRPr="00155A4E">
              <w:rPr>
                <w:rFonts w:cs="AdvOT863180fb"/>
              </w:rPr>
              <w:t>Rosuvastatin, 20-40 mg</w:t>
            </w:r>
          </w:p>
          <w:p w:rsidR="00155A4E" w:rsidRPr="00155A4E" w:rsidRDefault="00155A4E" w:rsidP="00155A4E"/>
        </w:tc>
      </w:tr>
      <w:tr w:rsidR="00155A4E" w:rsidRPr="00155A4E" w:rsidTr="0094783C">
        <w:tc>
          <w:tcPr>
            <w:tcW w:w="6974" w:type="dxa"/>
            <w:vAlign w:val="center"/>
          </w:tcPr>
          <w:p w:rsidR="00155A4E" w:rsidRPr="00155A4E" w:rsidRDefault="00155A4E" w:rsidP="00155A4E">
            <w:pPr>
              <w:rPr>
                <w:rFonts w:cs="AdvOT863180fb"/>
              </w:rPr>
            </w:pPr>
            <w:r w:rsidRPr="00155A4E">
              <w:rPr>
                <w:rFonts w:cs="AdvOT863180fb"/>
              </w:rPr>
              <w:t>Moderate-intensity daily dose</w:t>
            </w:r>
          </w:p>
          <w:p w:rsidR="00155A4E" w:rsidRPr="00155A4E" w:rsidRDefault="00155A4E" w:rsidP="00155A4E">
            <w:pPr>
              <w:rPr>
                <w:rFonts w:cs="AdvOT863180fb"/>
              </w:rPr>
            </w:pPr>
            <w:r w:rsidRPr="00155A4E">
              <w:rPr>
                <w:rFonts w:cs="AdvOT863180fb"/>
              </w:rPr>
              <w:t>(reduces LDL-C, on average,  by 30% to &lt;50%)</w:t>
            </w:r>
          </w:p>
          <w:p w:rsidR="00155A4E" w:rsidRPr="00155A4E" w:rsidRDefault="00155A4E" w:rsidP="00155A4E"/>
        </w:tc>
        <w:tc>
          <w:tcPr>
            <w:tcW w:w="6974" w:type="dxa"/>
          </w:tcPr>
          <w:p w:rsidR="00155A4E" w:rsidRPr="00155A4E" w:rsidRDefault="00155A4E" w:rsidP="00155A4E">
            <w:pPr>
              <w:rPr>
                <w:rFonts w:cs="AdvOT863180fb"/>
              </w:rPr>
            </w:pPr>
            <w:r w:rsidRPr="00155A4E">
              <w:rPr>
                <w:rFonts w:cs="AdvOT863180fb"/>
              </w:rPr>
              <w:t xml:space="preserve">Atorvastatin, 10-20 mg </w:t>
            </w:r>
          </w:p>
          <w:p w:rsidR="00155A4E" w:rsidRPr="00155A4E" w:rsidRDefault="00155A4E" w:rsidP="00155A4E">
            <w:pPr>
              <w:rPr>
                <w:rFonts w:cs="AdvOT863180fb"/>
              </w:rPr>
            </w:pPr>
            <w:r w:rsidRPr="00155A4E">
              <w:rPr>
                <w:rFonts w:cs="AdvOT863180fb"/>
              </w:rPr>
              <w:t>Rosuvastatin, 5-10 mg</w:t>
            </w:r>
          </w:p>
          <w:p w:rsidR="00155A4E" w:rsidRPr="00155A4E" w:rsidRDefault="00155A4E" w:rsidP="00155A4E">
            <w:pPr>
              <w:rPr>
                <w:rFonts w:cs="AdvOT863180fb"/>
              </w:rPr>
            </w:pPr>
            <w:r w:rsidRPr="00155A4E">
              <w:rPr>
                <w:rFonts w:cs="AdvOT863180fb"/>
              </w:rPr>
              <w:t>Simvastatin, 20-40 mg</w:t>
            </w:r>
          </w:p>
          <w:p w:rsidR="00155A4E" w:rsidRPr="00155A4E" w:rsidRDefault="00155A4E" w:rsidP="00155A4E">
            <w:pPr>
              <w:rPr>
                <w:rFonts w:cs="AdvOT863180fb"/>
              </w:rPr>
            </w:pPr>
            <w:r w:rsidRPr="00155A4E">
              <w:rPr>
                <w:rFonts w:cs="AdvOT863180fb"/>
              </w:rPr>
              <w:t>Pravastatin, 40-80 mg</w:t>
            </w:r>
          </w:p>
          <w:p w:rsidR="00155A4E" w:rsidRPr="00155A4E" w:rsidRDefault="00155A4E" w:rsidP="00155A4E">
            <w:pPr>
              <w:rPr>
                <w:rFonts w:cs="AdvOT863180fb"/>
              </w:rPr>
            </w:pPr>
            <w:r w:rsidRPr="00155A4E">
              <w:rPr>
                <w:rFonts w:cs="AdvOT863180fb"/>
              </w:rPr>
              <w:t>Fluvastatin, 40 mg BID</w:t>
            </w:r>
          </w:p>
          <w:p w:rsidR="00155A4E" w:rsidRPr="00155A4E" w:rsidRDefault="00155A4E" w:rsidP="00155A4E">
            <w:pPr>
              <w:rPr>
                <w:rFonts w:cs="AdvOT863180fb"/>
              </w:rPr>
            </w:pPr>
            <w:r w:rsidRPr="00155A4E">
              <w:rPr>
                <w:rFonts w:cs="AdvOT863180fb"/>
              </w:rPr>
              <w:t>Fluvastatin XL, 80 mg</w:t>
            </w:r>
          </w:p>
          <w:p w:rsidR="00155A4E" w:rsidRPr="00155A4E" w:rsidRDefault="00155A4E" w:rsidP="00155A4E">
            <w:pPr>
              <w:rPr>
                <w:rFonts w:cs="AdvOT863180fb"/>
              </w:rPr>
            </w:pPr>
            <w:r w:rsidRPr="00155A4E">
              <w:rPr>
                <w:rFonts w:cs="AdvOT863180fb"/>
              </w:rPr>
              <w:t>Lovastatin, 40 mg</w:t>
            </w:r>
          </w:p>
          <w:p w:rsidR="00155A4E" w:rsidRPr="00155A4E" w:rsidRDefault="00155A4E" w:rsidP="00155A4E">
            <w:r w:rsidRPr="00155A4E">
              <w:rPr>
                <w:rFonts w:cs="AdvOT863180fb"/>
              </w:rPr>
              <w:t>Pitavastatin, 2-4 mg</w:t>
            </w:r>
          </w:p>
        </w:tc>
      </w:tr>
      <w:tr w:rsidR="00155A4E" w:rsidRPr="00155A4E" w:rsidTr="0094783C">
        <w:tc>
          <w:tcPr>
            <w:tcW w:w="6974" w:type="dxa"/>
            <w:vAlign w:val="center"/>
          </w:tcPr>
          <w:p w:rsidR="00155A4E" w:rsidRPr="00155A4E" w:rsidRDefault="00155A4E" w:rsidP="00155A4E">
            <w:pPr>
              <w:rPr>
                <w:rFonts w:cs="AdvOT863180fb"/>
              </w:rPr>
            </w:pPr>
            <w:r w:rsidRPr="00155A4E">
              <w:rPr>
                <w:rFonts w:cs="AdvOT863180fb"/>
              </w:rPr>
              <w:t>Low-intensity daily dose</w:t>
            </w:r>
          </w:p>
          <w:p w:rsidR="00155A4E" w:rsidRPr="00155A4E" w:rsidRDefault="00155A4E" w:rsidP="00155A4E">
            <w:pPr>
              <w:rPr>
                <w:rFonts w:cs="AdvOT863180fb"/>
              </w:rPr>
            </w:pPr>
            <w:r w:rsidRPr="00155A4E">
              <w:rPr>
                <w:rFonts w:cs="AdvOT863180fb"/>
              </w:rPr>
              <w:t>(reduces LDL-C, on average,  by &lt;30%)</w:t>
            </w:r>
          </w:p>
          <w:p w:rsidR="00155A4E" w:rsidRPr="00155A4E" w:rsidRDefault="00155A4E" w:rsidP="00155A4E"/>
        </w:tc>
        <w:tc>
          <w:tcPr>
            <w:tcW w:w="6974" w:type="dxa"/>
          </w:tcPr>
          <w:p w:rsidR="00155A4E" w:rsidRPr="00155A4E" w:rsidRDefault="00155A4E" w:rsidP="00155A4E">
            <w:pPr>
              <w:rPr>
                <w:rFonts w:cs="AdvOT863180fb"/>
              </w:rPr>
            </w:pPr>
            <w:r w:rsidRPr="00155A4E">
              <w:rPr>
                <w:rFonts w:cs="AdvOT863180fb"/>
              </w:rPr>
              <w:t>Simvastatin, 10 mg</w:t>
            </w:r>
          </w:p>
          <w:p w:rsidR="00155A4E" w:rsidRPr="00155A4E" w:rsidRDefault="00155A4E" w:rsidP="00155A4E">
            <w:pPr>
              <w:rPr>
                <w:rFonts w:cs="AdvOT863180fb"/>
              </w:rPr>
            </w:pPr>
            <w:r w:rsidRPr="00155A4E">
              <w:rPr>
                <w:rFonts w:cs="AdvOT863180fb"/>
              </w:rPr>
              <w:t>Pravastatin, 10-20 mg</w:t>
            </w:r>
          </w:p>
          <w:p w:rsidR="00155A4E" w:rsidRPr="00155A4E" w:rsidRDefault="00155A4E" w:rsidP="00155A4E">
            <w:pPr>
              <w:rPr>
                <w:rFonts w:cs="AdvOT863180fb"/>
              </w:rPr>
            </w:pPr>
            <w:r w:rsidRPr="00155A4E">
              <w:rPr>
                <w:rFonts w:cs="AdvOT863180fb"/>
              </w:rPr>
              <w:t>Fluvastatin 20-40 mg</w:t>
            </w:r>
          </w:p>
          <w:p w:rsidR="00155A4E" w:rsidRPr="00155A4E" w:rsidRDefault="00155A4E" w:rsidP="00155A4E">
            <w:pPr>
              <w:rPr>
                <w:rFonts w:cs="AdvOT863180fb"/>
              </w:rPr>
            </w:pPr>
            <w:r w:rsidRPr="00155A4E">
              <w:rPr>
                <w:rFonts w:cs="AdvOT863180fb"/>
              </w:rPr>
              <w:t>Lovastatin, 20 mg</w:t>
            </w:r>
          </w:p>
          <w:p w:rsidR="00155A4E" w:rsidRPr="00155A4E" w:rsidRDefault="00155A4E" w:rsidP="00155A4E">
            <w:r w:rsidRPr="00155A4E">
              <w:rPr>
                <w:rFonts w:cs="AdvOT863180fb"/>
              </w:rPr>
              <w:t>Pitavastatin, 1 mg</w:t>
            </w:r>
          </w:p>
        </w:tc>
      </w:tr>
    </w:tbl>
    <w:p w:rsidR="00155A4E" w:rsidRPr="00155A4E" w:rsidRDefault="00155A4E" w:rsidP="00155A4E">
      <w:pPr>
        <w:spacing w:after="0" w:line="240" w:lineRule="auto"/>
        <w:rPr>
          <w:rFonts w:cs="AdvOT863180fb"/>
          <w:sz w:val="18"/>
          <w:szCs w:val="18"/>
        </w:rPr>
      </w:pPr>
      <w:r w:rsidRPr="00155A4E">
        <w:rPr>
          <w:rFonts w:cs="AdvOT863180fb"/>
          <w:sz w:val="18"/>
          <w:szCs w:val="18"/>
        </w:rPr>
        <w:t>*Moderate- or high-intensity statin therapy is defined similarly in both the 2013 ACC/AHA Guidelines and the NLA Recommendations</w:t>
      </w:r>
    </w:p>
    <w:p w:rsidR="00155A4E" w:rsidRPr="00155A4E" w:rsidRDefault="00155A4E" w:rsidP="00155A4E">
      <w:pPr>
        <w:spacing w:after="0" w:line="240" w:lineRule="auto"/>
        <w:rPr>
          <w:rFonts w:cs="AdvOT863180fb"/>
          <w:sz w:val="18"/>
          <w:szCs w:val="18"/>
        </w:rPr>
      </w:pPr>
      <w:r w:rsidRPr="00155A4E">
        <w:rPr>
          <w:rFonts w:cs="AdvOT863180fb"/>
          <w:b/>
          <w:sz w:val="18"/>
          <w:szCs w:val="18"/>
          <w:vertAlign w:val="superscript"/>
        </w:rPr>
        <w:t>#</w:t>
      </w:r>
      <w:r w:rsidRPr="00155A4E">
        <w:rPr>
          <w:rFonts w:cs="AdvOT863180fb"/>
          <w:sz w:val="18"/>
          <w:szCs w:val="18"/>
        </w:rPr>
        <w:t xml:space="preserve">The therapies were used in the RCTs reviewed by the expert panel. </w:t>
      </w:r>
    </w:p>
    <w:p w:rsidR="00155A4E" w:rsidRPr="00155A4E" w:rsidRDefault="00155A4E" w:rsidP="00155A4E">
      <w:pPr>
        <w:spacing w:after="0" w:line="240" w:lineRule="auto"/>
        <w:rPr>
          <w:rFonts w:cs="AdvOT863180fb"/>
          <w:sz w:val="18"/>
          <w:szCs w:val="18"/>
        </w:rPr>
      </w:pPr>
      <w:r w:rsidRPr="00155A4E">
        <w:rPr>
          <w:rFonts w:cs="AdvOT863180fb"/>
          <w:sz w:val="18"/>
          <w:szCs w:val="18"/>
        </w:rPr>
        <w:t>~Individual responses to statin therapy varied in the RCTs and should be expected to vary in clinical practice. There might be a biological basis for a less-than-average response.</w:t>
      </w:r>
    </w:p>
    <w:p w:rsidR="00155A4E" w:rsidRPr="00155A4E" w:rsidRDefault="00155A4E" w:rsidP="00155A4E">
      <w:pPr>
        <w:spacing w:after="0" w:line="240" w:lineRule="auto"/>
        <w:rPr>
          <w:rFonts w:cs="AdvOT863180fb"/>
          <w:sz w:val="18"/>
          <w:szCs w:val="18"/>
        </w:rPr>
      </w:pPr>
      <w:r w:rsidRPr="00155A4E">
        <w:rPr>
          <w:rFonts w:cs="AdvOT863180fb"/>
          <w:sz w:val="18"/>
          <w:szCs w:val="18"/>
          <w:vertAlign w:val="superscript"/>
        </w:rPr>
        <w:t>ǂ</w:t>
      </w:r>
      <w:r w:rsidRPr="00155A4E">
        <w:rPr>
          <w:rFonts w:cs="AdvOT863180fb"/>
          <w:sz w:val="18"/>
          <w:szCs w:val="18"/>
        </w:rPr>
        <w:t>Although simvastatin 80 mg was evaluated in RCTs, initiation of simvastatin 80 mg or titration to 80 mg is not recommended by the FDA because of the increased risk of myopathy, including rhabdomyolysis.</w:t>
      </w:r>
    </w:p>
    <w:p w:rsidR="00155A4E" w:rsidRPr="00155A4E" w:rsidRDefault="00155A4E" w:rsidP="00155A4E">
      <w:pPr>
        <w:spacing w:after="0" w:line="240" w:lineRule="auto"/>
        <w:rPr>
          <w:rFonts w:cs="AdvOT863180fb"/>
          <w:sz w:val="18"/>
          <w:szCs w:val="18"/>
        </w:rPr>
      </w:pPr>
      <w:r w:rsidRPr="00155A4E">
        <w:rPr>
          <w:rFonts w:cs="AdvOT863180fb"/>
          <w:i/>
          <w:sz w:val="18"/>
          <w:szCs w:val="18"/>
        </w:rPr>
        <w:t>Source</w:t>
      </w:r>
      <w:r w:rsidRPr="00155A4E">
        <w:rPr>
          <w:rFonts w:cs="AdvOT863180fb"/>
          <w:sz w:val="18"/>
          <w:szCs w:val="18"/>
        </w:rPr>
        <w:t>: Table 5 from Stone et al 2014.</w:t>
      </w:r>
    </w:p>
    <w:p w:rsidR="00155A4E" w:rsidRPr="00155A4E" w:rsidRDefault="00155A4E" w:rsidP="00155A4E">
      <w:pPr>
        <w:sectPr w:rsidR="00155A4E" w:rsidRPr="00155A4E" w:rsidSect="0094783C">
          <w:pgSz w:w="16838" w:h="11906" w:orient="landscape"/>
          <w:pgMar w:top="1440" w:right="1440" w:bottom="1440" w:left="1440" w:header="709" w:footer="709" w:gutter="0"/>
          <w:cols w:space="708"/>
          <w:docGrid w:linePitch="360"/>
        </w:sectPr>
      </w:pPr>
    </w:p>
    <w:p w:rsidR="00155A4E" w:rsidRPr="00155A4E" w:rsidRDefault="00155A4E" w:rsidP="00155A4E">
      <w:pPr>
        <w:keepNext/>
        <w:keepLines/>
        <w:spacing w:before="40" w:after="0"/>
        <w:outlineLvl w:val="1"/>
        <w:rPr>
          <w:rFonts w:asciiTheme="majorHAnsi" w:eastAsiaTheme="majorEastAsia" w:hAnsiTheme="majorHAnsi" w:cstheme="majorBidi"/>
          <w:color w:val="2E74B5" w:themeColor="accent1" w:themeShade="BF"/>
          <w:sz w:val="26"/>
          <w:szCs w:val="26"/>
        </w:rPr>
      </w:pPr>
      <w:bookmarkStart w:id="24" w:name="_Toc461644673"/>
      <w:r w:rsidRPr="00155A4E">
        <w:rPr>
          <w:rFonts w:asciiTheme="majorHAnsi" w:eastAsiaTheme="majorEastAsia" w:hAnsiTheme="majorHAnsi" w:cstheme="majorBidi"/>
          <w:color w:val="2E74B5" w:themeColor="accent1" w:themeShade="BF"/>
          <w:sz w:val="26"/>
          <w:szCs w:val="26"/>
        </w:rPr>
        <w:t>Figure A3.1 Clinical decision pathway for secondary prevention population with ASCVD diagnosis and comorbidities</w:t>
      </w:r>
      <w:bookmarkEnd w:id="24"/>
    </w:p>
    <w:p w:rsidR="00155A4E" w:rsidRPr="00155A4E" w:rsidRDefault="00155A4E" w:rsidP="00155A4E">
      <w:pPr>
        <w:rPr>
          <w:noProof/>
          <w:sz w:val="18"/>
          <w:szCs w:val="18"/>
          <w:lang w:eastAsia="en-AU"/>
        </w:rPr>
      </w:pPr>
      <w:r w:rsidRPr="00155A4E">
        <w:rPr>
          <w:i/>
          <w:noProof/>
          <w:sz w:val="18"/>
          <w:szCs w:val="18"/>
          <w:lang w:eastAsia="en-AU"/>
        </w:rPr>
        <w:drawing>
          <wp:anchor distT="0" distB="0" distL="114300" distR="114300" simplePos="0" relativeHeight="251665408" behindDoc="0" locked="0" layoutInCell="1" allowOverlap="1" wp14:anchorId="5824FCC7" wp14:editId="1E023417">
            <wp:simplePos x="0" y="0"/>
            <wp:positionH relativeFrom="column">
              <wp:posOffset>228600</wp:posOffset>
            </wp:positionH>
            <wp:positionV relativeFrom="paragraph">
              <wp:posOffset>-1270</wp:posOffset>
            </wp:positionV>
            <wp:extent cx="5391150" cy="7749540"/>
            <wp:effectExtent l="0" t="0" r="0" b="381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3561" t="12761" r="61578" b="4715"/>
                    <a:stretch/>
                  </pic:blipFill>
                  <pic:spPr bwMode="auto">
                    <a:xfrm>
                      <a:off x="0" y="0"/>
                      <a:ext cx="5391150" cy="7749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5A4E">
        <w:rPr>
          <w:i/>
          <w:noProof/>
          <w:sz w:val="18"/>
          <w:szCs w:val="18"/>
          <w:lang w:eastAsia="en-AU"/>
        </w:rPr>
        <w:t>Source:</w:t>
      </w:r>
      <w:r w:rsidRPr="00155A4E">
        <w:rPr>
          <w:noProof/>
          <w:sz w:val="18"/>
          <w:szCs w:val="18"/>
          <w:lang w:eastAsia="en-AU"/>
        </w:rPr>
        <w:t xml:space="preserve"> Figure 2B, Lloyd-Jones 2016</w:t>
      </w:r>
    </w:p>
    <w:p w:rsidR="00155A4E" w:rsidRPr="00155A4E" w:rsidRDefault="00155A4E" w:rsidP="00155A4E">
      <w:pPr>
        <w:ind w:firstLine="720"/>
        <w:rPr>
          <w:noProof/>
          <w:sz w:val="18"/>
          <w:szCs w:val="18"/>
          <w:lang w:eastAsia="en-AU"/>
        </w:rPr>
      </w:pPr>
    </w:p>
    <w:p w:rsidR="00155A4E" w:rsidRPr="00155A4E" w:rsidRDefault="00155A4E" w:rsidP="00155A4E">
      <w:pPr>
        <w:ind w:firstLine="720"/>
        <w:rPr>
          <w:noProof/>
          <w:sz w:val="18"/>
          <w:szCs w:val="18"/>
          <w:lang w:eastAsia="en-AU"/>
        </w:rPr>
      </w:pPr>
    </w:p>
    <w:p w:rsidR="00155A4E" w:rsidRPr="00155A4E" w:rsidRDefault="00155A4E" w:rsidP="00155A4E">
      <w:pPr>
        <w:keepNext/>
        <w:keepLines/>
        <w:spacing w:before="40" w:after="0"/>
        <w:outlineLvl w:val="1"/>
        <w:rPr>
          <w:rFonts w:asciiTheme="majorHAnsi" w:eastAsiaTheme="majorEastAsia" w:hAnsiTheme="majorHAnsi" w:cstheme="majorBidi"/>
          <w:color w:val="2E74B5" w:themeColor="accent1" w:themeShade="BF"/>
          <w:sz w:val="26"/>
          <w:szCs w:val="26"/>
        </w:rPr>
      </w:pPr>
      <w:bookmarkStart w:id="25" w:name="_Toc461644674"/>
      <w:r w:rsidRPr="00155A4E">
        <w:rPr>
          <w:rFonts w:asciiTheme="majorHAnsi" w:eastAsiaTheme="majorEastAsia" w:hAnsiTheme="majorHAnsi" w:cstheme="majorBidi"/>
          <w:color w:val="2E74B5" w:themeColor="accent1" w:themeShade="BF"/>
          <w:sz w:val="26"/>
          <w:szCs w:val="26"/>
        </w:rPr>
        <w:t>Figure A3.2 Clinical decision pathway for primary prevention population with baseline LDL-C ≥190mg/dL (2.6 mmol/L)</w:t>
      </w:r>
      <w:bookmarkEnd w:id="25"/>
    </w:p>
    <w:p w:rsidR="00155A4E" w:rsidRPr="00155A4E" w:rsidRDefault="00155A4E" w:rsidP="00155A4E">
      <w:pPr>
        <w:rPr>
          <w:noProof/>
          <w:lang w:eastAsia="en-AU"/>
        </w:rPr>
      </w:pPr>
      <w:r w:rsidRPr="00155A4E">
        <w:rPr>
          <w:noProof/>
          <w:lang w:eastAsia="en-AU"/>
        </w:rPr>
        <w:drawing>
          <wp:inline distT="0" distB="0" distL="0" distR="0" wp14:anchorId="55950902" wp14:editId="51876379">
            <wp:extent cx="5707380" cy="78409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959" t="12761" r="63439" b="3864"/>
                    <a:stretch/>
                  </pic:blipFill>
                  <pic:spPr bwMode="auto">
                    <a:xfrm>
                      <a:off x="0" y="0"/>
                      <a:ext cx="5708012" cy="7841848"/>
                    </a:xfrm>
                    <a:prstGeom prst="rect">
                      <a:avLst/>
                    </a:prstGeom>
                    <a:ln>
                      <a:noFill/>
                    </a:ln>
                    <a:extLst>
                      <a:ext uri="{53640926-AAD7-44D8-BBD7-CCE9431645EC}">
                        <a14:shadowObscured xmlns:a14="http://schemas.microsoft.com/office/drawing/2010/main"/>
                      </a:ext>
                    </a:extLst>
                  </pic:spPr>
                </pic:pic>
              </a:graphicData>
            </a:graphic>
          </wp:inline>
        </w:drawing>
      </w:r>
    </w:p>
    <w:p w:rsidR="00155A4E" w:rsidRPr="00155A4E" w:rsidRDefault="00155A4E" w:rsidP="00155A4E">
      <w:pPr>
        <w:ind w:firstLine="720"/>
        <w:rPr>
          <w:noProof/>
          <w:sz w:val="18"/>
          <w:szCs w:val="18"/>
          <w:lang w:eastAsia="en-AU"/>
        </w:rPr>
      </w:pPr>
      <w:r w:rsidRPr="00155A4E">
        <w:rPr>
          <w:i/>
          <w:noProof/>
          <w:sz w:val="18"/>
          <w:szCs w:val="18"/>
          <w:lang w:eastAsia="en-AU"/>
        </w:rPr>
        <w:t>Source:</w:t>
      </w:r>
      <w:r w:rsidRPr="00155A4E">
        <w:rPr>
          <w:noProof/>
          <w:sz w:val="18"/>
          <w:szCs w:val="18"/>
          <w:lang w:eastAsia="en-AU"/>
        </w:rPr>
        <w:t xml:space="preserve"> Figure 3, Lloyd-Jones 2016</w:t>
      </w:r>
    </w:p>
    <w:p w:rsidR="00155A4E" w:rsidRPr="00155A4E" w:rsidRDefault="00155A4E" w:rsidP="00155A4E">
      <w:pPr>
        <w:ind w:firstLine="720"/>
        <w:rPr>
          <w:noProof/>
          <w:lang w:eastAsia="en-AU"/>
        </w:rPr>
      </w:pPr>
    </w:p>
    <w:p w:rsidR="00155A4E" w:rsidRPr="00155A4E" w:rsidRDefault="00155A4E" w:rsidP="00155A4E">
      <w:pPr>
        <w:keepNext/>
        <w:keepLines/>
        <w:spacing w:before="40" w:after="0"/>
        <w:outlineLvl w:val="1"/>
        <w:rPr>
          <w:rFonts w:asciiTheme="majorHAnsi" w:eastAsiaTheme="majorEastAsia" w:hAnsiTheme="majorHAnsi" w:cstheme="majorBidi"/>
          <w:color w:val="2E74B5" w:themeColor="accent1" w:themeShade="BF"/>
          <w:sz w:val="26"/>
          <w:szCs w:val="26"/>
        </w:rPr>
      </w:pPr>
      <w:bookmarkStart w:id="26" w:name="_Toc461644675"/>
      <w:r w:rsidRPr="00155A4E">
        <w:rPr>
          <w:rFonts w:asciiTheme="majorHAnsi" w:eastAsiaTheme="majorEastAsia" w:hAnsiTheme="majorHAnsi" w:cstheme="majorBidi"/>
          <w:color w:val="2E74B5" w:themeColor="accent1" w:themeShade="BF"/>
          <w:sz w:val="26"/>
          <w:szCs w:val="26"/>
        </w:rPr>
        <w:t>Table A4.1 Grouping of statins by intensity category used in the 2014 NICE guidance</w:t>
      </w:r>
      <w:bookmarkEnd w:id="26"/>
    </w:p>
    <w:p w:rsidR="00155A4E" w:rsidRPr="00155A4E" w:rsidRDefault="00155A4E" w:rsidP="00155A4E">
      <w:r w:rsidRPr="00155A4E">
        <w:rPr>
          <w:noProof/>
          <w:lang w:eastAsia="en-AU"/>
        </w:rPr>
        <w:drawing>
          <wp:inline distT="0" distB="0" distL="0" distR="0" wp14:anchorId="51FFF950" wp14:editId="640C6287">
            <wp:extent cx="4968240" cy="3340421"/>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850" t="11912" r="55196" b="4289"/>
                    <a:stretch/>
                  </pic:blipFill>
                  <pic:spPr bwMode="auto">
                    <a:xfrm>
                      <a:off x="0" y="0"/>
                      <a:ext cx="4968240" cy="3340421"/>
                    </a:xfrm>
                    <a:prstGeom prst="rect">
                      <a:avLst/>
                    </a:prstGeom>
                    <a:ln>
                      <a:noFill/>
                    </a:ln>
                    <a:extLst>
                      <a:ext uri="{53640926-AAD7-44D8-BBD7-CCE9431645EC}">
                        <a14:shadowObscured xmlns:a14="http://schemas.microsoft.com/office/drawing/2010/main"/>
                      </a:ext>
                    </a:extLst>
                  </pic:spPr>
                </pic:pic>
              </a:graphicData>
            </a:graphic>
          </wp:inline>
        </w:drawing>
      </w:r>
    </w:p>
    <w:p w:rsidR="00155A4E" w:rsidRPr="00155A4E" w:rsidRDefault="00155A4E" w:rsidP="00155A4E">
      <w:pPr>
        <w:rPr>
          <w:sz w:val="18"/>
          <w:szCs w:val="18"/>
        </w:rPr>
      </w:pPr>
      <w:r w:rsidRPr="00155A4E">
        <w:rPr>
          <w:i/>
          <w:sz w:val="18"/>
          <w:szCs w:val="18"/>
        </w:rPr>
        <w:t>Source</w:t>
      </w:r>
      <w:r w:rsidRPr="00155A4E">
        <w:rPr>
          <w:sz w:val="18"/>
          <w:szCs w:val="18"/>
        </w:rPr>
        <w:t>: Table 1, Appendix A; 2014 NICE guidance/cg181.</w:t>
      </w:r>
    </w:p>
    <w:p w:rsidR="00155A4E" w:rsidRPr="00155A4E" w:rsidRDefault="00155A4E" w:rsidP="00155A4E">
      <w:pPr>
        <w:jc w:val="both"/>
      </w:pPr>
      <w:r w:rsidRPr="00155A4E">
        <w:rPr>
          <w:i/>
        </w:rPr>
        <w:t>Note to Table A4.1:</w:t>
      </w:r>
      <w:r w:rsidRPr="00155A4E">
        <w:t xml:space="preserve"> For the purpose of this guideline, statins are grouped into 3 different intensity categories according to the percentage reduction in low-density lipoprotein cholesterol. This grouping was agreed by the 2014 NICE Guidance Development Group consensus, informed by analyses in the literature.</w:t>
      </w:r>
    </w:p>
    <w:p w:rsidR="00155A4E" w:rsidRPr="00155A4E" w:rsidRDefault="00155A4E" w:rsidP="00155A4E"/>
    <w:p w:rsidR="00155A4E" w:rsidRPr="00155A4E" w:rsidRDefault="00155A4E" w:rsidP="00155A4E">
      <w:pPr>
        <w:keepNext/>
        <w:keepLines/>
        <w:spacing w:before="40" w:after="0"/>
        <w:outlineLvl w:val="1"/>
        <w:rPr>
          <w:rFonts w:asciiTheme="majorHAnsi" w:eastAsiaTheme="majorEastAsia" w:hAnsiTheme="majorHAnsi" w:cstheme="majorBidi"/>
          <w:color w:val="2E74B5" w:themeColor="accent1" w:themeShade="BF"/>
          <w:sz w:val="26"/>
          <w:szCs w:val="26"/>
        </w:rPr>
      </w:pPr>
      <w:bookmarkStart w:id="27" w:name="_Toc461644676"/>
      <w:r w:rsidRPr="00155A4E">
        <w:rPr>
          <w:rFonts w:asciiTheme="majorHAnsi" w:eastAsiaTheme="majorEastAsia" w:hAnsiTheme="majorHAnsi" w:cstheme="majorBidi"/>
          <w:color w:val="2E74B5" w:themeColor="accent1" w:themeShade="BF"/>
          <w:sz w:val="26"/>
          <w:szCs w:val="26"/>
        </w:rPr>
        <w:t>Table A5.1 Percentage reduction of low-density lipoprotein cholesterol (LDL-C) requested to achieve goals as a function of the starting value</w:t>
      </w:r>
      <w:bookmarkEnd w:id="27"/>
    </w:p>
    <w:p w:rsidR="00155A4E" w:rsidRDefault="00155A4E" w:rsidP="00CD0DE9">
      <w:r w:rsidRPr="00155A4E">
        <w:rPr>
          <w:noProof/>
          <w:lang w:eastAsia="en-AU"/>
        </w:rPr>
        <w:drawing>
          <wp:inline distT="0" distB="0" distL="0" distR="0" wp14:anchorId="4A2CC788" wp14:editId="32EF9B3A">
            <wp:extent cx="5515609" cy="282702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4908" t="27820" r="4808" b="26834"/>
                    <a:stretch/>
                  </pic:blipFill>
                  <pic:spPr bwMode="auto">
                    <a:xfrm>
                      <a:off x="0" y="0"/>
                      <a:ext cx="5516880" cy="2827671"/>
                    </a:xfrm>
                    <a:prstGeom prst="rect">
                      <a:avLst/>
                    </a:prstGeom>
                    <a:ln>
                      <a:noFill/>
                    </a:ln>
                    <a:extLst>
                      <a:ext uri="{53640926-AAD7-44D8-BBD7-CCE9431645EC}">
                        <a14:shadowObscured xmlns:a14="http://schemas.microsoft.com/office/drawing/2010/main"/>
                      </a:ext>
                    </a:extLst>
                  </pic:spPr>
                </pic:pic>
              </a:graphicData>
            </a:graphic>
          </wp:inline>
        </w:drawing>
      </w:r>
      <w:r w:rsidRPr="00155A4E">
        <w:rPr>
          <w:i/>
          <w:sz w:val="18"/>
          <w:szCs w:val="18"/>
        </w:rPr>
        <w:t>Source</w:t>
      </w:r>
      <w:r w:rsidRPr="00155A4E">
        <w:rPr>
          <w:sz w:val="18"/>
          <w:szCs w:val="18"/>
        </w:rPr>
        <w:t>: Supplementary Table A, p.28 (Catapano 2016)</w:t>
      </w:r>
    </w:p>
    <w:sectPr w:rsidR="00155A4E" w:rsidSect="00CD441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20C" w:rsidRDefault="005F620C" w:rsidP="004575A1">
      <w:pPr>
        <w:spacing w:after="0" w:line="240" w:lineRule="auto"/>
      </w:pPr>
      <w:r>
        <w:separator/>
      </w:r>
    </w:p>
  </w:endnote>
  <w:endnote w:type="continuationSeparator" w:id="0">
    <w:p w:rsidR="005F620C" w:rsidRDefault="005F620C" w:rsidP="00457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Neue-Condensed">
    <w:panose1 w:val="00000000000000000000"/>
    <w:charset w:val="00"/>
    <w:family w:val="swiss"/>
    <w:notTrueType/>
    <w:pitch w:val="default"/>
    <w:sig w:usb0="00000003" w:usb1="00000000" w:usb2="00000000" w:usb3="00000000" w:csb0="00000001" w:csb1="00000000"/>
  </w:font>
  <w:font w:name="AdvP7B6C">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OT863180fb+fb">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243638"/>
      <w:docPartObj>
        <w:docPartGallery w:val="Page Numbers (Bottom of Page)"/>
        <w:docPartUnique/>
      </w:docPartObj>
    </w:sdtPr>
    <w:sdtEndPr>
      <w:rPr>
        <w:noProof/>
      </w:rPr>
    </w:sdtEndPr>
    <w:sdtContent>
      <w:p w:rsidR="009B2920" w:rsidRDefault="009B2920">
        <w:pPr>
          <w:pStyle w:val="Footer"/>
          <w:jc w:val="center"/>
        </w:pPr>
        <w:r>
          <w:fldChar w:fldCharType="begin"/>
        </w:r>
        <w:r>
          <w:instrText xml:space="preserve"> PAGE   \* MERGEFORMAT </w:instrText>
        </w:r>
        <w:r>
          <w:fldChar w:fldCharType="separate"/>
        </w:r>
        <w:r w:rsidR="001E03E1">
          <w:rPr>
            <w:noProof/>
          </w:rPr>
          <w:t>1</w:t>
        </w:r>
        <w:r>
          <w:rPr>
            <w:noProof/>
          </w:rPr>
          <w:fldChar w:fldCharType="end"/>
        </w:r>
      </w:p>
    </w:sdtContent>
  </w:sdt>
  <w:p w:rsidR="009B2920" w:rsidRDefault="009B2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20C" w:rsidRDefault="005F620C" w:rsidP="004575A1">
      <w:pPr>
        <w:spacing w:after="0" w:line="240" w:lineRule="auto"/>
      </w:pPr>
      <w:r>
        <w:separator/>
      </w:r>
    </w:p>
  </w:footnote>
  <w:footnote w:type="continuationSeparator" w:id="0">
    <w:p w:rsidR="005F620C" w:rsidRDefault="005F620C" w:rsidP="004575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68D"/>
    <w:multiLevelType w:val="hybridMultilevel"/>
    <w:tmpl w:val="5322B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5373C53"/>
    <w:multiLevelType w:val="hybridMultilevel"/>
    <w:tmpl w:val="146E1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DD3222"/>
    <w:multiLevelType w:val="hybridMultilevel"/>
    <w:tmpl w:val="5322B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BFC6B10"/>
    <w:multiLevelType w:val="multilevel"/>
    <w:tmpl w:val="1920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9C48B9"/>
    <w:multiLevelType w:val="hybridMultilevel"/>
    <w:tmpl w:val="30824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6F026B4"/>
    <w:multiLevelType w:val="hybridMultilevel"/>
    <w:tmpl w:val="13A860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2ED0C22"/>
    <w:multiLevelType w:val="hybridMultilevel"/>
    <w:tmpl w:val="6EFE73BE"/>
    <w:lvl w:ilvl="0" w:tplc="B122EE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A622EB7"/>
    <w:multiLevelType w:val="hybridMultilevel"/>
    <w:tmpl w:val="68AE449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FFC1BF0"/>
    <w:multiLevelType w:val="hybridMultilevel"/>
    <w:tmpl w:val="E862A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6F525C2"/>
    <w:multiLevelType w:val="multilevel"/>
    <w:tmpl w:val="5924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8572195"/>
    <w:multiLevelType w:val="hybridMultilevel"/>
    <w:tmpl w:val="5216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923F9E"/>
    <w:multiLevelType w:val="multilevel"/>
    <w:tmpl w:val="89E4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00697D"/>
    <w:multiLevelType w:val="hybridMultilevel"/>
    <w:tmpl w:val="4F84D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BE30DF8"/>
    <w:multiLevelType w:val="multilevel"/>
    <w:tmpl w:val="2BE2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2EE2A0A"/>
    <w:multiLevelType w:val="hybridMultilevel"/>
    <w:tmpl w:val="5322B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31643DD"/>
    <w:multiLevelType w:val="hybridMultilevel"/>
    <w:tmpl w:val="15F604C6"/>
    <w:lvl w:ilvl="0" w:tplc="0C00CAB4">
      <w:start w:val="1"/>
      <w:numFmt w:val="lowerLetter"/>
      <w:lvlText w:val="%1)"/>
      <w:lvlJc w:val="left"/>
      <w:pPr>
        <w:ind w:left="704" w:hanging="360"/>
      </w:pPr>
      <w:rPr>
        <w:rFonts w:hint="default"/>
      </w:rPr>
    </w:lvl>
    <w:lvl w:ilvl="1" w:tplc="0C090019" w:tentative="1">
      <w:start w:val="1"/>
      <w:numFmt w:val="lowerLetter"/>
      <w:lvlText w:val="%2."/>
      <w:lvlJc w:val="left"/>
      <w:pPr>
        <w:ind w:left="1424" w:hanging="360"/>
      </w:pPr>
    </w:lvl>
    <w:lvl w:ilvl="2" w:tplc="0C09001B" w:tentative="1">
      <w:start w:val="1"/>
      <w:numFmt w:val="lowerRoman"/>
      <w:lvlText w:val="%3."/>
      <w:lvlJc w:val="right"/>
      <w:pPr>
        <w:ind w:left="2144" w:hanging="180"/>
      </w:pPr>
    </w:lvl>
    <w:lvl w:ilvl="3" w:tplc="0C09000F" w:tentative="1">
      <w:start w:val="1"/>
      <w:numFmt w:val="decimal"/>
      <w:lvlText w:val="%4."/>
      <w:lvlJc w:val="left"/>
      <w:pPr>
        <w:ind w:left="2864" w:hanging="360"/>
      </w:pPr>
    </w:lvl>
    <w:lvl w:ilvl="4" w:tplc="0C090019" w:tentative="1">
      <w:start w:val="1"/>
      <w:numFmt w:val="lowerLetter"/>
      <w:lvlText w:val="%5."/>
      <w:lvlJc w:val="left"/>
      <w:pPr>
        <w:ind w:left="3584" w:hanging="360"/>
      </w:pPr>
    </w:lvl>
    <w:lvl w:ilvl="5" w:tplc="0C09001B" w:tentative="1">
      <w:start w:val="1"/>
      <w:numFmt w:val="lowerRoman"/>
      <w:lvlText w:val="%6."/>
      <w:lvlJc w:val="right"/>
      <w:pPr>
        <w:ind w:left="4304" w:hanging="180"/>
      </w:pPr>
    </w:lvl>
    <w:lvl w:ilvl="6" w:tplc="0C09000F" w:tentative="1">
      <w:start w:val="1"/>
      <w:numFmt w:val="decimal"/>
      <w:lvlText w:val="%7."/>
      <w:lvlJc w:val="left"/>
      <w:pPr>
        <w:ind w:left="5024" w:hanging="360"/>
      </w:pPr>
    </w:lvl>
    <w:lvl w:ilvl="7" w:tplc="0C090019" w:tentative="1">
      <w:start w:val="1"/>
      <w:numFmt w:val="lowerLetter"/>
      <w:lvlText w:val="%8."/>
      <w:lvlJc w:val="left"/>
      <w:pPr>
        <w:ind w:left="5744" w:hanging="360"/>
      </w:pPr>
    </w:lvl>
    <w:lvl w:ilvl="8" w:tplc="0C09001B" w:tentative="1">
      <w:start w:val="1"/>
      <w:numFmt w:val="lowerRoman"/>
      <w:lvlText w:val="%9."/>
      <w:lvlJc w:val="right"/>
      <w:pPr>
        <w:ind w:left="6464" w:hanging="180"/>
      </w:pPr>
    </w:lvl>
  </w:abstractNum>
  <w:abstractNum w:abstractNumId="16">
    <w:nsid w:val="5D857EF0"/>
    <w:multiLevelType w:val="hybridMultilevel"/>
    <w:tmpl w:val="5322B9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3893C2B"/>
    <w:multiLevelType w:val="hybridMultilevel"/>
    <w:tmpl w:val="13A8604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7F97AE1"/>
    <w:multiLevelType w:val="hybridMultilevel"/>
    <w:tmpl w:val="CF7A19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4676C47"/>
    <w:multiLevelType w:val="hybridMultilevel"/>
    <w:tmpl w:val="3DCC4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E735319"/>
    <w:multiLevelType w:val="hybridMultilevel"/>
    <w:tmpl w:val="49DAB2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3"/>
  </w:num>
  <w:num w:numId="3">
    <w:abstractNumId w:val="3"/>
  </w:num>
  <w:num w:numId="4">
    <w:abstractNumId w:val="11"/>
  </w:num>
  <w:num w:numId="5">
    <w:abstractNumId w:val="17"/>
  </w:num>
  <w:num w:numId="6">
    <w:abstractNumId w:val="5"/>
  </w:num>
  <w:num w:numId="7">
    <w:abstractNumId w:val="7"/>
  </w:num>
  <w:num w:numId="8">
    <w:abstractNumId w:val="6"/>
  </w:num>
  <w:num w:numId="9">
    <w:abstractNumId w:val="15"/>
  </w:num>
  <w:num w:numId="10">
    <w:abstractNumId w:val="10"/>
  </w:num>
  <w:num w:numId="11">
    <w:abstractNumId w:val="18"/>
  </w:num>
  <w:num w:numId="12">
    <w:abstractNumId w:val="4"/>
  </w:num>
  <w:num w:numId="13">
    <w:abstractNumId w:val="0"/>
  </w:num>
  <w:num w:numId="14">
    <w:abstractNumId w:val="16"/>
  </w:num>
  <w:num w:numId="15">
    <w:abstractNumId w:val="14"/>
  </w:num>
  <w:num w:numId="16">
    <w:abstractNumId w:val="1"/>
  </w:num>
  <w:num w:numId="17">
    <w:abstractNumId w:val="2"/>
  </w:num>
  <w:num w:numId="18">
    <w:abstractNumId w:val="20"/>
  </w:num>
  <w:num w:numId="19">
    <w:abstractNumId w:val="19"/>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3A7"/>
    <w:rsid w:val="00002B09"/>
    <w:rsid w:val="00006F88"/>
    <w:rsid w:val="00007C7D"/>
    <w:rsid w:val="00016A14"/>
    <w:rsid w:val="0002330E"/>
    <w:rsid w:val="00024705"/>
    <w:rsid w:val="00027533"/>
    <w:rsid w:val="00030C68"/>
    <w:rsid w:val="00032217"/>
    <w:rsid w:val="0004382B"/>
    <w:rsid w:val="00043CC2"/>
    <w:rsid w:val="00044846"/>
    <w:rsid w:val="00050B53"/>
    <w:rsid w:val="00054E35"/>
    <w:rsid w:val="000568E0"/>
    <w:rsid w:val="000629EA"/>
    <w:rsid w:val="00062B6D"/>
    <w:rsid w:val="0006343D"/>
    <w:rsid w:val="00065A99"/>
    <w:rsid w:val="000702ED"/>
    <w:rsid w:val="00072CB9"/>
    <w:rsid w:val="00080F1D"/>
    <w:rsid w:val="000839E2"/>
    <w:rsid w:val="00085237"/>
    <w:rsid w:val="00091803"/>
    <w:rsid w:val="00093AF4"/>
    <w:rsid w:val="000949B8"/>
    <w:rsid w:val="000957AB"/>
    <w:rsid w:val="00096B17"/>
    <w:rsid w:val="000A2155"/>
    <w:rsid w:val="000B26E5"/>
    <w:rsid w:val="000B74BB"/>
    <w:rsid w:val="000C478C"/>
    <w:rsid w:val="000D3C23"/>
    <w:rsid w:val="000D508E"/>
    <w:rsid w:val="000D6063"/>
    <w:rsid w:val="000E0D2C"/>
    <w:rsid w:val="000E6D5B"/>
    <w:rsid w:val="000E752E"/>
    <w:rsid w:val="000F53B3"/>
    <w:rsid w:val="00100375"/>
    <w:rsid w:val="001004C4"/>
    <w:rsid w:val="0011415E"/>
    <w:rsid w:val="00115CEF"/>
    <w:rsid w:val="00130255"/>
    <w:rsid w:val="00146157"/>
    <w:rsid w:val="00153BB7"/>
    <w:rsid w:val="00154E34"/>
    <w:rsid w:val="00155A4E"/>
    <w:rsid w:val="00165BDA"/>
    <w:rsid w:val="00172CE8"/>
    <w:rsid w:val="00175885"/>
    <w:rsid w:val="0017625C"/>
    <w:rsid w:val="00177262"/>
    <w:rsid w:val="0018072A"/>
    <w:rsid w:val="0018770B"/>
    <w:rsid w:val="001975E2"/>
    <w:rsid w:val="001A0D5E"/>
    <w:rsid w:val="001B0066"/>
    <w:rsid w:val="001B0B35"/>
    <w:rsid w:val="001B1998"/>
    <w:rsid w:val="001C4C65"/>
    <w:rsid w:val="001E03E1"/>
    <w:rsid w:val="001E0923"/>
    <w:rsid w:val="001E6848"/>
    <w:rsid w:val="001E6FCD"/>
    <w:rsid w:val="001F74CD"/>
    <w:rsid w:val="001F7934"/>
    <w:rsid w:val="0020198D"/>
    <w:rsid w:val="00203688"/>
    <w:rsid w:val="0020475E"/>
    <w:rsid w:val="002072B5"/>
    <w:rsid w:val="00210864"/>
    <w:rsid w:val="002111ED"/>
    <w:rsid w:val="0022343A"/>
    <w:rsid w:val="002245C3"/>
    <w:rsid w:val="00225039"/>
    <w:rsid w:val="0022674C"/>
    <w:rsid w:val="0022694B"/>
    <w:rsid w:val="00230652"/>
    <w:rsid w:val="002356C1"/>
    <w:rsid w:val="00235C0B"/>
    <w:rsid w:val="0023625E"/>
    <w:rsid w:val="00242C1B"/>
    <w:rsid w:val="0024377F"/>
    <w:rsid w:val="00246641"/>
    <w:rsid w:val="00251AA5"/>
    <w:rsid w:val="002535EF"/>
    <w:rsid w:val="00254FA8"/>
    <w:rsid w:val="00256E97"/>
    <w:rsid w:val="00266FCE"/>
    <w:rsid w:val="002679E9"/>
    <w:rsid w:val="00280954"/>
    <w:rsid w:val="00292E08"/>
    <w:rsid w:val="0029665C"/>
    <w:rsid w:val="002A53BD"/>
    <w:rsid w:val="002B2174"/>
    <w:rsid w:val="002B79EC"/>
    <w:rsid w:val="002C0826"/>
    <w:rsid w:val="002C3DF1"/>
    <w:rsid w:val="002C3DFE"/>
    <w:rsid w:val="002C55DA"/>
    <w:rsid w:val="002D154A"/>
    <w:rsid w:val="002D54BA"/>
    <w:rsid w:val="002D7552"/>
    <w:rsid w:val="002D7B08"/>
    <w:rsid w:val="002E4FD1"/>
    <w:rsid w:val="002E5E86"/>
    <w:rsid w:val="002E6FB0"/>
    <w:rsid w:val="002F143F"/>
    <w:rsid w:val="00312238"/>
    <w:rsid w:val="00312BAC"/>
    <w:rsid w:val="003157B6"/>
    <w:rsid w:val="003267EA"/>
    <w:rsid w:val="00330845"/>
    <w:rsid w:val="00343453"/>
    <w:rsid w:val="00347365"/>
    <w:rsid w:val="00353457"/>
    <w:rsid w:val="00356DAE"/>
    <w:rsid w:val="00373646"/>
    <w:rsid w:val="00373683"/>
    <w:rsid w:val="00375D0A"/>
    <w:rsid w:val="00380FCF"/>
    <w:rsid w:val="00381203"/>
    <w:rsid w:val="003846CC"/>
    <w:rsid w:val="00385E94"/>
    <w:rsid w:val="0039609A"/>
    <w:rsid w:val="003A1580"/>
    <w:rsid w:val="003A3917"/>
    <w:rsid w:val="003B322A"/>
    <w:rsid w:val="003C43A6"/>
    <w:rsid w:val="003C600F"/>
    <w:rsid w:val="003C61EA"/>
    <w:rsid w:val="003D1414"/>
    <w:rsid w:val="003D2FCF"/>
    <w:rsid w:val="003D30D1"/>
    <w:rsid w:val="003D60B5"/>
    <w:rsid w:val="003D633A"/>
    <w:rsid w:val="003E04BC"/>
    <w:rsid w:val="003E0EA4"/>
    <w:rsid w:val="003E2C8B"/>
    <w:rsid w:val="003E5F7A"/>
    <w:rsid w:val="003F3229"/>
    <w:rsid w:val="003F4B0E"/>
    <w:rsid w:val="003F5A22"/>
    <w:rsid w:val="003F74D9"/>
    <w:rsid w:val="00416DBD"/>
    <w:rsid w:val="00420A1C"/>
    <w:rsid w:val="00420A3A"/>
    <w:rsid w:val="00426A31"/>
    <w:rsid w:val="00427252"/>
    <w:rsid w:val="00427ED0"/>
    <w:rsid w:val="00440092"/>
    <w:rsid w:val="004408BF"/>
    <w:rsid w:val="00440BE0"/>
    <w:rsid w:val="00441E50"/>
    <w:rsid w:val="00443136"/>
    <w:rsid w:val="004472C5"/>
    <w:rsid w:val="004507AF"/>
    <w:rsid w:val="004575A1"/>
    <w:rsid w:val="004577A6"/>
    <w:rsid w:val="004709C9"/>
    <w:rsid w:val="00473549"/>
    <w:rsid w:val="004906D3"/>
    <w:rsid w:val="0049776C"/>
    <w:rsid w:val="004A2ECF"/>
    <w:rsid w:val="004A6F46"/>
    <w:rsid w:val="004B20AF"/>
    <w:rsid w:val="004C033C"/>
    <w:rsid w:val="004C7457"/>
    <w:rsid w:val="004C7C23"/>
    <w:rsid w:val="004D081B"/>
    <w:rsid w:val="004D0A92"/>
    <w:rsid w:val="004D52C4"/>
    <w:rsid w:val="004D57F1"/>
    <w:rsid w:val="004D745D"/>
    <w:rsid w:val="004E25CB"/>
    <w:rsid w:val="004E6C82"/>
    <w:rsid w:val="004E75B6"/>
    <w:rsid w:val="004F3B6C"/>
    <w:rsid w:val="005049C0"/>
    <w:rsid w:val="00512650"/>
    <w:rsid w:val="00512D61"/>
    <w:rsid w:val="00512F31"/>
    <w:rsid w:val="00517231"/>
    <w:rsid w:val="00520F2E"/>
    <w:rsid w:val="00523410"/>
    <w:rsid w:val="00534872"/>
    <w:rsid w:val="00543126"/>
    <w:rsid w:val="00543346"/>
    <w:rsid w:val="00545FC4"/>
    <w:rsid w:val="00554D18"/>
    <w:rsid w:val="00554EF7"/>
    <w:rsid w:val="00557130"/>
    <w:rsid w:val="005605E0"/>
    <w:rsid w:val="00561CDE"/>
    <w:rsid w:val="0056357C"/>
    <w:rsid w:val="00563F46"/>
    <w:rsid w:val="005640B6"/>
    <w:rsid w:val="0056516E"/>
    <w:rsid w:val="00571B88"/>
    <w:rsid w:val="005736AB"/>
    <w:rsid w:val="00590CE9"/>
    <w:rsid w:val="005919EB"/>
    <w:rsid w:val="005944FE"/>
    <w:rsid w:val="005A17E3"/>
    <w:rsid w:val="005A36D6"/>
    <w:rsid w:val="005A58FF"/>
    <w:rsid w:val="005B3D44"/>
    <w:rsid w:val="005B765E"/>
    <w:rsid w:val="005C721F"/>
    <w:rsid w:val="005D004F"/>
    <w:rsid w:val="005D7A8C"/>
    <w:rsid w:val="005E156A"/>
    <w:rsid w:val="005E222D"/>
    <w:rsid w:val="005E24DC"/>
    <w:rsid w:val="005E29FC"/>
    <w:rsid w:val="005E56C1"/>
    <w:rsid w:val="005F32A0"/>
    <w:rsid w:val="005F51B7"/>
    <w:rsid w:val="005F620C"/>
    <w:rsid w:val="005F6A2C"/>
    <w:rsid w:val="0061126C"/>
    <w:rsid w:val="0062000F"/>
    <w:rsid w:val="006213C8"/>
    <w:rsid w:val="006222EA"/>
    <w:rsid w:val="00622795"/>
    <w:rsid w:val="006236EB"/>
    <w:rsid w:val="00633A52"/>
    <w:rsid w:val="00633D90"/>
    <w:rsid w:val="00636E13"/>
    <w:rsid w:val="00640C93"/>
    <w:rsid w:val="00640CF3"/>
    <w:rsid w:val="00642CEE"/>
    <w:rsid w:val="006430F0"/>
    <w:rsid w:val="00644F82"/>
    <w:rsid w:val="00647196"/>
    <w:rsid w:val="00647EEC"/>
    <w:rsid w:val="00654BF3"/>
    <w:rsid w:val="0065567F"/>
    <w:rsid w:val="00655D55"/>
    <w:rsid w:val="00664CB9"/>
    <w:rsid w:val="0066691A"/>
    <w:rsid w:val="00667F1F"/>
    <w:rsid w:val="006723AC"/>
    <w:rsid w:val="00673500"/>
    <w:rsid w:val="00676C5C"/>
    <w:rsid w:val="00680493"/>
    <w:rsid w:val="00681BA4"/>
    <w:rsid w:val="00690BF8"/>
    <w:rsid w:val="006956CC"/>
    <w:rsid w:val="006A1E69"/>
    <w:rsid w:val="006A2AD0"/>
    <w:rsid w:val="006A3829"/>
    <w:rsid w:val="006A6171"/>
    <w:rsid w:val="006B1476"/>
    <w:rsid w:val="006B3DD1"/>
    <w:rsid w:val="006C5A0D"/>
    <w:rsid w:val="006C74ED"/>
    <w:rsid w:val="006D12F9"/>
    <w:rsid w:val="006D3A34"/>
    <w:rsid w:val="006D3FB0"/>
    <w:rsid w:val="006D538A"/>
    <w:rsid w:val="006E1224"/>
    <w:rsid w:val="006E27FC"/>
    <w:rsid w:val="006E58D9"/>
    <w:rsid w:val="006F11AC"/>
    <w:rsid w:val="006F5D16"/>
    <w:rsid w:val="00701AAB"/>
    <w:rsid w:val="00711171"/>
    <w:rsid w:val="007149EF"/>
    <w:rsid w:val="007229FB"/>
    <w:rsid w:val="00722A36"/>
    <w:rsid w:val="00724435"/>
    <w:rsid w:val="00730F63"/>
    <w:rsid w:val="007524F1"/>
    <w:rsid w:val="00752CDB"/>
    <w:rsid w:val="007555C4"/>
    <w:rsid w:val="00772599"/>
    <w:rsid w:val="00780665"/>
    <w:rsid w:val="00780A6C"/>
    <w:rsid w:val="00781724"/>
    <w:rsid w:val="00782238"/>
    <w:rsid w:val="007836C7"/>
    <w:rsid w:val="00787996"/>
    <w:rsid w:val="007A5D23"/>
    <w:rsid w:val="007A6BCE"/>
    <w:rsid w:val="007B1A77"/>
    <w:rsid w:val="007B4305"/>
    <w:rsid w:val="007C214B"/>
    <w:rsid w:val="007C49AE"/>
    <w:rsid w:val="007E65DC"/>
    <w:rsid w:val="007E6845"/>
    <w:rsid w:val="007E6E49"/>
    <w:rsid w:val="007F1C04"/>
    <w:rsid w:val="007F49CF"/>
    <w:rsid w:val="007F6B30"/>
    <w:rsid w:val="00800322"/>
    <w:rsid w:val="0080104F"/>
    <w:rsid w:val="008010FC"/>
    <w:rsid w:val="008013A7"/>
    <w:rsid w:val="00803D79"/>
    <w:rsid w:val="008113D2"/>
    <w:rsid w:val="00816989"/>
    <w:rsid w:val="00820A89"/>
    <w:rsid w:val="0082394D"/>
    <w:rsid w:val="00823B60"/>
    <w:rsid w:val="00834A8F"/>
    <w:rsid w:val="00835A8C"/>
    <w:rsid w:val="008404F6"/>
    <w:rsid w:val="00843E1F"/>
    <w:rsid w:val="00843F4E"/>
    <w:rsid w:val="0084693C"/>
    <w:rsid w:val="008503F3"/>
    <w:rsid w:val="00850A1F"/>
    <w:rsid w:val="008513AE"/>
    <w:rsid w:val="00851672"/>
    <w:rsid w:val="00854046"/>
    <w:rsid w:val="008545EE"/>
    <w:rsid w:val="00854D22"/>
    <w:rsid w:val="00861AE5"/>
    <w:rsid w:val="00861F00"/>
    <w:rsid w:val="00861F88"/>
    <w:rsid w:val="00867658"/>
    <w:rsid w:val="00875422"/>
    <w:rsid w:val="008907BD"/>
    <w:rsid w:val="00891099"/>
    <w:rsid w:val="0089183C"/>
    <w:rsid w:val="008A148A"/>
    <w:rsid w:val="008A5119"/>
    <w:rsid w:val="008A6787"/>
    <w:rsid w:val="008B2974"/>
    <w:rsid w:val="008B46B7"/>
    <w:rsid w:val="008C3F69"/>
    <w:rsid w:val="008C4266"/>
    <w:rsid w:val="008C6372"/>
    <w:rsid w:val="008C7BFA"/>
    <w:rsid w:val="008D4A18"/>
    <w:rsid w:val="008D5322"/>
    <w:rsid w:val="008E1F46"/>
    <w:rsid w:val="008E25F3"/>
    <w:rsid w:val="008E43D4"/>
    <w:rsid w:val="008F0CFC"/>
    <w:rsid w:val="008F1B32"/>
    <w:rsid w:val="008F346D"/>
    <w:rsid w:val="008F4034"/>
    <w:rsid w:val="008F6827"/>
    <w:rsid w:val="00903BF3"/>
    <w:rsid w:val="00904C79"/>
    <w:rsid w:val="00905EE1"/>
    <w:rsid w:val="0091148C"/>
    <w:rsid w:val="0091780F"/>
    <w:rsid w:val="00924276"/>
    <w:rsid w:val="009252CB"/>
    <w:rsid w:val="00930785"/>
    <w:rsid w:val="00930F31"/>
    <w:rsid w:val="0094783C"/>
    <w:rsid w:val="00950558"/>
    <w:rsid w:val="00952BF3"/>
    <w:rsid w:val="0095367F"/>
    <w:rsid w:val="00964D67"/>
    <w:rsid w:val="00966BFC"/>
    <w:rsid w:val="00967BF2"/>
    <w:rsid w:val="0098299E"/>
    <w:rsid w:val="00987441"/>
    <w:rsid w:val="009908D9"/>
    <w:rsid w:val="00991588"/>
    <w:rsid w:val="00994B0F"/>
    <w:rsid w:val="009A3EE1"/>
    <w:rsid w:val="009B0361"/>
    <w:rsid w:val="009B2920"/>
    <w:rsid w:val="009B5BAE"/>
    <w:rsid w:val="009C0370"/>
    <w:rsid w:val="009C15FB"/>
    <w:rsid w:val="009C4EF5"/>
    <w:rsid w:val="009C658E"/>
    <w:rsid w:val="009D1254"/>
    <w:rsid w:val="009D2F54"/>
    <w:rsid w:val="009D4111"/>
    <w:rsid w:val="009D6E44"/>
    <w:rsid w:val="009E0430"/>
    <w:rsid w:val="009E20FF"/>
    <w:rsid w:val="009F007D"/>
    <w:rsid w:val="009F1515"/>
    <w:rsid w:val="00A1194C"/>
    <w:rsid w:val="00A11E41"/>
    <w:rsid w:val="00A16A2F"/>
    <w:rsid w:val="00A20107"/>
    <w:rsid w:val="00A23D11"/>
    <w:rsid w:val="00A256B1"/>
    <w:rsid w:val="00A25E01"/>
    <w:rsid w:val="00A3330F"/>
    <w:rsid w:val="00A37C26"/>
    <w:rsid w:val="00A45C82"/>
    <w:rsid w:val="00A45E3C"/>
    <w:rsid w:val="00A50483"/>
    <w:rsid w:val="00A520E4"/>
    <w:rsid w:val="00A62FF2"/>
    <w:rsid w:val="00A6314D"/>
    <w:rsid w:val="00A6442E"/>
    <w:rsid w:val="00A662DB"/>
    <w:rsid w:val="00A671FA"/>
    <w:rsid w:val="00A72FF3"/>
    <w:rsid w:val="00A73375"/>
    <w:rsid w:val="00A74D18"/>
    <w:rsid w:val="00A800B3"/>
    <w:rsid w:val="00A81BD3"/>
    <w:rsid w:val="00A84E0D"/>
    <w:rsid w:val="00A85A33"/>
    <w:rsid w:val="00A87C85"/>
    <w:rsid w:val="00A93CEE"/>
    <w:rsid w:val="00AA487F"/>
    <w:rsid w:val="00AA62B4"/>
    <w:rsid w:val="00AB2B34"/>
    <w:rsid w:val="00AB6998"/>
    <w:rsid w:val="00AC5002"/>
    <w:rsid w:val="00AD0249"/>
    <w:rsid w:val="00AD3E6F"/>
    <w:rsid w:val="00AD5ED1"/>
    <w:rsid w:val="00AE20B2"/>
    <w:rsid w:val="00AE4E24"/>
    <w:rsid w:val="00AE624F"/>
    <w:rsid w:val="00AE7E67"/>
    <w:rsid w:val="00AF02B6"/>
    <w:rsid w:val="00AF356B"/>
    <w:rsid w:val="00AF7151"/>
    <w:rsid w:val="00B0465F"/>
    <w:rsid w:val="00B111A6"/>
    <w:rsid w:val="00B175AC"/>
    <w:rsid w:val="00B1762B"/>
    <w:rsid w:val="00B25FF0"/>
    <w:rsid w:val="00B3271C"/>
    <w:rsid w:val="00B33B16"/>
    <w:rsid w:val="00B34AC3"/>
    <w:rsid w:val="00B3594C"/>
    <w:rsid w:val="00B35F9B"/>
    <w:rsid w:val="00B36E47"/>
    <w:rsid w:val="00B412CB"/>
    <w:rsid w:val="00B44250"/>
    <w:rsid w:val="00B5083B"/>
    <w:rsid w:val="00B5142C"/>
    <w:rsid w:val="00B53803"/>
    <w:rsid w:val="00B53EF2"/>
    <w:rsid w:val="00B57A14"/>
    <w:rsid w:val="00B610D9"/>
    <w:rsid w:val="00B62D88"/>
    <w:rsid w:val="00B651B9"/>
    <w:rsid w:val="00B728D3"/>
    <w:rsid w:val="00B732E5"/>
    <w:rsid w:val="00B75862"/>
    <w:rsid w:val="00B76C07"/>
    <w:rsid w:val="00B822FE"/>
    <w:rsid w:val="00B8344E"/>
    <w:rsid w:val="00B92481"/>
    <w:rsid w:val="00BA298E"/>
    <w:rsid w:val="00BA3307"/>
    <w:rsid w:val="00BA395D"/>
    <w:rsid w:val="00BA5AAA"/>
    <w:rsid w:val="00BA5B7C"/>
    <w:rsid w:val="00BB0D00"/>
    <w:rsid w:val="00BC0875"/>
    <w:rsid w:val="00BC0F34"/>
    <w:rsid w:val="00BC5B03"/>
    <w:rsid w:val="00BC74E9"/>
    <w:rsid w:val="00BD0174"/>
    <w:rsid w:val="00BE1852"/>
    <w:rsid w:val="00BE1EF7"/>
    <w:rsid w:val="00BE2503"/>
    <w:rsid w:val="00BE3BAB"/>
    <w:rsid w:val="00C027D2"/>
    <w:rsid w:val="00C07793"/>
    <w:rsid w:val="00C112BE"/>
    <w:rsid w:val="00C11FD4"/>
    <w:rsid w:val="00C13F8C"/>
    <w:rsid w:val="00C20B88"/>
    <w:rsid w:val="00C223CD"/>
    <w:rsid w:val="00C225EA"/>
    <w:rsid w:val="00C226DE"/>
    <w:rsid w:val="00C23599"/>
    <w:rsid w:val="00C249DA"/>
    <w:rsid w:val="00C267EF"/>
    <w:rsid w:val="00C329C1"/>
    <w:rsid w:val="00C40F8E"/>
    <w:rsid w:val="00C50FFE"/>
    <w:rsid w:val="00C55A03"/>
    <w:rsid w:val="00C62C13"/>
    <w:rsid w:val="00C66428"/>
    <w:rsid w:val="00C7607C"/>
    <w:rsid w:val="00C76C96"/>
    <w:rsid w:val="00C77F78"/>
    <w:rsid w:val="00C80850"/>
    <w:rsid w:val="00C87AC5"/>
    <w:rsid w:val="00C9643D"/>
    <w:rsid w:val="00CA1A42"/>
    <w:rsid w:val="00CA225A"/>
    <w:rsid w:val="00CA493D"/>
    <w:rsid w:val="00CA5345"/>
    <w:rsid w:val="00CB668D"/>
    <w:rsid w:val="00CB74D6"/>
    <w:rsid w:val="00CB796F"/>
    <w:rsid w:val="00CC5044"/>
    <w:rsid w:val="00CD01D7"/>
    <w:rsid w:val="00CD0DE9"/>
    <w:rsid w:val="00CD441D"/>
    <w:rsid w:val="00CE0574"/>
    <w:rsid w:val="00CF1CCB"/>
    <w:rsid w:val="00CF4B5B"/>
    <w:rsid w:val="00CF7A27"/>
    <w:rsid w:val="00CF7ADC"/>
    <w:rsid w:val="00D01430"/>
    <w:rsid w:val="00D02A33"/>
    <w:rsid w:val="00D10B41"/>
    <w:rsid w:val="00D13D5A"/>
    <w:rsid w:val="00D1446B"/>
    <w:rsid w:val="00D14561"/>
    <w:rsid w:val="00D228FB"/>
    <w:rsid w:val="00D40F9E"/>
    <w:rsid w:val="00D44245"/>
    <w:rsid w:val="00D45DFB"/>
    <w:rsid w:val="00D575E2"/>
    <w:rsid w:val="00D61A79"/>
    <w:rsid w:val="00D62C15"/>
    <w:rsid w:val="00D7094B"/>
    <w:rsid w:val="00D800FF"/>
    <w:rsid w:val="00D80542"/>
    <w:rsid w:val="00DA0242"/>
    <w:rsid w:val="00DA4036"/>
    <w:rsid w:val="00DB56E6"/>
    <w:rsid w:val="00DB644A"/>
    <w:rsid w:val="00DB6B48"/>
    <w:rsid w:val="00DB6E23"/>
    <w:rsid w:val="00DB733A"/>
    <w:rsid w:val="00DC5EEE"/>
    <w:rsid w:val="00DC6BBF"/>
    <w:rsid w:val="00DD2350"/>
    <w:rsid w:val="00DD6756"/>
    <w:rsid w:val="00DE0B3A"/>
    <w:rsid w:val="00DE2740"/>
    <w:rsid w:val="00DE3114"/>
    <w:rsid w:val="00DF47C9"/>
    <w:rsid w:val="00DF6C9E"/>
    <w:rsid w:val="00E020A9"/>
    <w:rsid w:val="00E03112"/>
    <w:rsid w:val="00E16C90"/>
    <w:rsid w:val="00E20B64"/>
    <w:rsid w:val="00E2325E"/>
    <w:rsid w:val="00E25F91"/>
    <w:rsid w:val="00E26DB1"/>
    <w:rsid w:val="00E272E4"/>
    <w:rsid w:val="00E30BAF"/>
    <w:rsid w:val="00E33649"/>
    <w:rsid w:val="00E43006"/>
    <w:rsid w:val="00E47A19"/>
    <w:rsid w:val="00E47C09"/>
    <w:rsid w:val="00E51F4E"/>
    <w:rsid w:val="00E54653"/>
    <w:rsid w:val="00E5471B"/>
    <w:rsid w:val="00E55FB3"/>
    <w:rsid w:val="00E611E2"/>
    <w:rsid w:val="00E65AC0"/>
    <w:rsid w:val="00E6731F"/>
    <w:rsid w:val="00E7221C"/>
    <w:rsid w:val="00E86312"/>
    <w:rsid w:val="00E87ED9"/>
    <w:rsid w:val="00EA6FD6"/>
    <w:rsid w:val="00EB028E"/>
    <w:rsid w:val="00EB296F"/>
    <w:rsid w:val="00EB7346"/>
    <w:rsid w:val="00EC30D9"/>
    <w:rsid w:val="00EC6DC3"/>
    <w:rsid w:val="00ED03D7"/>
    <w:rsid w:val="00ED2446"/>
    <w:rsid w:val="00EE0C4C"/>
    <w:rsid w:val="00EE6D04"/>
    <w:rsid w:val="00EF0982"/>
    <w:rsid w:val="00EF6462"/>
    <w:rsid w:val="00F11391"/>
    <w:rsid w:val="00F120CC"/>
    <w:rsid w:val="00F140CC"/>
    <w:rsid w:val="00F15D33"/>
    <w:rsid w:val="00F2072A"/>
    <w:rsid w:val="00F213E2"/>
    <w:rsid w:val="00F2158D"/>
    <w:rsid w:val="00F26D3B"/>
    <w:rsid w:val="00F40DCE"/>
    <w:rsid w:val="00F42DBD"/>
    <w:rsid w:val="00F43F33"/>
    <w:rsid w:val="00F5139E"/>
    <w:rsid w:val="00F532DE"/>
    <w:rsid w:val="00F54960"/>
    <w:rsid w:val="00F55B19"/>
    <w:rsid w:val="00F57F90"/>
    <w:rsid w:val="00F62272"/>
    <w:rsid w:val="00F678F0"/>
    <w:rsid w:val="00F73FD2"/>
    <w:rsid w:val="00F76DF2"/>
    <w:rsid w:val="00F82469"/>
    <w:rsid w:val="00F85C4C"/>
    <w:rsid w:val="00F936B7"/>
    <w:rsid w:val="00F95A50"/>
    <w:rsid w:val="00FA6CBB"/>
    <w:rsid w:val="00FA7D06"/>
    <w:rsid w:val="00FC6436"/>
    <w:rsid w:val="00FD3877"/>
    <w:rsid w:val="00FD5132"/>
    <w:rsid w:val="00FD634B"/>
    <w:rsid w:val="00FD7C58"/>
    <w:rsid w:val="00FE6979"/>
    <w:rsid w:val="00FF13CB"/>
    <w:rsid w:val="00FF3D8A"/>
    <w:rsid w:val="00FF5751"/>
    <w:rsid w:val="00FF5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862"/>
    <w:pPr>
      <w:keepNext/>
      <w:keepLines/>
      <w:spacing w:before="240" w:after="0"/>
      <w:outlineLvl w:val="0"/>
    </w:pPr>
    <w:rPr>
      <w:rFonts w:asciiTheme="majorHAnsi" w:eastAsiaTheme="majorEastAsia" w:hAnsiTheme="majorHAnsi" w:cstheme="majorBidi"/>
      <w:color w:val="2E74B5" w:themeColor="accent1" w:themeShade="BF"/>
      <w:sz w:val="32"/>
      <w:szCs w:val="32"/>
      <w:lang w:eastAsia="zh-CN"/>
    </w:rPr>
  </w:style>
  <w:style w:type="paragraph" w:styleId="Heading2">
    <w:name w:val="heading 2"/>
    <w:basedOn w:val="Normal"/>
    <w:link w:val="Heading2Char"/>
    <w:uiPriority w:val="9"/>
    <w:qFormat/>
    <w:rsid w:val="003E2C8B"/>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unhideWhenUsed/>
    <w:qFormat/>
    <w:rsid w:val="00B76C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9158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8013A7"/>
    <w:pPr>
      <w:spacing w:after="200" w:line="240" w:lineRule="auto"/>
    </w:pPr>
    <w:rPr>
      <w:i/>
      <w:iCs/>
      <w:color w:val="44546A" w:themeColor="text2"/>
      <w:sz w:val="18"/>
      <w:szCs w:val="18"/>
    </w:rPr>
  </w:style>
  <w:style w:type="character" w:customStyle="1" w:styleId="apple-converted-space">
    <w:name w:val="apple-converted-space"/>
    <w:basedOn w:val="DefaultParagraphFont"/>
    <w:rsid w:val="00EB7346"/>
  </w:style>
  <w:style w:type="character" w:customStyle="1" w:styleId="Heading2Char">
    <w:name w:val="Heading 2 Char"/>
    <w:basedOn w:val="DefaultParagraphFont"/>
    <w:link w:val="Heading2"/>
    <w:uiPriority w:val="9"/>
    <w:rsid w:val="003E2C8B"/>
    <w:rPr>
      <w:rFonts w:ascii="Times New Roman" w:eastAsia="Times New Roman" w:hAnsi="Times New Roman" w:cs="Times New Roman"/>
      <w:b/>
      <w:bCs/>
      <w:sz w:val="36"/>
      <w:szCs w:val="36"/>
      <w:lang w:eastAsia="en-AU"/>
    </w:rPr>
  </w:style>
  <w:style w:type="character" w:styleId="Hyperlink">
    <w:name w:val="Hyperlink"/>
    <w:basedOn w:val="DefaultParagraphFont"/>
    <w:uiPriority w:val="99"/>
    <w:unhideWhenUsed/>
    <w:rsid w:val="003E2C8B"/>
    <w:rPr>
      <w:color w:val="0000FF"/>
      <w:u w:val="single"/>
    </w:rPr>
  </w:style>
  <w:style w:type="paragraph" w:styleId="ListParagraph">
    <w:name w:val="List Paragraph"/>
    <w:basedOn w:val="Normal"/>
    <w:uiPriority w:val="34"/>
    <w:qFormat/>
    <w:rsid w:val="005C721F"/>
    <w:pPr>
      <w:ind w:left="720"/>
      <w:contextualSpacing/>
    </w:pPr>
  </w:style>
  <w:style w:type="paragraph" w:styleId="BalloonText">
    <w:name w:val="Balloon Text"/>
    <w:basedOn w:val="Normal"/>
    <w:link w:val="BalloonTextChar"/>
    <w:uiPriority w:val="99"/>
    <w:semiHidden/>
    <w:unhideWhenUsed/>
    <w:rsid w:val="00B75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862"/>
    <w:rPr>
      <w:rFonts w:ascii="Segoe UI" w:hAnsi="Segoe UI" w:cs="Segoe UI"/>
      <w:sz w:val="18"/>
      <w:szCs w:val="18"/>
    </w:rPr>
  </w:style>
  <w:style w:type="character" w:customStyle="1" w:styleId="Heading1Char">
    <w:name w:val="Heading 1 Char"/>
    <w:basedOn w:val="DefaultParagraphFont"/>
    <w:link w:val="Heading1"/>
    <w:uiPriority w:val="9"/>
    <w:rsid w:val="00B75862"/>
    <w:rPr>
      <w:rFonts w:asciiTheme="majorHAnsi" w:eastAsiaTheme="majorEastAsia" w:hAnsiTheme="majorHAnsi" w:cstheme="majorBidi"/>
      <w:color w:val="2E74B5" w:themeColor="accent1" w:themeShade="BF"/>
      <w:sz w:val="32"/>
      <w:szCs w:val="32"/>
      <w:lang w:eastAsia="zh-CN"/>
    </w:rPr>
  </w:style>
  <w:style w:type="paragraph" w:styleId="NoSpacing">
    <w:name w:val="No Spacing"/>
    <w:link w:val="NoSpacingChar"/>
    <w:uiPriority w:val="1"/>
    <w:qFormat/>
    <w:rsid w:val="00F55B1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5B19"/>
    <w:rPr>
      <w:rFonts w:eastAsiaTheme="minorEastAsia"/>
      <w:lang w:val="en-US"/>
    </w:rPr>
  </w:style>
  <w:style w:type="character" w:customStyle="1" w:styleId="Heading3Char">
    <w:name w:val="Heading 3 Char"/>
    <w:basedOn w:val="DefaultParagraphFont"/>
    <w:link w:val="Heading3"/>
    <w:uiPriority w:val="9"/>
    <w:rsid w:val="00B76C0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57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5A1"/>
  </w:style>
  <w:style w:type="paragraph" w:styleId="Footer">
    <w:name w:val="footer"/>
    <w:basedOn w:val="Normal"/>
    <w:link w:val="FooterChar"/>
    <w:uiPriority w:val="99"/>
    <w:unhideWhenUsed/>
    <w:rsid w:val="00457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5A1"/>
  </w:style>
  <w:style w:type="table" w:customStyle="1" w:styleId="TableGrid1">
    <w:name w:val="Table Grid1"/>
    <w:basedOn w:val="TableNormal"/>
    <w:next w:val="TableGrid"/>
    <w:uiPriority w:val="39"/>
    <w:rsid w:val="00155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4BF3"/>
    <w:pPr>
      <w:outlineLvl w:val="9"/>
    </w:pPr>
    <w:rPr>
      <w:lang w:val="en-US" w:eastAsia="en-US"/>
    </w:rPr>
  </w:style>
  <w:style w:type="paragraph" w:styleId="TOC1">
    <w:name w:val="toc 1"/>
    <w:basedOn w:val="Normal"/>
    <w:next w:val="Normal"/>
    <w:autoRedefine/>
    <w:uiPriority w:val="39"/>
    <w:unhideWhenUsed/>
    <w:rsid w:val="00654BF3"/>
    <w:pPr>
      <w:spacing w:after="100"/>
    </w:pPr>
  </w:style>
  <w:style w:type="paragraph" w:styleId="TOC2">
    <w:name w:val="toc 2"/>
    <w:basedOn w:val="Normal"/>
    <w:next w:val="Normal"/>
    <w:autoRedefine/>
    <w:uiPriority w:val="39"/>
    <w:unhideWhenUsed/>
    <w:rsid w:val="00654BF3"/>
    <w:pPr>
      <w:spacing w:after="100"/>
      <w:ind w:left="220"/>
    </w:pPr>
  </w:style>
  <w:style w:type="paragraph" w:styleId="TOC3">
    <w:name w:val="toc 3"/>
    <w:basedOn w:val="Normal"/>
    <w:next w:val="Normal"/>
    <w:autoRedefine/>
    <w:uiPriority w:val="39"/>
    <w:unhideWhenUsed/>
    <w:rsid w:val="00654BF3"/>
    <w:pPr>
      <w:spacing w:after="100"/>
      <w:ind w:left="440"/>
    </w:pPr>
  </w:style>
  <w:style w:type="character" w:customStyle="1" w:styleId="Heading4Char">
    <w:name w:val="Heading 4 Char"/>
    <w:basedOn w:val="DefaultParagraphFont"/>
    <w:link w:val="Heading4"/>
    <w:uiPriority w:val="9"/>
    <w:rsid w:val="0099158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E6E49"/>
    <w:rPr>
      <w:sz w:val="16"/>
      <w:szCs w:val="16"/>
    </w:rPr>
  </w:style>
  <w:style w:type="paragraph" w:styleId="CommentText">
    <w:name w:val="annotation text"/>
    <w:basedOn w:val="Normal"/>
    <w:link w:val="CommentTextChar"/>
    <w:uiPriority w:val="99"/>
    <w:semiHidden/>
    <w:unhideWhenUsed/>
    <w:rsid w:val="007E6E49"/>
    <w:pPr>
      <w:spacing w:line="240" w:lineRule="auto"/>
    </w:pPr>
    <w:rPr>
      <w:sz w:val="20"/>
      <w:szCs w:val="20"/>
    </w:rPr>
  </w:style>
  <w:style w:type="character" w:customStyle="1" w:styleId="CommentTextChar">
    <w:name w:val="Comment Text Char"/>
    <w:basedOn w:val="DefaultParagraphFont"/>
    <w:link w:val="CommentText"/>
    <w:uiPriority w:val="99"/>
    <w:semiHidden/>
    <w:rsid w:val="007E6E49"/>
    <w:rPr>
      <w:sz w:val="20"/>
      <w:szCs w:val="20"/>
    </w:rPr>
  </w:style>
  <w:style w:type="paragraph" w:styleId="CommentSubject">
    <w:name w:val="annotation subject"/>
    <w:basedOn w:val="CommentText"/>
    <w:next w:val="CommentText"/>
    <w:link w:val="CommentSubjectChar"/>
    <w:uiPriority w:val="99"/>
    <w:semiHidden/>
    <w:unhideWhenUsed/>
    <w:rsid w:val="007E6E49"/>
    <w:rPr>
      <w:b/>
      <w:bCs/>
    </w:rPr>
  </w:style>
  <w:style w:type="character" w:customStyle="1" w:styleId="CommentSubjectChar">
    <w:name w:val="Comment Subject Char"/>
    <w:basedOn w:val="CommentTextChar"/>
    <w:link w:val="CommentSubject"/>
    <w:uiPriority w:val="99"/>
    <w:semiHidden/>
    <w:rsid w:val="007E6E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5862"/>
    <w:pPr>
      <w:keepNext/>
      <w:keepLines/>
      <w:spacing w:before="240" w:after="0"/>
      <w:outlineLvl w:val="0"/>
    </w:pPr>
    <w:rPr>
      <w:rFonts w:asciiTheme="majorHAnsi" w:eastAsiaTheme="majorEastAsia" w:hAnsiTheme="majorHAnsi" w:cstheme="majorBidi"/>
      <w:color w:val="2E74B5" w:themeColor="accent1" w:themeShade="BF"/>
      <w:sz w:val="32"/>
      <w:szCs w:val="32"/>
      <w:lang w:eastAsia="zh-CN"/>
    </w:rPr>
  </w:style>
  <w:style w:type="paragraph" w:styleId="Heading2">
    <w:name w:val="heading 2"/>
    <w:basedOn w:val="Normal"/>
    <w:link w:val="Heading2Char"/>
    <w:uiPriority w:val="9"/>
    <w:qFormat/>
    <w:rsid w:val="003E2C8B"/>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unhideWhenUsed/>
    <w:qFormat/>
    <w:rsid w:val="00B76C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9158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8013A7"/>
    <w:pPr>
      <w:spacing w:after="200" w:line="240" w:lineRule="auto"/>
    </w:pPr>
    <w:rPr>
      <w:i/>
      <w:iCs/>
      <w:color w:val="44546A" w:themeColor="text2"/>
      <w:sz w:val="18"/>
      <w:szCs w:val="18"/>
    </w:rPr>
  </w:style>
  <w:style w:type="character" w:customStyle="1" w:styleId="apple-converted-space">
    <w:name w:val="apple-converted-space"/>
    <w:basedOn w:val="DefaultParagraphFont"/>
    <w:rsid w:val="00EB7346"/>
  </w:style>
  <w:style w:type="character" w:customStyle="1" w:styleId="Heading2Char">
    <w:name w:val="Heading 2 Char"/>
    <w:basedOn w:val="DefaultParagraphFont"/>
    <w:link w:val="Heading2"/>
    <w:uiPriority w:val="9"/>
    <w:rsid w:val="003E2C8B"/>
    <w:rPr>
      <w:rFonts w:ascii="Times New Roman" w:eastAsia="Times New Roman" w:hAnsi="Times New Roman" w:cs="Times New Roman"/>
      <w:b/>
      <w:bCs/>
      <w:sz w:val="36"/>
      <w:szCs w:val="36"/>
      <w:lang w:eastAsia="en-AU"/>
    </w:rPr>
  </w:style>
  <w:style w:type="character" w:styleId="Hyperlink">
    <w:name w:val="Hyperlink"/>
    <w:basedOn w:val="DefaultParagraphFont"/>
    <w:uiPriority w:val="99"/>
    <w:unhideWhenUsed/>
    <w:rsid w:val="003E2C8B"/>
    <w:rPr>
      <w:color w:val="0000FF"/>
      <w:u w:val="single"/>
    </w:rPr>
  </w:style>
  <w:style w:type="paragraph" w:styleId="ListParagraph">
    <w:name w:val="List Paragraph"/>
    <w:basedOn w:val="Normal"/>
    <w:uiPriority w:val="34"/>
    <w:qFormat/>
    <w:rsid w:val="005C721F"/>
    <w:pPr>
      <w:ind w:left="720"/>
      <w:contextualSpacing/>
    </w:pPr>
  </w:style>
  <w:style w:type="paragraph" w:styleId="BalloonText">
    <w:name w:val="Balloon Text"/>
    <w:basedOn w:val="Normal"/>
    <w:link w:val="BalloonTextChar"/>
    <w:uiPriority w:val="99"/>
    <w:semiHidden/>
    <w:unhideWhenUsed/>
    <w:rsid w:val="00B75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862"/>
    <w:rPr>
      <w:rFonts w:ascii="Segoe UI" w:hAnsi="Segoe UI" w:cs="Segoe UI"/>
      <w:sz w:val="18"/>
      <w:szCs w:val="18"/>
    </w:rPr>
  </w:style>
  <w:style w:type="character" w:customStyle="1" w:styleId="Heading1Char">
    <w:name w:val="Heading 1 Char"/>
    <w:basedOn w:val="DefaultParagraphFont"/>
    <w:link w:val="Heading1"/>
    <w:uiPriority w:val="9"/>
    <w:rsid w:val="00B75862"/>
    <w:rPr>
      <w:rFonts w:asciiTheme="majorHAnsi" w:eastAsiaTheme="majorEastAsia" w:hAnsiTheme="majorHAnsi" w:cstheme="majorBidi"/>
      <w:color w:val="2E74B5" w:themeColor="accent1" w:themeShade="BF"/>
      <w:sz w:val="32"/>
      <w:szCs w:val="32"/>
      <w:lang w:eastAsia="zh-CN"/>
    </w:rPr>
  </w:style>
  <w:style w:type="paragraph" w:styleId="NoSpacing">
    <w:name w:val="No Spacing"/>
    <w:link w:val="NoSpacingChar"/>
    <w:uiPriority w:val="1"/>
    <w:qFormat/>
    <w:rsid w:val="00F55B1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5B19"/>
    <w:rPr>
      <w:rFonts w:eastAsiaTheme="minorEastAsia"/>
      <w:lang w:val="en-US"/>
    </w:rPr>
  </w:style>
  <w:style w:type="character" w:customStyle="1" w:styleId="Heading3Char">
    <w:name w:val="Heading 3 Char"/>
    <w:basedOn w:val="DefaultParagraphFont"/>
    <w:link w:val="Heading3"/>
    <w:uiPriority w:val="9"/>
    <w:rsid w:val="00B76C07"/>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57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5A1"/>
  </w:style>
  <w:style w:type="paragraph" w:styleId="Footer">
    <w:name w:val="footer"/>
    <w:basedOn w:val="Normal"/>
    <w:link w:val="FooterChar"/>
    <w:uiPriority w:val="99"/>
    <w:unhideWhenUsed/>
    <w:rsid w:val="00457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5A1"/>
  </w:style>
  <w:style w:type="table" w:customStyle="1" w:styleId="TableGrid1">
    <w:name w:val="Table Grid1"/>
    <w:basedOn w:val="TableNormal"/>
    <w:next w:val="TableGrid"/>
    <w:uiPriority w:val="39"/>
    <w:rsid w:val="00155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4BF3"/>
    <w:pPr>
      <w:outlineLvl w:val="9"/>
    </w:pPr>
    <w:rPr>
      <w:lang w:val="en-US" w:eastAsia="en-US"/>
    </w:rPr>
  </w:style>
  <w:style w:type="paragraph" w:styleId="TOC1">
    <w:name w:val="toc 1"/>
    <w:basedOn w:val="Normal"/>
    <w:next w:val="Normal"/>
    <w:autoRedefine/>
    <w:uiPriority w:val="39"/>
    <w:unhideWhenUsed/>
    <w:rsid w:val="00654BF3"/>
    <w:pPr>
      <w:spacing w:after="100"/>
    </w:pPr>
  </w:style>
  <w:style w:type="paragraph" w:styleId="TOC2">
    <w:name w:val="toc 2"/>
    <w:basedOn w:val="Normal"/>
    <w:next w:val="Normal"/>
    <w:autoRedefine/>
    <w:uiPriority w:val="39"/>
    <w:unhideWhenUsed/>
    <w:rsid w:val="00654BF3"/>
    <w:pPr>
      <w:spacing w:after="100"/>
      <w:ind w:left="220"/>
    </w:pPr>
  </w:style>
  <w:style w:type="paragraph" w:styleId="TOC3">
    <w:name w:val="toc 3"/>
    <w:basedOn w:val="Normal"/>
    <w:next w:val="Normal"/>
    <w:autoRedefine/>
    <w:uiPriority w:val="39"/>
    <w:unhideWhenUsed/>
    <w:rsid w:val="00654BF3"/>
    <w:pPr>
      <w:spacing w:after="100"/>
      <w:ind w:left="440"/>
    </w:pPr>
  </w:style>
  <w:style w:type="character" w:customStyle="1" w:styleId="Heading4Char">
    <w:name w:val="Heading 4 Char"/>
    <w:basedOn w:val="DefaultParagraphFont"/>
    <w:link w:val="Heading4"/>
    <w:uiPriority w:val="9"/>
    <w:rsid w:val="0099158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E6E49"/>
    <w:rPr>
      <w:sz w:val="16"/>
      <w:szCs w:val="16"/>
    </w:rPr>
  </w:style>
  <w:style w:type="paragraph" w:styleId="CommentText">
    <w:name w:val="annotation text"/>
    <w:basedOn w:val="Normal"/>
    <w:link w:val="CommentTextChar"/>
    <w:uiPriority w:val="99"/>
    <w:semiHidden/>
    <w:unhideWhenUsed/>
    <w:rsid w:val="007E6E49"/>
    <w:pPr>
      <w:spacing w:line="240" w:lineRule="auto"/>
    </w:pPr>
    <w:rPr>
      <w:sz w:val="20"/>
      <w:szCs w:val="20"/>
    </w:rPr>
  </w:style>
  <w:style w:type="character" w:customStyle="1" w:styleId="CommentTextChar">
    <w:name w:val="Comment Text Char"/>
    <w:basedOn w:val="DefaultParagraphFont"/>
    <w:link w:val="CommentText"/>
    <w:uiPriority w:val="99"/>
    <w:semiHidden/>
    <w:rsid w:val="007E6E49"/>
    <w:rPr>
      <w:sz w:val="20"/>
      <w:szCs w:val="20"/>
    </w:rPr>
  </w:style>
  <w:style w:type="paragraph" w:styleId="CommentSubject">
    <w:name w:val="annotation subject"/>
    <w:basedOn w:val="CommentText"/>
    <w:next w:val="CommentText"/>
    <w:link w:val="CommentSubjectChar"/>
    <w:uiPriority w:val="99"/>
    <w:semiHidden/>
    <w:unhideWhenUsed/>
    <w:rsid w:val="007E6E49"/>
    <w:rPr>
      <w:b/>
      <w:bCs/>
    </w:rPr>
  </w:style>
  <w:style w:type="character" w:customStyle="1" w:styleId="CommentSubjectChar">
    <w:name w:val="Comment Subject Char"/>
    <w:basedOn w:val="CommentTextChar"/>
    <w:link w:val="CommentSubject"/>
    <w:uiPriority w:val="99"/>
    <w:semiHidden/>
    <w:rsid w:val="007E6E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246">
      <w:bodyDiv w:val="1"/>
      <w:marLeft w:val="0"/>
      <w:marRight w:val="0"/>
      <w:marTop w:val="0"/>
      <w:marBottom w:val="0"/>
      <w:divBdr>
        <w:top w:val="none" w:sz="0" w:space="0" w:color="auto"/>
        <w:left w:val="none" w:sz="0" w:space="0" w:color="auto"/>
        <w:bottom w:val="none" w:sz="0" w:space="0" w:color="auto"/>
        <w:right w:val="none" w:sz="0" w:space="0" w:color="auto"/>
      </w:divBdr>
    </w:div>
    <w:div w:id="674037844">
      <w:bodyDiv w:val="1"/>
      <w:marLeft w:val="0"/>
      <w:marRight w:val="0"/>
      <w:marTop w:val="0"/>
      <w:marBottom w:val="0"/>
      <w:divBdr>
        <w:top w:val="none" w:sz="0" w:space="0" w:color="auto"/>
        <w:left w:val="none" w:sz="0" w:space="0" w:color="auto"/>
        <w:bottom w:val="none" w:sz="0" w:space="0" w:color="auto"/>
        <w:right w:val="none" w:sz="0" w:space="0" w:color="auto"/>
      </w:divBdr>
    </w:div>
    <w:div w:id="17920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ardiosource.org/science-and-quality/"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ice.org/uk/guidance/cg6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ce.org.uk/guidance/ta94?unlid=12172069920161211789"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nice.org.uk/guidance/CG67" TargetMode="External"/><Relationship Id="rId23" Type="http://schemas.openxmlformats.org/officeDocument/2006/relationships/image" Target="media/image8.png"/><Relationship Id="rId10" Type="http://schemas.openxmlformats.org/officeDocument/2006/relationships/image" Target="media/image10.png"/><Relationship Id="rId19" Type="http://schemas.openxmlformats.org/officeDocument/2006/relationships/hyperlink" Target="http://www.csanz.edu.au/wp-content/uploads/2013/1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EAF97-6266-42F6-B91F-F3D960CF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18747</Words>
  <Characters>106860</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EZETIMIBE REVIEW</vt:lpstr>
    </vt:vector>
  </TitlesOfParts>
  <LinksUpToDate>false</LinksUpToDate>
  <CharactersWithSpaces>125357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2016-12-21T00:02:00Z</cp:lastPrinted>
  <dcterms:created xsi:type="dcterms:W3CDTF">2017-12-08T02:25:00Z</dcterms:created>
  <dcterms:modified xsi:type="dcterms:W3CDTF">2017-12-08T02:25:00Z</dcterms:modified>
</cp:coreProperties>
</file>