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077D" w:rsidRPr="00A53E3C" w:rsidRDefault="0025077D" w:rsidP="00492694"/>
    <w:p w:rsidR="0025077D" w:rsidRPr="00A53E3C" w:rsidRDefault="0025077D" w:rsidP="00492694"/>
    <w:p w:rsidR="0025077D" w:rsidRPr="00A53E3C" w:rsidRDefault="0025077D" w:rsidP="00492694"/>
    <w:p w:rsidR="0025077D" w:rsidRPr="00A53E3C" w:rsidRDefault="0025077D" w:rsidP="00492694"/>
    <w:p w:rsidR="0025077D" w:rsidRPr="00A53E3C" w:rsidRDefault="0025077D" w:rsidP="00492694"/>
    <w:p w:rsidR="0025077D" w:rsidRPr="00A53E3C" w:rsidRDefault="0025077D" w:rsidP="00492694"/>
    <w:p w:rsidR="0025077D" w:rsidRPr="00A53E3C" w:rsidRDefault="0025077D" w:rsidP="00492694"/>
    <w:p w:rsidR="0025077D" w:rsidRPr="0086636B" w:rsidRDefault="00785D53" w:rsidP="0086636B">
      <w:pPr>
        <w:jc w:val="center"/>
        <w:rPr>
          <w:b/>
          <w:sz w:val="36"/>
          <w:szCs w:val="36"/>
        </w:rPr>
      </w:pPr>
      <w:r w:rsidRPr="0086636B">
        <w:rPr>
          <w:b/>
          <w:sz w:val="36"/>
          <w:szCs w:val="36"/>
        </w:rPr>
        <w:t>Post-</w:t>
      </w:r>
      <w:r w:rsidR="009212D4" w:rsidRPr="0086636B">
        <w:rPr>
          <w:b/>
          <w:sz w:val="36"/>
          <w:szCs w:val="36"/>
        </w:rPr>
        <w:t>Market Review</w:t>
      </w:r>
      <w:bookmarkStart w:id="0" w:name="_Toc340849017"/>
      <w:bookmarkStart w:id="1" w:name="_Toc340852083"/>
      <w:bookmarkStart w:id="2" w:name="_Toc340852150"/>
      <w:bookmarkStart w:id="3" w:name="_Toc341175222"/>
      <w:bookmarkStart w:id="4" w:name="_Toc341180113"/>
      <w:bookmarkStart w:id="5" w:name="_Toc341718009"/>
      <w:bookmarkStart w:id="6" w:name="_Toc341946997"/>
      <w:bookmarkStart w:id="7" w:name="_Toc341964939"/>
      <w:bookmarkStart w:id="8" w:name="_Toc342478567"/>
      <w:bookmarkStart w:id="9" w:name="_Toc342558103"/>
      <w:bookmarkStart w:id="10" w:name="_Toc352058510"/>
      <w:bookmarkStart w:id="11" w:name="_Toc352682554"/>
      <w:bookmarkStart w:id="12" w:name="_Toc352682629"/>
      <w:bookmarkStart w:id="13" w:name="_Toc352682705"/>
      <w:bookmarkStart w:id="14" w:name="_Toc352852689"/>
      <w:bookmarkStart w:id="15" w:name="_Toc352852764"/>
      <w:bookmarkStart w:id="16" w:name="_Toc352852839"/>
      <w:bookmarkStart w:id="17" w:name="_Toc352853077"/>
      <w:bookmarkStart w:id="18" w:name="_Toc352853996"/>
      <w:bookmarkStart w:id="19" w:name="_Toc352854124"/>
      <w:bookmarkStart w:id="20" w:name="_Toc353363353"/>
      <w:bookmarkStart w:id="21" w:name="_Toc360716592"/>
      <w:bookmarkStart w:id="22" w:name="_Toc360716671"/>
      <w:bookmarkStart w:id="23" w:name="_Toc360716769"/>
      <w:bookmarkStart w:id="24" w:name="_Toc360716990"/>
      <w:bookmarkStart w:id="25" w:name="_Toc360717081"/>
      <w:bookmarkStart w:id="26" w:name="_Toc360717248"/>
      <w:bookmarkStart w:id="27" w:name="_Toc360717324"/>
      <w:bookmarkStart w:id="28" w:name="_Toc360717399"/>
      <w:bookmarkStart w:id="29" w:name="_Toc362017822"/>
      <w:bookmarkStart w:id="30" w:name="_Toc362437273"/>
      <w:bookmarkStart w:id="31" w:name="_Toc362523239"/>
      <w:bookmarkStart w:id="32" w:name="_Toc362528118"/>
      <w:bookmarkStart w:id="33" w:name="_Toc362539317"/>
      <w:bookmarkStart w:id="34" w:name="_Toc362539469"/>
      <w:bookmarkStart w:id="35" w:name="_Toc362599668"/>
      <w:bookmarkStart w:id="36" w:name="_Toc362865793"/>
      <w:bookmarkStart w:id="37" w:name="_Toc368409115"/>
      <w:bookmarkStart w:id="38" w:name="_Toc371519032"/>
      <w:bookmarkStart w:id="39" w:name="_Toc373916379"/>
      <w:r w:rsidR="00B07838" w:rsidRPr="0086636B">
        <w:rPr>
          <w:b/>
          <w:sz w:val="36"/>
          <w:szCs w:val="36"/>
        </w:rPr>
        <w:t xml:space="preserve"> of </w:t>
      </w:r>
      <w:r w:rsidR="0025077D" w:rsidRPr="0086636B">
        <w:rPr>
          <w:b/>
          <w:sz w:val="36"/>
          <w:szCs w:val="36"/>
        </w:rPr>
        <w:t xml:space="preserve">Products Used in the </w:t>
      </w:r>
      <w:r w:rsidR="00073EC7" w:rsidRPr="0086636B">
        <w:rPr>
          <w:b/>
          <w:sz w:val="36"/>
          <w:szCs w:val="36"/>
        </w:rPr>
        <w:t>Management</w:t>
      </w:r>
      <w:r w:rsidR="0025077D" w:rsidRPr="0086636B">
        <w:rPr>
          <w:b/>
          <w:sz w:val="36"/>
          <w:szCs w:val="36"/>
        </w:rPr>
        <w:t xml:space="preserve"> of Diabetes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p>
    <w:p w:rsidR="00E82A87" w:rsidRPr="0086636B" w:rsidRDefault="00E82A87" w:rsidP="0086636B">
      <w:pPr>
        <w:jc w:val="center"/>
        <w:rPr>
          <w:b/>
          <w:sz w:val="36"/>
          <w:szCs w:val="36"/>
        </w:rPr>
      </w:pPr>
    </w:p>
    <w:p w:rsidR="00E82A87" w:rsidRPr="0086636B" w:rsidRDefault="00E82A87" w:rsidP="0086636B">
      <w:pPr>
        <w:jc w:val="center"/>
        <w:rPr>
          <w:b/>
          <w:sz w:val="36"/>
          <w:szCs w:val="36"/>
        </w:rPr>
      </w:pPr>
      <w:bookmarkStart w:id="40" w:name="_Toc340849018"/>
      <w:bookmarkStart w:id="41" w:name="_Toc340852084"/>
      <w:bookmarkStart w:id="42" w:name="_Toc340852151"/>
      <w:bookmarkStart w:id="43" w:name="_Toc341175224"/>
      <w:bookmarkStart w:id="44" w:name="_Toc341180115"/>
      <w:bookmarkStart w:id="45" w:name="_Toc341718011"/>
      <w:bookmarkStart w:id="46" w:name="_Toc341946999"/>
      <w:bookmarkStart w:id="47" w:name="_Toc341964941"/>
      <w:bookmarkStart w:id="48" w:name="_Toc342478569"/>
      <w:bookmarkStart w:id="49" w:name="_Toc342558105"/>
      <w:bookmarkStart w:id="50" w:name="_Toc352058512"/>
      <w:bookmarkStart w:id="51" w:name="_Toc352682556"/>
      <w:bookmarkStart w:id="52" w:name="_Toc352682631"/>
      <w:bookmarkStart w:id="53" w:name="_Toc352682707"/>
      <w:bookmarkStart w:id="54" w:name="_Toc352852691"/>
      <w:bookmarkStart w:id="55" w:name="_Toc352852766"/>
      <w:bookmarkStart w:id="56" w:name="_Toc352852841"/>
      <w:bookmarkStart w:id="57" w:name="_Toc352853079"/>
      <w:bookmarkStart w:id="58" w:name="_Toc352853998"/>
      <w:bookmarkStart w:id="59" w:name="_Toc352854126"/>
      <w:bookmarkStart w:id="60" w:name="_Toc353363355"/>
      <w:bookmarkStart w:id="61" w:name="_Toc360716594"/>
      <w:bookmarkStart w:id="62" w:name="_Toc360716673"/>
      <w:bookmarkStart w:id="63" w:name="_Toc360716771"/>
      <w:bookmarkStart w:id="64" w:name="_Toc360716992"/>
      <w:bookmarkStart w:id="65" w:name="_Toc360717083"/>
      <w:bookmarkStart w:id="66" w:name="_Toc360717250"/>
      <w:bookmarkStart w:id="67" w:name="_Toc360717326"/>
      <w:bookmarkStart w:id="68" w:name="_Toc360717401"/>
      <w:bookmarkStart w:id="69" w:name="_Toc362017824"/>
      <w:bookmarkStart w:id="70" w:name="_Toc362437275"/>
      <w:bookmarkStart w:id="71" w:name="_Toc362523241"/>
      <w:bookmarkStart w:id="72" w:name="_Toc362528120"/>
      <w:bookmarkStart w:id="73" w:name="_Toc362539319"/>
      <w:bookmarkStart w:id="74" w:name="_Toc362539471"/>
      <w:bookmarkStart w:id="75" w:name="_Toc362599670"/>
      <w:bookmarkStart w:id="76" w:name="_Toc362865795"/>
      <w:bookmarkStart w:id="77" w:name="_Toc368409117"/>
      <w:bookmarkStart w:id="78" w:name="_Toc371519034"/>
      <w:bookmarkStart w:id="79" w:name="_Toc373916381"/>
      <w:r w:rsidRPr="0086636B">
        <w:rPr>
          <w:b/>
          <w:sz w:val="36"/>
          <w:szCs w:val="36"/>
        </w:rPr>
        <w:t>Part 3:</w:t>
      </w:r>
      <w:r w:rsidRPr="0086636B">
        <w:rPr>
          <w:b/>
          <w:sz w:val="36"/>
          <w:szCs w:val="36"/>
        </w:rPr>
        <w:tab/>
        <w:t xml:space="preserve"> </w:t>
      </w:r>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86636B">
        <w:rPr>
          <w:b/>
          <w:sz w:val="36"/>
          <w:szCs w:val="36"/>
        </w:rPr>
        <w:t>Type 2 Diabetes Medicines</w:t>
      </w:r>
    </w:p>
    <w:p w:rsidR="00E82A87" w:rsidRPr="0086636B" w:rsidRDefault="00E82A87" w:rsidP="0086636B">
      <w:pPr>
        <w:jc w:val="center"/>
        <w:rPr>
          <w:b/>
          <w:sz w:val="36"/>
          <w:szCs w:val="36"/>
        </w:rPr>
      </w:pPr>
    </w:p>
    <w:p w:rsidR="00E82A87" w:rsidRDefault="00E82A87" w:rsidP="0086636B">
      <w:pPr>
        <w:jc w:val="center"/>
        <w:rPr>
          <w:b/>
          <w:sz w:val="36"/>
          <w:szCs w:val="36"/>
        </w:rPr>
      </w:pPr>
    </w:p>
    <w:p w:rsidR="00C56CDF" w:rsidRDefault="00C56CDF" w:rsidP="0086636B">
      <w:pPr>
        <w:jc w:val="center"/>
        <w:rPr>
          <w:b/>
          <w:sz w:val="36"/>
          <w:szCs w:val="36"/>
        </w:rPr>
      </w:pPr>
    </w:p>
    <w:p w:rsidR="00C56CDF" w:rsidRPr="0086636B" w:rsidRDefault="00C56CDF" w:rsidP="0086636B">
      <w:pPr>
        <w:jc w:val="center"/>
        <w:rPr>
          <w:b/>
          <w:sz w:val="36"/>
          <w:szCs w:val="36"/>
        </w:rPr>
      </w:pPr>
    </w:p>
    <w:p w:rsidR="009212D4" w:rsidRDefault="0090659A" w:rsidP="0086636B">
      <w:pPr>
        <w:jc w:val="center"/>
        <w:rPr>
          <w:b/>
          <w:sz w:val="28"/>
          <w:szCs w:val="28"/>
        </w:rPr>
      </w:pPr>
      <w:bookmarkStart w:id="80" w:name="_Toc341175223"/>
      <w:bookmarkStart w:id="81" w:name="_Toc341180114"/>
      <w:bookmarkStart w:id="82" w:name="_Toc341718010"/>
      <w:bookmarkStart w:id="83" w:name="_Toc341946998"/>
      <w:bookmarkStart w:id="84" w:name="_Toc341964940"/>
      <w:bookmarkStart w:id="85" w:name="_Toc342478568"/>
      <w:bookmarkStart w:id="86" w:name="_Toc342558104"/>
      <w:bookmarkStart w:id="87" w:name="_Toc352058511"/>
      <w:bookmarkStart w:id="88" w:name="_Toc352682555"/>
      <w:bookmarkStart w:id="89" w:name="_Toc352682630"/>
      <w:bookmarkStart w:id="90" w:name="_Toc352682706"/>
      <w:bookmarkStart w:id="91" w:name="_Toc352852690"/>
      <w:bookmarkStart w:id="92" w:name="_Toc352852765"/>
      <w:bookmarkStart w:id="93" w:name="_Toc352852840"/>
      <w:bookmarkStart w:id="94" w:name="_Toc352853078"/>
      <w:bookmarkStart w:id="95" w:name="_Toc352853997"/>
      <w:bookmarkStart w:id="96" w:name="_Toc352854125"/>
      <w:bookmarkStart w:id="97" w:name="_Toc353363354"/>
      <w:bookmarkStart w:id="98" w:name="_Toc360716593"/>
      <w:bookmarkStart w:id="99" w:name="_Toc360716672"/>
      <w:bookmarkStart w:id="100" w:name="_Toc360716770"/>
      <w:bookmarkStart w:id="101" w:name="_Toc360716991"/>
      <w:bookmarkStart w:id="102" w:name="_Toc360717082"/>
      <w:bookmarkStart w:id="103" w:name="_Toc360717249"/>
      <w:bookmarkStart w:id="104" w:name="_Toc360717325"/>
      <w:bookmarkStart w:id="105" w:name="_Toc360717400"/>
      <w:bookmarkStart w:id="106" w:name="_Toc362017823"/>
      <w:bookmarkStart w:id="107" w:name="_Toc362437274"/>
      <w:bookmarkStart w:id="108" w:name="_Toc362523240"/>
      <w:bookmarkStart w:id="109" w:name="_Toc362528119"/>
      <w:bookmarkStart w:id="110" w:name="_Toc362539318"/>
      <w:bookmarkStart w:id="111" w:name="_Toc362539470"/>
      <w:bookmarkStart w:id="112" w:name="_Toc362599669"/>
      <w:bookmarkStart w:id="113" w:name="_Toc362865794"/>
      <w:bookmarkStart w:id="114" w:name="_Toc368409116"/>
      <w:bookmarkStart w:id="115" w:name="_Toc371519033"/>
      <w:bookmarkStart w:id="116" w:name="_Toc373916380"/>
      <w:r>
        <w:rPr>
          <w:b/>
          <w:sz w:val="28"/>
          <w:szCs w:val="28"/>
        </w:rPr>
        <w:t xml:space="preserve">Final </w:t>
      </w:r>
      <w:r w:rsidR="00C56CDF">
        <w:rPr>
          <w:b/>
          <w:sz w:val="28"/>
          <w:szCs w:val="28"/>
        </w:rPr>
        <w:t>R</w:t>
      </w:r>
      <w:r w:rsidR="009212D4" w:rsidRPr="0086636B">
        <w:rPr>
          <w:b/>
          <w:sz w:val="28"/>
          <w:szCs w:val="28"/>
        </w:rPr>
        <w:t>eport</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p>
    <w:p w:rsidR="00A25289" w:rsidRDefault="00A25289" w:rsidP="0086636B">
      <w:pPr>
        <w:jc w:val="center"/>
        <w:rPr>
          <w:b/>
          <w:sz w:val="28"/>
          <w:szCs w:val="28"/>
        </w:rPr>
      </w:pPr>
      <w:r>
        <w:rPr>
          <w:b/>
          <w:sz w:val="28"/>
          <w:szCs w:val="28"/>
        </w:rPr>
        <w:t>October 2014</w:t>
      </w:r>
      <w:bookmarkStart w:id="117" w:name="_GoBack"/>
      <w:bookmarkEnd w:id="117"/>
    </w:p>
    <w:p w:rsidR="00B57689" w:rsidRDefault="00B57689" w:rsidP="0086636B">
      <w:pPr>
        <w:jc w:val="center"/>
        <w:rPr>
          <w:b/>
          <w:sz w:val="28"/>
          <w:szCs w:val="28"/>
        </w:rPr>
      </w:pPr>
    </w:p>
    <w:p w:rsidR="00B57689" w:rsidRDefault="00B57689" w:rsidP="0086636B">
      <w:pPr>
        <w:jc w:val="center"/>
        <w:rPr>
          <w:b/>
          <w:sz w:val="28"/>
          <w:szCs w:val="28"/>
        </w:rPr>
      </w:pPr>
    </w:p>
    <w:p w:rsidR="009212D4" w:rsidRPr="00A53E3C" w:rsidRDefault="009212D4" w:rsidP="00492694"/>
    <w:p w:rsidR="000463D1" w:rsidRPr="00A53E3C" w:rsidRDefault="000463D1" w:rsidP="00492694"/>
    <w:p w:rsidR="000463D1" w:rsidRPr="00A53E3C" w:rsidRDefault="000463D1" w:rsidP="00492694"/>
    <w:p w:rsidR="0025077D" w:rsidRPr="00A53E3C" w:rsidRDefault="0025077D" w:rsidP="00492694"/>
    <w:p w:rsidR="00CB499F" w:rsidRDefault="00F352F3" w:rsidP="00CB499F">
      <w:pPr>
        <w:pStyle w:val="Heading1"/>
        <w:rPr>
          <w:rFonts w:asciiTheme="minorHAnsi" w:eastAsiaTheme="minorEastAsia" w:hAnsiTheme="minorHAnsi" w:cstheme="minorBidi"/>
          <w:b w:val="0"/>
          <w:bCs/>
          <w:caps/>
          <w:sz w:val="22"/>
          <w:szCs w:val="22"/>
          <w:lang w:eastAsia="en-AU"/>
        </w:rPr>
      </w:pPr>
      <w:r w:rsidRPr="00A53E3C">
        <w:br w:type="page"/>
      </w:r>
      <w:bookmarkStart w:id="118" w:name="_Toc397947690"/>
      <w:bookmarkStart w:id="119" w:name="_Toc399341725"/>
      <w:bookmarkStart w:id="120" w:name="_Toc403399531"/>
      <w:r w:rsidR="007F6691" w:rsidRPr="000967A6">
        <w:lastRenderedPageBreak/>
        <w:t>Contents</w:t>
      </w:r>
      <w:bookmarkEnd w:id="118"/>
      <w:bookmarkEnd w:id="119"/>
      <w:bookmarkEnd w:id="120"/>
      <w:r w:rsidR="00C01ACC">
        <w:rPr>
          <w:sz w:val="22"/>
          <w:szCs w:val="22"/>
        </w:rPr>
        <w:fldChar w:fldCharType="begin"/>
      </w:r>
      <w:r w:rsidR="00C01ACC">
        <w:rPr>
          <w:sz w:val="22"/>
          <w:szCs w:val="22"/>
        </w:rPr>
        <w:instrText xml:space="preserve"> TOC \o "1-2" \h \z \u </w:instrText>
      </w:r>
      <w:r w:rsidR="00C01ACC">
        <w:rPr>
          <w:sz w:val="22"/>
          <w:szCs w:val="22"/>
        </w:rPr>
        <w:fldChar w:fldCharType="separate"/>
      </w:r>
    </w:p>
    <w:p w:rsidR="00CB499F" w:rsidRDefault="003403FC">
      <w:pPr>
        <w:pStyle w:val="TOC1"/>
        <w:tabs>
          <w:tab w:val="right" w:leader="dot" w:pos="9016"/>
        </w:tabs>
        <w:rPr>
          <w:rFonts w:asciiTheme="minorHAnsi" w:eastAsiaTheme="minorEastAsia" w:hAnsiTheme="minorHAnsi" w:cstheme="minorBidi"/>
          <w:b w:val="0"/>
          <w:bCs w:val="0"/>
          <w:caps w:val="0"/>
          <w:sz w:val="22"/>
          <w:szCs w:val="22"/>
          <w:u w:val="none"/>
          <w:lang w:eastAsia="en-AU"/>
        </w:rPr>
      </w:pPr>
      <w:hyperlink w:anchor="_Toc403399533" w:history="1">
        <w:r w:rsidR="00CB499F" w:rsidRPr="009701FE">
          <w:rPr>
            <w:rStyle w:val="Hyperlink"/>
          </w:rPr>
          <w:t>Abbreviations</w:t>
        </w:r>
        <w:r w:rsidR="00CB499F">
          <w:rPr>
            <w:webHidden/>
          </w:rPr>
          <w:tab/>
        </w:r>
        <w:r w:rsidR="00CB499F">
          <w:rPr>
            <w:webHidden/>
          </w:rPr>
          <w:fldChar w:fldCharType="begin"/>
        </w:r>
        <w:r w:rsidR="00CB499F">
          <w:rPr>
            <w:webHidden/>
          </w:rPr>
          <w:instrText xml:space="preserve"> PAGEREF _Toc403399533 \h </w:instrText>
        </w:r>
        <w:r w:rsidR="00CB499F">
          <w:rPr>
            <w:webHidden/>
          </w:rPr>
        </w:r>
        <w:r w:rsidR="00CB499F">
          <w:rPr>
            <w:webHidden/>
          </w:rPr>
          <w:fldChar w:fldCharType="separate"/>
        </w:r>
        <w:r w:rsidR="00142480">
          <w:rPr>
            <w:webHidden/>
          </w:rPr>
          <w:t>5</w:t>
        </w:r>
        <w:r w:rsidR="00CB499F">
          <w:rPr>
            <w:webHidden/>
          </w:rPr>
          <w:fldChar w:fldCharType="end"/>
        </w:r>
      </w:hyperlink>
    </w:p>
    <w:p w:rsidR="00CB499F" w:rsidRDefault="003403FC">
      <w:pPr>
        <w:pStyle w:val="TOC1"/>
        <w:tabs>
          <w:tab w:val="right" w:leader="dot" w:pos="9016"/>
        </w:tabs>
        <w:rPr>
          <w:rFonts w:asciiTheme="minorHAnsi" w:eastAsiaTheme="minorEastAsia" w:hAnsiTheme="minorHAnsi" w:cstheme="minorBidi"/>
          <w:b w:val="0"/>
          <w:bCs w:val="0"/>
          <w:caps w:val="0"/>
          <w:sz w:val="22"/>
          <w:szCs w:val="22"/>
          <w:u w:val="none"/>
          <w:lang w:eastAsia="en-AU"/>
        </w:rPr>
      </w:pPr>
      <w:hyperlink w:anchor="_Toc403399534" w:history="1">
        <w:r w:rsidR="00CB499F" w:rsidRPr="009701FE">
          <w:rPr>
            <w:rStyle w:val="Hyperlink"/>
          </w:rPr>
          <w:t>Executive Summary</w:t>
        </w:r>
        <w:r w:rsidR="00CB499F">
          <w:rPr>
            <w:webHidden/>
          </w:rPr>
          <w:tab/>
        </w:r>
        <w:r w:rsidR="00CB499F">
          <w:rPr>
            <w:webHidden/>
          </w:rPr>
          <w:fldChar w:fldCharType="begin"/>
        </w:r>
        <w:r w:rsidR="00CB499F">
          <w:rPr>
            <w:webHidden/>
          </w:rPr>
          <w:instrText xml:space="preserve"> PAGEREF _Toc403399534 \h </w:instrText>
        </w:r>
        <w:r w:rsidR="00CB499F">
          <w:rPr>
            <w:webHidden/>
          </w:rPr>
        </w:r>
        <w:r w:rsidR="00CB499F">
          <w:rPr>
            <w:webHidden/>
          </w:rPr>
          <w:fldChar w:fldCharType="separate"/>
        </w:r>
        <w:r w:rsidR="00142480">
          <w:rPr>
            <w:webHidden/>
          </w:rPr>
          <w:t>7</w:t>
        </w:r>
        <w:r w:rsidR="00CB499F">
          <w:rPr>
            <w:webHidden/>
          </w:rPr>
          <w:fldChar w:fldCharType="end"/>
        </w:r>
      </w:hyperlink>
    </w:p>
    <w:p w:rsidR="00CB499F" w:rsidRDefault="003403FC">
      <w:pPr>
        <w:pStyle w:val="TOC1"/>
        <w:tabs>
          <w:tab w:val="right" w:leader="dot" w:pos="9016"/>
        </w:tabs>
        <w:rPr>
          <w:rFonts w:asciiTheme="minorHAnsi" w:eastAsiaTheme="minorEastAsia" w:hAnsiTheme="minorHAnsi" w:cstheme="minorBidi"/>
          <w:b w:val="0"/>
          <w:bCs w:val="0"/>
          <w:caps w:val="0"/>
          <w:sz w:val="22"/>
          <w:szCs w:val="22"/>
          <w:u w:val="none"/>
          <w:lang w:eastAsia="en-AU"/>
        </w:rPr>
      </w:pPr>
      <w:hyperlink w:anchor="_Toc403399535" w:history="1">
        <w:r w:rsidR="00CB499F" w:rsidRPr="009701FE">
          <w:rPr>
            <w:rStyle w:val="Hyperlink"/>
          </w:rPr>
          <w:t>Part 1 – Review Background, Process and Context</w:t>
        </w:r>
        <w:r w:rsidR="00CB499F">
          <w:rPr>
            <w:webHidden/>
          </w:rPr>
          <w:tab/>
        </w:r>
        <w:r w:rsidR="00CB499F">
          <w:rPr>
            <w:webHidden/>
          </w:rPr>
          <w:fldChar w:fldCharType="begin"/>
        </w:r>
        <w:r w:rsidR="00CB499F">
          <w:rPr>
            <w:webHidden/>
          </w:rPr>
          <w:instrText xml:space="preserve"> PAGEREF _Toc403399535 \h </w:instrText>
        </w:r>
        <w:r w:rsidR="00CB499F">
          <w:rPr>
            <w:webHidden/>
          </w:rPr>
        </w:r>
        <w:r w:rsidR="00CB499F">
          <w:rPr>
            <w:webHidden/>
          </w:rPr>
          <w:fldChar w:fldCharType="separate"/>
        </w:r>
        <w:r w:rsidR="00142480">
          <w:rPr>
            <w:webHidden/>
          </w:rPr>
          <w:t>18</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36" w:history="1">
        <w:r w:rsidR="00CB499F" w:rsidRPr="009701FE">
          <w:rPr>
            <w:rStyle w:val="Hyperlink"/>
          </w:rPr>
          <w:t>1.1</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Diabetes Post-market Review</w:t>
        </w:r>
        <w:r w:rsidR="00CB499F">
          <w:rPr>
            <w:webHidden/>
          </w:rPr>
          <w:tab/>
        </w:r>
        <w:r w:rsidR="00CB499F">
          <w:rPr>
            <w:webHidden/>
          </w:rPr>
          <w:fldChar w:fldCharType="begin"/>
        </w:r>
        <w:r w:rsidR="00CB499F">
          <w:rPr>
            <w:webHidden/>
          </w:rPr>
          <w:instrText xml:space="preserve"> PAGEREF _Toc403399536 \h </w:instrText>
        </w:r>
        <w:r w:rsidR="00CB499F">
          <w:rPr>
            <w:webHidden/>
          </w:rPr>
        </w:r>
        <w:r w:rsidR="00CB499F">
          <w:rPr>
            <w:webHidden/>
          </w:rPr>
          <w:fldChar w:fldCharType="separate"/>
        </w:r>
        <w:r w:rsidR="00142480">
          <w:rPr>
            <w:webHidden/>
          </w:rPr>
          <w:t>18</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37" w:history="1">
        <w:r w:rsidR="00CB499F" w:rsidRPr="009701FE">
          <w:rPr>
            <w:rStyle w:val="Hyperlink"/>
          </w:rPr>
          <w:t>1.2</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Medicines Review</w:t>
        </w:r>
        <w:r w:rsidR="00CB499F">
          <w:rPr>
            <w:webHidden/>
          </w:rPr>
          <w:tab/>
        </w:r>
        <w:r w:rsidR="00CB499F">
          <w:rPr>
            <w:webHidden/>
          </w:rPr>
          <w:fldChar w:fldCharType="begin"/>
        </w:r>
        <w:r w:rsidR="00CB499F">
          <w:rPr>
            <w:webHidden/>
          </w:rPr>
          <w:instrText xml:space="preserve"> PAGEREF _Toc403399537 \h </w:instrText>
        </w:r>
        <w:r w:rsidR="00CB499F">
          <w:rPr>
            <w:webHidden/>
          </w:rPr>
        </w:r>
        <w:r w:rsidR="00CB499F">
          <w:rPr>
            <w:webHidden/>
          </w:rPr>
          <w:fldChar w:fldCharType="separate"/>
        </w:r>
        <w:r w:rsidR="00142480">
          <w:rPr>
            <w:webHidden/>
          </w:rPr>
          <w:t>18</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38" w:history="1">
        <w:r w:rsidR="00CB499F" w:rsidRPr="009701FE">
          <w:rPr>
            <w:rStyle w:val="Hyperlink"/>
          </w:rPr>
          <w:t>1.3</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Medicines Review Process</w:t>
        </w:r>
        <w:r w:rsidR="00CB499F">
          <w:rPr>
            <w:webHidden/>
          </w:rPr>
          <w:tab/>
        </w:r>
        <w:r w:rsidR="00CB499F">
          <w:rPr>
            <w:webHidden/>
          </w:rPr>
          <w:fldChar w:fldCharType="begin"/>
        </w:r>
        <w:r w:rsidR="00CB499F">
          <w:rPr>
            <w:webHidden/>
          </w:rPr>
          <w:instrText xml:space="preserve"> PAGEREF _Toc403399538 \h </w:instrText>
        </w:r>
        <w:r w:rsidR="00CB499F">
          <w:rPr>
            <w:webHidden/>
          </w:rPr>
        </w:r>
        <w:r w:rsidR="00CB499F">
          <w:rPr>
            <w:webHidden/>
          </w:rPr>
          <w:fldChar w:fldCharType="separate"/>
        </w:r>
        <w:r w:rsidR="00142480">
          <w:rPr>
            <w:webHidden/>
          </w:rPr>
          <w:t>21</w:t>
        </w:r>
        <w:r w:rsidR="00CB499F">
          <w:rPr>
            <w:webHidden/>
          </w:rPr>
          <w:fldChar w:fldCharType="end"/>
        </w:r>
      </w:hyperlink>
    </w:p>
    <w:p w:rsidR="00CB499F" w:rsidRDefault="003403FC">
      <w:pPr>
        <w:pStyle w:val="TOC1"/>
        <w:tabs>
          <w:tab w:val="right" w:leader="dot" w:pos="9016"/>
        </w:tabs>
        <w:rPr>
          <w:rFonts w:asciiTheme="minorHAnsi" w:eastAsiaTheme="minorEastAsia" w:hAnsiTheme="minorHAnsi" w:cstheme="minorBidi"/>
          <w:b w:val="0"/>
          <w:bCs w:val="0"/>
          <w:caps w:val="0"/>
          <w:sz w:val="22"/>
          <w:szCs w:val="22"/>
          <w:u w:val="none"/>
          <w:lang w:eastAsia="en-AU"/>
        </w:rPr>
      </w:pPr>
      <w:hyperlink w:anchor="_Toc403399539" w:history="1">
        <w:r w:rsidR="00CB499F" w:rsidRPr="009701FE">
          <w:rPr>
            <w:rStyle w:val="Hyperlink"/>
          </w:rPr>
          <w:t>Part 2 – Type 2 Diabetes Mellitus</w:t>
        </w:r>
        <w:r w:rsidR="00CB499F">
          <w:rPr>
            <w:webHidden/>
          </w:rPr>
          <w:tab/>
        </w:r>
        <w:r w:rsidR="00CB499F">
          <w:rPr>
            <w:webHidden/>
          </w:rPr>
          <w:fldChar w:fldCharType="begin"/>
        </w:r>
        <w:r w:rsidR="00CB499F">
          <w:rPr>
            <w:webHidden/>
          </w:rPr>
          <w:instrText xml:space="preserve"> PAGEREF _Toc403399539 \h </w:instrText>
        </w:r>
        <w:r w:rsidR="00CB499F">
          <w:rPr>
            <w:webHidden/>
          </w:rPr>
        </w:r>
        <w:r w:rsidR="00CB499F">
          <w:rPr>
            <w:webHidden/>
          </w:rPr>
          <w:fldChar w:fldCharType="separate"/>
        </w:r>
        <w:r w:rsidR="00142480">
          <w:rPr>
            <w:webHidden/>
          </w:rPr>
          <w:t>25</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40" w:history="1">
        <w:r w:rsidR="00CB499F" w:rsidRPr="009701FE">
          <w:rPr>
            <w:rStyle w:val="Hyperlink"/>
          </w:rPr>
          <w:t>2.1</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Diabetes mellitus</w:t>
        </w:r>
        <w:r w:rsidR="00CB499F">
          <w:rPr>
            <w:webHidden/>
          </w:rPr>
          <w:tab/>
        </w:r>
        <w:r w:rsidR="00CB499F">
          <w:rPr>
            <w:webHidden/>
          </w:rPr>
          <w:fldChar w:fldCharType="begin"/>
        </w:r>
        <w:r w:rsidR="00CB499F">
          <w:rPr>
            <w:webHidden/>
          </w:rPr>
          <w:instrText xml:space="preserve"> PAGEREF _Toc403399540 \h </w:instrText>
        </w:r>
        <w:r w:rsidR="00CB499F">
          <w:rPr>
            <w:webHidden/>
          </w:rPr>
        </w:r>
        <w:r w:rsidR="00CB499F">
          <w:rPr>
            <w:webHidden/>
          </w:rPr>
          <w:fldChar w:fldCharType="separate"/>
        </w:r>
        <w:r w:rsidR="00142480">
          <w:rPr>
            <w:webHidden/>
          </w:rPr>
          <w:t>25</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41" w:history="1">
        <w:r w:rsidR="00CB499F" w:rsidRPr="009701FE">
          <w:rPr>
            <w:rStyle w:val="Hyperlink"/>
          </w:rPr>
          <w:t>2.2</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Prevention</w:t>
        </w:r>
        <w:r w:rsidR="00CB499F">
          <w:rPr>
            <w:webHidden/>
          </w:rPr>
          <w:tab/>
        </w:r>
        <w:r w:rsidR="00CB499F">
          <w:rPr>
            <w:webHidden/>
          </w:rPr>
          <w:fldChar w:fldCharType="begin"/>
        </w:r>
        <w:r w:rsidR="00CB499F">
          <w:rPr>
            <w:webHidden/>
          </w:rPr>
          <w:instrText xml:space="preserve"> PAGEREF _Toc403399541 \h </w:instrText>
        </w:r>
        <w:r w:rsidR="00CB499F">
          <w:rPr>
            <w:webHidden/>
          </w:rPr>
        </w:r>
        <w:r w:rsidR="00CB499F">
          <w:rPr>
            <w:webHidden/>
          </w:rPr>
          <w:fldChar w:fldCharType="separate"/>
        </w:r>
        <w:r w:rsidR="00142480">
          <w:rPr>
            <w:webHidden/>
          </w:rPr>
          <w:t>26</w:t>
        </w:r>
        <w:r w:rsidR="00CB499F">
          <w:rPr>
            <w:webHidden/>
          </w:rPr>
          <w:fldChar w:fldCharType="end"/>
        </w:r>
      </w:hyperlink>
    </w:p>
    <w:p w:rsidR="00CB499F" w:rsidRDefault="003403FC">
      <w:pPr>
        <w:pStyle w:val="TOC2"/>
        <w:tabs>
          <w:tab w:val="left" w:pos="602"/>
          <w:tab w:val="right" w:leader="dot" w:pos="9016"/>
        </w:tabs>
        <w:rPr>
          <w:rFonts w:asciiTheme="minorHAnsi" w:eastAsiaTheme="minorEastAsia" w:hAnsiTheme="minorHAnsi" w:cstheme="minorBidi"/>
          <w:b w:val="0"/>
          <w:bCs w:val="0"/>
          <w:smallCaps w:val="0"/>
          <w:sz w:val="22"/>
          <w:szCs w:val="22"/>
          <w:lang w:eastAsia="en-AU"/>
        </w:rPr>
      </w:pPr>
      <w:hyperlink w:anchor="_Toc403399542" w:history="1">
        <w:r w:rsidR="00CB499F" w:rsidRPr="009701FE">
          <w:rPr>
            <w:rStyle w:val="Hyperlink"/>
          </w:rPr>
          <w:t xml:space="preserve">2.3 </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Diagnosis</w:t>
        </w:r>
        <w:r w:rsidR="00CB499F">
          <w:rPr>
            <w:webHidden/>
          </w:rPr>
          <w:tab/>
        </w:r>
        <w:r w:rsidR="00CB499F">
          <w:rPr>
            <w:webHidden/>
          </w:rPr>
          <w:fldChar w:fldCharType="begin"/>
        </w:r>
        <w:r w:rsidR="00CB499F">
          <w:rPr>
            <w:webHidden/>
          </w:rPr>
          <w:instrText xml:space="preserve"> PAGEREF _Toc403399542 \h </w:instrText>
        </w:r>
        <w:r w:rsidR="00CB499F">
          <w:rPr>
            <w:webHidden/>
          </w:rPr>
        </w:r>
        <w:r w:rsidR="00CB499F">
          <w:rPr>
            <w:webHidden/>
          </w:rPr>
          <w:fldChar w:fldCharType="separate"/>
        </w:r>
        <w:r w:rsidR="00142480">
          <w:rPr>
            <w:webHidden/>
          </w:rPr>
          <w:t>28</w:t>
        </w:r>
        <w:r w:rsidR="00CB499F">
          <w:rPr>
            <w:webHidden/>
          </w:rPr>
          <w:fldChar w:fldCharType="end"/>
        </w:r>
      </w:hyperlink>
    </w:p>
    <w:p w:rsidR="00CB499F" w:rsidRDefault="003403FC">
      <w:pPr>
        <w:pStyle w:val="TOC2"/>
        <w:tabs>
          <w:tab w:val="left" w:pos="602"/>
          <w:tab w:val="right" w:leader="dot" w:pos="9016"/>
        </w:tabs>
        <w:rPr>
          <w:rFonts w:asciiTheme="minorHAnsi" w:eastAsiaTheme="minorEastAsia" w:hAnsiTheme="minorHAnsi" w:cstheme="minorBidi"/>
          <w:b w:val="0"/>
          <w:bCs w:val="0"/>
          <w:smallCaps w:val="0"/>
          <w:sz w:val="22"/>
          <w:szCs w:val="22"/>
          <w:lang w:eastAsia="en-AU"/>
        </w:rPr>
      </w:pPr>
      <w:hyperlink w:anchor="_Toc403399543" w:history="1">
        <w:r w:rsidR="00CB499F" w:rsidRPr="009701FE">
          <w:rPr>
            <w:rStyle w:val="Hyperlink"/>
          </w:rPr>
          <w:t xml:space="preserve">2.4 </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Prevalence in Australia</w:t>
        </w:r>
        <w:r w:rsidR="00CB499F">
          <w:rPr>
            <w:webHidden/>
          </w:rPr>
          <w:tab/>
        </w:r>
        <w:r w:rsidR="00CB499F">
          <w:rPr>
            <w:webHidden/>
          </w:rPr>
          <w:fldChar w:fldCharType="begin"/>
        </w:r>
        <w:r w:rsidR="00CB499F">
          <w:rPr>
            <w:webHidden/>
          </w:rPr>
          <w:instrText xml:space="preserve"> PAGEREF _Toc403399543 \h </w:instrText>
        </w:r>
        <w:r w:rsidR="00CB499F">
          <w:rPr>
            <w:webHidden/>
          </w:rPr>
        </w:r>
        <w:r w:rsidR="00CB499F">
          <w:rPr>
            <w:webHidden/>
          </w:rPr>
          <w:fldChar w:fldCharType="separate"/>
        </w:r>
        <w:r w:rsidR="00142480">
          <w:rPr>
            <w:webHidden/>
          </w:rPr>
          <w:t>28</w:t>
        </w:r>
        <w:r w:rsidR="00CB499F">
          <w:rPr>
            <w:webHidden/>
          </w:rPr>
          <w:fldChar w:fldCharType="end"/>
        </w:r>
      </w:hyperlink>
    </w:p>
    <w:p w:rsidR="00CB499F" w:rsidRDefault="003403FC">
      <w:pPr>
        <w:pStyle w:val="TOC2"/>
        <w:tabs>
          <w:tab w:val="left" w:pos="602"/>
          <w:tab w:val="right" w:leader="dot" w:pos="9016"/>
        </w:tabs>
        <w:rPr>
          <w:rFonts w:asciiTheme="minorHAnsi" w:eastAsiaTheme="minorEastAsia" w:hAnsiTheme="minorHAnsi" w:cstheme="minorBidi"/>
          <w:b w:val="0"/>
          <w:bCs w:val="0"/>
          <w:smallCaps w:val="0"/>
          <w:sz w:val="22"/>
          <w:szCs w:val="22"/>
          <w:lang w:eastAsia="en-AU"/>
        </w:rPr>
      </w:pPr>
      <w:hyperlink w:anchor="_Toc403399544" w:history="1">
        <w:r w:rsidR="00CB499F" w:rsidRPr="009701FE">
          <w:rPr>
            <w:rStyle w:val="Hyperlink"/>
          </w:rPr>
          <w:t xml:space="preserve">2.5 </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Complications and Impact of Diabetes in Australia</w:t>
        </w:r>
        <w:r w:rsidR="00CB499F">
          <w:rPr>
            <w:webHidden/>
          </w:rPr>
          <w:tab/>
        </w:r>
        <w:r w:rsidR="00CB499F">
          <w:rPr>
            <w:webHidden/>
          </w:rPr>
          <w:fldChar w:fldCharType="begin"/>
        </w:r>
        <w:r w:rsidR="00CB499F">
          <w:rPr>
            <w:webHidden/>
          </w:rPr>
          <w:instrText xml:space="preserve"> PAGEREF _Toc403399544 \h </w:instrText>
        </w:r>
        <w:r w:rsidR="00CB499F">
          <w:rPr>
            <w:webHidden/>
          </w:rPr>
        </w:r>
        <w:r w:rsidR="00CB499F">
          <w:rPr>
            <w:webHidden/>
          </w:rPr>
          <w:fldChar w:fldCharType="separate"/>
        </w:r>
        <w:r w:rsidR="00142480">
          <w:rPr>
            <w:webHidden/>
          </w:rPr>
          <w:t>30</w:t>
        </w:r>
        <w:r w:rsidR="00CB499F">
          <w:rPr>
            <w:webHidden/>
          </w:rPr>
          <w:fldChar w:fldCharType="end"/>
        </w:r>
      </w:hyperlink>
    </w:p>
    <w:p w:rsidR="00CB499F" w:rsidRDefault="003403FC">
      <w:pPr>
        <w:pStyle w:val="TOC2"/>
        <w:tabs>
          <w:tab w:val="left" w:pos="602"/>
          <w:tab w:val="right" w:leader="dot" w:pos="9016"/>
        </w:tabs>
        <w:rPr>
          <w:rFonts w:asciiTheme="minorHAnsi" w:eastAsiaTheme="minorEastAsia" w:hAnsiTheme="minorHAnsi" w:cstheme="minorBidi"/>
          <w:b w:val="0"/>
          <w:bCs w:val="0"/>
          <w:smallCaps w:val="0"/>
          <w:sz w:val="22"/>
          <w:szCs w:val="22"/>
          <w:lang w:eastAsia="en-AU"/>
        </w:rPr>
      </w:pPr>
      <w:hyperlink w:anchor="_Toc403399545" w:history="1">
        <w:r w:rsidR="00CB499F" w:rsidRPr="009701FE">
          <w:rPr>
            <w:rStyle w:val="Hyperlink"/>
          </w:rPr>
          <w:t xml:space="preserve">2.6 </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Monitoring Glycaemic Control</w:t>
        </w:r>
        <w:r w:rsidR="00CB499F">
          <w:rPr>
            <w:webHidden/>
          </w:rPr>
          <w:tab/>
        </w:r>
        <w:r w:rsidR="00CB499F">
          <w:rPr>
            <w:webHidden/>
          </w:rPr>
          <w:fldChar w:fldCharType="begin"/>
        </w:r>
        <w:r w:rsidR="00CB499F">
          <w:rPr>
            <w:webHidden/>
          </w:rPr>
          <w:instrText xml:space="preserve"> PAGEREF _Toc403399545 \h </w:instrText>
        </w:r>
        <w:r w:rsidR="00CB499F">
          <w:rPr>
            <w:webHidden/>
          </w:rPr>
        </w:r>
        <w:r w:rsidR="00CB499F">
          <w:rPr>
            <w:webHidden/>
          </w:rPr>
          <w:fldChar w:fldCharType="separate"/>
        </w:r>
        <w:r w:rsidR="00142480">
          <w:rPr>
            <w:webHidden/>
          </w:rPr>
          <w:t>30</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46" w:history="1">
        <w:r w:rsidR="00CB499F" w:rsidRPr="009701FE">
          <w:rPr>
            <w:rStyle w:val="Hyperlink"/>
          </w:rPr>
          <w:t>2.7</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Pharmacotherapy and Review of Clinical Guidelines</w:t>
        </w:r>
        <w:r w:rsidR="00CB499F">
          <w:rPr>
            <w:webHidden/>
          </w:rPr>
          <w:tab/>
        </w:r>
        <w:r w:rsidR="00CB499F">
          <w:rPr>
            <w:webHidden/>
          </w:rPr>
          <w:fldChar w:fldCharType="begin"/>
        </w:r>
        <w:r w:rsidR="00CB499F">
          <w:rPr>
            <w:webHidden/>
          </w:rPr>
          <w:instrText xml:space="preserve"> PAGEREF _Toc403399546 \h </w:instrText>
        </w:r>
        <w:r w:rsidR="00CB499F">
          <w:rPr>
            <w:webHidden/>
          </w:rPr>
        </w:r>
        <w:r w:rsidR="00CB499F">
          <w:rPr>
            <w:webHidden/>
          </w:rPr>
          <w:fldChar w:fldCharType="separate"/>
        </w:r>
        <w:r w:rsidR="00142480">
          <w:rPr>
            <w:webHidden/>
          </w:rPr>
          <w:t>31</w:t>
        </w:r>
        <w:r w:rsidR="00CB499F">
          <w:rPr>
            <w:webHidden/>
          </w:rPr>
          <w:fldChar w:fldCharType="end"/>
        </w:r>
      </w:hyperlink>
    </w:p>
    <w:p w:rsidR="00CB499F" w:rsidRDefault="003403FC">
      <w:pPr>
        <w:pStyle w:val="TOC2"/>
        <w:tabs>
          <w:tab w:val="left" w:pos="602"/>
          <w:tab w:val="right" w:leader="dot" w:pos="9016"/>
        </w:tabs>
        <w:rPr>
          <w:rFonts w:asciiTheme="minorHAnsi" w:eastAsiaTheme="minorEastAsia" w:hAnsiTheme="minorHAnsi" w:cstheme="minorBidi"/>
          <w:b w:val="0"/>
          <w:bCs w:val="0"/>
          <w:smallCaps w:val="0"/>
          <w:sz w:val="22"/>
          <w:szCs w:val="22"/>
          <w:lang w:eastAsia="en-AU"/>
        </w:rPr>
      </w:pPr>
      <w:hyperlink w:anchor="_Toc403399547" w:history="1">
        <w:r w:rsidR="00CB499F" w:rsidRPr="009701FE">
          <w:rPr>
            <w:rStyle w:val="Hyperlink"/>
          </w:rPr>
          <w:t xml:space="preserve">2.8 </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PBS Restrictions</w:t>
        </w:r>
        <w:r w:rsidR="00CB499F">
          <w:rPr>
            <w:webHidden/>
          </w:rPr>
          <w:tab/>
        </w:r>
        <w:r w:rsidR="00CB499F">
          <w:rPr>
            <w:webHidden/>
          </w:rPr>
          <w:fldChar w:fldCharType="begin"/>
        </w:r>
        <w:r w:rsidR="00CB499F">
          <w:rPr>
            <w:webHidden/>
          </w:rPr>
          <w:instrText xml:space="preserve"> PAGEREF _Toc403399547 \h </w:instrText>
        </w:r>
        <w:r w:rsidR="00CB499F">
          <w:rPr>
            <w:webHidden/>
          </w:rPr>
        </w:r>
        <w:r w:rsidR="00CB499F">
          <w:rPr>
            <w:webHidden/>
          </w:rPr>
          <w:fldChar w:fldCharType="separate"/>
        </w:r>
        <w:r w:rsidR="00142480">
          <w:rPr>
            <w:webHidden/>
          </w:rPr>
          <w:t>36</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48" w:history="1">
        <w:r w:rsidR="00CB499F" w:rsidRPr="009701FE">
          <w:rPr>
            <w:rStyle w:val="Hyperlink"/>
          </w:rPr>
          <w:t>2.9</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Australian Government Management Programmes and Publications</w:t>
        </w:r>
        <w:r w:rsidR="00CB499F">
          <w:rPr>
            <w:webHidden/>
          </w:rPr>
          <w:tab/>
        </w:r>
        <w:r w:rsidR="00CB499F">
          <w:rPr>
            <w:webHidden/>
          </w:rPr>
          <w:fldChar w:fldCharType="begin"/>
        </w:r>
        <w:r w:rsidR="00CB499F">
          <w:rPr>
            <w:webHidden/>
          </w:rPr>
          <w:instrText xml:space="preserve"> PAGEREF _Toc403399548 \h </w:instrText>
        </w:r>
        <w:r w:rsidR="00CB499F">
          <w:rPr>
            <w:webHidden/>
          </w:rPr>
        </w:r>
        <w:r w:rsidR="00CB499F">
          <w:rPr>
            <w:webHidden/>
          </w:rPr>
          <w:fldChar w:fldCharType="separate"/>
        </w:r>
        <w:r w:rsidR="00142480">
          <w:rPr>
            <w:webHidden/>
          </w:rPr>
          <w:t>38</w:t>
        </w:r>
        <w:r w:rsidR="00CB499F">
          <w:rPr>
            <w:webHidden/>
          </w:rPr>
          <w:fldChar w:fldCharType="end"/>
        </w:r>
      </w:hyperlink>
    </w:p>
    <w:p w:rsidR="00CB499F" w:rsidRDefault="003403FC">
      <w:pPr>
        <w:pStyle w:val="TOC1"/>
        <w:tabs>
          <w:tab w:val="right" w:leader="dot" w:pos="9016"/>
        </w:tabs>
        <w:rPr>
          <w:rFonts w:asciiTheme="minorHAnsi" w:eastAsiaTheme="minorEastAsia" w:hAnsiTheme="minorHAnsi" w:cstheme="minorBidi"/>
          <w:b w:val="0"/>
          <w:bCs w:val="0"/>
          <w:caps w:val="0"/>
          <w:sz w:val="22"/>
          <w:szCs w:val="22"/>
          <w:u w:val="none"/>
          <w:lang w:eastAsia="en-AU"/>
        </w:rPr>
      </w:pPr>
      <w:hyperlink w:anchor="_Toc403399549" w:history="1">
        <w:r w:rsidR="00CB499F" w:rsidRPr="009701FE">
          <w:rPr>
            <w:rStyle w:val="Hyperlink"/>
          </w:rPr>
          <w:t>Part 3 – Stakeholder Consultation</w:t>
        </w:r>
        <w:r w:rsidR="00CB499F">
          <w:rPr>
            <w:webHidden/>
          </w:rPr>
          <w:tab/>
        </w:r>
        <w:r w:rsidR="00CB499F">
          <w:rPr>
            <w:webHidden/>
          </w:rPr>
          <w:fldChar w:fldCharType="begin"/>
        </w:r>
        <w:r w:rsidR="00CB499F">
          <w:rPr>
            <w:webHidden/>
          </w:rPr>
          <w:instrText xml:space="preserve"> PAGEREF _Toc403399549 \h </w:instrText>
        </w:r>
        <w:r w:rsidR="00CB499F">
          <w:rPr>
            <w:webHidden/>
          </w:rPr>
        </w:r>
        <w:r w:rsidR="00CB499F">
          <w:rPr>
            <w:webHidden/>
          </w:rPr>
          <w:fldChar w:fldCharType="separate"/>
        </w:r>
        <w:r w:rsidR="00142480">
          <w:rPr>
            <w:webHidden/>
          </w:rPr>
          <w:t>42</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50" w:history="1">
        <w:r w:rsidR="00CB499F" w:rsidRPr="009701FE">
          <w:rPr>
            <w:rStyle w:val="Hyperlink"/>
          </w:rPr>
          <w:t>3.1</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Public Consultation Processes</w:t>
        </w:r>
        <w:r w:rsidR="00CB499F">
          <w:rPr>
            <w:webHidden/>
          </w:rPr>
          <w:tab/>
        </w:r>
        <w:r w:rsidR="00CB499F">
          <w:rPr>
            <w:webHidden/>
          </w:rPr>
          <w:fldChar w:fldCharType="begin"/>
        </w:r>
        <w:r w:rsidR="00CB499F">
          <w:rPr>
            <w:webHidden/>
          </w:rPr>
          <w:instrText xml:space="preserve"> PAGEREF _Toc403399550 \h </w:instrText>
        </w:r>
        <w:r w:rsidR="00CB499F">
          <w:rPr>
            <w:webHidden/>
          </w:rPr>
        </w:r>
        <w:r w:rsidR="00CB499F">
          <w:rPr>
            <w:webHidden/>
          </w:rPr>
          <w:fldChar w:fldCharType="separate"/>
        </w:r>
        <w:r w:rsidR="00142480">
          <w:rPr>
            <w:webHidden/>
          </w:rPr>
          <w:t>42</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51" w:history="1">
        <w:r w:rsidR="00CB499F" w:rsidRPr="009701FE">
          <w:rPr>
            <w:rStyle w:val="Hyperlink"/>
          </w:rPr>
          <w:t>3.2</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Internal Working Group</w:t>
        </w:r>
        <w:r w:rsidR="00CB499F">
          <w:rPr>
            <w:webHidden/>
          </w:rPr>
          <w:tab/>
        </w:r>
        <w:r w:rsidR="00CB499F">
          <w:rPr>
            <w:webHidden/>
          </w:rPr>
          <w:fldChar w:fldCharType="begin"/>
        </w:r>
        <w:r w:rsidR="00CB499F">
          <w:rPr>
            <w:webHidden/>
          </w:rPr>
          <w:instrText xml:space="preserve"> PAGEREF _Toc403399551 \h </w:instrText>
        </w:r>
        <w:r w:rsidR="00CB499F">
          <w:rPr>
            <w:webHidden/>
          </w:rPr>
        </w:r>
        <w:r w:rsidR="00CB499F">
          <w:rPr>
            <w:webHidden/>
          </w:rPr>
          <w:fldChar w:fldCharType="separate"/>
        </w:r>
        <w:r w:rsidR="00142480">
          <w:rPr>
            <w:webHidden/>
          </w:rPr>
          <w:t>46</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52" w:history="1">
        <w:r w:rsidR="00CB499F" w:rsidRPr="009701FE">
          <w:rPr>
            <w:rStyle w:val="Hyperlink"/>
          </w:rPr>
          <w:t>3.3</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Reference Group</w:t>
        </w:r>
        <w:r w:rsidR="00CB499F">
          <w:rPr>
            <w:webHidden/>
          </w:rPr>
          <w:tab/>
        </w:r>
        <w:r w:rsidR="00CB499F">
          <w:rPr>
            <w:webHidden/>
          </w:rPr>
          <w:fldChar w:fldCharType="begin"/>
        </w:r>
        <w:r w:rsidR="00CB499F">
          <w:rPr>
            <w:webHidden/>
          </w:rPr>
          <w:instrText xml:space="preserve"> PAGEREF _Toc403399552 \h </w:instrText>
        </w:r>
        <w:r w:rsidR="00CB499F">
          <w:rPr>
            <w:webHidden/>
          </w:rPr>
        </w:r>
        <w:r w:rsidR="00CB499F">
          <w:rPr>
            <w:webHidden/>
          </w:rPr>
          <w:fldChar w:fldCharType="separate"/>
        </w:r>
        <w:r w:rsidR="00142480">
          <w:rPr>
            <w:webHidden/>
          </w:rPr>
          <w:t>46</w:t>
        </w:r>
        <w:r w:rsidR="00CB499F">
          <w:rPr>
            <w:webHidden/>
          </w:rPr>
          <w:fldChar w:fldCharType="end"/>
        </w:r>
      </w:hyperlink>
    </w:p>
    <w:p w:rsidR="00CB499F" w:rsidRDefault="003403FC">
      <w:pPr>
        <w:pStyle w:val="TOC1"/>
        <w:tabs>
          <w:tab w:val="right" w:leader="dot" w:pos="9016"/>
        </w:tabs>
        <w:rPr>
          <w:rFonts w:asciiTheme="minorHAnsi" w:eastAsiaTheme="minorEastAsia" w:hAnsiTheme="minorHAnsi" w:cstheme="minorBidi"/>
          <w:b w:val="0"/>
          <w:bCs w:val="0"/>
          <w:caps w:val="0"/>
          <w:sz w:val="22"/>
          <w:szCs w:val="22"/>
          <w:u w:val="none"/>
          <w:lang w:eastAsia="en-AU"/>
        </w:rPr>
      </w:pPr>
      <w:hyperlink w:anchor="_Toc403399553" w:history="1">
        <w:r w:rsidR="00CB499F" w:rsidRPr="009701FE">
          <w:rPr>
            <w:rStyle w:val="Hyperlink"/>
          </w:rPr>
          <w:t>Part 4 – Utilisation Analysis (ToR 1 &amp; 2)</w:t>
        </w:r>
        <w:r w:rsidR="00CB499F">
          <w:rPr>
            <w:webHidden/>
          </w:rPr>
          <w:tab/>
        </w:r>
        <w:r w:rsidR="00CB499F">
          <w:rPr>
            <w:webHidden/>
          </w:rPr>
          <w:fldChar w:fldCharType="begin"/>
        </w:r>
        <w:r w:rsidR="00CB499F">
          <w:rPr>
            <w:webHidden/>
          </w:rPr>
          <w:instrText xml:space="preserve"> PAGEREF _Toc403399553 \h </w:instrText>
        </w:r>
        <w:r w:rsidR="00CB499F">
          <w:rPr>
            <w:webHidden/>
          </w:rPr>
        </w:r>
        <w:r w:rsidR="00CB499F">
          <w:rPr>
            <w:webHidden/>
          </w:rPr>
          <w:fldChar w:fldCharType="separate"/>
        </w:r>
        <w:r w:rsidR="00142480">
          <w:rPr>
            <w:webHidden/>
          </w:rPr>
          <w:t>47</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54" w:history="1">
        <w:r w:rsidR="00CB499F" w:rsidRPr="009701FE">
          <w:rPr>
            <w:rStyle w:val="Hyperlink"/>
          </w:rPr>
          <w:t>4.1</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Key findings</w:t>
        </w:r>
        <w:r w:rsidR="00CB499F">
          <w:rPr>
            <w:webHidden/>
          </w:rPr>
          <w:tab/>
        </w:r>
        <w:r w:rsidR="00CB499F">
          <w:rPr>
            <w:webHidden/>
          </w:rPr>
          <w:fldChar w:fldCharType="begin"/>
        </w:r>
        <w:r w:rsidR="00CB499F">
          <w:rPr>
            <w:webHidden/>
          </w:rPr>
          <w:instrText xml:space="preserve"> PAGEREF _Toc403399554 \h </w:instrText>
        </w:r>
        <w:r w:rsidR="00CB499F">
          <w:rPr>
            <w:webHidden/>
          </w:rPr>
        </w:r>
        <w:r w:rsidR="00CB499F">
          <w:rPr>
            <w:webHidden/>
          </w:rPr>
          <w:fldChar w:fldCharType="separate"/>
        </w:r>
        <w:r w:rsidR="00142480">
          <w:rPr>
            <w:webHidden/>
          </w:rPr>
          <w:t>47</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55" w:history="1">
        <w:r w:rsidR="00CB499F" w:rsidRPr="009701FE">
          <w:rPr>
            <w:rStyle w:val="Hyperlink"/>
          </w:rPr>
          <w:t>4.2</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Introduction</w:t>
        </w:r>
        <w:r w:rsidR="00CB499F">
          <w:rPr>
            <w:webHidden/>
          </w:rPr>
          <w:tab/>
        </w:r>
        <w:r w:rsidR="00CB499F">
          <w:rPr>
            <w:webHidden/>
          </w:rPr>
          <w:fldChar w:fldCharType="begin"/>
        </w:r>
        <w:r w:rsidR="00CB499F">
          <w:rPr>
            <w:webHidden/>
          </w:rPr>
          <w:instrText xml:space="preserve"> PAGEREF _Toc403399555 \h </w:instrText>
        </w:r>
        <w:r w:rsidR="00CB499F">
          <w:rPr>
            <w:webHidden/>
          </w:rPr>
        </w:r>
        <w:r w:rsidR="00CB499F">
          <w:rPr>
            <w:webHidden/>
          </w:rPr>
          <w:fldChar w:fldCharType="separate"/>
        </w:r>
        <w:r w:rsidR="00142480">
          <w:rPr>
            <w:webHidden/>
          </w:rPr>
          <w:t>48</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56" w:history="1">
        <w:r w:rsidR="00CB499F" w:rsidRPr="009701FE">
          <w:rPr>
            <w:rStyle w:val="Hyperlink"/>
          </w:rPr>
          <w:t>4.3</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Methods</w:t>
        </w:r>
        <w:r w:rsidR="00CB499F">
          <w:rPr>
            <w:webHidden/>
          </w:rPr>
          <w:tab/>
        </w:r>
        <w:r w:rsidR="00CB499F">
          <w:rPr>
            <w:webHidden/>
          </w:rPr>
          <w:fldChar w:fldCharType="begin"/>
        </w:r>
        <w:r w:rsidR="00CB499F">
          <w:rPr>
            <w:webHidden/>
          </w:rPr>
          <w:instrText xml:space="preserve"> PAGEREF _Toc403399556 \h </w:instrText>
        </w:r>
        <w:r w:rsidR="00CB499F">
          <w:rPr>
            <w:webHidden/>
          </w:rPr>
        </w:r>
        <w:r w:rsidR="00CB499F">
          <w:rPr>
            <w:webHidden/>
          </w:rPr>
          <w:fldChar w:fldCharType="separate"/>
        </w:r>
        <w:r w:rsidR="00142480">
          <w:rPr>
            <w:webHidden/>
          </w:rPr>
          <w:t>50</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57" w:history="1">
        <w:r w:rsidR="00CB499F" w:rsidRPr="009701FE">
          <w:rPr>
            <w:rStyle w:val="Hyperlink"/>
          </w:rPr>
          <w:t>4.4</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Results and discussion</w:t>
        </w:r>
        <w:r w:rsidR="00CB499F">
          <w:rPr>
            <w:webHidden/>
          </w:rPr>
          <w:tab/>
        </w:r>
        <w:r w:rsidR="00CB499F">
          <w:rPr>
            <w:webHidden/>
          </w:rPr>
          <w:fldChar w:fldCharType="begin"/>
        </w:r>
        <w:r w:rsidR="00CB499F">
          <w:rPr>
            <w:webHidden/>
          </w:rPr>
          <w:instrText xml:space="preserve"> PAGEREF _Toc403399557 \h </w:instrText>
        </w:r>
        <w:r w:rsidR="00CB499F">
          <w:rPr>
            <w:webHidden/>
          </w:rPr>
        </w:r>
        <w:r w:rsidR="00CB499F">
          <w:rPr>
            <w:webHidden/>
          </w:rPr>
          <w:fldChar w:fldCharType="separate"/>
        </w:r>
        <w:r w:rsidR="00142480">
          <w:rPr>
            <w:webHidden/>
          </w:rPr>
          <w:t>52</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58" w:history="1">
        <w:r w:rsidR="00CB499F" w:rsidRPr="009701FE">
          <w:rPr>
            <w:rStyle w:val="Hyperlink"/>
          </w:rPr>
          <w:t>4.5</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Conclusion and DUSC Commentary</w:t>
        </w:r>
        <w:r w:rsidR="00CB499F">
          <w:rPr>
            <w:webHidden/>
          </w:rPr>
          <w:tab/>
        </w:r>
        <w:r w:rsidR="00CB499F">
          <w:rPr>
            <w:webHidden/>
          </w:rPr>
          <w:fldChar w:fldCharType="begin"/>
        </w:r>
        <w:r w:rsidR="00CB499F">
          <w:rPr>
            <w:webHidden/>
          </w:rPr>
          <w:instrText xml:space="preserve"> PAGEREF _Toc403399558 \h </w:instrText>
        </w:r>
        <w:r w:rsidR="00CB499F">
          <w:rPr>
            <w:webHidden/>
          </w:rPr>
        </w:r>
        <w:r w:rsidR="00CB499F">
          <w:rPr>
            <w:webHidden/>
          </w:rPr>
          <w:fldChar w:fldCharType="separate"/>
        </w:r>
        <w:r w:rsidR="00142480">
          <w:rPr>
            <w:webHidden/>
          </w:rPr>
          <w:t>61</w:t>
        </w:r>
        <w:r w:rsidR="00CB499F">
          <w:rPr>
            <w:webHidden/>
          </w:rPr>
          <w:fldChar w:fldCharType="end"/>
        </w:r>
      </w:hyperlink>
    </w:p>
    <w:p w:rsidR="00CB499F" w:rsidRDefault="003403FC" w:rsidP="00CB499F">
      <w:pPr>
        <w:pStyle w:val="TOC1"/>
        <w:keepNext/>
        <w:keepLines/>
        <w:tabs>
          <w:tab w:val="right" w:leader="dot" w:pos="9016"/>
        </w:tabs>
        <w:rPr>
          <w:rFonts w:asciiTheme="minorHAnsi" w:eastAsiaTheme="minorEastAsia" w:hAnsiTheme="minorHAnsi" w:cstheme="minorBidi"/>
          <w:b w:val="0"/>
          <w:bCs w:val="0"/>
          <w:caps w:val="0"/>
          <w:sz w:val="22"/>
          <w:szCs w:val="22"/>
          <w:u w:val="none"/>
          <w:lang w:eastAsia="en-AU"/>
        </w:rPr>
      </w:pPr>
      <w:hyperlink w:anchor="_Toc403399559" w:history="1">
        <w:r w:rsidR="00CB499F" w:rsidRPr="009701FE">
          <w:rPr>
            <w:rStyle w:val="Hyperlink"/>
          </w:rPr>
          <w:t>Part 5 – PBS Listing of Type 2 Diabetes Medicines (ToR 3)</w:t>
        </w:r>
        <w:r w:rsidR="00CB499F">
          <w:rPr>
            <w:webHidden/>
          </w:rPr>
          <w:tab/>
        </w:r>
        <w:r w:rsidR="00CB499F">
          <w:rPr>
            <w:webHidden/>
          </w:rPr>
          <w:fldChar w:fldCharType="begin"/>
        </w:r>
        <w:r w:rsidR="00CB499F">
          <w:rPr>
            <w:webHidden/>
          </w:rPr>
          <w:instrText xml:space="preserve"> PAGEREF _Toc403399559 \h </w:instrText>
        </w:r>
        <w:r w:rsidR="00CB499F">
          <w:rPr>
            <w:webHidden/>
          </w:rPr>
        </w:r>
        <w:r w:rsidR="00CB499F">
          <w:rPr>
            <w:webHidden/>
          </w:rPr>
          <w:fldChar w:fldCharType="separate"/>
        </w:r>
        <w:r w:rsidR="00142480">
          <w:rPr>
            <w:webHidden/>
          </w:rPr>
          <w:t>64</w:t>
        </w:r>
        <w:r w:rsidR="00CB499F">
          <w:rPr>
            <w:webHidden/>
          </w:rPr>
          <w:fldChar w:fldCharType="end"/>
        </w:r>
      </w:hyperlink>
    </w:p>
    <w:p w:rsidR="00CB499F" w:rsidRDefault="003403FC" w:rsidP="00CB499F">
      <w:pPr>
        <w:pStyle w:val="TOC2"/>
        <w:keepNext/>
        <w:keepLines/>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60" w:history="1">
        <w:r w:rsidR="00CB499F" w:rsidRPr="009701FE">
          <w:rPr>
            <w:rStyle w:val="Hyperlink"/>
          </w:rPr>
          <w:t>5.1</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Key Findings</w:t>
        </w:r>
        <w:r w:rsidR="00CB499F">
          <w:rPr>
            <w:webHidden/>
          </w:rPr>
          <w:tab/>
        </w:r>
        <w:r w:rsidR="00CB499F">
          <w:rPr>
            <w:webHidden/>
          </w:rPr>
          <w:fldChar w:fldCharType="begin"/>
        </w:r>
        <w:r w:rsidR="00CB499F">
          <w:rPr>
            <w:webHidden/>
          </w:rPr>
          <w:instrText xml:space="preserve"> PAGEREF _Toc403399560 \h </w:instrText>
        </w:r>
        <w:r w:rsidR="00CB499F">
          <w:rPr>
            <w:webHidden/>
          </w:rPr>
        </w:r>
        <w:r w:rsidR="00CB499F">
          <w:rPr>
            <w:webHidden/>
          </w:rPr>
          <w:fldChar w:fldCharType="separate"/>
        </w:r>
        <w:r w:rsidR="00142480">
          <w:rPr>
            <w:webHidden/>
          </w:rPr>
          <w:t>64</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61" w:history="1">
        <w:r w:rsidR="00CB499F" w:rsidRPr="009701FE">
          <w:rPr>
            <w:rStyle w:val="Hyperlink"/>
          </w:rPr>
          <w:t>5.2</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Introduction and Scope</w:t>
        </w:r>
        <w:r w:rsidR="00CB499F">
          <w:rPr>
            <w:webHidden/>
          </w:rPr>
          <w:tab/>
        </w:r>
        <w:r w:rsidR="00CB499F">
          <w:rPr>
            <w:webHidden/>
          </w:rPr>
          <w:fldChar w:fldCharType="begin"/>
        </w:r>
        <w:r w:rsidR="00CB499F">
          <w:rPr>
            <w:webHidden/>
          </w:rPr>
          <w:instrText xml:space="preserve"> PAGEREF _Toc403399561 \h </w:instrText>
        </w:r>
        <w:r w:rsidR="00CB499F">
          <w:rPr>
            <w:webHidden/>
          </w:rPr>
        </w:r>
        <w:r w:rsidR="00CB499F">
          <w:rPr>
            <w:webHidden/>
          </w:rPr>
          <w:fldChar w:fldCharType="separate"/>
        </w:r>
        <w:r w:rsidR="00142480">
          <w:rPr>
            <w:webHidden/>
          </w:rPr>
          <w:t>65</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62" w:history="1">
        <w:r w:rsidR="00CB499F" w:rsidRPr="009701FE">
          <w:rPr>
            <w:rStyle w:val="Hyperlink"/>
          </w:rPr>
          <w:t>5.3</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Methods</w:t>
        </w:r>
        <w:r w:rsidR="00CB499F">
          <w:rPr>
            <w:webHidden/>
          </w:rPr>
          <w:tab/>
        </w:r>
        <w:r w:rsidR="00CB499F">
          <w:rPr>
            <w:webHidden/>
          </w:rPr>
          <w:fldChar w:fldCharType="begin"/>
        </w:r>
        <w:r w:rsidR="00CB499F">
          <w:rPr>
            <w:webHidden/>
          </w:rPr>
          <w:instrText xml:space="preserve"> PAGEREF _Toc403399562 \h </w:instrText>
        </w:r>
        <w:r w:rsidR="00CB499F">
          <w:rPr>
            <w:webHidden/>
          </w:rPr>
        </w:r>
        <w:r w:rsidR="00CB499F">
          <w:rPr>
            <w:webHidden/>
          </w:rPr>
          <w:fldChar w:fldCharType="separate"/>
        </w:r>
        <w:r w:rsidR="00142480">
          <w:rPr>
            <w:webHidden/>
          </w:rPr>
          <w:t>65</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63" w:history="1">
        <w:r w:rsidR="00CB499F" w:rsidRPr="009701FE">
          <w:rPr>
            <w:rStyle w:val="Hyperlink"/>
          </w:rPr>
          <w:t>5.4</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Results and Discussion</w:t>
        </w:r>
        <w:r w:rsidR="00CB499F">
          <w:rPr>
            <w:webHidden/>
          </w:rPr>
          <w:tab/>
        </w:r>
        <w:r w:rsidR="00CB499F">
          <w:rPr>
            <w:webHidden/>
          </w:rPr>
          <w:fldChar w:fldCharType="begin"/>
        </w:r>
        <w:r w:rsidR="00CB499F">
          <w:rPr>
            <w:webHidden/>
          </w:rPr>
          <w:instrText xml:space="preserve"> PAGEREF _Toc403399563 \h </w:instrText>
        </w:r>
        <w:r w:rsidR="00CB499F">
          <w:rPr>
            <w:webHidden/>
          </w:rPr>
        </w:r>
        <w:r w:rsidR="00CB499F">
          <w:rPr>
            <w:webHidden/>
          </w:rPr>
          <w:fldChar w:fldCharType="separate"/>
        </w:r>
        <w:r w:rsidR="00142480">
          <w:rPr>
            <w:webHidden/>
          </w:rPr>
          <w:t>66</w:t>
        </w:r>
        <w:r w:rsidR="00CB499F">
          <w:rPr>
            <w:webHidden/>
          </w:rPr>
          <w:fldChar w:fldCharType="end"/>
        </w:r>
      </w:hyperlink>
    </w:p>
    <w:p w:rsidR="00CB499F" w:rsidRDefault="003403FC">
      <w:pPr>
        <w:pStyle w:val="TOC1"/>
        <w:tabs>
          <w:tab w:val="right" w:leader="dot" w:pos="9016"/>
        </w:tabs>
        <w:rPr>
          <w:rFonts w:asciiTheme="minorHAnsi" w:eastAsiaTheme="minorEastAsia" w:hAnsiTheme="minorHAnsi" w:cstheme="minorBidi"/>
          <w:b w:val="0"/>
          <w:bCs w:val="0"/>
          <w:caps w:val="0"/>
          <w:sz w:val="22"/>
          <w:szCs w:val="22"/>
          <w:u w:val="none"/>
          <w:lang w:eastAsia="en-AU"/>
        </w:rPr>
      </w:pPr>
      <w:hyperlink w:anchor="_Toc403399564" w:history="1">
        <w:r w:rsidR="00CB499F" w:rsidRPr="009701FE">
          <w:rPr>
            <w:rStyle w:val="Hyperlink"/>
          </w:rPr>
          <w:t>Part 6 – New Clinical Trial Evidence (ToR 4)</w:t>
        </w:r>
        <w:r w:rsidR="00CB499F">
          <w:rPr>
            <w:webHidden/>
          </w:rPr>
          <w:tab/>
        </w:r>
        <w:r w:rsidR="00CB499F">
          <w:rPr>
            <w:webHidden/>
          </w:rPr>
          <w:fldChar w:fldCharType="begin"/>
        </w:r>
        <w:r w:rsidR="00CB499F">
          <w:rPr>
            <w:webHidden/>
          </w:rPr>
          <w:instrText xml:space="preserve"> PAGEREF _Toc403399564 \h </w:instrText>
        </w:r>
        <w:r w:rsidR="00CB499F">
          <w:rPr>
            <w:webHidden/>
          </w:rPr>
        </w:r>
        <w:r w:rsidR="00CB499F">
          <w:rPr>
            <w:webHidden/>
          </w:rPr>
          <w:fldChar w:fldCharType="separate"/>
        </w:r>
        <w:r w:rsidR="00142480">
          <w:rPr>
            <w:webHidden/>
          </w:rPr>
          <w:t>79</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65" w:history="1">
        <w:r w:rsidR="00CB499F" w:rsidRPr="009701FE">
          <w:rPr>
            <w:rStyle w:val="Hyperlink"/>
          </w:rPr>
          <w:t>6.1</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Key Findings</w:t>
        </w:r>
        <w:r w:rsidR="00CB499F">
          <w:rPr>
            <w:webHidden/>
          </w:rPr>
          <w:tab/>
        </w:r>
        <w:r w:rsidR="00CB499F">
          <w:rPr>
            <w:webHidden/>
          </w:rPr>
          <w:fldChar w:fldCharType="begin"/>
        </w:r>
        <w:r w:rsidR="00CB499F">
          <w:rPr>
            <w:webHidden/>
          </w:rPr>
          <w:instrText xml:space="preserve"> PAGEREF _Toc403399565 \h </w:instrText>
        </w:r>
        <w:r w:rsidR="00CB499F">
          <w:rPr>
            <w:webHidden/>
          </w:rPr>
        </w:r>
        <w:r w:rsidR="00CB499F">
          <w:rPr>
            <w:webHidden/>
          </w:rPr>
          <w:fldChar w:fldCharType="separate"/>
        </w:r>
        <w:r w:rsidR="00142480">
          <w:rPr>
            <w:webHidden/>
          </w:rPr>
          <w:t>79</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66" w:history="1">
        <w:r w:rsidR="00CB499F" w:rsidRPr="009701FE">
          <w:rPr>
            <w:rStyle w:val="Hyperlink"/>
          </w:rPr>
          <w:t>6.2</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Introduction and Scope</w:t>
        </w:r>
        <w:r w:rsidR="00CB499F">
          <w:rPr>
            <w:webHidden/>
          </w:rPr>
          <w:tab/>
        </w:r>
        <w:r w:rsidR="00CB499F">
          <w:rPr>
            <w:webHidden/>
          </w:rPr>
          <w:fldChar w:fldCharType="begin"/>
        </w:r>
        <w:r w:rsidR="00CB499F">
          <w:rPr>
            <w:webHidden/>
          </w:rPr>
          <w:instrText xml:space="preserve"> PAGEREF _Toc403399566 \h </w:instrText>
        </w:r>
        <w:r w:rsidR="00CB499F">
          <w:rPr>
            <w:webHidden/>
          </w:rPr>
        </w:r>
        <w:r w:rsidR="00CB499F">
          <w:rPr>
            <w:webHidden/>
          </w:rPr>
          <w:fldChar w:fldCharType="separate"/>
        </w:r>
        <w:r w:rsidR="00142480">
          <w:rPr>
            <w:webHidden/>
          </w:rPr>
          <w:t>80</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67" w:history="1">
        <w:r w:rsidR="00CB499F" w:rsidRPr="009701FE">
          <w:rPr>
            <w:rStyle w:val="Hyperlink"/>
          </w:rPr>
          <w:t>6.3</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Methods</w:t>
        </w:r>
        <w:r w:rsidR="00CB499F">
          <w:rPr>
            <w:webHidden/>
          </w:rPr>
          <w:tab/>
        </w:r>
        <w:r w:rsidR="00CB499F">
          <w:rPr>
            <w:webHidden/>
          </w:rPr>
          <w:fldChar w:fldCharType="begin"/>
        </w:r>
        <w:r w:rsidR="00CB499F">
          <w:rPr>
            <w:webHidden/>
          </w:rPr>
          <w:instrText xml:space="preserve"> PAGEREF _Toc403399567 \h </w:instrText>
        </w:r>
        <w:r w:rsidR="00CB499F">
          <w:rPr>
            <w:webHidden/>
          </w:rPr>
        </w:r>
        <w:r w:rsidR="00CB499F">
          <w:rPr>
            <w:webHidden/>
          </w:rPr>
          <w:fldChar w:fldCharType="separate"/>
        </w:r>
        <w:r w:rsidR="00142480">
          <w:rPr>
            <w:webHidden/>
          </w:rPr>
          <w:t>81</w:t>
        </w:r>
        <w:r w:rsidR="00CB499F">
          <w:rPr>
            <w:webHidden/>
          </w:rPr>
          <w:fldChar w:fldCharType="end"/>
        </w:r>
      </w:hyperlink>
    </w:p>
    <w:p w:rsidR="00CB499F" w:rsidRDefault="003403FC">
      <w:pPr>
        <w:pStyle w:val="TOC2"/>
        <w:tabs>
          <w:tab w:val="left" w:pos="560"/>
          <w:tab w:val="right" w:leader="dot" w:pos="9016"/>
        </w:tabs>
        <w:rPr>
          <w:rFonts w:asciiTheme="minorHAnsi" w:eastAsiaTheme="minorEastAsia" w:hAnsiTheme="minorHAnsi" w:cstheme="minorBidi"/>
          <w:b w:val="0"/>
          <w:bCs w:val="0"/>
          <w:smallCaps w:val="0"/>
          <w:sz w:val="22"/>
          <w:szCs w:val="22"/>
          <w:lang w:eastAsia="en-AU"/>
        </w:rPr>
      </w:pPr>
      <w:hyperlink w:anchor="_Toc403399568" w:history="1">
        <w:r w:rsidR="00CB499F" w:rsidRPr="009701FE">
          <w:rPr>
            <w:rStyle w:val="Hyperlink"/>
          </w:rPr>
          <w:t>6.4</w:t>
        </w:r>
        <w:r w:rsidR="00CB499F">
          <w:rPr>
            <w:rFonts w:asciiTheme="minorHAnsi" w:eastAsiaTheme="minorEastAsia" w:hAnsiTheme="minorHAnsi" w:cstheme="minorBidi"/>
            <w:b w:val="0"/>
            <w:bCs w:val="0"/>
            <w:smallCaps w:val="0"/>
            <w:sz w:val="22"/>
            <w:szCs w:val="22"/>
            <w:lang w:eastAsia="en-AU"/>
          </w:rPr>
          <w:tab/>
        </w:r>
        <w:r w:rsidR="00CB499F" w:rsidRPr="009701FE">
          <w:rPr>
            <w:rStyle w:val="Hyperlink"/>
          </w:rPr>
          <w:t>Results and Discussion</w:t>
        </w:r>
        <w:r w:rsidR="00CB499F">
          <w:rPr>
            <w:webHidden/>
          </w:rPr>
          <w:tab/>
        </w:r>
        <w:r w:rsidR="00CB499F">
          <w:rPr>
            <w:webHidden/>
          </w:rPr>
          <w:fldChar w:fldCharType="begin"/>
        </w:r>
        <w:r w:rsidR="00CB499F">
          <w:rPr>
            <w:webHidden/>
          </w:rPr>
          <w:instrText xml:space="preserve"> PAGEREF _Toc403399568 \h </w:instrText>
        </w:r>
        <w:r w:rsidR="00CB499F">
          <w:rPr>
            <w:webHidden/>
          </w:rPr>
        </w:r>
        <w:r w:rsidR="00CB499F">
          <w:rPr>
            <w:webHidden/>
          </w:rPr>
          <w:fldChar w:fldCharType="separate"/>
        </w:r>
        <w:r w:rsidR="00142480">
          <w:rPr>
            <w:webHidden/>
          </w:rPr>
          <w:t>83</w:t>
        </w:r>
        <w:r w:rsidR="00CB499F">
          <w:rPr>
            <w:webHidden/>
          </w:rPr>
          <w:fldChar w:fldCharType="end"/>
        </w:r>
      </w:hyperlink>
    </w:p>
    <w:p w:rsidR="00CB499F" w:rsidRDefault="003403FC">
      <w:pPr>
        <w:pStyle w:val="TOC1"/>
        <w:tabs>
          <w:tab w:val="right" w:leader="dot" w:pos="9016"/>
        </w:tabs>
        <w:rPr>
          <w:rFonts w:asciiTheme="minorHAnsi" w:eastAsiaTheme="minorEastAsia" w:hAnsiTheme="minorHAnsi" w:cstheme="minorBidi"/>
          <w:b w:val="0"/>
          <w:bCs w:val="0"/>
          <w:caps w:val="0"/>
          <w:sz w:val="22"/>
          <w:szCs w:val="22"/>
          <w:u w:val="none"/>
          <w:lang w:eastAsia="en-AU"/>
        </w:rPr>
      </w:pPr>
      <w:hyperlink w:anchor="_Toc403399569" w:history="1">
        <w:r w:rsidR="00CB499F" w:rsidRPr="009701FE">
          <w:rPr>
            <w:rStyle w:val="Hyperlink"/>
          </w:rPr>
          <w:t>References</w:t>
        </w:r>
        <w:r w:rsidR="00CB499F">
          <w:rPr>
            <w:webHidden/>
          </w:rPr>
          <w:tab/>
        </w:r>
        <w:r w:rsidR="00CB499F">
          <w:rPr>
            <w:webHidden/>
          </w:rPr>
          <w:fldChar w:fldCharType="begin"/>
        </w:r>
        <w:r w:rsidR="00CB499F">
          <w:rPr>
            <w:webHidden/>
          </w:rPr>
          <w:instrText xml:space="preserve"> PAGEREF _Toc403399569 \h </w:instrText>
        </w:r>
        <w:r w:rsidR="00CB499F">
          <w:rPr>
            <w:webHidden/>
          </w:rPr>
        </w:r>
        <w:r w:rsidR="00CB499F">
          <w:rPr>
            <w:webHidden/>
          </w:rPr>
          <w:fldChar w:fldCharType="separate"/>
        </w:r>
        <w:r w:rsidR="00142480">
          <w:rPr>
            <w:webHidden/>
          </w:rPr>
          <w:t>101</w:t>
        </w:r>
        <w:r w:rsidR="00CB499F">
          <w:rPr>
            <w:webHidden/>
          </w:rPr>
          <w:fldChar w:fldCharType="end"/>
        </w:r>
      </w:hyperlink>
    </w:p>
    <w:p w:rsidR="00CB499F" w:rsidRDefault="003403FC">
      <w:pPr>
        <w:pStyle w:val="TOC1"/>
        <w:tabs>
          <w:tab w:val="right" w:leader="dot" w:pos="9016"/>
        </w:tabs>
        <w:rPr>
          <w:rFonts w:asciiTheme="minorHAnsi" w:eastAsiaTheme="minorEastAsia" w:hAnsiTheme="minorHAnsi" w:cstheme="minorBidi"/>
          <w:b w:val="0"/>
          <w:bCs w:val="0"/>
          <w:caps w:val="0"/>
          <w:sz w:val="22"/>
          <w:szCs w:val="22"/>
          <w:u w:val="none"/>
          <w:lang w:eastAsia="en-AU"/>
        </w:rPr>
      </w:pPr>
      <w:hyperlink w:anchor="_Toc403399570" w:history="1">
        <w:r w:rsidR="00CB499F" w:rsidRPr="009701FE">
          <w:rPr>
            <w:rStyle w:val="Hyperlink"/>
          </w:rPr>
          <w:t>Glossary</w:t>
        </w:r>
        <w:r w:rsidR="00CB499F">
          <w:rPr>
            <w:webHidden/>
          </w:rPr>
          <w:tab/>
        </w:r>
        <w:r w:rsidR="00CB499F">
          <w:rPr>
            <w:webHidden/>
          </w:rPr>
          <w:fldChar w:fldCharType="begin"/>
        </w:r>
        <w:r w:rsidR="00CB499F">
          <w:rPr>
            <w:webHidden/>
          </w:rPr>
          <w:instrText xml:space="preserve"> PAGEREF _Toc403399570 \h </w:instrText>
        </w:r>
        <w:r w:rsidR="00CB499F">
          <w:rPr>
            <w:webHidden/>
          </w:rPr>
        </w:r>
        <w:r w:rsidR="00CB499F">
          <w:rPr>
            <w:webHidden/>
          </w:rPr>
          <w:fldChar w:fldCharType="separate"/>
        </w:r>
        <w:r w:rsidR="00142480">
          <w:rPr>
            <w:webHidden/>
          </w:rPr>
          <w:t>109</w:t>
        </w:r>
        <w:r w:rsidR="00CB499F">
          <w:rPr>
            <w:webHidden/>
          </w:rPr>
          <w:fldChar w:fldCharType="end"/>
        </w:r>
      </w:hyperlink>
    </w:p>
    <w:p w:rsidR="00CB499F" w:rsidRDefault="003403FC">
      <w:pPr>
        <w:pStyle w:val="TOC1"/>
        <w:tabs>
          <w:tab w:val="right" w:leader="dot" w:pos="9016"/>
        </w:tabs>
        <w:rPr>
          <w:rFonts w:asciiTheme="minorHAnsi" w:eastAsiaTheme="minorEastAsia" w:hAnsiTheme="minorHAnsi" w:cstheme="minorBidi"/>
          <w:b w:val="0"/>
          <w:bCs w:val="0"/>
          <w:caps w:val="0"/>
          <w:sz w:val="22"/>
          <w:szCs w:val="22"/>
          <w:u w:val="none"/>
          <w:lang w:eastAsia="en-AU"/>
        </w:rPr>
      </w:pPr>
      <w:hyperlink w:anchor="_Toc403399571" w:history="1">
        <w:r w:rsidR="00CB499F" w:rsidRPr="009701FE">
          <w:rPr>
            <w:rStyle w:val="Hyperlink"/>
          </w:rPr>
          <w:t>Appendices</w:t>
        </w:r>
        <w:r w:rsidR="00CB499F">
          <w:rPr>
            <w:webHidden/>
          </w:rPr>
          <w:tab/>
        </w:r>
        <w:r w:rsidR="00CB499F">
          <w:rPr>
            <w:webHidden/>
          </w:rPr>
          <w:fldChar w:fldCharType="begin"/>
        </w:r>
        <w:r w:rsidR="00CB499F">
          <w:rPr>
            <w:webHidden/>
          </w:rPr>
          <w:instrText xml:space="preserve"> PAGEREF _Toc403399571 \h </w:instrText>
        </w:r>
        <w:r w:rsidR="00CB499F">
          <w:rPr>
            <w:webHidden/>
          </w:rPr>
        </w:r>
        <w:r w:rsidR="00CB499F">
          <w:rPr>
            <w:webHidden/>
          </w:rPr>
          <w:fldChar w:fldCharType="separate"/>
        </w:r>
        <w:r w:rsidR="00142480">
          <w:rPr>
            <w:webHidden/>
          </w:rPr>
          <w:t>111</w:t>
        </w:r>
        <w:r w:rsidR="00CB499F">
          <w:rPr>
            <w:webHidden/>
          </w:rPr>
          <w:fldChar w:fldCharType="end"/>
        </w:r>
      </w:hyperlink>
    </w:p>
    <w:p w:rsidR="00CB499F" w:rsidRDefault="003403FC">
      <w:pPr>
        <w:pStyle w:val="TOC2"/>
        <w:tabs>
          <w:tab w:val="right" w:leader="dot" w:pos="9016"/>
        </w:tabs>
        <w:rPr>
          <w:rFonts w:asciiTheme="minorHAnsi" w:eastAsiaTheme="minorEastAsia" w:hAnsiTheme="minorHAnsi" w:cstheme="minorBidi"/>
          <w:b w:val="0"/>
          <w:bCs w:val="0"/>
          <w:smallCaps w:val="0"/>
          <w:sz w:val="22"/>
          <w:szCs w:val="22"/>
          <w:lang w:eastAsia="en-AU"/>
        </w:rPr>
      </w:pPr>
      <w:hyperlink w:anchor="_Toc403399572" w:history="1">
        <w:r w:rsidR="00CB499F" w:rsidRPr="009701FE">
          <w:rPr>
            <w:rStyle w:val="Hyperlink"/>
          </w:rPr>
          <w:t>Appendix A: Context for the Diabetes Post-market Review</w:t>
        </w:r>
        <w:r w:rsidR="00CB499F">
          <w:rPr>
            <w:webHidden/>
          </w:rPr>
          <w:tab/>
        </w:r>
        <w:r w:rsidR="00CB499F">
          <w:rPr>
            <w:webHidden/>
          </w:rPr>
          <w:fldChar w:fldCharType="begin"/>
        </w:r>
        <w:r w:rsidR="00CB499F">
          <w:rPr>
            <w:webHidden/>
          </w:rPr>
          <w:instrText xml:space="preserve"> PAGEREF _Toc403399572 \h </w:instrText>
        </w:r>
        <w:r w:rsidR="00CB499F">
          <w:rPr>
            <w:webHidden/>
          </w:rPr>
        </w:r>
        <w:r w:rsidR="00CB499F">
          <w:rPr>
            <w:webHidden/>
          </w:rPr>
          <w:fldChar w:fldCharType="separate"/>
        </w:r>
        <w:r w:rsidR="00142480">
          <w:rPr>
            <w:webHidden/>
          </w:rPr>
          <w:t>111</w:t>
        </w:r>
        <w:r w:rsidR="00CB499F">
          <w:rPr>
            <w:webHidden/>
          </w:rPr>
          <w:fldChar w:fldCharType="end"/>
        </w:r>
      </w:hyperlink>
    </w:p>
    <w:p w:rsidR="00CB499F" w:rsidRDefault="003403FC">
      <w:pPr>
        <w:pStyle w:val="TOC2"/>
        <w:tabs>
          <w:tab w:val="right" w:leader="dot" w:pos="9016"/>
        </w:tabs>
        <w:rPr>
          <w:rFonts w:asciiTheme="minorHAnsi" w:eastAsiaTheme="minorEastAsia" w:hAnsiTheme="minorHAnsi" w:cstheme="minorBidi"/>
          <w:b w:val="0"/>
          <w:bCs w:val="0"/>
          <w:smallCaps w:val="0"/>
          <w:sz w:val="22"/>
          <w:szCs w:val="22"/>
          <w:lang w:eastAsia="en-AU"/>
        </w:rPr>
      </w:pPr>
      <w:hyperlink w:anchor="_Toc403399573" w:history="1">
        <w:r w:rsidR="00CB499F" w:rsidRPr="009701FE">
          <w:rPr>
            <w:rStyle w:val="Hyperlink"/>
          </w:rPr>
          <w:t>Appendix B: List of organisations invited to the Stakeholder Forum</w:t>
        </w:r>
        <w:r w:rsidR="00CB499F">
          <w:rPr>
            <w:webHidden/>
          </w:rPr>
          <w:tab/>
        </w:r>
        <w:r w:rsidR="00CB499F">
          <w:rPr>
            <w:webHidden/>
          </w:rPr>
          <w:fldChar w:fldCharType="begin"/>
        </w:r>
        <w:r w:rsidR="00CB499F">
          <w:rPr>
            <w:webHidden/>
          </w:rPr>
          <w:instrText xml:space="preserve"> PAGEREF _Toc403399573 \h </w:instrText>
        </w:r>
        <w:r w:rsidR="00CB499F">
          <w:rPr>
            <w:webHidden/>
          </w:rPr>
        </w:r>
        <w:r w:rsidR="00CB499F">
          <w:rPr>
            <w:webHidden/>
          </w:rPr>
          <w:fldChar w:fldCharType="separate"/>
        </w:r>
        <w:r w:rsidR="00142480">
          <w:rPr>
            <w:webHidden/>
          </w:rPr>
          <w:t>113</w:t>
        </w:r>
        <w:r w:rsidR="00CB499F">
          <w:rPr>
            <w:webHidden/>
          </w:rPr>
          <w:fldChar w:fldCharType="end"/>
        </w:r>
      </w:hyperlink>
    </w:p>
    <w:p w:rsidR="00CB499F" w:rsidRDefault="003403FC">
      <w:pPr>
        <w:pStyle w:val="TOC2"/>
        <w:tabs>
          <w:tab w:val="right" w:leader="dot" w:pos="9016"/>
        </w:tabs>
        <w:rPr>
          <w:rFonts w:asciiTheme="minorHAnsi" w:eastAsiaTheme="minorEastAsia" w:hAnsiTheme="minorHAnsi" w:cstheme="minorBidi"/>
          <w:b w:val="0"/>
          <w:bCs w:val="0"/>
          <w:smallCaps w:val="0"/>
          <w:sz w:val="22"/>
          <w:szCs w:val="22"/>
          <w:lang w:eastAsia="en-AU"/>
        </w:rPr>
      </w:pPr>
      <w:hyperlink w:anchor="_Toc403399574" w:history="1">
        <w:r w:rsidR="00CB499F" w:rsidRPr="009701FE">
          <w:rPr>
            <w:rStyle w:val="Hyperlink"/>
          </w:rPr>
          <w:t>Appendix C: Australian Government Diabetes Initiatives</w:t>
        </w:r>
        <w:r w:rsidR="00CB499F">
          <w:rPr>
            <w:webHidden/>
          </w:rPr>
          <w:tab/>
        </w:r>
        <w:r w:rsidR="00CB499F">
          <w:rPr>
            <w:webHidden/>
          </w:rPr>
          <w:fldChar w:fldCharType="begin"/>
        </w:r>
        <w:r w:rsidR="00CB499F">
          <w:rPr>
            <w:webHidden/>
          </w:rPr>
          <w:instrText xml:space="preserve"> PAGEREF _Toc403399574 \h </w:instrText>
        </w:r>
        <w:r w:rsidR="00CB499F">
          <w:rPr>
            <w:webHidden/>
          </w:rPr>
        </w:r>
        <w:r w:rsidR="00CB499F">
          <w:rPr>
            <w:webHidden/>
          </w:rPr>
          <w:fldChar w:fldCharType="separate"/>
        </w:r>
        <w:r w:rsidR="00142480">
          <w:rPr>
            <w:webHidden/>
          </w:rPr>
          <w:t>115</w:t>
        </w:r>
        <w:r w:rsidR="00CB499F">
          <w:rPr>
            <w:webHidden/>
          </w:rPr>
          <w:fldChar w:fldCharType="end"/>
        </w:r>
      </w:hyperlink>
    </w:p>
    <w:p w:rsidR="00CB499F" w:rsidRDefault="003403FC">
      <w:pPr>
        <w:pStyle w:val="TOC2"/>
        <w:tabs>
          <w:tab w:val="right" w:leader="dot" w:pos="9016"/>
        </w:tabs>
        <w:rPr>
          <w:rFonts w:asciiTheme="minorHAnsi" w:eastAsiaTheme="minorEastAsia" w:hAnsiTheme="minorHAnsi" w:cstheme="minorBidi"/>
          <w:b w:val="0"/>
          <w:bCs w:val="0"/>
          <w:smallCaps w:val="0"/>
          <w:sz w:val="22"/>
          <w:szCs w:val="22"/>
          <w:lang w:eastAsia="en-AU"/>
        </w:rPr>
      </w:pPr>
      <w:hyperlink w:anchor="_Toc403399575" w:history="1">
        <w:r w:rsidR="00CB499F" w:rsidRPr="009701FE">
          <w:rPr>
            <w:rStyle w:val="Hyperlink"/>
          </w:rPr>
          <w:t>Appendix D: Utilisation analysis – Medicine name abbreviations</w:t>
        </w:r>
        <w:r w:rsidR="00CB499F">
          <w:rPr>
            <w:webHidden/>
          </w:rPr>
          <w:tab/>
        </w:r>
        <w:r w:rsidR="00CB499F">
          <w:rPr>
            <w:webHidden/>
          </w:rPr>
          <w:fldChar w:fldCharType="begin"/>
        </w:r>
        <w:r w:rsidR="00CB499F">
          <w:rPr>
            <w:webHidden/>
          </w:rPr>
          <w:instrText xml:space="preserve"> PAGEREF _Toc403399575 \h </w:instrText>
        </w:r>
        <w:r w:rsidR="00CB499F">
          <w:rPr>
            <w:webHidden/>
          </w:rPr>
        </w:r>
        <w:r w:rsidR="00CB499F">
          <w:rPr>
            <w:webHidden/>
          </w:rPr>
          <w:fldChar w:fldCharType="separate"/>
        </w:r>
        <w:r w:rsidR="00142480">
          <w:rPr>
            <w:webHidden/>
          </w:rPr>
          <w:t>119</w:t>
        </w:r>
        <w:r w:rsidR="00CB499F">
          <w:rPr>
            <w:webHidden/>
          </w:rPr>
          <w:fldChar w:fldCharType="end"/>
        </w:r>
      </w:hyperlink>
    </w:p>
    <w:p w:rsidR="00CB499F" w:rsidRDefault="003403FC">
      <w:pPr>
        <w:pStyle w:val="TOC2"/>
        <w:tabs>
          <w:tab w:val="right" w:leader="dot" w:pos="9016"/>
        </w:tabs>
        <w:rPr>
          <w:rFonts w:asciiTheme="minorHAnsi" w:eastAsiaTheme="minorEastAsia" w:hAnsiTheme="minorHAnsi" w:cstheme="minorBidi"/>
          <w:b w:val="0"/>
          <w:bCs w:val="0"/>
          <w:smallCaps w:val="0"/>
          <w:sz w:val="22"/>
          <w:szCs w:val="22"/>
          <w:lang w:eastAsia="en-AU"/>
        </w:rPr>
      </w:pPr>
      <w:hyperlink w:anchor="_Toc403399576" w:history="1">
        <w:r w:rsidR="00CB499F" w:rsidRPr="009701FE">
          <w:rPr>
            <w:rStyle w:val="Hyperlink"/>
          </w:rPr>
          <w:t>Appendix E: Utilisation analysis – TGA listings and PBS restrictions</w:t>
        </w:r>
        <w:r w:rsidR="00CB499F">
          <w:rPr>
            <w:webHidden/>
          </w:rPr>
          <w:tab/>
        </w:r>
        <w:r w:rsidR="00CB499F">
          <w:rPr>
            <w:webHidden/>
          </w:rPr>
          <w:fldChar w:fldCharType="begin"/>
        </w:r>
        <w:r w:rsidR="00CB499F">
          <w:rPr>
            <w:webHidden/>
          </w:rPr>
          <w:instrText xml:space="preserve"> PAGEREF _Toc403399576 \h </w:instrText>
        </w:r>
        <w:r w:rsidR="00CB499F">
          <w:rPr>
            <w:webHidden/>
          </w:rPr>
        </w:r>
        <w:r w:rsidR="00CB499F">
          <w:rPr>
            <w:webHidden/>
          </w:rPr>
          <w:fldChar w:fldCharType="separate"/>
        </w:r>
        <w:r w:rsidR="00142480">
          <w:rPr>
            <w:webHidden/>
          </w:rPr>
          <w:t>120</w:t>
        </w:r>
        <w:r w:rsidR="00CB499F">
          <w:rPr>
            <w:webHidden/>
          </w:rPr>
          <w:fldChar w:fldCharType="end"/>
        </w:r>
      </w:hyperlink>
    </w:p>
    <w:p w:rsidR="00CB499F" w:rsidRDefault="003403FC">
      <w:pPr>
        <w:pStyle w:val="TOC2"/>
        <w:tabs>
          <w:tab w:val="right" w:leader="dot" w:pos="9016"/>
        </w:tabs>
        <w:rPr>
          <w:rFonts w:asciiTheme="minorHAnsi" w:eastAsiaTheme="minorEastAsia" w:hAnsiTheme="minorHAnsi" w:cstheme="minorBidi"/>
          <w:b w:val="0"/>
          <w:bCs w:val="0"/>
          <w:smallCaps w:val="0"/>
          <w:sz w:val="22"/>
          <w:szCs w:val="22"/>
          <w:lang w:eastAsia="en-AU"/>
        </w:rPr>
      </w:pPr>
      <w:hyperlink w:anchor="_Toc403399577" w:history="1">
        <w:r w:rsidR="00CB499F" w:rsidRPr="009701FE">
          <w:rPr>
            <w:rStyle w:val="Hyperlink"/>
          </w:rPr>
          <w:t>Appendix F: PBS/RPBS Prescriptions and Expenditure by Medicine</w:t>
        </w:r>
        <w:r w:rsidR="00CB499F">
          <w:rPr>
            <w:webHidden/>
          </w:rPr>
          <w:tab/>
        </w:r>
        <w:r w:rsidR="00CB499F">
          <w:rPr>
            <w:webHidden/>
          </w:rPr>
          <w:fldChar w:fldCharType="begin"/>
        </w:r>
        <w:r w:rsidR="00CB499F">
          <w:rPr>
            <w:webHidden/>
          </w:rPr>
          <w:instrText xml:space="preserve"> PAGEREF _Toc403399577 \h </w:instrText>
        </w:r>
        <w:r w:rsidR="00CB499F">
          <w:rPr>
            <w:webHidden/>
          </w:rPr>
        </w:r>
        <w:r w:rsidR="00CB499F">
          <w:rPr>
            <w:webHidden/>
          </w:rPr>
          <w:fldChar w:fldCharType="separate"/>
        </w:r>
        <w:r w:rsidR="00142480">
          <w:rPr>
            <w:webHidden/>
          </w:rPr>
          <w:t>125</w:t>
        </w:r>
        <w:r w:rsidR="00CB499F">
          <w:rPr>
            <w:webHidden/>
          </w:rPr>
          <w:fldChar w:fldCharType="end"/>
        </w:r>
      </w:hyperlink>
    </w:p>
    <w:p w:rsidR="00CB499F" w:rsidRDefault="003403FC">
      <w:pPr>
        <w:pStyle w:val="TOC2"/>
        <w:tabs>
          <w:tab w:val="right" w:leader="dot" w:pos="9016"/>
        </w:tabs>
        <w:rPr>
          <w:rFonts w:asciiTheme="minorHAnsi" w:eastAsiaTheme="minorEastAsia" w:hAnsiTheme="minorHAnsi" w:cstheme="minorBidi"/>
          <w:b w:val="0"/>
          <w:bCs w:val="0"/>
          <w:smallCaps w:val="0"/>
          <w:sz w:val="22"/>
          <w:szCs w:val="22"/>
          <w:lang w:eastAsia="en-AU"/>
        </w:rPr>
      </w:pPr>
      <w:hyperlink w:anchor="_Toc403399578" w:history="1">
        <w:r w:rsidR="00CB499F" w:rsidRPr="009701FE">
          <w:rPr>
            <w:rStyle w:val="Hyperlink"/>
          </w:rPr>
          <w:t>Appendix G: Literature Review – Supplementary Tables</w:t>
        </w:r>
        <w:r w:rsidR="00CB499F">
          <w:rPr>
            <w:webHidden/>
          </w:rPr>
          <w:tab/>
        </w:r>
        <w:r w:rsidR="00CB499F">
          <w:rPr>
            <w:webHidden/>
          </w:rPr>
          <w:fldChar w:fldCharType="begin"/>
        </w:r>
        <w:r w:rsidR="00CB499F">
          <w:rPr>
            <w:webHidden/>
          </w:rPr>
          <w:instrText xml:space="preserve"> PAGEREF _Toc403399578 \h </w:instrText>
        </w:r>
        <w:r w:rsidR="00CB499F">
          <w:rPr>
            <w:webHidden/>
          </w:rPr>
        </w:r>
        <w:r w:rsidR="00CB499F">
          <w:rPr>
            <w:webHidden/>
          </w:rPr>
          <w:fldChar w:fldCharType="separate"/>
        </w:r>
        <w:r w:rsidR="00142480">
          <w:rPr>
            <w:webHidden/>
          </w:rPr>
          <w:t>128</w:t>
        </w:r>
        <w:r w:rsidR="00CB499F">
          <w:rPr>
            <w:webHidden/>
          </w:rPr>
          <w:fldChar w:fldCharType="end"/>
        </w:r>
      </w:hyperlink>
    </w:p>
    <w:p w:rsidR="00134808" w:rsidRPr="00A53E3C" w:rsidRDefault="00C01ACC" w:rsidP="0086636B">
      <w:pPr>
        <w:pStyle w:val="Heading1"/>
      </w:pPr>
      <w:r>
        <w:rPr>
          <w:sz w:val="22"/>
          <w:szCs w:val="22"/>
        </w:rPr>
        <w:fldChar w:fldCharType="end"/>
      </w:r>
      <w:r w:rsidR="00F92449" w:rsidRPr="00A20C34">
        <w:rPr>
          <w:sz w:val="22"/>
          <w:szCs w:val="22"/>
        </w:rPr>
        <w:br w:type="page"/>
      </w:r>
      <w:bookmarkStart w:id="121" w:name="_Toc382906694"/>
      <w:bookmarkStart w:id="122" w:name="_Toc397947691"/>
      <w:bookmarkStart w:id="123" w:name="_Toc403399532"/>
      <w:r w:rsidR="00134808" w:rsidRPr="00A53E3C">
        <w:lastRenderedPageBreak/>
        <w:t>Structure of the Report</w:t>
      </w:r>
      <w:bookmarkEnd w:id="121"/>
      <w:bookmarkEnd w:id="122"/>
      <w:bookmarkEnd w:id="123"/>
    </w:p>
    <w:p w:rsidR="00E82A87" w:rsidRDefault="00E82A87" w:rsidP="00492694"/>
    <w:p w:rsidR="008743DD" w:rsidRDefault="00320252" w:rsidP="00492694">
      <w:r w:rsidRPr="00A53E3C">
        <w:t>This R</w:t>
      </w:r>
      <w:r w:rsidR="00134808" w:rsidRPr="00A53E3C">
        <w:t xml:space="preserve">eport is presented in </w:t>
      </w:r>
      <w:r w:rsidR="00FA102D">
        <w:t xml:space="preserve">seven </w:t>
      </w:r>
      <w:r w:rsidR="00134808" w:rsidRPr="00A53E3C">
        <w:t>parts, a</w:t>
      </w:r>
      <w:r w:rsidRPr="00A53E3C">
        <w:t xml:space="preserve">s briefly outlined below. </w:t>
      </w:r>
    </w:p>
    <w:p w:rsidR="00134808" w:rsidRPr="00A53E3C" w:rsidRDefault="008743DD" w:rsidP="00492694">
      <w:r w:rsidRPr="00840C82">
        <w:rPr>
          <w:b/>
        </w:rPr>
        <w:t>Executive Summary</w:t>
      </w:r>
      <w:r>
        <w:t xml:space="preserve"> – </w:t>
      </w:r>
      <w:r w:rsidR="00840C82">
        <w:t>Summarises the key findings of the Review, including the Reference Group’s consideration of the evidence and stakeholder input.</w:t>
      </w:r>
    </w:p>
    <w:p w:rsidR="00134808" w:rsidRPr="00A53E3C" w:rsidRDefault="00134808" w:rsidP="00492694">
      <w:r w:rsidRPr="00A53E3C">
        <w:rPr>
          <w:b/>
        </w:rPr>
        <w:t>Part 1</w:t>
      </w:r>
      <w:r w:rsidR="00EF4E60">
        <w:t xml:space="preserve">– Provides the background, </w:t>
      </w:r>
      <w:r w:rsidRPr="00A53E3C">
        <w:t>context</w:t>
      </w:r>
      <w:r w:rsidR="00C264A3" w:rsidRPr="00A53E3C">
        <w:t xml:space="preserve"> </w:t>
      </w:r>
      <w:r w:rsidR="00EF4E60">
        <w:t xml:space="preserve">and process </w:t>
      </w:r>
      <w:r w:rsidR="00C264A3" w:rsidRPr="00A53E3C">
        <w:t xml:space="preserve">for the Review. </w:t>
      </w:r>
    </w:p>
    <w:p w:rsidR="00134808" w:rsidRPr="00A53E3C" w:rsidRDefault="00134808" w:rsidP="00492694">
      <w:pPr>
        <w:rPr>
          <w:b/>
        </w:rPr>
      </w:pPr>
      <w:r w:rsidRPr="00A53E3C">
        <w:rPr>
          <w:b/>
        </w:rPr>
        <w:t xml:space="preserve">Part 2 – </w:t>
      </w:r>
      <w:r w:rsidR="003C6D04">
        <w:t>Provides</w:t>
      </w:r>
      <w:r w:rsidRPr="00A53E3C">
        <w:t xml:space="preserve"> background </w:t>
      </w:r>
      <w:r w:rsidR="003C6D04">
        <w:t xml:space="preserve">information on </w:t>
      </w:r>
      <w:r w:rsidR="003F4837">
        <w:t xml:space="preserve">type 2 </w:t>
      </w:r>
      <w:r w:rsidRPr="00A53E3C">
        <w:t>diabetes,</w:t>
      </w:r>
      <w:r w:rsidR="003C6D04">
        <w:t xml:space="preserve"> including</w:t>
      </w:r>
      <w:r w:rsidR="00C264A3" w:rsidRPr="00A53E3C">
        <w:t xml:space="preserve"> its prevalence and impact in Australia. This part also provides a</w:t>
      </w:r>
      <w:r w:rsidR="00EF4E60">
        <w:t xml:space="preserve"> summary of Australian and international guidelines for the treatment of type 2 diabetes, focussing on pharmacotherapy algorithms</w:t>
      </w:r>
      <w:r w:rsidR="00C264A3" w:rsidRPr="00A53E3C">
        <w:t xml:space="preserve">. </w:t>
      </w:r>
    </w:p>
    <w:p w:rsidR="00EB49D9" w:rsidRPr="00356AEE" w:rsidRDefault="00134808" w:rsidP="00492694">
      <w:r w:rsidRPr="00A53E3C">
        <w:rPr>
          <w:b/>
        </w:rPr>
        <w:t xml:space="preserve">Part 3 </w:t>
      </w:r>
      <w:r w:rsidRPr="00A53E3C">
        <w:t>–</w:t>
      </w:r>
      <w:r w:rsidRPr="00A53E3C">
        <w:rPr>
          <w:b/>
        </w:rPr>
        <w:t xml:space="preserve"> </w:t>
      </w:r>
      <w:r w:rsidR="00356AEE">
        <w:t xml:space="preserve">Provides summaries of the key points raised by stakeholders in </w:t>
      </w:r>
      <w:r w:rsidR="00356AEE" w:rsidRPr="00A53E3C">
        <w:t xml:space="preserve">submissions and </w:t>
      </w:r>
      <w:r w:rsidR="00356AEE">
        <w:t xml:space="preserve">at the </w:t>
      </w:r>
      <w:r w:rsidR="00356AEE" w:rsidRPr="00A53E3C">
        <w:t xml:space="preserve">Stakeholder Forum, and advice </w:t>
      </w:r>
      <w:r w:rsidR="00996D37">
        <w:t xml:space="preserve">used </w:t>
      </w:r>
      <w:r w:rsidR="00356AEE" w:rsidRPr="00A53E3C">
        <w:t xml:space="preserve">to </w:t>
      </w:r>
      <w:r w:rsidR="00996D37">
        <w:t xml:space="preserve">guide </w:t>
      </w:r>
      <w:r w:rsidR="00356AEE" w:rsidRPr="00A53E3C">
        <w:t xml:space="preserve">the Review provided </w:t>
      </w:r>
      <w:r w:rsidR="00356AEE">
        <w:t xml:space="preserve">by the Internal </w:t>
      </w:r>
      <w:r w:rsidR="00356AEE" w:rsidRPr="00A53E3C">
        <w:t>Working Group and Diabetes Review Reference Group</w:t>
      </w:r>
      <w:r w:rsidR="00356AEE">
        <w:t xml:space="preserve">. </w:t>
      </w:r>
    </w:p>
    <w:p w:rsidR="00EF4E60" w:rsidRPr="00EF4E60" w:rsidRDefault="00EB49D9" w:rsidP="00492694">
      <w:r w:rsidRPr="00A53E3C">
        <w:rPr>
          <w:b/>
        </w:rPr>
        <w:t>Part 4</w:t>
      </w:r>
      <w:r w:rsidRPr="00A53E3C">
        <w:t xml:space="preserve"> – </w:t>
      </w:r>
      <w:r>
        <w:t xml:space="preserve">Describes the use </w:t>
      </w:r>
      <w:r w:rsidR="00C961DD">
        <w:t xml:space="preserve">of type 2 diabetes medicines </w:t>
      </w:r>
      <w:r>
        <w:t xml:space="preserve">and patterns of treatment </w:t>
      </w:r>
      <w:r w:rsidR="00C961DD">
        <w:t>i</w:t>
      </w:r>
      <w:r>
        <w:t>n Australia based on Pharmaceutical Benefits Scheme (PBS)</w:t>
      </w:r>
      <w:r w:rsidR="00C961DD">
        <w:t xml:space="preserve"> data. </w:t>
      </w:r>
      <w:r w:rsidR="00996D37">
        <w:t>This is considered in the context of the</w:t>
      </w:r>
      <w:r>
        <w:t xml:space="preserve"> PBS restrictions to determine if </w:t>
      </w:r>
      <w:r w:rsidR="00996D37">
        <w:t>current use represents</w:t>
      </w:r>
      <w:r>
        <w:t xml:space="preserve"> expected cost-effective use.</w:t>
      </w:r>
    </w:p>
    <w:p w:rsidR="00EF4E60" w:rsidRDefault="00EB49D9" w:rsidP="00492694">
      <w:r>
        <w:rPr>
          <w:b/>
        </w:rPr>
        <w:t>Part 5</w:t>
      </w:r>
      <w:r w:rsidR="005449AC" w:rsidRPr="00A53E3C">
        <w:t xml:space="preserve"> –</w:t>
      </w:r>
      <w:r w:rsidR="00804EF0" w:rsidRPr="00A53E3C">
        <w:t xml:space="preserve"> </w:t>
      </w:r>
      <w:r>
        <w:t xml:space="preserve">Summarises the clinical trial evidence used to support PBS listing of </w:t>
      </w:r>
      <w:r w:rsidR="003F4837">
        <w:t xml:space="preserve">type 2 diabetes </w:t>
      </w:r>
      <w:r>
        <w:t>medicines from January 2002 to November 2013.</w:t>
      </w:r>
    </w:p>
    <w:p w:rsidR="00EB49D9" w:rsidRDefault="00EB49D9" w:rsidP="00492694">
      <w:r>
        <w:rPr>
          <w:b/>
        </w:rPr>
        <w:t>Part 6</w:t>
      </w:r>
      <w:r w:rsidR="00804EF0" w:rsidRPr="00A53E3C">
        <w:t xml:space="preserve"> – </w:t>
      </w:r>
      <w:r w:rsidR="006110F5">
        <w:t xml:space="preserve">Collates new trial evidence </w:t>
      </w:r>
      <w:r>
        <w:t>published since 2002 on the safety and eff</w:t>
      </w:r>
      <w:r w:rsidR="003F4837">
        <w:t>icacy of type 2 diabetes medicines, including network meta-analyses of the triple therapy trials.</w:t>
      </w:r>
    </w:p>
    <w:p w:rsidR="008A311E" w:rsidRPr="00A53E3C" w:rsidRDefault="008A311E" w:rsidP="00492694"/>
    <w:p w:rsidR="000E65B5" w:rsidRPr="00A53E3C" w:rsidRDefault="000E65B5" w:rsidP="00492694"/>
    <w:p w:rsidR="0038489A" w:rsidRPr="00DF5874" w:rsidRDefault="008A311E" w:rsidP="00492694">
      <w:pPr>
        <w:pStyle w:val="Heading1"/>
      </w:pPr>
      <w:r w:rsidRPr="00A53E3C">
        <w:br w:type="page"/>
      </w:r>
      <w:bookmarkStart w:id="124" w:name="_Toc382906695"/>
      <w:bookmarkStart w:id="125" w:name="_Toc397947692"/>
      <w:bookmarkStart w:id="126" w:name="_Toc403399533"/>
      <w:r w:rsidR="00804EF0" w:rsidRPr="00DF5874">
        <w:lastRenderedPageBreak/>
        <w:t>Abbreviation</w:t>
      </w:r>
      <w:r w:rsidR="00DB59CA" w:rsidRPr="00DF5874">
        <w:t>s</w:t>
      </w:r>
      <w:bookmarkEnd w:id="124"/>
      <w:bookmarkEnd w:id="125"/>
      <w:bookmarkEnd w:id="126"/>
    </w:p>
    <w:tbl>
      <w:tblPr>
        <w:tblW w:w="0" w:type="auto"/>
        <w:tblInd w:w="108"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268"/>
        <w:gridCol w:w="6663"/>
      </w:tblGrid>
      <w:tr w:rsidR="00623216" w:rsidRPr="00A53E3C" w:rsidTr="007C42B5">
        <w:tc>
          <w:tcPr>
            <w:tcW w:w="2268" w:type="dxa"/>
            <w:shd w:val="clear" w:color="auto" w:fill="auto"/>
          </w:tcPr>
          <w:p w:rsidR="00623216" w:rsidRPr="00A53E3C" w:rsidRDefault="00623216" w:rsidP="00492694">
            <w:r>
              <w:t>ACRRM</w:t>
            </w:r>
          </w:p>
        </w:tc>
        <w:tc>
          <w:tcPr>
            <w:tcW w:w="6663" w:type="dxa"/>
            <w:shd w:val="clear" w:color="auto" w:fill="auto"/>
          </w:tcPr>
          <w:p w:rsidR="00623216" w:rsidRPr="00A53E3C" w:rsidRDefault="00623216" w:rsidP="00492694">
            <w:r>
              <w:t>Australian College of Rural and Remote Medicine</w:t>
            </w:r>
          </w:p>
        </w:tc>
      </w:tr>
      <w:tr w:rsidR="0038489A" w:rsidRPr="00A53E3C" w:rsidTr="007C42B5">
        <w:tc>
          <w:tcPr>
            <w:tcW w:w="2268" w:type="dxa"/>
            <w:shd w:val="clear" w:color="auto" w:fill="auto"/>
          </w:tcPr>
          <w:p w:rsidR="0038489A" w:rsidRPr="00A53E3C" w:rsidRDefault="0038489A" w:rsidP="00492694">
            <w:r w:rsidRPr="00A53E3C">
              <w:t>ADEA</w:t>
            </w:r>
          </w:p>
        </w:tc>
        <w:tc>
          <w:tcPr>
            <w:tcW w:w="6663" w:type="dxa"/>
            <w:shd w:val="clear" w:color="auto" w:fill="auto"/>
          </w:tcPr>
          <w:p w:rsidR="0038489A" w:rsidRPr="00A53E3C" w:rsidRDefault="0038489A" w:rsidP="00492694">
            <w:pPr>
              <w:rPr>
                <w:rFonts w:cs="Arial"/>
              </w:rPr>
            </w:pPr>
            <w:r w:rsidRPr="00A53E3C">
              <w:t>Australian Diabetes Educators Association</w:t>
            </w:r>
          </w:p>
        </w:tc>
      </w:tr>
      <w:tr w:rsidR="00623216" w:rsidRPr="00A53E3C" w:rsidTr="007C42B5">
        <w:tc>
          <w:tcPr>
            <w:tcW w:w="2268" w:type="dxa"/>
            <w:shd w:val="clear" w:color="auto" w:fill="auto"/>
          </w:tcPr>
          <w:p w:rsidR="00623216" w:rsidRPr="00A53E3C" w:rsidRDefault="00623216" w:rsidP="00492694">
            <w:r>
              <w:t>ADS</w:t>
            </w:r>
          </w:p>
        </w:tc>
        <w:tc>
          <w:tcPr>
            <w:tcW w:w="6663" w:type="dxa"/>
            <w:shd w:val="clear" w:color="auto" w:fill="auto"/>
          </w:tcPr>
          <w:p w:rsidR="00623216" w:rsidRPr="00A53E3C" w:rsidRDefault="00623216" w:rsidP="00492694">
            <w:r>
              <w:t>Australian Diabetes Society</w:t>
            </w:r>
          </w:p>
        </w:tc>
      </w:tr>
      <w:tr w:rsidR="003F4837" w:rsidRPr="00A53E3C" w:rsidTr="007C42B5">
        <w:tc>
          <w:tcPr>
            <w:tcW w:w="2268" w:type="dxa"/>
            <w:shd w:val="clear" w:color="auto" w:fill="auto"/>
          </w:tcPr>
          <w:p w:rsidR="003F4837" w:rsidRDefault="003F4837" w:rsidP="00492694">
            <w:r>
              <w:t>AHQR</w:t>
            </w:r>
          </w:p>
        </w:tc>
        <w:tc>
          <w:tcPr>
            <w:tcW w:w="6663" w:type="dxa"/>
            <w:shd w:val="clear" w:color="auto" w:fill="auto"/>
          </w:tcPr>
          <w:p w:rsidR="003F4837" w:rsidRDefault="003F4837" w:rsidP="00492694">
            <w:r>
              <w:t>Agency for Healthcare Research and Quality (USA)</w:t>
            </w:r>
          </w:p>
        </w:tc>
      </w:tr>
      <w:tr w:rsidR="0038489A" w:rsidRPr="00A53E3C" w:rsidTr="007C42B5">
        <w:tc>
          <w:tcPr>
            <w:tcW w:w="2268" w:type="dxa"/>
            <w:shd w:val="clear" w:color="auto" w:fill="auto"/>
          </w:tcPr>
          <w:p w:rsidR="0038489A" w:rsidRPr="00A53E3C" w:rsidRDefault="0038489A" w:rsidP="00492694">
            <w:r w:rsidRPr="00A53E3C">
              <w:t>AIHW</w:t>
            </w:r>
          </w:p>
        </w:tc>
        <w:tc>
          <w:tcPr>
            <w:tcW w:w="6663" w:type="dxa"/>
            <w:shd w:val="clear" w:color="auto" w:fill="auto"/>
          </w:tcPr>
          <w:p w:rsidR="0038489A" w:rsidRPr="00A53E3C" w:rsidRDefault="0038489A" w:rsidP="00492694">
            <w:r w:rsidRPr="00A53E3C">
              <w:t>Australian Institute of Health and Welfare</w:t>
            </w:r>
          </w:p>
        </w:tc>
      </w:tr>
      <w:tr w:rsidR="006110F5" w:rsidRPr="00A53E3C" w:rsidTr="007C42B5">
        <w:tc>
          <w:tcPr>
            <w:tcW w:w="2268" w:type="dxa"/>
            <w:shd w:val="clear" w:color="auto" w:fill="auto"/>
          </w:tcPr>
          <w:p w:rsidR="006110F5" w:rsidRPr="00A53E3C" w:rsidRDefault="006110F5" w:rsidP="00492694">
            <w:r>
              <w:t>ARTG</w:t>
            </w:r>
          </w:p>
        </w:tc>
        <w:tc>
          <w:tcPr>
            <w:tcW w:w="6663" w:type="dxa"/>
            <w:shd w:val="clear" w:color="auto" w:fill="auto"/>
          </w:tcPr>
          <w:p w:rsidR="006110F5" w:rsidRPr="00A53E3C" w:rsidRDefault="006110F5" w:rsidP="00492694">
            <w:r>
              <w:t xml:space="preserve"> Australian Register of Therapeutic Goods</w:t>
            </w:r>
          </w:p>
        </w:tc>
      </w:tr>
      <w:tr w:rsidR="00BD2DBC" w:rsidRPr="00A53E3C" w:rsidTr="007C42B5">
        <w:tc>
          <w:tcPr>
            <w:tcW w:w="2268" w:type="dxa"/>
            <w:shd w:val="clear" w:color="auto" w:fill="auto"/>
          </w:tcPr>
          <w:p w:rsidR="00BD2DBC" w:rsidRPr="00A53E3C" w:rsidRDefault="00BD2DBC" w:rsidP="00492694">
            <w:r w:rsidRPr="00A53E3C">
              <w:t>BGTS</w:t>
            </w:r>
          </w:p>
        </w:tc>
        <w:tc>
          <w:tcPr>
            <w:tcW w:w="6663" w:type="dxa"/>
            <w:shd w:val="clear" w:color="auto" w:fill="auto"/>
          </w:tcPr>
          <w:p w:rsidR="00BD2DBC" w:rsidRPr="00A53E3C" w:rsidRDefault="00BD2DBC" w:rsidP="00492694">
            <w:r w:rsidRPr="00A53E3C">
              <w:t>Blood Glucose Test Strips</w:t>
            </w:r>
          </w:p>
        </w:tc>
      </w:tr>
      <w:tr w:rsidR="002A2142" w:rsidRPr="00A53E3C" w:rsidTr="007C42B5">
        <w:tc>
          <w:tcPr>
            <w:tcW w:w="2268" w:type="dxa"/>
            <w:shd w:val="clear" w:color="auto" w:fill="auto"/>
          </w:tcPr>
          <w:p w:rsidR="002A2142" w:rsidRPr="00A53E3C" w:rsidRDefault="002A2142" w:rsidP="00492694">
            <w:r>
              <w:t>BMI</w:t>
            </w:r>
          </w:p>
        </w:tc>
        <w:tc>
          <w:tcPr>
            <w:tcW w:w="6663" w:type="dxa"/>
            <w:shd w:val="clear" w:color="auto" w:fill="auto"/>
          </w:tcPr>
          <w:p w:rsidR="002A2142" w:rsidRPr="00A53E3C" w:rsidRDefault="002A2142" w:rsidP="00492694">
            <w:r>
              <w:t>Body mass index</w:t>
            </w:r>
          </w:p>
        </w:tc>
      </w:tr>
      <w:tr w:rsidR="0038489A" w:rsidRPr="00A53E3C" w:rsidTr="007C42B5">
        <w:tc>
          <w:tcPr>
            <w:tcW w:w="2268" w:type="dxa"/>
            <w:shd w:val="clear" w:color="auto" w:fill="auto"/>
          </w:tcPr>
          <w:p w:rsidR="0038489A" w:rsidRPr="00A53E3C" w:rsidRDefault="0038489A" w:rsidP="00492694">
            <w:r w:rsidRPr="00A53E3C">
              <w:t>CADTH</w:t>
            </w:r>
          </w:p>
        </w:tc>
        <w:tc>
          <w:tcPr>
            <w:tcW w:w="6663" w:type="dxa"/>
            <w:shd w:val="clear" w:color="auto" w:fill="auto"/>
          </w:tcPr>
          <w:p w:rsidR="0038489A" w:rsidRPr="00A53E3C" w:rsidRDefault="0038489A" w:rsidP="00492694">
            <w:pPr>
              <w:rPr>
                <w:rFonts w:cs="Arial"/>
              </w:rPr>
            </w:pPr>
            <w:r w:rsidRPr="00A53E3C">
              <w:t>Canadian Agency for Drugs and Technologies in Health</w:t>
            </w:r>
          </w:p>
        </w:tc>
      </w:tr>
      <w:tr w:rsidR="0038489A" w:rsidRPr="00A53E3C" w:rsidTr="007C42B5">
        <w:tc>
          <w:tcPr>
            <w:tcW w:w="2268" w:type="dxa"/>
            <w:shd w:val="clear" w:color="auto" w:fill="auto"/>
          </w:tcPr>
          <w:p w:rsidR="0038489A" w:rsidRPr="00A53E3C" w:rsidRDefault="0038489A" w:rsidP="00492694">
            <w:r w:rsidRPr="00A53E3C">
              <w:t>CHD</w:t>
            </w:r>
          </w:p>
        </w:tc>
        <w:tc>
          <w:tcPr>
            <w:tcW w:w="6663" w:type="dxa"/>
            <w:shd w:val="clear" w:color="auto" w:fill="auto"/>
          </w:tcPr>
          <w:p w:rsidR="0038489A" w:rsidRPr="00A53E3C" w:rsidRDefault="0038489A" w:rsidP="00492694">
            <w:r w:rsidRPr="00A53E3C">
              <w:t>Coronary Heart Disease</w:t>
            </w:r>
          </w:p>
        </w:tc>
      </w:tr>
      <w:tr w:rsidR="003F4837" w:rsidRPr="00A53E3C" w:rsidTr="007C42B5">
        <w:tc>
          <w:tcPr>
            <w:tcW w:w="2268" w:type="dxa"/>
            <w:shd w:val="clear" w:color="auto" w:fill="auto"/>
          </w:tcPr>
          <w:p w:rsidR="003F4837" w:rsidRPr="00A53E3C" w:rsidRDefault="003F4837" w:rsidP="00492694">
            <w:r>
              <w:t>CVD</w:t>
            </w:r>
          </w:p>
        </w:tc>
        <w:tc>
          <w:tcPr>
            <w:tcW w:w="6663" w:type="dxa"/>
            <w:shd w:val="clear" w:color="auto" w:fill="auto"/>
          </w:tcPr>
          <w:p w:rsidR="003F4837" w:rsidRPr="00A53E3C" w:rsidRDefault="003F4837" w:rsidP="00492694">
            <w:r>
              <w:t>Cardiovascular disease</w:t>
            </w:r>
          </w:p>
        </w:tc>
      </w:tr>
      <w:tr w:rsidR="0038489A" w:rsidRPr="00A53E3C" w:rsidTr="007C42B5">
        <w:tc>
          <w:tcPr>
            <w:tcW w:w="2268" w:type="dxa"/>
            <w:shd w:val="clear" w:color="auto" w:fill="auto"/>
          </w:tcPr>
          <w:p w:rsidR="0038489A" w:rsidRPr="00A53E3C" w:rsidRDefault="0038489A" w:rsidP="00492694">
            <w:r w:rsidRPr="00A53E3C">
              <w:t>DHS</w:t>
            </w:r>
          </w:p>
        </w:tc>
        <w:tc>
          <w:tcPr>
            <w:tcW w:w="6663" w:type="dxa"/>
            <w:shd w:val="clear" w:color="auto" w:fill="auto"/>
          </w:tcPr>
          <w:p w:rsidR="0038489A" w:rsidRPr="00A53E3C" w:rsidRDefault="0038489A" w:rsidP="00492694">
            <w:r w:rsidRPr="00A53E3C">
              <w:t>Department of Human Services</w:t>
            </w:r>
          </w:p>
        </w:tc>
      </w:tr>
      <w:tr w:rsidR="00895D93" w:rsidRPr="00A53E3C" w:rsidTr="007C42B5">
        <w:tc>
          <w:tcPr>
            <w:tcW w:w="2268" w:type="dxa"/>
            <w:shd w:val="clear" w:color="auto" w:fill="auto"/>
          </w:tcPr>
          <w:p w:rsidR="00895D93" w:rsidRDefault="003F4837" w:rsidP="00492694">
            <w:r>
              <w:t>Diabetes m</w:t>
            </w:r>
            <w:r w:rsidR="00895D93">
              <w:t>edicines</w:t>
            </w:r>
          </w:p>
        </w:tc>
        <w:tc>
          <w:tcPr>
            <w:tcW w:w="6663" w:type="dxa"/>
            <w:shd w:val="clear" w:color="auto" w:fill="auto"/>
          </w:tcPr>
          <w:p w:rsidR="00895D93" w:rsidRDefault="00895D93" w:rsidP="003F4837">
            <w:r>
              <w:t xml:space="preserve">Medicines indicated for </w:t>
            </w:r>
            <w:r w:rsidR="003F4837">
              <w:t xml:space="preserve">glucose-lowering </w:t>
            </w:r>
            <w:r>
              <w:t>therapy (ATC-A10)</w:t>
            </w:r>
          </w:p>
        </w:tc>
      </w:tr>
      <w:tr w:rsidR="0038489A" w:rsidRPr="00A53E3C" w:rsidTr="007C42B5">
        <w:tc>
          <w:tcPr>
            <w:tcW w:w="2268" w:type="dxa"/>
            <w:shd w:val="clear" w:color="auto" w:fill="auto"/>
          </w:tcPr>
          <w:p w:rsidR="0038489A" w:rsidRPr="00A53E3C" w:rsidRDefault="00270481" w:rsidP="00492694">
            <w:r>
              <w:t>DoH</w:t>
            </w:r>
          </w:p>
        </w:tc>
        <w:tc>
          <w:tcPr>
            <w:tcW w:w="6663" w:type="dxa"/>
            <w:shd w:val="clear" w:color="auto" w:fill="auto"/>
          </w:tcPr>
          <w:p w:rsidR="0038489A" w:rsidRPr="00A53E3C" w:rsidRDefault="001F7205" w:rsidP="00492694">
            <w:r>
              <w:t>Department of Health</w:t>
            </w:r>
          </w:p>
        </w:tc>
      </w:tr>
      <w:tr w:rsidR="00690B34" w:rsidRPr="00A53E3C" w:rsidTr="007C42B5">
        <w:tc>
          <w:tcPr>
            <w:tcW w:w="2268" w:type="dxa"/>
            <w:shd w:val="clear" w:color="auto" w:fill="auto"/>
          </w:tcPr>
          <w:p w:rsidR="00690B34" w:rsidRDefault="00690B34" w:rsidP="00492694">
            <w:r>
              <w:t>DPP</w:t>
            </w:r>
            <w:r w:rsidR="003776A5">
              <w:t>-</w:t>
            </w:r>
            <w:r>
              <w:t>4 inhibitors</w:t>
            </w:r>
          </w:p>
        </w:tc>
        <w:tc>
          <w:tcPr>
            <w:tcW w:w="6663" w:type="dxa"/>
            <w:shd w:val="clear" w:color="auto" w:fill="auto"/>
          </w:tcPr>
          <w:p w:rsidR="00690B34" w:rsidRDefault="00690B34" w:rsidP="00492694">
            <w:r>
              <w:t>Dipeptidyl</w:t>
            </w:r>
            <w:r w:rsidR="00B34C30">
              <w:t xml:space="preserve"> peptidase 4 inhibitors (also known as ‘gliptins’)</w:t>
            </w:r>
          </w:p>
        </w:tc>
      </w:tr>
      <w:tr w:rsidR="006110F5" w:rsidRPr="00A53E3C" w:rsidTr="007C42B5">
        <w:tc>
          <w:tcPr>
            <w:tcW w:w="2268" w:type="dxa"/>
            <w:shd w:val="clear" w:color="auto" w:fill="auto"/>
          </w:tcPr>
          <w:p w:rsidR="006110F5" w:rsidRDefault="006110F5" w:rsidP="00492694">
            <w:r>
              <w:t>DUSC</w:t>
            </w:r>
          </w:p>
        </w:tc>
        <w:tc>
          <w:tcPr>
            <w:tcW w:w="6663" w:type="dxa"/>
            <w:shd w:val="clear" w:color="auto" w:fill="auto"/>
          </w:tcPr>
          <w:p w:rsidR="006110F5" w:rsidRDefault="006110F5" w:rsidP="00492694">
            <w:r>
              <w:t>Drug Utilisation Sub-Committee</w:t>
            </w:r>
          </w:p>
        </w:tc>
      </w:tr>
      <w:tr w:rsidR="0038489A" w:rsidRPr="00A53E3C" w:rsidTr="007C42B5">
        <w:tc>
          <w:tcPr>
            <w:tcW w:w="2268" w:type="dxa"/>
            <w:shd w:val="clear" w:color="auto" w:fill="auto"/>
          </w:tcPr>
          <w:p w:rsidR="0038489A" w:rsidRPr="00A53E3C" w:rsidRDefault="0038489A" w:rsidP="00492694">
            <w:r w:rsidRPr="00A53E3C">
              <w:t>DVA</w:t>
            </w:r>
          </w:p>
        </w:tc>
        <w:tc>
          <w:tcPr>
            <w:tcW w:w="6663" w:type="dxa"/>
            <w:shd w:val="clear" w:color="auto" w:fill="auto"/>
          </w:tcPr>
          <w:p w:rsidR="0038489A" w:rsidRPr="00A53E3C" w:rsidRDefault="0038489A" w:rsidP="00492694">
            <w:r w:rsidRPr="00A53E3C">
              <w:t>Department of Veterans’ Affairs</w:t>
            </w:r>
          </w:p>
        </w:tc>
      </w:tr>
      <w:tr w:rsidR="0038489A" w:rsidRPr="00A53E3C" w:rsidTr="007C42B5">
        <w:tc>
          <w:tcPr>
            <w:tcW w:w="2268" w:type="dxa"/>
            <w:shd w:val="clear" w:color="auto" w:fill="auto"/>
          </w:tcPr>
          <w:p w:rsidR="0038489A" w:rsidRPr="00A53E3C" w:rsidRDefault="0038489A" w:rsidP="00492694">
            <w:r w:rsidRPr="00A53E3C">
              <w:t>ESC</w:t>
            </w:r>
          </w:p>
        </w:tc>
        <w:tc>
          <w:tcPr>
            <w:tcW w:w="6663" w:type="dxa"/>
            <w:shd w:val="clear" w:color="auto" w:fill="auto"/>
          </w:tcPr>
          <w:p w:rsidR="0038489A" w:rsidRPr="00A53E3C" w:rsidRDefault="0038489A" w:rsidP="00492694">
            <w:r w:rsidRPr="00A53E3C">
              <w:t>Economics Sub-Committee (of the PBAC)</w:t>
            </w:r>
          </w:p>
        </w:tc>
      </w:tr>
      <w:tr w:rsidR="003776A5" w:rsidRPr="00A53E3C" w:rsidTr="007C42B5">
        <w:tc>
          <w:tcPr>
            <w:tcW w:w="2268" w:type="dxa"/>
            <w:shd w:val="clear" w:color="auto" w:fill="auto"/>
          </w:tcPr>
          <w:p w:rsidR="003776A5" w:rsidRPr="00A53E3C" w:rsidRDefault="003776A5" w:rsidP="00492694">
            <w:r>
              <w:t>FDC</w:t>
            </w:r>
          </w:p>
        </w:tc>
        <w:tc>
          <w:tcPr>
            <w:tcW w:w="6663" w:type="dxa"/>
            <w:shd w:val="clear" w:color="auto" w:fill="auto"/>
          </w:tcPr>
          <w:p w:rsidR="003776A5" w:rsidRPr="00A53E3C" w:rsidRDefault="003776A5" w:rsidP="00492694">
            <w:r>
              <w:t>Fixed dose combination</w:t>
            </w:r>
          </w:p>
        </w:tc>
      </w:tr>
      <w:tr w:rsidR="00B34C30" w:rsidRPr="00A53E3C" w:rsidTr="007C42B5">
        <w:tc>
          <w:tcPr>
            <w:tcW w:w="2268" w:type="dxa"/>
            <w:shd w:val="clear" w:color="auto" w:fill="auto"/>
          </w:tcPr>
          <w:p w:rsidR="00B34C30" w:rsidRPr="00A53E3C" w:rsidRDefault="00B34C30" w:rsidP="00492694">
            <w:r>
              <w:t>GLP-1 agonist</w:t>
            </w:r>
          </w:p>
        </w:tc>
        <w:tc>
          <w:tcPr>
            <w:tcW w:w="6663" w:type="dxa"/>
            <w:shd w:val="clear" w:color="auto" w:fill="auto"/>
          </w:tcPr>
          <w:p w:rsidR="00B34C30" w:rsidRPr="00A53E3C" w:rsidRDefault="00B34C30" w:rsidP="00492694">
            <w:r>
              <w:t>Glucagon-like peptide-1 agonist (also known as incretin analogues)</w:t>
            </w:r>
          </w:p>
        </w:tc>
      </w:tr>
      <w:tr w:rsidR="000F4388" w:rsidRPr="00A53E3C" w:rsidTr="007C42B5">
        <w:tc>
          <w:tcPr>
            <w:tcW w:w="2268" w:type="dxa"/>
            <w:shd w:val="clear" w:color="auto" w:fill="auto"/>
          </w:tcPr>
          <w:p w:rsidR="000F4388" w:rsidRPr="0007479B" w:rsidRDefault="006110F5" w:rsidP="00492694">
            <w:r>
              <w:t>HbA</w:t>
            </w:r>
            <w:r w:rsidR="0007479B" w:rsidRPr="00FF3078">
              <w:rPr>
                <w:vertAlign w:val="subscript"/>
              </w:rPr>
              <w:t>1c</w:t>
            </w:r>
          </w:p>
        </w:tc>
        <w:tc>
          <w:tcPr>
            <w:tcW w:w="6663" w:type="dxa"/>
            <w:shd w:val="clear" w:color="auto" w:fill="auto"/>
          </w:tcPr>
          <w:p w:rsidR="000F4388" w:rsidRPr="00A53E3C" w:rsidRDefault="006110F5" w:rsidP="00492694">
            <w:r>
              <w:t>Haemoglobin A</w:t>
            </w:r>
            <w:r w:rsidR="0007479B" w:rsidRPr="00FF3078">
              <w:rPr>
                <w:vertAlign w:val="subscript"/>
              </w:rPr>
              <w:t>1c</w:t>
            </w:r>
            <w:r w:rsidR="00620C5C">
              <w:t xml:space="preserve"> or </w:t>
            </w:r>
            <w:r w:rsidR="000F4388">
              <w:t>glycated haemoglobin</w:t>
            </w:r>
          </w:p>
        </w:tc>
      </w:tr>
      <w:tr w:rsidR="003F4837" w:rsidRPr="00A53E3C" w:rsidTr="007C42B5">
        <w:tc>
          <w:tcPr>
            <w:tcW w:w="2268" w:type="dxa"/>
            <w:shd w:val="clear" w:color="auto" w:fill="auto"/>
          </w:tcPr>
          <w:p w:rsidR="003F4837" w:rsidRDefault="003F4837" w:rsidP="00492694">
            <w:r>
              <w:t>HR</w:t>
            </w:r>
          </w:p>
        </w:tc>
        <w:tc>
          <w:tcPr>
            <w:tcW w:w="6663" w:type="dxa"/>
            <w:shd w:val="clear" w:color="auto" w:fill="auto"/>
          </w:tcPr>
          <w:p w:rsidR="003F4837" w:rsidRDefault="003F4837" w:rsidP="00492694">
            <w:r>
              <w:t>Hazard ratio</w:t>
            </w:r>
          </w:p>
        </w:tc>
      </w:tr>
      <w:tr w:rsidR="00623216" w:rsidRPr="00A53E3C" w:rsidTr="007C42B5">
        <w:tc>
          <w:tcPr>
            <w:tcW w:w="2268" w:type="dxa"/>
            <w:shd w:val="clear" w:color="auto" w:fill="auto"/>
          </w:tcPr>
          <w:p w:rsidR="00623216" w:rsidRDefault="00623216" w:rsidP="00492694">
            <w:r>
              <w:t>IDF</w:t>
            </w:r>
          </w:p>
        </w:tc>
        <w:tc>
          <w:tcPr>
            <w:tcW w:w="6663" w:type="dxa"/>
            <w:shd w:val="clear" w:color="auto" w:fill="auto"/>
          </w:tcPr>
          <w:p w:rsidR="00623216" w:rsidRDefault="00623216" w:rsidP="00492694">
            <w:r>
              <w:t>International Diabetes Federation</w:t>
            </w:r>
          </w:p>
        </w:tc>
      </w:tr>
      <w:tr w:rsidR="00BE0B49" w:rsidRPr="00A53E3C" w:rsidTr="007C42B5">
        <w:tc>
          <w:tcPr>
            <w:tcW w:w="2268" w:type="dxa"/>
            <w:shd w:val="clear" w:color="auto" w:fill="auto"/>
          </w:tcPr>
          <w:p w:rsidR="00BE0B49" w:rsidRDefault="00BE0B49" w:rsidP="00492694">
            <w:r>
              <w:t>MBS</w:t>
            </w:r>
          </w:p>
        </w:tc>
        <w:tc>
          <w:tcPr>
            <w:tcW w:w="6663" w:type="dxa"/>
            <w:shd w:val="clear" w:color="auto" w:fill="auto"/>
          </w:tcPr>
          <w:p w:rsidR="00BE0B49" w:rsidRDefault="00BE0B49" w:rsidP="00492694">
            <w:r>
              <w:t>Medical Benefits Scheme</w:t>
            </w:r>
          </w:p>
        </w:tc>
      </w:tr>
      <w:tr w:rsidR="00026CCF" w:rsidRPr="00A53E3C" w:rsidTr="007C42B5">
        <w:tc>
          <w:tcPr>
            <w:tcW w:w="2268" w:type="dxa"/>
            <w:shd w:val="clear" w:color="auto" w:fill="auto"/>
          </w:tcPr>
          <w:p w:rsidR="00026CCF" w:rsidRPr="00A53E3C" w:rsidRDefault="00026CCF" w:rsidP="00492694">
            <w:r>
              <w:t>MCID</w:t>
            </w:r>
          </w:p>
        </w:tc>
        <w:tc>
          <w:tcPr>
            <w:tcW w:w="6663" w:type="dxa"/>
            <w:shd w:val="clear" w:color="auto" w:fill="auto"/>
          </w:tcPr>
          <w:p w:rsidR="00026CCF" w:rsidRPr="00A53E3C" w:rsidRDefault="00026CCF" w:rsidP="00492694">
            <w:r>
              <w:t>Minimum clinically important difference</w:t>
            </w:r>
          </w:p>
        </w:tc>
      </w:tr>
      <w:tr w:rsidR="002A2142" w:rsidRPr="00A53E3C" w:rsidTr="007C42B5">
        <w:tc>
          <w:tcPr>
            <w:tcW w:w="2268" w:type="dxa"/>
            <w:shd w:val="clear" w:color="auto" w:fill="auto"/>
          </w:tcPr>
          <w:p w:rsidR="002A2142" w:rsidRDefault="002A2142" w:rsidP="00492694">
            <w:r>
              <w:t>MD</w:t>
            </w:r>
          </w:p>
        </w:tc>
        <w:tc>
          <w:tcPr>
            <w:tcW w:w="6663" w:type="dxa"/>
            <w:shd w:val="clear" w:color="auto" w:fill="auto"/>
          </w:tcPr>
          <w:p w:rsidR="002A2142" w:rsidRDefault="002A2142" w:rsidP="00492694">
            <w:r>
              <w:t>Mean difference</w:t>
            </w:r>
          </w:p>
        </w:tc>
      </w:tr>
      <w:tr w:rsidR="002A2142" w:rsidRPr="00A53E3C" w:rsidTr="007C42B5">
        <w:tc>
          <w:tcPr>
            <w:tcW w:w="2268" w:type="dxa"/>
            <w:shd w:val="clear" w:color="auto" w:fill="auto"/>
          </w:tcPr>
          <w:p w:rsidR="002A2142" w:rsidRDefault="002A2142" w:rsidP="00492694">
            <w:r>
              <w:t>MI</w:t>
            </w:r>
          </w:p>
        </w:tc>
        <w:tc>
          <w:tcPr>
            <w:tcW w:w="6663" w:type="dxa"/>
            <w:shd w:val="clear" w:color="auto" w:fill="auto"/>
          </w:tcPr>
          <w:p w:rsidR="002A2142" w:rsidRDefault="002A2142" w:rsidP="00492694">
            <w:r>
              <w:t>Myocardial infarction</w:t>
            </w:r>
          </w:p>
        </w:tc>
      </w:tr>
      <w:tr w:rsidR="00BE0B49" w:rsidRPr="00A53E3C" w:rsidTr="007C42B5">
        <w:tc>
          <w:tcPr>
            <w:tcW w:w="2268" w:type="dxa"/>
            <w:shd w:val="clear" w:color="auto" w:fill="auto"/>
          </w:tcPr>
          <w:p w:rsidR="00BE0B49" w:rsidRDefault="00BE0B49" w:rsidP="00492694">
            <w:r>
              <w:t>MSAC</w:t>
            </w:r>
          </w:p>
        </w:tc>
        <w:tc>
          <w:tcPr>
            <w:tcW w:w="6663" w:type="dxa"/>
            <w:shd w:val="clear" w:color="auto" w:fill="auto"/>
          </w:tcPr>
          <w:p w:rsidR="00BE0B49" w:rsidRDefault="00BE0B49" w:rsidP="00492694">
            <w:r>
              <w:t>Medical Services Advisory Committee</w:t>
            </w:r>
          </w:p>
        </w:tc>
      </w:tr>
      <w:tr w:rsidR="0038489A" w:rsidRPr="00A53E3C" w:rsidTr="007C42B5">
        <w:tc>
          <w:tcPr>
            <w:tcW w:w="2268" w:type="dxa"/>
            <w:shd w:val="clear" w:color="auto" w:fill="auto"/>
          </w:tcPr>
          <w:p w:rsidR="0038489A" w:rsidRPr="00A53E3C" w:rsidRDefault="0038489A" w:rsidP="00492694">
            <w:r w:rsidRPr="00A53E3C">
              <w:lastRenderedPageBreak/>
              <w:t>NDSS</w:t>
            </w:r>
          </w:p>
        </w:tc>
        <w:tc>
          <w:tcPr>
            <w:tcW w:w="6663" w:type="dxa"/>
            <w:shd w:val="clear" w:color="auto" w:fill="auto"/>
          </w:tcPr>
          <w:p w:rsidR="0038489A" w:rsidRPr="00A53E3C" w:rsidRDefault="0038489A" w:rsidP="00492694">
            <w:r w:rsidRPr="00A53E3C">
              <w:t>National Diabetes Services Scheme</w:t>
            </w:r>
          </w:p>
        </w:tc>
      </w:tr>
      <w:tr w:rsidR="0038489A" w:rsidRPr="00A53E3C" w:rsidTr="007C42B5">
        <w:tc>
          <w:tcPr>
            <w:tcW w:w="2268" w:type="dxa"/>
            <w:shd w:val="clear" w:color="auto" w:fill="auto"/>
          </w:tcPr>
          <w:p w:rsidR="0038489A" w:rsidRPr="00A53E3C" w:rsidRDefault="0038489A" w:rsidP="00492694">
            <w:r w:rsidRPr="00A53E3C">
              <w:t>NICE</w:t>
            </w:r>
          </w:p>
        </w:tc>
        <w:tc>
          <w:tcPr>
            <w:tcW w:w="6663" w:type="dxa"/>
            <w:shd w:val="clear" w:color="auto" w:fill="auto"/>
          </w:tcPr>
          <w:p w:rsidR="0038489A" w:rsidRPr="00A53E3C" w:rsidRDefault="0038489A" w:rsidP="00492694">
            <w:r w:rsidRPr="00A53E3C">
              <w:t>National Institute for Health and Clinical Excellence</w:t>
            </w:r>
          </w:p>
        </w:tc>
      </w:tr>
      <w:tr w:rsidR="003F4837" w:rsidRPr="00A53E3C" w:rsidTr="007C42B5">
        <w:tc>
          <w:tcPr>
            <w:tcW w:w="2268" w:type="dxa"/>
            <w:shd w:val="clear" w:color="auto" w:fill="auto"/>
          </w:tcPr>
          <w:p w:rsidR="003F4837" w:rsidRPr="00A53E3C" w:rsidRDefault="003F4837" w:rsidP="00492694">
            <w:r>
              <w:t>NIHR</w:t>
            </w:r>
          </w:p>
        </w:tc>
        <w:tc>
          <w:tcPr>
            <w:tcW w:w="6663" w:type="dxa"/>
            <w:shd w:val="clear" w:color="auto" w:fill="auto"/>
          </w:tcPr>
          <w:p w:rsidR="003F4837" w:rsidRPr="00A53E3C" w:rsidRDefault="003F4837" w:rsidP="00492694">
            <w:r>
              <w:t>National Institute for Health Research (United Kingdom)</w:t>
            </w:r>
          </w:p>
        </w:tc>
      </w:tr>
      <w:tr w:rsidR="0038489A" w:rsidRPr="00A53E3C" w:rsidTr="007C42B5">
        <w:tc>
          <w:tcPr>
            <w:tcW w:w="2268" w:type="dxa"/>
            <w:shd w:val="clear" w:color="auto" w:fill="auto"/>
          </w:tcPr>
          <w:p w:rsidR="0038489A" w:rsidRPr="00A53E3C" w:rsidRDefault="0038489A" w:rsidP="00492694">
            <w:r w:rsidRPr="00A53E3C">
              <w:t>NHMRC</w:t>
            </w:r>
          </w:p>
        </w:tc>
        <w:tc>
          <w:tcPr>
            <w:tcW w:w="6663" w:type="dxa"/>
            <w:shd w:val="clear" w:color="auto" w:fill="auto"/>
          </w:tcPr>
          <w:p w:rsidR="0038489A" w:rsidRPr="00A53E3C" w:rsidRDefault="0038489A" w:rsidP="00492694">
            <w:r w:rsidRPr="00A53E3C">
              <w:t>National Health and Medical Research Council</w:t>
            </w:r>
          </w:p>
        </w:tc>
      </w:tr>
      <w:tr w:rsidR="0038489A" w:rsidRPr="00A53E3C" w:rsidTr="007C42B5">
        <w:tc>
          <w:tcPr>
            <w:tcW w:w="2268" w:type="dxa"/>
            <w:shd w:val="clear" w:color="auto" w:fill="auto"/>
          </w:tcPr>
          <w:p w:rsidR="0038489A" w:rsidRPr="00A53E3C" w:rsidRDefault="0038489A" w:rsidP="00492694">
            <w:r w:rsidRPr="00A53E3C">
              <w:t>NMP</w:t>
            </w:r>
          </w:p>
        </w:tc>
        <w:tc>
          <w:tcPr>
            <w:tcW w:w="6663" w:type="dxa"/>
            <w:shd w:val="clear" w:color="auto" w:fill="auto"/>
          </w:tcPr>
          <w:p w:rsidR="0038489A" w:rsidRPr="00A53E3C" w:rsidRDefault="0038489A" w:rsidP="00492694">
            <w:r w:rsidRPr="00A53E3C">
              <w:t>National Medicines Policy</w:t>
            </w:r>
          </w:p>
        </w:tc>
      </w:tr>
      <w:tr w:rsidR="0038489A" w:rsidRPr="00A53E3C" w:rsidTr="007C42B5">
        <w:tc>
          <w:tcPr>
            <w:tcW w:w="2268" w:type="dxa"/>
            <w:shd w:val="clear" w:color="auto" w:fill="auto"/>
          </w:tcPr>
          <w:p w:rsidR="0038489A" w:rsidRPr="00A53E3C" w:rsidRDefault="0038489A" w:rsidP="00492694">
            <w:r w:rsidRPr="00A53E3C">
              <w:t>NPS</w:t>
            </w:r>
            <w:r w:rsidR="003F4837">
              <w:t xml:space="preserve"> MedicineW</w:t>
            </w:r>
            <w:r w:rsidR="00E15AF7" w:rsidRPr="00A53E3C">
              <w:t>ise</w:t>
            </w:r>
          </w:p>
        </w:tc>
        <w:tc>
          <w:tcPr>
            <w:tcW w:w="6663" w:type="dxa"/>
            <w:shd w:val="clear" w:color="auto" w:fill="auto"/>
          </w:tcPr>
          <w:p w:rsidR="0038489A" w:rsidRPr="00A53E3C" w:rsidRDefault="0038489A" w:rsidP="00492694">
            <w:r w:rsidRPr="00A53E3C">
              <w:t>National Prescribing Service</w:t>
            </w:r>
            <w:r w:rsidR="003F4837">
              <w:t xml:space="preserve"> MedicineW</w:t>
            </w:r>
            <w:r w:rsidR="00E15AF7" w:rsidRPr="00A53E3C">
              <w:t>ise</w:t>
            </w:r>
          </w:p>
        </w:tc>
      </w:tr>
      <w:tr w:rsidR="0038489A" w:rsidRPr="00A53E3C" w:rsidTr="007C42B5">
        <w:tc>
          <w:tcPr>
            <w:tcW w:w="2268" w:type="dxa"/>
            <w:shd w:val="clear" w:color="auto" w:fill="auto"/>
          </w:tcPr>
          <w:p w:rsidR="0038489A" w:rsidRPr="00A53E3C" w:rsidRDefault="0038489A" w:rsidP="00492694">
            <w:r w:rsidRPr="00A53E3C">
              <w:t>NZGG</w:t>
            </w:r>
          </w:p>
        </w:tc>
        <w:tc>
          <w:tcPr>
            <w:tcW w:w="6663" w:type="dxa"/>
            <w:shd w:val="clear" w:color="auto" w:fill="auto"/>
          </w:tcPr>
          <w:p w:rsidR="0038489A" w:rsidRPr="00A53E3C" w:rsidRDefault="0038489A" w:rsidP="00492694">
            <w:pPr>
              <w:rPr>
                <w:rFonts w:cs="Arial"/>
              </w:rPr>
            </w:pPr>
            <w:r w:rsidRPr="00A53E3C">
              <w:t>New Zealand Guidelines Group</w:t>
            </w:r>
          </w:p>
        </w:tc>
      </w:tr>
      <w:tr w:rsidR="003F4837" w:rsidRPr="00A53E3C" w:rsidTr="007C42B5">
        <w:tc>
          <w:tcPr>
            <w:tcW w:w="2268" w:type="dxa"/>
            <w:shd w:val="clear" w:color="auto" w:fill="auto"/>
          </w:tcPr>
          <w:p w:rsidR="003F4837" w:rsidRPr="00A53E3C" w:rsidRDefault="003F4837" w:rsidP="00492694">
            <w:r>
              <w:t>OR</w:t>
            </w:r>
          </w:p>
        </w:tc>
        <w:tc>
          <w:tcPr>
            <w:tcW w:w="6663" w:type="dxa"/>
            <w:shd w:val="clear" w:color="auto" w:fill="auto"/>
          </w:tcPr>
          <w:p w:rsidR="003F4837" w:rsidRPr="00A53E3C" w:rsidRDefault="003F4837" w:rsidP="00492694">
            <w:r>
              <w:t>Odds ratio</w:t>
            </w:r>
          </w:p>
        </w:tc>
      </w:tr>
      <w:tr w:rsidR="0038489A" w:rsidRPr="00A53E3C" w:rsidTr="007C42B5">
        <w:tc>
          <w:tcPr>
            <w:tcW w:w="2268" w:type="dxa"/>
            <w:shd w:val="clear" w:color="auto" w:fill="auto"/>
          </w:tcPr>
          <w:p w:rsidR="0038489A" w:rsidRPr="00A53E3C" w:rsidRDefault="0038489A" w:rsidP="00492694">
            <w:r w:rsidRPr="00A53E3C">
              <w:t>PBAC</w:t>
            </w:r>
          </w:p>
        </w:tc>
        <w:tc>
          <w:tcPr>
            <w:tcW w:w="6663" w:type="dxa"/>
            <w:shd w:val="clear" w:color="auto" w:fill="auto"/>
          </w:tcPr>
          <w:p w:rsidR="0038489A" w:rsidRPr="00A53E3C" w:rsidRDefault="0038489A" w:rsidP="00492694">
            <w:r w:rsidRPr="00A53E3C">
              <w:t>Pharmaceutical Benefits Advisory Committee</w:t>
            </w:r>
          </w:p>
        </w:tc>
      </w:tr>
      <w:tr w:rsidR="0038489A" w:rsidRPr="00A53E3C" w:rsidTr="007C42B5">
        <w:tc>
          <w:tcPr>
            <w:tcW w:w="2268" w:type="dxa"/>
            <w:shd w:val="clear" w:color="auto" w:fill="auto"/>
          </w:tcPr>
          <w:p w:rsidR="0038489A" w:rsidRPr="00A53E3C" w:rsidRDefault="0038489A" w:rsidP="00492694">
            <w:r w:rsidRPr="00A53E3C">
              <w:t>PBS</w:t>
            </w:r>
          </w:p>
        </w:tc>
        <w:tc>
          <w:tcPr>
            <w:tcW w:w="6663" w:type="dxa"/>
            <w:shd w:val="clear" w:color="auto" w:fill="auto"/>
          </w:tcPr>
          <w:p w:rsidR="0038489A" w:rsidRPr="00A53E3C" w:rsidRDefault="0038489A" w:rsidP="00492694">
            <w:r w:rsidRPr="00A53E3C">
              <w:t>Pharmaceutical Benefits Scheme</w:t>
            </w:r>
          </w:p>
        </w:tc>
      </w:tr>
      <w:tr w:rsidR="0038489A" w:rsidRPr="00A53E3C" w:rsidTr="007C42B5">
        <w:tc>
          <w:tcPr>
            <w:tcW w:w="2268" w:type="dxa"/>
            <w:shd w:val="clear" w:color="auto" w:fill="auto"/>
          </w:tcPr>
          <w:p w:rsidR="0038489A" w:rsidRPr="00A53E3C" w:rsidRDefault="0038489A" w:rsidP="00492694">
            <w:r w:rsidRPr="00A53E3C">
              <w:t>PBD</w:t>
            </w:r>
          </w:p>
        </w:tc>
        <w:tc>
          <w:tcPr>
            <w:tcW w:w="6663" w:type="dxa"/>
            <w:shd w:val="clear" w:color="auto" w:fill="auto"/>
          </w:tcPr>
          <w:p w:rsidR="0038489A" w:rsidRPr="00A53E3C" w:rsidRDefault="0038489A" w:rsidP="00492694">
            <w:r w:rsidRPr="00A53E3C">
              <w:t>Pharmaceutical Benefits Division</w:t>
            </w:r>
          </w:p>
        </w:tc>
      </w:tr>
      <w:tr w:rsidR="0038489A" w:rsidRPr="00A53E3C" w:rsidTr="007C42B5">
        <w:tc>
          <w:tcPr>
            <w:tcW w:w="2268" w:type="dxa"/>
            <w:shd w:val="clear" w:color="auto" w:fill="auto"/>
          </w:tcPr>
          <w:p w:rsidR="0038489A" w:rsidRPr="00A53E3C" w:rsidRDefault="0038489A" w:rsidP="00492694">
            <w:r w:rsidRPr="00A53E3C">
              <w:t>PIN</w:t>
            </w:r>
          </w:p>
        </w:tc>
        <w:tc>
          <w:tcPr>
            <w:tcW w:w="6663" w:type="dxa"/>
            <w:shd w:val="clear" w:color="auto" w:fill="auto"/>
          </w:tcPr>
          <w:p w:rsidR="0038489A" w:rsidRPr="00A53E3C" w:rsidRDefault="0038489A" w:rsidP="00492694">
            <w:r w:rsidRPr="00A53E3C">
              <w:t>Patient Identifier</w:t>
            </w:r>
          </w:p>
        </w:tc>
      </w:tr>
      <w:tr w:rsidR="0038489A" w:rsidRPr="00A53E3C" w:rsidTr="007C42B5">
        <w:tc>
          <w:tcPr>
            <w:tcW w:w="2268" w:type="dxa"/>
            <w:shd w:val="clear" w:color="auto" w:fill="auto"/>
          </w:tcPr>
          <w:p w:rsidR="0038489A" w:rsidRPr="00A53E3C" w:rsidRDefault="0038489A" w:rsidP="00492694">
            <w:r w:rsidRPr="00A53E3C">
              <w:t>PVD</w:t>
            </w:r>
          </w:p>
        </w:tc>
        <w:tc>
          <w:tcPr>
            <w:tcW w:w="6663" w:type="dxa"/>
            <w:shd w:val="clear" w:color="auto" w:fill="auto"/>
          </w:tcPr>
          <w:p w:rsidR="0038489A" w:rsidRPr="00A53E3C" w:rsidRDefault="0038489A" w:rsidP="00492694">
            <w:r w:rsidRPr="00A53E3C">
              <w:t>Peripheral Vascular Disease</w:t>
            </w:r>
          </w:p>
        </w:tc>
      </w:tr>
      <w:tr w:rsidR="0038489A" w:rsidRPr="00A53E3C" w:rsidTr="007C42B5">
        <w:tc>
          <w:tcPr>
            <w:tcW w:w="2268" w:type="dxa"/>
            <w:shd w:val="clear" w:color="auto" w:fill="auto"/>
          </w:tcPr>
          <w:p w:rsidR="0038489A" w:rsidRPr="00A53E3C" w:rsidRDefault="0038489A" w:rsidP="00492694">
            <w:r w:rsidRPr="00A53E3C">
              <w:t>QUM</w:t>
            </w:r>
          </w:p>
        </w:tc>
        <w:tc>
          <w:tcPr>
            <w:tcW w:w="6663" w:type="dxa"/>
            <w:shd w:val="clear" w:color="auto" w:fill="auto"/>
          </w:tcPr>
          <w:p w:rsidR="0038489A" w:rsidRPr="00A53E3C" w:rsidRDefault="0038489A" w:rsidP="00492694">
            <w:r w:rsidRPr="00A53E3C">
              <w:t>Quality Use of Medicines</w:t>
            </w:r>
          </w:p>
        </w:tc>
      </w:tr>
      <w:tr w:rsidR="00920DD3" w:rsidRPr="00A53E3C" w:rsidTr="007C42B5">
        <w:tc>
          <w:tcPr>
            <w:tcW w:w="2268" w:type="dxa"/>
            <w:shd w:val="clear" w:color="auto" w:fill="auto"/>
          </w:tcPr>
          <w:p w:rsidR="00920DD3" w:rsidRPr="00A53E3C" w:rsidRDefault="00920DD3" w:rsidP="00492694">
            <w:r>
              <w:t>RACGP</w:t>
            </w:r>
          </w:p>
        </w:tc>
        <w:tc>
          <w:tcPr>
            <w:tcW w:w="6663" w:type="dxa"/>
            <w:shd w:val="clear" w:color="auto" w:fill="auto"/>
          </w:tcPr>
          <w:p w:rsidR="00920DD3" w:rsidRPr="00A53E3C" w:rsidRDefault="00920DD3" w:rsidP="00492694">
            <w:r>
              <w:t>Royal Australian College of General Practitioners</w:t>
            </w:r>
          </w:p>
        </w:tc>
      </w:tr>
      <w:tr w:rsidR="0038489A" w:rsidRPr="00A53E3C" w:rsidTr="007C42B5">
        <w:tc>
          <w:tcPr>
            <w:tcW w:w="2268" w:type="dxa"/>
            <w:shd w:val="clear" w:color="auto" w:fill="auto"/>
          </w:tcPr>
          <w:p w:rsidR="0038489A" w:rsidRPr="00A53E3C" w:rsidRDefault="0038489A" w:rsidP="00492694">
            <w:r w:rsidRPr="00A53E3C">
              <w:t>RCT</w:t>
            </w:r>
          </w:p>
        </w:tc>
        <w:tc>
          <w:tcPr>
            <w:tcW w:w="6663" w:type="dxa"/>
            <w:shd w:val="clear" w:color="auto" w:fill="auto"/>
          </w:tcPr>
          <w:p w:rsidR="0038489A" w:rsidRPr="00A53E3C" w:rsidRDefault="0038489A" w:rsidP="00492694">
            <w:r w:rsidRPr="00A53E3C">
              <w:t>Randomised Control Trial</w:t>
            </w:r>
          </w:p>
        </w:tc>
      </w:tr>
      <w:tr w:rsidR="00804EF0" w:rsidRPr="00A53E3C" w:rsidTr="007C42B5">
        <w:tc>
          <w:tcPr>
            <w:tcW w:w="2268" w:type="dxa"/>
            <w:shd w:val="clear" w:color="auto" w:fill="auto"/>
          </w:tcPr>
          <w:p w:rsidR="00804EF0" w:rsidRPr="00A53E3C" w:rsidRDefault="00804EF0" w:rsidP="00492694">
            <w:r w:rsidRPr="00A53E3C">
              <w:t>Reference Group</w:t>
            </w:r>
          </w:p>
        </w:tc>
        <w:tc>
          <w:tcPr>
            <w:tcW w:w="6663" w:type="dxa"/>
            <w:shd w:val="clear" w:color="auto" w:fill="auto"/>
          </w:tcPr>
          <w:p w:rsidR="00804EF0" w:rsidRPr="00A53E3C" w:rsidRDefault="00804EF0" w:rsidP="00492694">
            <w:r w:rsidRPr="00A53E3C">
              <w:t>Diabetes Review Reference Group</w:t>
            </w:r>
          </w:p>
        </w:tc>
      </w:tr>
      <w:tr w:rsidR="0038489A" w:rsidRPr="00A53E3C" w:rsidTr="007C42B5">
        <w:tc>
          <w:tcPr>
            <w:tcW w:w="2268" w:type="dxa"/>
            <w:shd w:val="clear" w:color="auto" w:fill="auto"/>
          </w:tcPr>
          <w:p w:rsidR="0038489A" w:rsidRPr="00A53E3C" w:rsidRDefault="0038489A" w:rsidP="00492694">
            <w:r w:rsidRPr="00A53E3C">
              <w:t>RPBS</w:t>
            </w:r>
          </w:p>
        </w:tc>
        <w:tc>
          <w:tcPr>
            <w:tcW w:w="6663" w:type="dxa"/>
            <w:shd w:val="clear" w:color="auto" w:fill="auto"/>
          </w:tcPr>
          <w:p w:rsidR="0038489A" w:rsidRPr="00A53E3C" w:rsidRDefault="0038489A" w:rsidP="00492694">
            <w:r w:rsidRPr="00A53E3C">
              <w:t>Repatriation Pharmaceutical Benefits Scheme</w:t>
            </w:r>
          </w:p>
        </w:tc>
      </w:tr>
      <w:tr w:rsidR="00B34C30" w:rsidRPr="00A53E3C" w:rsidTr="007C42B5">
        <w:tc>
          <w:tcPr>
            <w:tcW w:w="2268" w:type="dxa"/>
            <w:shd w:val="clear" w:color="auto" w:fill="auto"/>
          </w:tcPr>
          <w:p w:rsidR="00B34C30" w:rsidRPr="00A53E3C" w:rsidRDefault="00B34C30" w:rsidP="00492694">
            <w:r>
              <w:t>SGLT2</w:t>
            </w:r>
          </w:p>
        </w:tc>
        <w:tc>
          <w:tcPr>
            <w:tcW w:w="6663" w:type="dxa"/>
            <w:shd w:val="clear" w:color="auto" w:fill="auto"/>
          </w:tcPr>
          <w:p w:rsidR="00B34C30" w:rsidRPr="00A53E3C" w:rsidRDefault="00B34C30" w:rsidP="00492694">
            <w:r>
              <w:t>Sodium-glucose linked transporter protein 2</w:t>
            </w:r>
          </w:p>
        </w:tc>
      </w:tr>
      <w:tr w:rsidR="0038489A" w:rsidRPr="00A53E3C" w:rsidTr="007C42B5">
        <w:tc>
          <w:tcPr>
            <w:tcW w:w="2268" w:type="dxa"/>
            <w:shd w:val="clear" w:color="auto" w:fill="auto"/>
          </w:tcPr>
          <w:p w:rsidR="0038489A" w:rsidRPr="00A53E3C" w:rsidRDefault="0038489A" w:rsidP="00492694">
            <w:r w:rsidRPr="00A53E3C">
              <w:t>SIGN</w:t>
            </w:r>
          </w:p>
        </w:tc>
        <w:tc>
          <w:tcPr>
            <w:tcW w:w="6663" w:type="dxa"/>
            <w:shd w:val="clear" w:color="auto" w:fill="auto"/>
          </w:tcPr>
          <w:p w:rsidR="0038489A" w:rsidRPr="00A53E3C" w:rsidRDefault="0038489A" w:rsidP="00492694">
            <w:pPr>
              <w:rPr>
                <w:rFonts w:cs="Arial"/>
              </w:rPr>
            </w:pPr>
            <w:r w:rsidRPr="00A53E3C">
              <w:t>Scottish Intercollegiate Guidelines Network</w:t>
            </w:r>
          </w:p>
        </w:tc>
      </w:tr>
      <w:tr w:rsidR="0038489A" w:rsidRPr="00A53E3C" w:rsidTr="007C42B5">
        <w:tc>
          <w:tcPr>
            <w:tcW w:w="2268" w:type="dxa"/>
            <w:shd w:val="clear" w:color="auto" w:fill="auto"/>
          </w:tcPr>
          <w:p w:rsidR="0038489A" w:rsidRPr="00A53E3C" w:rsidRDefault="0038489A" w:rsidP="00492694">
            <w:r w:rsidRPr="00A53E3C">
              <w:t>TGA</w:t>
            </w:r>
          </w:p>
        </w:tc>
        <w:tc>
          <w:tcPr>
            <w:tcW w:w="6663" w:type="dxa"/>
            <w:shd w:val="clear" w:color="auto" w:fill="auto"/>
          </w:tcPr>
          <w:p w:rsidR="0038489A" w:rsidRPr="00A53E3C" w:rsidRDefault="0038489A" w:rsidP="00492694">
            <w:r w:rsidRPr="00A53E3C">
              <w:t>Therapeutic Goods Administration</w:t>
            </w:r>
          </w:p>
        </w:tc>
      </w:tr>
      <w:tr w:rsidR="0038489A" w:rsidRPr="00A53E3C" w:rsidTr="007C42B5">
        <w:tc>
          <w:tcPr>
            <w:tcW w:w="2268" w:type="dxa"/>
            <w:shd w:val="clear" w:color="auto" w:fill="auto"/>
          </w:tcPr>
          <w:p w:rsidR="0038489A" w:rsidRPr="00A53E3C" w:rsidRDefault="0038489A" w:rsidP="00492694">
            <w:r w:rsidRPr="00A53E3C">
              <w:t>The Department</w:t>
            </w:r>
          </w:p>
        </w:tc>
        <w:tc>
          <w:tcPr>
            <w:tcW w:w="6663" w:type="dxa"/>
            <w:shd w:val="clear" w:color="auto" w:fill="auto"/>
          </w:tcPr>
          <w:p w:rsidR="0038489A" w:rsidRPr="00A53E3C" w:rsidRDefault="0038489A" w:rsidP="00492694">
            <w:r w:rsidRPr="00A53E3C">
              <w:t>The Department of Health</w:t>
            </w:r>
          </w:p>
        </w:tc>
      </w:tr>
      <w:tr w:rsidR="0038489A" w:rsidRPr="00A53E3C" w:rsidTr="007C42B5">
        <w:tc>
          <w:tcPr>
            <w:tcW w:w="2268" w:type="dxa"/>
            <w:shd w:val="clear" w:color="auto" w:fill="auto"/>
          </w:tcPr>
          <w:p w:rsidR="0038489A" w:rsidRPr="00A53E3C" w:rsidRDefault="0038489A" w:rsidP="00492694">
            <w:r w:rsidRPr="00A53E3C">
              <w:t>ToR</w:t>
            </w:r>
          </w:p>
        </w:tc>
        <w:tc>
          <w:tcPr>
            <w:tcW w:w="6663" w:type="dxa"/>
            <w:shd w:val="clear" w:color="auto" w:fill="auto"/>
          </w:tcPr>
          <w:p w:rsidR="0038489A" w:rsidRPr="00A53E3C" w:rsidRDefault="0038489A" w:rsidP="00492694">
            <w:r w:rsidRPr="00A53E3C">
              <w:t>Terms of Reference</w:t>
            </w:r>
          </w:p>
        </w:tc>
      </w:tr>
      <w:tr w:rsidR="002A2142" w:rsidRPr="00A53E3C" w:rsidTr="007C42B5">
        <w:tc>
          <w:tcPr>
            <w:tcW w:w="2268" w:type="dxa"/>
            <w:shd w:val="clear" w:color="auto" w:fill="auto"/>
          </w:tcPr>
          <w:p w:rsidR="002A2142" w:rsidRPr="00A53E3C" w:rsidRDefault="002A2142" w:rsidP="00492694">
            <w:r>
              <w:t>UKPDS</w:t>
            </w:r>
          </w:p>
        </w:tc>
        <w:tc>
          <w:tcPr>
            <w:tcW w:w="6663" w:type="dxa"/>
            <w:shd w:val="clear" w:color="auto" w:fill="auto"/>
          </w:tcPr>
          <w:p w:rsidR="002A2142" w:rsidRPr="00A53E3C" w:rsidRDefault="002A2142" w:rsidP="00492694">
            <w:r>
              <w:t>United Kingdom Prospective Diabetes Study</w:t>
            </w:r>
          </w:p>
        </w:tc>
      </w:tr>
      <w:tr w:rsidR="0038489A" w:rsidRPr="00A53E3C" w:rsidTr="007C42B5">
        <w:tc>
          <w:tcPr>
            <w:tcW w:w="2268" w:type="dxa"/>
            <w:shd w:val="clear" w:color="auto" w:fill="auto"/>
          </w:tcPr>
          <w:p w:rsidR="0038489A" w:rsidRPr="00A53E3C" w:rsidRDefault="0038489A" w:rsidP="00492694">
            <w:r w:rsidRPr="00A53E3C">
              <w:t>WHO</w:t>
            </w:r>
          </w:p>
        </w:tc>
        <w:tc>
          <w:tcPr>
            <w:tcW w:w="6663" w:type="dxa"/>
            <w:shd w:val="clear" w:color="auto" w:fill="auto"/>
          </w:tcPr>
          <w:p w:rsidR="0038489A" w:rsidRPr="00A53E3C" w:rsidRDefault="0038489A" w:rsidP="00492694">
            <w:r w:rsidRPr="00A53E3C">
              <w:t>World Health Organization</w:t>
            </w:r>
          </w:p>
        </w:tc>
      </w:tr>
    </w:tbl>
    <w:p w:rsidR="0038489A" w:rsidRPr="00A53E3C" w:rsidRDefault="0038489A" w:rsidP="00492694"/>
    <w:p w:rsidR="00F47085" w:rsidRPr="00A53E3C" w:rsidRDefault="00DB59CA" w:rsidP="00492694">
      <w:pPr>
        <w:pStyle w:val="Heading1"/>
      </w:pPr>
      <w:r w:rsidRPr="00A53E3C">
        <w:br w:type="page"/>
      </w:r>
      <w:bookmarkStart w:id="127" w:name="_Toc382906696"/>
      <w:bookmarkStart w:id="128" w:name="_Toc397947693"/>
      <w:bookmarkStart w:id="129" w:name="_Toc403399534"/>
      <w:r w:rsidR="00F47085" w:rsidRPr="00A53E3C">
        <w:lastRenderedPageBreak/>
        <w:t>Executive Summary</w:t>
      </w:r>
      <w:bookmarkEnd w:id="127"/>
      <w:bookmarkEnd w:id="128"/>
      <w:bookmarkEnd w:id="129"/>
      <w:r w:rsidR="00F47085" w:rsidRPr="00A53E3C">
        <w:t xml:space="preserve"> </w:t>
      </w:r>
    </w:p>
    <w:p w:rsidR="00C74EB2" w:rsidRPr="00C74EB2" w:rsidRDefault="00C74EB2" w:rsidP="00492694">
      <w:pPr>
        <w:pStyle w:val="Heading5"/>
      </w:pPr>
      <w:r w:rsidRPr="00C74EB2">
        <w:t>Background and context</w:t>
      </w:r>
    </w:p>
    <w:p w:rsidR="00FA53EE" w:rsidRPr="00930215" w:rsidRDefault="00FA53EE" w:rsidP="00492694">
      <w:pPr>
        <w:rPr>
          <w:lang w:eastAsia="en-AU"/>
        </w:rPr>
      </w:pPr>
      <w:r w:rsidRPr="00930215">
        <w:t xml:space="preserve">Diabetes is a major health issue, as recognised by its status as a </w:t>
      </w:r>
      <w:r>
        <w:t xml:space="preserve">National Health Priority Area. </w:t>
      </w:r>
      <w:r w:rsidRPr="00930215">
        <w:t xml:space="preserve">Due to the considerable recent changes in diabetes management, including the Pharmaceutical Benefits Scheme (PBS) listing of a number of new medicines for the treatment of diabetes, the Pharmaceutical Benefits Advisory Committee (PBAC) agreed to a Post-market Review of Products used in the Management of Diabetes (Diabetes Review) in August 2012. </w:t>
      </w:r>
      <w:r>
        <w:rPr>
          <w:lang w:eastAsia="en-AU"/>
        </w:rPr>
        <w:t>This R</w:t>
      </w:r>
      <w:r w:rsidRPr="00930215">
        <w:rPr>
          <w:lang w:eastAsia="en-AU"/>
        </w:rPr>
        <w:t>eview aims to ensure that patients are using the most appropriate medi</w:t>
      </w:r>
      <w:r w:rsidR="00E17A4C">
        <w:rPr>
          <w:lang w:eastAsia="en-AU"/>
        </w:rPr>
        <w:t>cines and products, effectively</w:t>
      </w:r>
      <w:r w:rsidRPr="00930215">
        <w:rPr>
          <w:lang w:eastAsia="en-AU"/>
        </w:rPr>
        <w:t xml:space="preserve"> and safely, to achieve optimal health outcomes and support quality use of medicines. </w:t>
      </w:r>
    </w:p>
    <w:p w:rsidR="00C74EB2" w:rsidRPr="00A4328E" w:rsidRDefault="00FA53EE" w:rsidP="00492694">
      <w:pPr>
        <w:pStyle w:val="BodyText1"/>
        <w:rPr>
          <w:lang w:eastAsia="en-AU"/>
        </w:rPr>
      </w:pPr>
      <w:r w:rsidRPr="00930215">
        <w:rPr>
          <w:lang w:eastAsia="en-AU"/>
        </w:rPr>
        <w:t xml:space="preserve">The </w:t>
      </w:r>
      <w:r>
        <w:rPr>
          <w:lang w:eastAsia="en-AU"/>
        </w:rPr>
        <w:t xml:space="preserve">Diabetes </w:t>
      </w:r>
      <w:r w:rsidR="007A1743">
        <w:rPr>
          <w:lang w:eastAsia="en-AU"/>
        </w:rPr>
        <w:t>Review has been</w:t>
      </w:r>
      <w:r w:rsidR="000D069A">
        <w:rPr>
          <w:lang w:eastAsia="en-AU"/>
        </w:rPr>
        <w:t xml:space="preserve"> undertaken in three stages. T</w:t>
      </w:r>
      <w:r w:rsidR="00C74EB2" w:rsidRPr="00C06F52">
        <w:t>his</w:t>
      </w:r>
      <w:r w:rsidR="000D069A">
        <w:t xml:space="preserve"> draft</w:t>
      </w:r>
      <w:r w:rsidR="00C74EB2" w:rsidRPr="00C06F52">
        <w:t xml:space="preserve"> Report </w:t>
      </w:r>
      <w:r w:rsidR="000D069A">
        <w:t>contains the findings for</w:t>
      </w:r>
      <w:r w:rsidR="00C74EB2">
        <w:t xml:space="preserve"> Stage 3</w:t>
      </w:r>
      <w:r w:rsidR="000D069A">
        <w:t>,</w:t>
      </w:r>
      <w:r w:rsidR="00C74EB2">
        <w:t xml:space="preserve"> </w:t>
      </w:r>
      <w:r w:rsidR="007A1743">
        <w:t>which focused</w:t>
      </w:r>
      <w:r w:rsidR="000D069A">
        <w:t xml:space="preserve"> </w:t>
      </w:r>
      <w:r w:rsidR="00C74EB2" w:rsidRPr="00C06F52">
        <w:t>on</w:t>
      </w:r>
      <w:r w:rsidR="00C74EB2">
        <w:t xml:space="preserve"> type 2 diabetes medicines</w:t>
      </w:r>
      <w:r w:rsidR="00C74EB2" w:rsidRPr="00C06F52">
        <w:t>. The objective</w:t>
      </w:r>
      <w:r w:rsidR="00A4328E">
        <w:t>s</w:t>
      </w:r>
      <w:r w:rsidR="00C74EB2" w:rsidRPr="00C06F52">
        <w:t xml:space="preserve"> of the </w:t>
      </w:r>
      <w:r w:rsidR="00C74EB2">
        <w:t>Medicines Review, in line with Terms of Reference (ToR) 1–4</w:t>
      </w:r>
      <w:r w:rsidR="00A4328E">
        <w:t>, were</w:t>
      </w:r>
      <w:r>
        <w:t xml:space="preserve"> to</w:t>
      </w:r>
      <w:r w:rsidR="00C74EB2">
        <w:t>:</w:t>
      </w:r>
    </w:p>
    <w:p w:rsidR="00EE68F1" w:rsidRPr="00EE68F1" w:rsidRDefault="00EE68F1" w:rsidP="007156EB">
      <w:pPr>
        <w:pStyle w:val="ListParagraph"/>
        <w:numPr>
          <w:ilvl w:val="0"/>
          <w:numId w:val="45"/>
        </w:numPr>
        <w:rPr>
          <w:lang w:eastAsia="en-AU"/>
        </w:rPr>
      </w:pPr>
      <w:r w:rsidRPr="00EE68F1">
        <w:rPr>
          <w:lang w:eastAsia="en-AU"/>
        </w:rPr>
        <w:t>Describe the utilisation and patterns of treatment of PBS listed drugs for</w:t>
      </w:r>
      <w:r>
        <w:rPr>
          <w:lang w:eastAsia="en-AU"/>
        </w:rPr>
        <w:t xml:space="preserve"> type 2 diabetes</w:t>
      </w:r>
      <w:r w:rsidRPr="00EE68F1">
        <w:rPr>
          <w:lang w:eastAsia="en-AU"/>
        </w:rPr>
        <w:t>, and comp</w:t>
      </w:r>
      <w:r>
        <w:rPr>
          <w:lang w:eastAsia="en-AU"/>
        </w:rPr>
        <w:t>are these with PBS restrictions.</w:t>
      </w:r>
    </w:p>
    <w:p w:rsidR="00EE68F1" w:rsidRPr="00EE68F1" w:rsidRDefault="00EE68F1" w:rsidP="007156EB">
      <w:pPr>
        <w:pStyle w:val="ListParagraph"/>
        <w:numPr>
          <w:ilvl w:val="0"/>
          <w:numId w:val="45"/>
        </w:numPr>
        <w:rPr>
          <w:lang w:eastAsia="en-AU"/>
        </w:rPr>
      </w:pPr>
      <w:r w:rsidRPr="00EE68F1">
        <w:rPr>
          <w:lang w:eastAsia="en-AU"/>
        </w:rPr>
        <w:t>Consider if the utilisation of PBS listed drugs in current clinical practice represe</w:t>
      </w:r>
      <w:r>
        <w:rPr>
          <w:lang w:eastAsia="en-AU"/>
        </w:rPr>
        <w:t>nts expected cost effective use.</w:t>
      </w:r>
    </w:p>
    <w:p w:rsidR="00EE68F1" w:rsidRPr="00EE68F1" w:rsidRDefault="00EE68F1" w:rsidP="007156EB">
      <w:pPr>
        <w:pStyle w:val="ListParagraph"/>
        <w:numPr>
          <w:ilvl w:val="0"/>
          <w:numId w:val="45"/>
        </w:numPr>
        <w:rPr>
          <w:lang w:eastAsia="en-AU"/>
        </w:rPr>
      </w:pPr>
      <w:r w:rsidRPr="00EE68F1">
        <w:rPr>
          <w:lang w:eastAsia="en-AU"/>
        </w:rPr>
        <w:t>Consolidate the clinical trial evidence used to support PBS listings of diabe</w:t>
      </w:r>
      <w:r>
        <w:rPr>
          <w:lang w:eastAsia="en-AU"/>
        </w:rPr>
        <w:t>tes medicines listed since 2002.</w:t>
      </w:r>
    </w:p>
    <w:p w:rsidR="00C74EB2" w:rsidRDefault="00EE68F1" w:rsidP="007156EB">
      <w:pPr>
        <w:pStyle w:val="ListParagraph"/>
        <w:numPr>
          <w:ilvl w:val="0"/>
          <w:numId w:val="45"/>
        </w:numPr>
        <w:rPr>
          <w:lang w:eastAsia="en-AU"/>
        </w:rPr>
      </w:pPr>
      <w:r w:rsidRPr="00EE68F1">
        <w:rPr>
          <w:lang w:eastAsia="en-AU"/>
        </w:rPr>
        <w:t>Collate and evaluate any additional clinical studies or meta-analyses for dru</w:t>
      </w:r>
      <w:r>
        <w:rPr>
          <w:lang w:eastAsia="en-AU"/>
        </w:rPr>
        <w:t>gs currently PBS listed for type 2 diabetes</w:t>
      </w:r>
      <w:r w:rsidRPr="00EE68F1">
        <w:rPr>
          <w:lang w:eastAsia="en-AU"/>
        </w:rPr>
        <w:t xml:space="preserve"> that the </w:t>
      </w:r>
      <w:r>
        <w:rPr>
          <w:lang w:eastAsia="en-AU"/>
        </w:rPr>
        <w:t>PBAC</w:t>
      </w:r>
      <w:r w:rsidRPr="00EE68F1">
        <w:rPr>
          <w:lang w:eastAsia="en-AU"/>
        </w:rPr>
        <w:t xml:space="preserve"> has not seen and that w</w:t>
      </w:r>
      <w:r>
        <w:rPr>
          <w:lang w:eastAsia="en-AU"/>
        </w:rPr>
        <w:t>ould inform their consideration.</w:t>
      </w:r>
      <w:r w:rsidRPr="00EE68F1">
        <w:rPr>
          <w:lang w:eastAsia="en-AU"/>
        </w:rPr>
        <w:t xml:space="preserve"> </w:t>
      </w:r>
    </w:p>
    <w:p w:rsidR="00C74EB2" w:rsidRDefault="00C74EB2" w:rsidP="00492694">
      <w:pPr>
        <w:pStyle w:val="BodyText1"/>
      </w:pPr>
      <w:r w:rsidRPr="00C06F52">
        <w:t xml:space="preserve">The </w:t>
      </w:r>
      <w:r>
        <w:t xml:space="preserve">Medicines </w:t>
      </w:r>
      <w:r w:rsidRPr="00C06F52">
        <w:t xml:space="preserve">Review has been conducted according to the </w:t>
      </w:r>
      <w:r w:rsidRPr="0028026D">
        <w:t>Post</w:t>
      </w:r>
      <w:r w:rsidRPr="0028026D">
        <w:noBreakHyphen/>
        <w:t>market Review Framework</w:t>
      </w:r>
      <w:r w:rsidRPr="00C06F52">
        <w:t>.</w:t>
      </w:r>
      <w:r w:rsidR="00637B06">
        <w:t xml:space="preserve"> An Internal Working</w:t>
      </w:r>
      <w:r w:rsidR="00A45FA9">
        <w:t xml:space="preserve"> Group and</w:t>
      </w:r>
      <w:r w:rsidR="00637B06">
        <w:t xml:space="preserve"> </w:t>
      </w:r>
      <w:r w:rsidR="00A45FA9">
        <w:t xml:space="preserve">an </w:t>
      </w:r>
      <w:r w:rsidR="00637B06">
        <w:t xml:space="preserve">expert Reference Group provided </w:t>
      </w:r>
      <w:r w:rsidR="00A45FA9">
        <w:t>guidance and input to the Review.</w:t>
      </w:r>
    </w:p>
    <w:p w:rsidR="0029088C" w:rsidRDefault="0040498D" w:rsidP="0040498D">
      <w:r>
        <w:t>Under the PBS, a</w:t>
      </w:r>
      <w:r w:rsidRPr="003A1AEC">
        <w:t xml:space="preserve">ll of the </w:t>
      </w:r>
      <w:r>
        <w:t xml:space="preserve">newer </w:t>
      </w:r>
      <w:r w:rsidR="000D069A">
        <w:t xml:space="preserve">type 2 </w:t>
      </w:r>
      <w:r>
        <w:t>diabetes medicines (thiazolidinediones - TZDs</w:t>
      </w:r>
      <w:r w:rsidRPr="003A1AEC">
        <w:t xml:space="preserve">, </w:t>
      </w:r>
      <w:r>
        <w:t xml:space="preserve">DPP-4 inhibitors - gliptins, SGLT2 inhibitors, </w:t>
      </w:r>
      <w:r w:rsidRPr="003A1AEC">
        <w:t>and GLP-1</w:t>
      </w:r>
      <w:r>
        <w:t xml:space="preserve"> receptor agonists</w:t>
      </w:r>
      <w:r w:rsidRPr="003A1AEC">
        <w:t xml:space="preserve">) </w:t>
      </w:r>
      <w:r w:rsidR="007A1743">
        <w:t xml:space="preserve">are subsidised for use </w:t>
      </w:r>
      <w:r w:rsidRPr="003A1AEC">
        <w:t>in dual combination therapy with metformin or a sulfonylurea</w:t>
      </w:r>
      <w:r w:rsidR="00E629F9">
        <w:t xml:space="preserve"> in</w:t>
      </w:r>
      <w:r w:rsidR="001F5FF8">
        <w:t xml:space="preserve"> patients meeting certain criteria</w:t>
      </w:r>
      <w:r w:rsidRPr="003A1AEC">
        <w:t xml:space="preserve">. </w:t>
      </w:r>
      <w:r w:rsidR="00CF3A05">
        <w:t>Of the newer type 2 diabetes medicines, o</w:t>
      </w:r>
      <w:r>
        <w:t xml:space="preserve">nly pioglitazone and exenatide </w:t>
      </w:r>
      <w:r w:rsidRPr="003A1AEC">
        <w:t>are currently PBS-listed for use</w:t>
      </w:r>
      <w:r>
        <w:t xml:space="preserve"> in triple combination therapy with metformin + sulfonylurea, </w:t>
      </w:r>
      <w:r w:rsidRPr="003A1AEC">
        <w:t xml:space="preserve">and only pioglitazone </w:t>
      </w:r>
      <w:r>
        <w:t xml:space="preserve">is currently </w:t>
      </w:r>
      <w:r w:rsidRPr="003A1AEC">
        <w:t>listed for u</w:t>
      </w:r>
      <w:r>
        <w:t>se in combination with insulin</w:t>
      </w:r>
      <w:r w:rsidRPr="003A1AEC">
        <w:t>.</w:t>
      </w:r>
      <w:r>
        <w:t xml:space="preserve"> </w:t>
      </w:r>
      <w:r w:rsidR="00CF3A05">
        <w:t xml:space="preserve">Metformin, sulfonulreas, acarbose and most insulins have unrestricted listings for use in the management of type 2 diabetes and can be used in any combination with each other. </w:t>
      </w:r>
      <w:r w:rsidR="00780C3E">
        <w:t>Insulin was considered out of scope of the Review, except as a comparator.</w:t>
      </w:r>
      <w:r w:rsidR="0099225E">
        <w:t xml:space="preserve"> </w:t>
      </w:r>
    </w:p>
    <w:p w:rsidR="002126B8" w:rsidRDefault="0099225E" w:rsidP="0040498D">
      <w:r>
        <w:t>Table 1 shows the prices of the newer type 2 diabetes medici</w:t>
      </w:r>
      <w:r w:rsidR="0029088C">
        <w:t>nes listed</w:t>
      </w:r>
      <w:r>
        <w:t xml:space="preserve"> on the PBS.</w:t>
      </w:r>
    </w:p>
    <w:p w:rsidR="0029088C" w:rsidRPr="0029088C" w:rsidRDefault="0029088C" w:rsidP="0029088C">
      <w:pPr>
        <w:keepNext/>
        <w:keepLines/>
        <w:rPr>
          <w:b/>
        </w:rPr>
      </w:pPr>
      <w:r w:rsidRPr="0029088C">
        <w:rPr>
          <w:b/>
        </w:rPr>
        <w:lastRenderedPageBreak/>
        <w:t>Table 1. Prices of newer type 2 diabetes</w:t>
      </w:r>
      <w:r>
        <w:rPr>
          <w:b/>
        </w:rPr>
        <w:t xml:space="preserve"> medicines on the PBS (1 </w:t>
      </w:r>
      <w:r w:rsidRPr="0029088C">
        <w:rPr>
          <w:b/>
        </w:rPr>
        <w:t>August 2014 PBS Schedule)</w:t>
      </w:r>
      <w:r>
        <w:rPr>
          <w:b/>
        </w:rPr>
        <w:t>.</w:t>
      </w:r>
      <w:r w:rsidRPr="0029088C">
        <w:rPr>
          <w:b/>
        </w:rPr>
        <w:t xml:space="preserve">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3543"/>
        <w:gridCol w:w="993"/>
        <w:gridCol w:w="2268"/>
        <w:gridCol w:w="992"/>
      </w:tblGrid>
      <w:tr w:rsidR="0029088C" w:rsidRPr="0027611E" w:rsidTr="0029088C">
        <w:trPr>
          <w:cantSplit/>
          <w:tblHeader/>
        </w:trPr>
        <w:tc>
          <w:tcPr>
            <w:tcW w:w="1560" w:type="dxa"/>
            <w:shd w:val="clear" w:color="auto" w:fill="D9D9D9" w:themeFill="background1" w:themeFillShade="D9"/>
          </w:tcPr>
          <w:p w:rsidR="0029088C" w:rsidRPr="0027611E" w:rsidRDefault="0029088C" w:rsidP="0029088C">
            <w:pPr>
              <w:keepNext/>
              <w:keepLines/>
              <w:spacing w:before="40" w:after="40" w:line="240" w:lineRule="auto"/>
              <w:rPr>
                <w:rFonts w:asciiTheme="majorHAnsi" w:hAnsiTheme="majorHAnsi" w:cs="Arial"/>
                <w:b/>
                <w:sz w:val="20"/>
                <w:szCs w:val="20"/>
              </w:rPr>
            </w:pPr>
            <w:r w:rsidRPr="0027611E">
              <w:rPr>
                <w:rFonts w:asciiTheme="majorHAnsi" w:hAnsiTheme="majorHAnsi" w:cs="Arial"/>
                <w:b/>
                <w:sz w:val="20"/>
                <w:szCs w:val="20"/>
              </w:rPr>
              <w:t>Drug Name</w:t>
            </w:r>
          </w:p>
        </w:tc>
        <w:tc>
          <w:tcPr>
            <w:tcW w:w="3543" w:type="dxa"/>
            <w:shd w:val="clear" w:color="auto" w:fill="D9D9D9" w:themeFill="background1" w:themeFillShade="D9"/>
          </w:tcPr>
          <w:p w:rsidR="0029088C" w:rsidRPr="0027611E" w:rsidRDefault="0029088C" w:rsidP="0029088C">
            <w:pPr>
              <w:keepNext/>
              <w:keepLines/>
              <w:spacing w:before="40" w:after="40" w:line="240" w:lineRule="auto"/>
              <w:rPr>
                <w:rFonts w:asciiTheme="majorHAnsi" w:hAnsiTheme="majorHAnsi" w:cs="Arial"/>
                <w:b/>
                <w:sz w:val="20"/>
                <w:szCs w:val="20"/>
              </w:rPr>
            </w:pPr>
            <w:r w:rsidRPr="0027611E">
              <w:rPr>
                <w:rFonts w:asciiTheme="majorHAnsi" w:hAnsiTheme="majorHAnsi" w:cs="Arial"/>
                <w:b/>
                <w:sz w:val="20"/>
                <w:szCs w:val="20"/>
              </w:rPr>
              <w:t>Form &amp; Strength</w:t>
            </w:r>
          </w:p>
        </w:tc>
        <w:tc>
          <w:tcPr>
            <w:tcW w:w="993" w:type="dxa"/>
            <w:shd w:val="clear" w:color="auto" w:fill="D9D9D9" w:themeFill="background1" w:themeFillShade="D9"/>
          </w:tcPr>
          <w:p w:rsidR="0029088C" w:rsidRPr="0027611E" w:rsidRDefault="0029088C" w:rsidP="0029088C">
            <w:pPr>
              <w:keepNext/>
              <w:keepLines/>
              <w:spacing w:before="40" w:after="40" w:line="240" w:lineRule="auto"/>
              <w:jc w:val="center"/>
              <w:rPr>
                <w:rFonts w:asciiTheme="majorHAnsi" w:hAnsiTheme="majorHAnsi" w:cs="Arial"/>
                <w:b/>
                <w:sz w:val="20"/>
                <w:szCs w:val="20"/>
              </w:rPr>
            </w:pPr>
            <w:r w:rsidRPr="0027611E">
              <w:rPr>
                <w:rFonts w:asciiTheme="majorHAnsi" w:hAnsiTheme="majorHAnsi" w:cs="Arial"/>
                <w:b/>
                <w:sz w:val="20"/>
                <w:szCs w:val="20"/>
              </w:rPr>
              <w:t>Item No.</w:t>
            </w:r>
          </w:p>
        </w:tc>
        <w:tc>
          <w:tcPr>
            <w:tcW w:w="2268" w:type="dxa"/>
            <w:shd w:val="clear" w:color="auto" w:fill="D9D9D9" w:themeFill="background1" w:themeFillShade="D9"/>
          </w:tcPr>
          <w:p w:rsidR="0029088C" w:rsidRPr="0027611E" w:rsidRDefault="0029088C" w:rsidP="0029088C">
            <w:pPr>
              <w:keepNext/>
              <w:keepLines/>
              <w:spacing w:before="40" w:after="40" w:line="240" w:lineRule="auto"/>
              <w:jc w:val="center"/>
              <w:rPr>
                <w:rFonts w:asciiTheme="majorHAnsi" w:hAnsiTheme="majorHAnsi" w:cs="Arial"/>
                <w:b/>
                <w:sz w:val="20"/>
                <w:szCs w:val="20"/>
              </w:rPr>
            </w:pPr>
            <w:r w:rsidRPr="0027611E">
              <w:rPr>
                <w:rFonts w:asciiTheme="majorHAnsi" w:hAnsiTheme="majorHAnsi" w:cs="Arial"/>
                <w:b/>
                <w:sz w:val="20"/>
                <w:szCs w:val="20"/>
              </w:rPr>
              <w:t>MQ packs/ MQ units/</w:t>
            </w:r>
          </w:p>
          <w:p w:rsidR="0029088C" w:rsidRPr="0027611E" w:rsidRDefault="0029088C" w:rsidP="0029088C">
            <w:pPr>
              <w:keepNext/>
              <w:keepLines/>
              <w:spacing w:before="40" w:after="40" w:line="240" w:lineRule="auto"/>
              <w:jc w:val="center"/>
              <w:rPr>
                <w:rFonts w:asciiTheme="majorHAnsi" w:hAnsiTheme="majorHAnsi" w:cs="Arial"/>
                <w:b/>
                <w:sz w:val="20"/>
                <w:szCs w:val="20"/>
              </w:rPr>
            </w:pPr>
            <w:r>
              <w:rPr>
                <w:rFonts w:asciiTheme="majorHAnsi" w:hAnsiTheme="majorHAnsi" w:cs="Arial"/>
                <w:b/>
                <w:sz w:val="20"/>
                <w:szCs w:val="20"/>
              </w:rPr>
              <w:t>No. of Repeats</w:t>
            </w:r>
            <w:r w:rsidRPr="0027611E">
              <w:rPr>
                <w:rFonts w:asciiTheme="majorHAnsi" w:hAnsiTheme="majorHAnsi" w:cs="Arial"/>
                <w:b/>
                <w:sz w:val="20"/>
                <w:szCs w:val="20"/>
              </w:rPr>
              <w:t>.</w:t>
            </w:r>
          </w:p>
        </w:tc>
        <w:tc>
          <w:tcPr>
            <w:tcW w:w="992" w:type="dxa"/>
            <w:shd w:val="clear" w:color="auto" w:fill="D9D9D9" w:themeFill="background1" w:themeFillShade="D9"/>
          </w:tcPr>
          <w:p w:rsidR="0029088C" w:rsidRDefault="0029088C" w:rsidP="0029088C">
            <w:pPr>
              <w:keepNext/>
              <w:keepLines/>
              <w:spacing w:before="40" w:after="40" w:line="240" w:lineRule="auto"/>
              <w:jc w:val="center"/>
              <w:rPr>
                <w:rFonts w:asciiTheme="majorHAnsi" w:hAnsiTheme="majorHAnsi" w:cs="Arial"/>
                <w:b/>
                <w:sz w:val="20"/>
                <w:szCs w:val="20"/>
              </w:rPr>
            </w:pPr>
            <w:r w:rsidRPr="0027611E">
              <w:rPr>
                <w:rFonts w:asciiTheme="majorHAnsi" w:hAnsiTheme="majorHAnsi" w:cs="Arial"/>
                <w:b/>
                <w:sz w:val="20"/>
                <w:szCs w:val="20"/>
              </w:rPr>
              <w:t>DPMQ</w:t>
            </w:r>
          </w:p>
          <w:p w:rsidR="0029088C" w:rsidRPr="0027611E" w:rsidRDefault="0029088C" w:rsidP="0029088C">
            <w:pPr>
              <w:keepNext/>
              <w:keepLines/>
              <w:spacing w:before="40" w:after="40" w:line="240" w:lineRule="auto"/>
              <w:jc w:val="center"/>
              <w:rPr>
                <w:rFonts w:asciiTheme="majorHAnsi" w:hAnsiTheme="majorHAnsi" w:cs="Arial"/>
                <w:b/>
                <w:sz w:val="20"/>
                <w:szCs w:val="20"/>
              </w:rPr>
            </w:pPr>
            <w:r>
              <w:rPr>
                <w:rFonts w:asciiTheme="majorHAnsi" w:hAnsiTheme="majorHAnsi" w:cs="Arial"/>
                <w:b/>
                <w:sz w:val="20"/>
                <w:szCs w:val="20"/>
              </w:rPr>
              <w:t>(Price)</w:t>
            </w:r>
          </w:p>
        </w:tc>
      </w:tr>
      <w:tr w:rsidR="0029088C" w:rsidRPr="0027611E" w:rsidTr="0029088C">
        <w:trPr>
          <w:cantSplit/>
          <w:trHeight w:val="75"/>
        </w:trPr>
        <w:tc>
          <w:tcPr>
            <w:tcW w:w="9356" w:type="dxa"/>
            <w:gridSpan w:val="5"/>
            <w:shd w:val="clear" w:color="auto" w:fill="D9D9D9" w:themeFill="background1" w:themeFillShade="D9"/>
          </w:tcPr>
          <w:p w:rsidR="0029088C" w:rsidRPr="0027611E" w:rsidRDefault="0029088C" w:rsidP="0029088C">
            <w:pPr>
              <w:keepNext/>
              <w:keepLines/>
              <w:spacing w:before="40" w:after="40" w:line="240" w:lineRule="auto"/>
              <w:rPr>
                <w:rFonts w:asciiTheme="majorHAnsi" w:hAnsiTheme="majorHAnsi" w:cs="Arial"/>
                <w:b/>
                <w:i/>
                <w:sz w:val="20"/>
                <w:szCs w:val="20"/>
              </w:rPr>
            </w:pPr>
            <w:r w:rsidRPr="0027611E">
              <w:rPr>
                <w:rFonts w:asciiTheme="majorHAnsi" w:hAnsiTheme="majorHAnsi" w:cs="Arial"/>
                <w:b/>
                <w:i/>
                <w:sz w:val="20"/>
                <w:szCs w:val="20"/>
              </w:rPr>
              <w:t>TZDs</w:t>
            </w:r>
          </w:p>
        </w:tc>
      </w:tr>
      <w:tr w:rsidR="0029088C" w:rsidRPr="0027611E" w:rsidTr="0029088C">
        <w:trPr>
          <w:cantSplit/>
          <w:trHeight w:val="75"/>
        </w:trPr>
        <w:tc>
          <w:tcPr>
            <w:tcW w:w="1560" w:type="dxa"/>
            <w:vMerge w:val="restart"/>
          </w:tcPr>
          <w:p w:rsidR="0029088C" w:rsidRPr="0027611E" w:rsidRDefault="0029088C" w:rsidP="0029088C">
            <w:pPr>
              <w:keepNext/>
              <w:keepLines/>
              <w:spacing w:before="40" w:after="40" w:line="240" w:lineRule="auto"/>
              <w:rPr>
                <w:rFonts w:asciiTheme="majorHAnsi" w:hAnsiTheme="majorHAnsi" w:cs="Arial"/>
                <w:sz w:val="20"/>
                <w:szCs w:val="20"/>
              </w:rPr>
            </w:pPr>
            <w:r w:rsidRPr="0027611E">
              <w:rPr>
                <w:rFonts w:asciiTheme="majorHAnsi" w:hAnsiTheme="majorHAnsi" w:cs="Arial"/>
                <w:sz w:val="20"/>
                <w:szCs w:val="20"/>
              </w:rPr>
              <w:t>Pioglitazone</w:t>
            </w:r>
          </w:p>
          <w:p w:rsidR="0029088C" w:rsidRPr="0027611E" w:rsidRDefault="0029088C" w:rsidP="0029088C">
            <w:pPr>
              <w:keepNext/>
              <w:keepLines/>
              <w:spacing w:before="40" w:after="40" w:line="240" w:lineRule="auto"/>
              <w:rPr>
                <w:rFonts w:asciiTheme="majorHAnsi" w:hAnsiTheme="majorHAnsi" w:cs="Arial"/>
                <w:sz w:val="20"/>
                <w:szCs w:val="20"/>
              </w:rPr>
            </w:pPr>
          </w:p>
        </w:tc>
        <w:tc>
          <w:tcPr>
            <w:tcW w:w="3543" w:type="dxa"/>
          </w:tcPr>
          <w:p w:rsidR="0029088C" w:rsidRPr="0027611E" w:rsidRDefault="0029088C" w:rsidP="0029088C">
            <w:pPr>
              <w:keepNext/>
              <w:keepLines/>
              <w:spacing w:before="40" w:after="40" w:line="240" w:lineRule="auto"/>
              <w:rPr>
                <w:rFonts w:asciiTheme="majorHAnsi" w:hAnsiTheme="majorHAnsi" w:cs="Arial"/>
                <w:sz w:val="20"/>
                <w:szCs w:val="20"/>
              </w:rPr>
            </w:pPr>
            <w:r w:rsidRPr="0027611E">
              <w:rPr>
                <w:rFonts w:asciiTheme="majorHAnsi" w:hAnsiTheme="majorHAnsi" w:cs="Arial"/>
                <w:sz w:val="20"/>
                <w:szCs w:val="20"/>
              </w:rPr>
              <w:t>15 mg tablet</w:t>
            </w:r>
          </w:p>
        </w:tc>
        <w:tc>
          <w:tcPr>
            <w:tcW w:w="993" w:type="dxa"/>
          </w:tcPr>
          <w:p w:rsidR="0029088C" w:rsidRPr="0027611E" w:rsidRDefault="0029088C" w:rsidP="0029088C">
            <w:pPr>
              <w:keepNext/>
              <w:keepLines/>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8694N</w:t>
            </w:r>
          </w:p>
        </w:tc>
        <w:tc>
          <w:tcPr>
            <w:tcW w:w="2268" w:type="dxa"/>
          </w:tcPr>
          <w:p w:rsidR="0029088C" w:rsidRPr="0027611E" w:rsidRDefault="0029088C" w:rsidP="0029088C">
            <w:pPr>
              <w:keepNext/>
              <w:keepLines/>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29088C">
            <w:pPr>
              <w:keepNext/>
              <w:keepLines/>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$32.13</w:t>
            </w:r>
          </w:p>
        </w:tc>
      </w:tr>
      <w:tr w:rsidR="0029088C" w:rsidRPr="0027611E" w:rsidTr="0029088C">
        <w:trPr>
          <w:cantSplit/>
          <w:trHeight w:val="75"/>
        </w:trPr>
        <w:tc>
          <w:tcPr>
            <w:tcW w:w="1560" w:type="dxa"/>
            <w:vMerge/>
          </w:tcPr>
          <w:p w:rsidR="0029088C" w:rsidRPr="0027611E" w:rsidRDefault="0029088C" w:rsidP="0029088C">
            <w:pPr>
              <w:keepNext/>
              <w:keepLines/>
              <w:spacing w:before="40" w:after="40" w:line="240" w:lineRule="auto"/>
              <w:rPr>
                <w:rFonts w:asciiTheme="majorHAnsi" w:hAnsiTheme="majorHAnsi" w:cs="Arial"/>
                <w:sz w:val="20"/>
                <w:szCs w:val="20"/>
              </w:rPr>
            </w:pPr>
          </w:p>
        </w:tc>
        <w:tc>
          <w:tcPr>
            <w:tcW w:w="3543" w:type="dxa"/>
          </w:tcPr>
          <w:p w:rsidR="0029088C" w:rsidRPr="0027611E" w:rsidRDefault="0029088C" w:rsidP="0029088C">
            <w:pPr>
              <w:keepNext/>
              <w:keepLines/>
              <w:spacing w:before="40" w:after="40" w:line="240" w:lineRule="auto"/>
              <w:rPr>
                <w:rFonts w:asciiTheme="majorHAnsi" w:hAnsiTheme="majorHAnsi" w:cs="Arial"/>
                <w:sz w:val="20"/>
                <w:szCs w:val="20"/>
              </w:rPr>
            </w:pPr>
            <w:r w:rsidRPr="0027611E">
              <w:rPr>
                <w:rFonts w:asciiTheme="majorHAnsi" w:hAnsiTheme="majorHAnsi" w:cs="Arial"/>
                <w:sz w:val="20"/>
                <w:szCs w:val="20"/>
              </w:rPr>
              <w:t>30 mg tablet</w:t>
            </w:r>
          </w:p>
        </w:tc>
        <w:tc>
          <w:tcPr>
            <w:tcW w:w="993" w:type="dxa"/>
          </w:tcPr>
          <w:p w:rsidR="0029088C" w:rsidRPr="0027611E" w:rsidRDefault="0029088C" w:rsidP="0029088C">
            <w:pPr>
              <w:keepNext/>
              <w:keepLines/>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8695P</w:t>
            </w:r>
          </w:p>
        </w:tc>
        <w:tc>
          <w:tcPr>
            <w:tcW w:w="2268" w:type="dxa"/>
          </w:tcPr>
          <w:p w:rsidR="0029088C" w:rsidRPr="0027611E" w:rsidRDefault="0029088C" w:rsidP="0029088C">
            <w:pPr>
              <w:keepNext/>
              <w:keepLines/>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29088C">
            <w:pPr>
              <w:keepNext/>
              <w:keepLines/>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$45.19</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45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8696Q</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$55.39</w:t>
            </w:r>
          </w:p>
        </w:tc>
      </w:tr>
      <w:tr w:rsidR="0029088C" w:rsidRPr="0027611E" w:rsidTr="0029088C">
        <w:trPr>
          <w:cantSplit/>
          <w:trHeight w:val="75"/>
        </w:trPr>
        <w:tc>
          <w:tcPr>
            <w:tcW w:w="1560" w:type="dxa"/>
            <w:vMerge w:val="restart"/>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Rosiglitazone</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4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8689H</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$61.49</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8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8690J</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$90.94</w:t>
            </w:r>
          </w:p>
        </w:tc>
      </w:tr>
      <w:tr w:rsidR="0029088C" w:rsidRPr="0027611E" w:rsidTr="0029088C">
        <w:trPr>
          <w:cantSplit/>
          <w:trHeight w:val="75"/>
        </w:trPr>
        <w:tc>
          <w:tcPr>
            <w:tcW w:w="9356" w:type="dxa"/>
            <w:gridSpan w:val="5"/>
            <w:shd w:val="clear" w:color="auto" w:fill="D9D9D9" w:themeFill="background1" w:themeFillShade="D9"/>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b/>
                <w:i/>
                <w:sz w:val="20"/>
                <w:szCs w:val="20"/>
              </w:rPr>
              <w:t>TZD + metformin combinations</w:t>
            </w:r>
          </w:p>
        </w:tc>
      </w:tr>
      <w:tr w:rsidR="0029088C" w:rsidRPr="0027611E" w:rsidTr="0029088C">
        <w:trPr>
          <w:cantSplit/>
          <w:trHeight w:val="75"/>
        </w:trPr>
        <w:tc>
          <w:tcPr>
            <w:tcW w:w="1560" w:type="dxa"/>
            <w:vMerge w:val="restart"/>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Rosiglitazone + metformin</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2 mg + 500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9059T</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$63.58</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2 mg + 1 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9060W</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$65.54</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4 mg + 500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9061X</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$93.04</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4 mg + 1 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9062Y</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$95.00</w:t>
            </w:r>
          </w:p>
        </w:tc>
      </w:tr>
      <w:tr w:rsidR="0029088C" w:rsidRPr="0027611E" w:rsidTr="0029088C">
        <w:trPr>
          <w:cantSplit/>
          <w:trHeight w:val="75"/>
        </w:trPr>
        <w:tc>
          <w:tcPr>
            <w:tcW w:w="9356" w:type="dxa"/>
            <w:gridSpan w:val="5"/>
            <w:shd w:val="clear" w:color="auto" w:fill="D9D9D9" w:themeFill="background1" w:themeFillShade="D9"/>
          </w:tcPr>
          <w:p w:rsidR="0029088C" w:rsidRPr="0027611E" w:rsidRDefault="0029088C" w:rsidP="00C82935">
            <w:pPr>
              <w:spacing w:before="40" w:after="40" w:line="240" w:lineRule="auto"/>
              <w:rPr>
                <w:rFonts w:asciiTheme="majorHAnsi" w:hAnsiTheme="majorHAnsi" w:cs="Arial"/>
                <w:b/>
                <w:i/>
                <w:sz w:val="20"/>
                <w:szCs w:val="20"/>
              </w:rPr>
            </w:pPr>
            <w:r w:rsidRPr="0027611E">
              <w:rPr>
                <w:rFonts w:asciiTheme="majorHAnsi" w:hAnsiTheme="majorHAnsi" w:cs="Arial"/>
                <w:b/>
                <w:i/>
                <w:sz w:val="20"/>
                <w:szCs w:val="20"/>
              </w:rPr>
              <w:t>DPP-4 inhibitors</w:t>
            </w:r>
          </w:p>
        </w:tc>
      </w:tr>
      <w:tr w:rsidR="0029088C" w:rsidRPr="0027611E" w:rsidTr="0029088C">
        <w:trPr>
          <w:cantSplit/>
          <w:trHeight w:val="75"/>
        </w:trPr>
        <w:tc>
          <w:tcPr>
            <w:tcW w:w="1560" w:type="dxa"/>
            <w:vMerge w:val="restart"/>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Alogliptin</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6.25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2944Y</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12.5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2933J</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2986E</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r>
      <w:tr w:rsidR="0029088C" w:rsidRPr="0027611E" w:rsidTr="0029088C">
        <w:trPr>
          <w:cantSplit/>
          <w:trHeight w:val="75"/>
        </w:trPr>
        <w:tc>
          <w:tcPr>
            <w:tcW w:w="1560"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Linagliptin</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5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3387G</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1/30/5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$62.95</w:t>
            </w:r>
          </w:p>
        </w:tc>
      </w:tr>
      <w:tr w:rsidR="0029088C" w:rsidRPr="0027611E" w:rsidTr="0029088C">
        <w:trPr>
          <w:cantSplit/>
          <w:trHeight w:val="75"/>
        </w:trPr>
        <w:tc>
          <w:tcPr>
            <w:tcW w:w="1560" w:type="dxa"/>
            <w:vMerge w:val="restart"/>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Saxagliptin</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10128C</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5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8983T</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r>
      <w:tr w:rsidR="0029088C" w:rsidRPr="0027611E" w:rsidTr="0029088C">
        <w:trPr>
          <w:cantSplit/>
          <w:trHeight w:val="75"/>
        </w:trPr>
        <w:tc>
          <w:tcPr>
            <w:tcW w:w="1560" w:type="dxa"/>
            <w:vMerge w:val="restart"/>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Sitagliptin</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9180E</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9181F</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100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9182G</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r>
      <w:tr w:rsidR="0029088C" w:rsidRPr="0027611E" w:rsidTr="0029088C">
        <w:trPr>
          <w:cantSplit/>
          <w:trHeight w:val="75"/>
        </w:trPr>
        <w:tc>
          <w:tcPr>
            <w:tcW w:w="1560"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Vildagliptin</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3415R</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$62.95</w:t>
            </w:r>
          </w:p>
        </w:tc>
      </w:tr>
      <w:tr w:rsidR="0029088C" w:rsidRPr="0027611E" w:rsidTr="0029088C">
        <w:trPr>
          <w:cantSplit/>
          <w:trHeight w:val="75"/>
        </w:trPr>
        <w:tc>
          <w:tcPr>
            <w:tcW w:w="9356" w:type="dxa"/>
            <w:gridSpan w:val="5"/>
            <w:shd w:val="clear" w:color="auto" w:fill="D9D9D9" w:themeFill="background1" w:themeFillShade="D9"/>
          </w:tcPr>
          <w:p w:rsidR="0029088C" w:rsidRPr="0027611E" w:rsidRDefault="0029088C" w:rsidP="00C82935">
            <w:pPr>
              <w:spacing w:before="40" w:after="40" w:line="240" w:lineRule="auto"/>
              <w:rPr>
                <w:rFonts w:asciiTheme="majorHAnsi" w:hAnsiTheme="majorHAnsi" w:cs="Arial"/>
                <w:b/>
                <w:i/>
                <w:sz w:val="20"/>
                <w:szCs w:val="20"/>
              </w:rPr>
            </w:pPr>
            <w:r w:rsidRPr="0027611E">
              <w:rPr>
                <w:rFonts w:asciiTheme="majorHAnsi" w:hAnsiTheme="majorHAnsi" w:cs="Arial"/>
                <w:b/>
                <w:i/>
                <w:sz w:val="20"/>
                <w:szCs w:val="20"/>
              </w:rPr>
              <w:t>DPP-4 inhibitor + metformin combinations</w:t>
            </w:r>
          </w:p>
        </w:tc>
      </w:tr>
      <w:tr w:rsidR="0029088C" w:rsidRPr="0027611E" w:rsidTr="0029088C">
        <w:trPr>
          <w:cantSplit/>
          <w:trHeight w:val="75"/>
        </w:trPr>
        <w:tc>
          <w:tcPr>
            <w:tcW w:w="1560" w:type="dxa"/>
            <w:vMerge w:val="restart"/>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Alogliptin + metformin</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12.5 mg + 500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10033C</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$61.30</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12.5 mg + 850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10032B</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$62.70</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12.5 mg + 1 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10035E</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$63.26</w:t>
            </w:r>
          </w:p>
        </w:tc>
      </w:tr>
      <w:tr w:rsidR="0029088C" w:rsidRPr="0027611E" w:rsidTr="0029088C">
        <w:trPr>
          <w:cantSplit/>
          <w:trHeight w:val="75"/>
        </w:trPr>
        <w:tc>
          <w:tcPr>
            <w:tcW w:w="1560" w:type="dxa"/>
            <w:vMerge w:val="restart"/>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Linagliptin + metformin</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+ 500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10038H</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$65.20</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+ 850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10045Q</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$66.69</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+ 1 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10044P</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$67.29</w:t>
            </w:r>
          </w:p>
        </w:tc>
      </w:tr>
      <w:tr w:rsidR="0029088C" w:rsidRPr="0027611E" w:rsidTr="0029088C">
        <w:trPr>
          <w:cantSplit/>
          <w:trHeight w:val="75"/>
        </w:trPr>
        <w:tc>
          <w:tcPr>
            <w:tcW w:w="1560" w:type="dxa"/>
            <w:vMerge w:val="restart"/>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Saxagliptin + metformin</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+ 1 g tablet: MR</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10048W</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$63.26</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5 mg + 500 mg tablet: MR</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10055F</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$60.25</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5 mg + 1 g tablet: MR</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10051B</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$61.30</w:t>
            </w:r>
          </w:p>
        </w:tc>
      </w:tr>
      <w:tr w:rsidR="0029088C" w:rsidRPr="0027611E" w:rsidTr="0029088C">
        <w:trPr>
          <w:cantSplit/>
          <w:trHeight w:val="75"/>
        </w:trPr>
        <w:tc>
          <w:tcPr>
            <w:tcW w:w="1560" w:type="dxa"/>
            <w:vMerge w:val="restart"/>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Sitagliptin + metformin</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+ 500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9449H</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$61.30</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+ 850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9450J</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$62.70</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+ 1 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9451K</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$63.26</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+ 1 g tablet: MR</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10090C</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$63.26</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100 mg + 1 g tablet: MR</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10089B</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$61.30</w:t>
            </w:r>
          </w:p>
        </w:tc>
      </w:tr>
      <w:tr w:rsidR="0029088C" w:rsidRPr="0027611E" w:rsidTr="0029088C">
        <w:trPr>
          <w:cantSplit/>
          <w:trHeight w:val="75"/>
        </w:trPr>
        <w:tc>
          <w:tcPr>
            <w:tcW w:w="1560" w:type="dxa"/>
            <w:vMerge w:val="restart"/>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 xml:space="preserve">Vildagliptin + </w:t>
            </w:r>
            <w:r w:rsidRPr="0027611E">
              <w:rPr>
                <w:rFonts w:asciiTheme="majorHAnsi" w:hAnsiTheme="majorHAnsi" w:cs="Arial"/>
                <w:sz w:val="20"/>
                <w:szCs w:val="20"/>
              </w:rPr>
              <w:lastRenderedPageBreak/>
              <w:t>metformin</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lastRenderedPageBreak/>
              <w:t>50 mg + 500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5474D</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$62.12</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+ 850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5475E</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$63.61</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+ 1 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5476F</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$64.21</w:t>
            </w:r>
          </w:p>
        </w:tc>
      </w:tr>
      <w:tr w:rsidR="0029088C" w:rsidRPr="0027611E" w:rsidTr="0029088C">
        <w:trPr>
          <w:cantSplit/>
          <w:trHeight w:val="75"/>
        </w:trPr>
        <w:tc>
          <w:tcPr>
            <w:tcW w:w="9356" w:type="dxa"/>
            <w:gridSpan w:val="5"/>
            <w:shd w:val="clear" w:color="auto" w:fill="D9D9D9" w:themeFill="background1" w:themeFillShade="D9"/>
          </w:tcPr>
          <w:p w:rsidR="0029088C" w:rsidRPr="0027611E" w:rsidRDefault="0029088C" w:rsidP="00C82935">
            <w:pPr>
              <w:spacing w:before="40" w:after="40" w:line="240" w:lineRule="auto"/>
              <w:rPr>
                <w:rFonts w:asciiTheme="majorHAnsi" w:hAnsiTheme="majorHAnsi" w:cs="Arial"/>
                <w:b/>
                <w:i/>
                <w:sz w:val="20"/>
                <w:szCs w:val="20"/>
              </w:rPr>
            </w:pPr>
            <w:r w:rsidRPr="0027611E">
              <w:rPr>
                <w:rFonts w:asciiTheme="majorHAnsi" w:hAnsiTheme="majorHAnsi" w:cs="Arial"/>
                <w:b/>
                <w:i/>
                <w:sz w:val="20"/>
                <w:szCs w:val="20"/>
              </w:rPr>
              <w:t>SGLT2 inhibitors</w:t>
            </w:r>
          </w:p>
        </w:tc>
      </w:tr>
      <w:tr w:rsidR="0029088C" w:rsidRPr="0027611E" w:rsidTr="0029088C">
        <w:trPr>
          <w:cantSplit/>
          <w:trHeight w:val="75"/>
        </w:trPr>
        <w:tc>
          <w:tcPr>
            <w:tcW w:w="1560" w:type="dxa"/>
            <w:vMerge w:val="restart"/>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Canagliflozin</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100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2873F</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1/30/5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$96.61</w:t>
            </w:r>
          </w:p>
        </w:tc>
      </w:tr>
      <w:tr w:rsidR="0029088C" w:rsidRPr="0027611E" w:rsidTr="0029088C">
        <w:trPr>
          <w:cantSplit/>
          <w:trHeight w:val="75"/>
        </w:trPr>
        <w:tc>
          <w:tcPr>
            <w:tcW w:w="1560" w:type="dxa"/>
            <w:vMerge/>
          </w:tcPr>
          <w:p w:rsidR="0029088C" w:rsidRPr="0027611E" w:rsidRDefault="0029088C" w:rsidP="00C82935">
            <w:pPr>
              <w:spacing w:before="40" w:after="40" w:line="240" w:lineRule="auto"/>
              <w:rPr>
                <w:rFonts w:asciiTheme="majorHAnsi" w:hAnsiTheme="majorHAnsi" w:cs="Arial"/>
                <w:sz w:val="20"/>
                <w:szCs w:val="20"/>
              </w:rPr>
            </w:pP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300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2987F</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1/30/5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$96.61</w:t>
            </w:r>
          </w:p>
        </w:tc>
      </w:tr>
      <w:tr w:rsidR="0029088C" w:rsidRPr="0027611E" w:rsidTr="0029088C">
        <w:trPr>
          <w:cantSplit/>
          <w:trHeight w:val="75"/>
        </w:trPr>
        <w:tc>
          <w:tcPr>
            <w:tcW w:w="1560"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Dapagliflozin</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10 mg tablet</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10011X</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$90.40</w:t>
            </w:r>
          </w:p>
        </w:tc>
      </w:tr>
      <w:tr w:rsidR="0029088C" w:rsidRPr="0027611E" w:rsidTr="0029088C">
        <w:trPr>
          <w:cantSplit/>
          <w:trHeight w:val="75"/>
        </w:trPr>
        <w:tc>
          <w:tcPr>
            <w:tcW w:w="9356" w:type="dxa"/>
            <w:gridSpan w:val="5"/>
            <w:shd w:val="clear" w:color="auto" w:fill="D9D9D9" w:themeFill="background1" w:themeFillShade="D9"/>
          </w:tcPr>
          <w:p w:rsidR="0029088C" w:rsidRPr="0027611E" w:rsidRDefault="0029088C" w:rsidP="00C82935">
            <w:pPr>
              <w:spacing w:before="40" w:after="40" w:line="240" w:lineRule="auto"/>
              <w:rPr>
                <w:rFonts w:asciiTheme="majorHAnsi" w:hAnsiTheme="majorHAnsi" w:cs="Arial"/>
                <w:b/>
                <w:i/>
                <w:sz w:val="20"/>
                <w:szCs w:val="20"/>
              </w:rPr>
            </w:pPr>
            <w:r w:rsidRPr="0027611E">
              <w:rPr>
                <w:rFonts w:asciiTheme="majorHAnsi" w:hAnsiTheme="majorHAnsi" w:cs="Arial"/>
                <w:b/>
                <w:i/>
                <w:sz w:val="20"/>
                <w:szCs w:val="20"/>
              </w:rPr>
              <w:t>GLP-1 receptor agonists</w:t>
            </w:r>
          </w:p>
        </w:tc>
      </w:tr>
      <w:tr w:rsidR="0029088C" w:rsidRPr="0027611E" w:rsidTr="0029088C">
        <w:trPr>
          <w:cantSplit/>
          <w:trHeight w:val="75"/>
        </w:trPr>
        <w:tc>
          <w:tcPr>
            <w:tcW w:w="1560" w:type="dxa"/>
            <w:vMerge w:val="restart"/>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Exenatide</w:t>
            </w:r>
          </w:p>
        </w:tc>
        <w:tc>
          <w:tcPr>
            <w:tcW w:w="3543" w:type="dxa"/>
          </w:tcPr>
          <w:p w:rsidR="0029088C" w:rsidRPr="0027611E" w:rsidRDefault="0029088C" w:rsidP="00C82935">
            <w:pPr>
              <w:spacing w:before="40" w:after="40" w:line="240" w:lineRule="auto"/>
              <w:rPr>
                <w:rFonts w:asciiTheme="majorHAnsi" w:hAnsiTheme="majorHAnsi" w:cs="Arial"/>
                <w:sz w:val="20"/>
                <w:szCs w:val="20"/>
              </w:rPr>
            </w:pPr>
            <w:r w:rsidRPr="0027611E">
              <w:rPr>
                <w:rFonts w:asciiTheme="majorHAnsi" w:hAnsiTheme="majorHAnsi" w:cs="Arial"/>
                <w:sz w:val="20"/>
                <w:szCs w:val="20"/>
              </w:rPr>
              <w:t>5 µg/0.02 mL injection, 60 unit doses</w:t>
            </w:r>
          </w:p>
        </w:tc>
        <w:tc>
          <w:tcPr>
            <w:tcW w:w="993"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3423E</w:t>
            </w:r>
          </w:p>
        </w:tc>
        <w:tc>
          <w:tcPr>
            <w:tcW w:w="2268"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1/1/5</w:t>
            </w:r>
          </w:p>
        </w:tc>
        <w:tc>
          <w:tcPr>
            <w:tcW w:w="992" w:type="dxa"/>
          </w:tcPr>
          <w:p w:rsidR="0029088C" w:rsidRPr="0027611E" w:rsidRDefault="0029088C" w:rsidP="00C82935">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$122.79</w:t>
            </w:r>
          </w:p>
        </w:tc>
      </w:tr>
      <w:tr w:rsidR="0029088C" w:rsidRPr="0027611E" w:rsidTr="0029088C">
        <w:trPr>
          <w:cantSplit/>
          <w:trHeight w:val="75"/>
        </w:trPr>
        <w:tc>
          <w:tcPr>
            <w:tcW w:w="1560" w:type="dxa"/>
            <w:vMerge/>
          </w:tcPr>
          <w:p w:rsidR="0029088C" w:rsidRPr="000F629D" w:rsidRDefault="0029088C" w:rsidP="00C82935">
            <w:pPr>
              <w:spacing w:before="40" w:after="40"/>
              <w:rPr>
                <w:rFonts w:ascii="Arial" w:hAnsi="Arial" w:cs="Arial"/>
                <w:sz w:val="20"/>
                <w:szCs w:val="20"/>
              </w:rPr>
            </w:pPr>
          </w:p>
        </w:tc>
        <w:tc>
          <w:tcPr>
            <w:tcW w:w="3543" w:type="dxa"/>
          </w:tcPr>
          <w:p w:rsidR="0029088C" w:rsidRPr="0027611E" w:rsidRDefault="0029088C" w:rsidP="00C82935">
            <w:pPr>
              <w:spacing w:before="40" w:after="40"/>
              <w:rPr>
                <w:rFonts w:asciiTheme="majorHAnsi" w:hAnsiTheme="majorHAnsi" w:cs="Arial"/>
                <w:sz w:val="20"/>
                <w:szCs w:val="20"/>
              </w:rPr>
            </w:pPr>
            <w:r w:rsidRPr="0027611E">
              <w:rPr>
                <w:rFonts w:asciiTheme="majorHAnsi" w:hAnsiTheme="majorHAnsi" w:cs="Arial"/>
                <w:sz w:val="20"/>
                <w:szCs w:val="20"/>
              </w:rPr>
              <w:t>10 µg/0.04 mL injection, 60 unit doses</w:t>
            </w:r>
          </w:p>
        </w:tc>
        <w:tc>
          <w:tcPr>
            <w:tcW w:w="993" w:type="dxa"/>
          </w:tcPr>
          <w:p w:rsidR="0029088C" w:rsidRPr="0027611E" w:rsidRDefault="0029088C" w:rsidP="00C82935">
            <w:pPr>
              <w:spacing w:before="40" w:after="40"/>
              <w:jc w:val="center"/>
              <w:rPr>
                <w:rFonts w:asciiTheme="majorHAnsi" w:hAnsiTheme="majorHAnsi" w:cs="Arial"/>
                <w:sz w:val="20"/>
                <w:szCs w:val="20"/>
              </w:rPr>
            </w:pPr>
            <w:r w:rsidRPr="0027611E">
              <w:rPr>
                <w:rFonts w:asciiTheme="majorHAnsi" w:hAnsiTheme="majorHAnsi" w:cs="Arial"/>
                <w:sz w:val="20"/>
                <w:szCs w:val="20"/>
              </w:rPr>
              <w:t>3424F</w:t>
            </w:r>
          </w:p>
        </w:tc>
        <w:tc>
          <w:tcPr>
            <w:tcW w:w="2268" w:type="dxa"/>
          </w:tcPr>
          <w:p w:rsidR="0029088C" w:rsidRPr="0027611E" w:rsidRDefault="0029088C" w:rsidP="00C82935">
            <w:pPr>
              <w:spacing w:before="40" w:after="40"/>
              <w:jc w:val="center"/>
              <w:rPr>
                <w:rFonts w:asciiTheme="majorHAnsi" w:hAnsiTheme="majorHAnsi" w:cs="Arial"/>
                <w:sz w:val="20"/>
                <w:szCs w:val="20"/>
              </w:rPr>
            </w:pPr>
            <w:r w:rsidRPr="0027611E">
              <w:rPr>
                <w:rFonts w:asciiTheme="majorHAnsi" w:hAnsiTheme="majorHAnsi" w:cs="Arial"/>
                <w:sz w:val="20"/>
                <w:szCs w:val="20"/>
              </w:rPr>
              <w:t>1/1/5</w:t>
            </w:r>
          </w:p>
        </w:tc>
        <w:tc>
          <w:tcPr>
            <w:tcW w:w="992" w:type="dxa"/>
          </w:tcPr>
          <w:p w:rsidR="0029088C" w:rsidRPr="0027611E" w:rsidRDefault="0029088C" w:rsidP="00C82935">
            <w:pPr>
              <w:spacing w:before="40" w:after="40"/>
              <w:jc w:val="center"/>
              <w:rPr>
                <w:rFonts w:asciiTheme="majorHAnsi" w:hAnsiTheme="majorHAnsi" w:cs="Arial"/>
                <w:sz w:val="20"/>
                <w:szCs w:val="20"/>
              </w:rPr>
            </w:pPr>
            <w:r w:rsidRPr="0027611E">
              <w:rPr>
                <w:rFonts w:asciiTheme="majorHAnsi" w:hAnsiTheme="majorHAnsi" w:cs="Arial"/>
                <w:sz w:val="20"/>
                <w:szCs w:val="20"/>
              </w:rPr>
              <w:t>$131.65</w:t>
            </w:r>
          </w:p>
        </w:tc>
      </w:tr>
    </w:tbl>
    <w:p w:rsidR="0029088C" w:rsidRPr="00060029" w:rsidRDefault="0029088C" w:rsidP="0029088C">
      <w:pPr>
        <w:spacing w:after="0" w:line="240" w:lineRule="auto"/>
        <w:rPr>
          <w:rFonts w:asciiTheme="majorHAnsi" w:hAnsiTheme="majorHAnsi" w:cs="Arial"/>
          <w:sz w:val="20"/>
          <w:szCs w:val="20"/>
        </w:rPr>
      </w:pPr>
      <w:r w:rsidRPr="0027611E">
        <w:rPr>
          <w:rFonts w:asciiTheme="majorHAnsi" w:hAnsiTheme="majorHAnsi" w:cs="Arial"/>
          <w:sz w:val="20"/>
          <w:szCs w:val="20"/>
          <w:u w:val="single"/>
        </w:rPr>
        <w:t>Abbreviations</w:t>
      </w:r>
      <w:r w:rsidRPr="0093424D">
        <w:rPr>
          <w:rFonts w:asciiTheme="majorHAnsi" w:hAnsiTheme="majorHAnsi" w:cs="Arial"/>
          <w:sz w:val="20"/>
          <w:szCs w:val="20"/>
        </w:rPr>
        <w:t xml:space="preserve">: DPMQ = Dispensed price for maximum quantity, </w:t>
      </w:r>
      <w:r>
        <w:rPr>
          <w:rFonts w:asciiTheme="majorHAnsi" w:hAnsiTheme="majorHAnsi" w:cs="Arial"/>
          <w:sz w:val="20"/>
          <w:szCs w:val="20"/>
        </w:rPr>
        <w:t>MQ = M</w:t>
      </w:r>
      <w:r w:rsidRPr="0093424D">
        <w:rPr>
          <w:rFonts w:asciiTheme="majorHAnsi" w:hAnsiTheme="majorHAnsi" w:cs="Arial"/>
          <w:sz w:val="20"/>
          <w:szCs w:val="20"/>
        </w:rPr>
        <w:t xml:space="preserve">aximum </w:t>
      </w:r>
      <w:r>
        <w:rPr>
          <w:rFonts w:asciiTheme="majorHAnsi" w:hAnsiTheme="majorHAnsi" w:cs="Arial"/>
          <w:sz w:val="20"/>
          <w:szCs w:val="20"/>
        </w:rPr>
        <w:t>quantity, MR = Modified release.</w:t>
      </w:r>
    </w:p>
    <w:p w:rsidR="0029088C" w:rsidRDefault="0029088C" w:rsidP="0040498D"/>
    <w:p w:rsidR="00FF6951" w:rsidRDefault="00FF6951" w:rsidP="00492694">
      <w:pPr>
        <w:pStyle w:val="Heading5"/>
      </w:pPr>
      <w:r>
        <w:t>Review of clinical guidelines</w:t>
      </w:r>
    </w:p>
    <w:p w:rsidR="001B23C2" w:rsidRDefault="001B23C2" w:rsidP="00492694">
      <w:pPr>
        <w:pStyle w:val="BodyText1"/>
      </w:pPr>
      <w:r>
        <w:t xml:space="preserve">A brief review of Australian and international clinical guidelines for the management of type 2 diabetes was </w:t>
      </w:r>
      <w:r w:rsidR="007D0DCD">
        <w:t xml:space="preserve">commissioned from </w:t>
      </w:r>
      <w:r>
        <w:t xml:space="preserve">Griffith University. Most guidelines recommend an individualised approach to the treatment of type 2 diabetes, including patient </w:t>
      </w:r>
      <w:r w:rsidRPr="007707BC">
        <w:t>Hb</w:t>
      </w:r>
      <w:r>
        <w:t>A</w:t>
      </w:r>
      <w:r w:rsidRPr="00C53437">
        <w:rPr>
          <w:vertAlign w:val="subscript"/>
        </w:rPr>
        <w:t>1c</w:t>
      </w:r>
      <w:r>
        <w:t xml:space="preserve"> targets. With regard to pharmacotherapy, the </w:t>
      </w:r>
      <w:r w:rsidR="000D069A">
        <w:t>aim is to prevent</w:t>
      </w:r>
      <w:r>
        <w:t xml:space="preserve"> microvascular events, whilst reducing the risk of severe hypoglycaemia and adverse events</w:t>
      </w:r>
      <w:r w:rsidR="00A6107D">
        <w:t xml:space="preserve"> from treatment</w:t>
      </w:r>
      <w:r>
        <w:t xml:space="preserve">. Other considerations </w:t>
      </w:r>
      <w:r w:rsidR="00A6107D">
        <w:t xml:space="preserve">in medicine choice </w:t>
      </w:r>
      <w:r>
        <w:t xml:space="preserve">are efficacy, potential side effects, </w:t>
      </w:r>
      <w:r w:rsidR="000D069A">
        <w:t xml:space="preserve">cost, </w:t>
      </w:r>
      <w:r>
        <w:t>effects on body weight, como</w:t>
      </w:r>
      <w:r w:rsidR="007A1743">
        <w:t xml:space="preserve">rbidities, life expectancy, </w:t>
      </w:r>
      <w:r>
        <w:t xml:space="preserve">patient preferences </w:t>
      </w:r>
      <w:r w:rsidR="007A1743">
        <w:t xml:space="preserve">for oral or injectable medicines, </w:t>
      </w:r>
      <w:r>
        <w:t>and</w:t>
      </w:r>
      <w:r w:rsidR="007A1743">
        <w:t xml:space="preserve"> ability to manage medicine administration</w:t>
      </w:r>
      <w:r>
        <w:t xml:space="preserve">. </w:t>
      </w:r>
    </w:p>
    <w:p w:rsidR="00083AA4" w:rsidRDefault="000D069A" w:rsidP="00492694">
      <w:pPr>
        <w:pStyle w:val="BodyText1"/>
      </w:pPr>
      <w:r>
        <w:t xml:space="preserve">Metformin is most commonly </w:t>
      </w:r>
      <w:r w:rsidR="001B23C2">
        <w:t>recommended as the first line medicine for the management of blood glucose levels (unless contraindicate</w:t>
      </w:r>
      <w:r w:rsidR="00A6107D">
        <w:t>d or the patient is intolerant)</w:t>
      </w:r>
      <w:r w:rsidR="001B23C2">
        <w:t xml:space="preserve">. Many guidelines recommend sulfonylureas as the preferred </w:t>
      </w:r>
      <w:r w:rsidR="007D0DCD">
        <w:t xml:space="preserve">or usual </w:t>
      </w:r>
      <w:r w:rsidR="001B23C2">
        <w:t>second line therapy (unless contraindicated or the patient is intolerant), either in combination with metformin or as an alternative in the case of intole</w:t>
      </w:r>
      <w:r w:rsidR="00A6107D">
        <w:t>rance or contraindications. The</w:t>
      </w:r>
      <w:r w:rsidR="001B23C2">
        <w:t xml:space="preserve"> </w:t>
      </w:r>
      <w:r w:rsidR="00A6107D">
        <w:t xml:space="preserve">arguments in favour of sulfonylureas raised in the guidelines are </w:t>
      </w:r>
      <w:r w:rsidR="008243F0">
        <w:t>long term</w:t>
      </w:r>
      <w:r w:rsidR="001B23C2">
        <w:t xml:space="preserve"> clinical experience, evidence supporting </w:t>
      </w:r>
      <w:r w:rsidR="00A6107D">
        <w:t xml:space="preserve">a </w:t>
      </w:r>
      <w:r w:rsidR="001B23C2">
        <w:t>reduction in microvascular complications, and low</w:t>
      </w:r>
      <w:r w:rsidR="002424D6">
        <w:t xml:space="preserve"> cost</w:t>
      </w:r>
      <w:r w:rsidR="001B23C2">
        <w:t xml:space="preserve">. </w:t>
      </w:r>
    </w:p>
    <w:p w:rsidR="001B23C2" w:rsidRDefault="000D069A" w:rsidP="00492694">
      <w:pPr>
        <w:pStyle w:val="BodyText1"/>
      </w:pPr>
      <w:r>
        <w:t>M</w:t>
      </w:r>
      <w:r w:rsidR="001B23C2">
        <w:t>ost guidelines</w:t>
      </w:r>
      <w:r w:rsidR="002424D6" w:rsidRPr="002424D6">
        <w:t xml:space="preserve"> </w:t>
      </w:r>
      <w:r w:rsidR="002424D6">
        <w:t>note that all classes of type 2 diabetes medicines are equally effective in reducing HbA</w:t>
      </w:r>
      <w:r w:rsidR="002424D6" w:rsidRPr="00A0465E">
        <w:rPr>
          <w:vertAlign w:val="subscript"/>
        </w:rPr>
        <w:t>1c</w:t>
      </w:r>
      <w:r w:rsidR="002424D6">
        <w:rPr>
          <w:vertAlign w:val="subscript"/>
        </w:rPr>
        <w:t xml:space="preserve"> </w:t>
      </w:r>
      <w:r w:rsidR="002424D6">
        <w:t>in second line therapy</w:t>
      </w:r>
      <w:r w:rsidR="00A6107D">
        <w:t>. F</w:t>
      </w:r>
      <w:r w:rsidR="002424D6">
        <w:t>or this reason, some guidelines do not favour any specific second line therapy</w:t>
      </w:r>
      <w:r w:rsidR="007D0DCD">
        <w:t xml:space="preserve"> and recommend that the choice is based on</w:t>
      </w:r>
      <w:r w:rsidR="007A1743">
        <w:t xml:space="preserve"> individual</w:t>
      </w:r>
      <w:r w:rsidR="007D0DCD">
        <w:t xml:space="preserve"> patient factors</w:t>
      </w:r>
      <w:r w:rsidR="002424D6">
        <w:t>.</w:t>
      </w:r>
    </w:p>
    <w:p w:rsidR="001B23C2" w:rsidRDefault="001B23C2" w:rsidP="00492694">
      <w:pPr>
        <w:pStyle w:val="BodyText1"/>
      </w:pPr>
      <w:r>
        <w:t xml:space="preserve">If dual therapy is ineffective in controlling blood glucose, </w:t>
      </w:r>
      <w:r w:rsidR="00A6107D">
        <w:t>g</w:t>
      </w:r>
      <w:r>
        <w:t xml:space="preserve">uidelines commonly recommend </w:t>
      </w:r>
      <w:r w:rsidR="00A6107D">
        <w:t>triple therapy</w:t>
      </w:r>
      <w:r w:rsidR="000D069A">
        <w:t>,</w:t>
      </w:r>
      <w:r w:rsidR="00A6107D">
        <w:t xml:space="preserve"> with </w:t>
      </w:r>
      <w:r>
        <w:t>insulin as the preferred third line option</w:t>
      </w:r>
      <w:r w:rsidR="00A6107D">
        <w:t xml:space="preserve"> in combination with metformin </w:t>
      </w:r>
      <w:r w:rsidR="000D069A">
        <w:t xml:space="preserve">+ </w:t>
      </w:r>
      <w:r>
        <w:t xml:space="preserve">sulfonylurea. The evidence base and cost are important factors in this </w:t>
      </w:r>
      <w:r w:rsidR="007D0DCD">
        <w:t>recommendation</w:t>
      </w:r>
      <w:r>
        <w:t xml:space="preserve">. </w:t>
      </w:r>
      <w:r w:rsidR="007D0DCD">
        <w:t>O</w:t>
      </w:r>
      <w:r>
        <w:t xml:space="preserve">ther treatments can be used if the preferred option is not suitable due to contraindications or intolerances, and it is generally recommended </w:t>
      </w:r>
      <w:r>
        <w:lastRenderedPageBreak/>
        <w:t>that the medicine selected is tailored to the individual patient. More complex insulin regimens are usually recommended for those not controlled by initial triple therapy.</w:t>
      </w:r>
    </w:p>
    <w:p w:rsidR="00637B06" w:rsidRDefault="00637B06" w:rsidP="00492694">
      <w:pPr>
        <w:pStyle w:val="Heading5"/>
      </w:pPr>
      <w:r>
        <w:t>Stakeholder consultation</w:t>
      </w:r>
    </w:p>
    <w:p w:rsidR="009A235E" w:rsidRDefault="00A45FA9" w:rsidP="00492694">
      <w:pPr>
        <w:pStyle w:val="BodyText1"/>
      </w:pPr>
      <w:r>
        <w:t>Stakeholders were consulted through a public submission process</w:t>
      </w:r>
      <w:r w:rsidR="00D74AB1">
        <w:t xml:space="preserve"> and </w:t>
      </w:r>
      <w:r>
        <w:t>an invited Stakeholder Forum</w:t>
      </w:r>
      <w:r w:rsidR="00D74AB1">
        <w:t>, and were provided with an opportunity to comment on the draft Report</w:t>
      </w:r>
      <w:r>
        <w:t>.</w:t>
      </w:r>
      <w:r w:rsidR="000F3309">
        <w:t xml:space="preserve"> Stakeholders highlighted the need for </w:t>
      </w:r>
      <w:r w:rsidR="000D069A">
        <w:t>a patient-</w:t>
      </w:r>
      <w:r w:rsidR="000F3309" w:rsidRPr="00E844BB">
        <w:t>centred approach to treatment</w:t>
      </w:r>
      <w:r w:rsidR="000F3309">
        <w:t>, including individualisation of HbA</w:t>
      </w:r>
      <w:r w:rsidR="000F3309" w:rsidRPr="000F3309">
        <w:rPr>
          <w:vertAlign w:val="subscript"/>
        </w:rPr>
        <w:t>1c</w:t>
      </w:r>
      <w:r w:rsidR="000F3309">
        <w:t xml:space="preserve"> targets</w:t>
      </w:r>
      <w:r w:rsidR="000F3309" w:rsidRPr="00E844BB">
        <w:t xml:space="preserve">. </w:t>
      </w:r>
      <w:r w:rsidR="000D069A">
        <w:t>Stakeholders recommended that c</w:t>
      </w:r>
      <w:r w:rsidR="000F3309" w:rsidRPr="00E844BB">
        <w:t xml:space="preserve">hoice of therapy </w:t>
      </w:r>
      <w:r w:rsidR="000F3309" w:rsidRPr="0007731B">
        <w:t>be determined for an i</w:t>
      </w:r>
      <w:r w:rsidR="000F3309">
        <w:t>ndividual taking account of</w:t>
      </w:r>
      <w:r w:rsidR="000F3309" w:rsidRPr="0007731B">
        <w:t xml:space="preserve"> factors such as</w:t>
      </w:r>
      <w:r w:rsidR="000F3309">
        <w:t>:</w:t>
      </w:r>
      <w:r w:rsidR="000F3309" w:rsidRPr="0007731B">
        <w:t xml:space="preserve"> </w:t>
      </w:r>
      <w:r w:rsidR="000F3309">
        <w:t xml:space="preserve">age, </w:t>
      </w:r>
      <w:r w:rsidR="000F3309" w:rsidRPr="0007731B">
        <w:t xml:space="preserve">time since diagnosis, symptoms, cardiovascular profile, weight, risk of </w:t>
      </w:r>
      <w:r w:rsidR="000D069A">
        <w:t>hypoglycaemia, side effects, co</w:t>
      </w:r>
      <w:r w:rsidR="000F3309" w:rsidRPr="0007731B">
        <w:t>morbidities</w:t>
      </w:r>
      <w:r w:rsidR="000D069A">
        <w:t>,</w:t>
      </w:r>
      <w:r w:rsidR="000F3309" w:rsidRPr="0007731B">
        <w:t xml:space="preserve"> and features that may</w:t>
      </w:r>
      <w:r w:rsidR="009A235E">
        <w:t xml:space="preserve"> facilitate patient compliance. </w:t>
      </w:r>
    </w:p>
    <w:p w:rsidR="009A235E" w:rsidRPr="00E844BB" w:rsidRDefault="000F3309" w:rsidP="00492694">
      <w:pPr>
        <w:pStyle w:val="BodyText1"/>
      </w:pPr>
      <w:r w:rsidRPr="00E844BB">
        <w:t xml:space="preserve">Most </w:t>
      </w:r>
      <w:r w:rsidR="009A235E">
        <w:t xml:space="preserve">newer medicines, such as DPP-4 inhibitors and GLP-1 receptor agonists, were considered </w:t>
      </w:r>
      <w:r w:rsidRPr="00E844BB">
        <w:t>comparable to sulfonylureas in terms of HbA</w:t>
      </w:r>
      <w:r w:rsidRPr="0007731B">
        <w:rPr>
          <w:vertAlign w:val="subscript"/>
        </w:rPr>
        <w:t>1c</w:t>
      </w:r>
      <w:r w:rsidR="007A1743">
        <w:t xml:space="preserve"> lowering. However,</w:t>
      </w:r>
      <w:r w:rsidR="009A235E">
        <w:t xml:space="preserve"> stakeholders considered that o</w:t>
      </w:r>
      <w:r w:rsidRPr="00E844BB">
        <w:t>ther important outcomes include</w:t>
      </w:r>
      <w:r w:rsidR="007A1743">
        <w:t>d</w:t>
      </w:r>
      <w:r w:rsidRPr="00E844BB">
        <w:t xml:space="preserve"> avoidance of hypoglycaemia, </w:t>
      </w:r>
      <w:r w:rsidR="007A1743">
        <w:t xml:space="preserve">body </w:t>
      </w:r>
      <w:r w:rsidRPr="00E844BB">
        <w:t>weight</w:t>
      </w:r>
      <w:r w:rsidR="007A1743">
        <w:t xml:space="preserve"> change</w:t>
      </w:r>
      <w:r w:rsidRPr="00E844BB">
        <w:t>, side effects, hospitalisations, long term health ou</w:t>
      </w:r>
      <w:r w:rsidR="007A1743">
        <w:t>tcomes and development of microvascular</w:t>
      </w:r>
      <w:r w:rsidRPr="00E844BB">
        <w:t xml:space="preserve"> and macrovascular complications.</w:t>
      </w:r>
      <w:r w:rsidR="009A235E">
        <w:t xml:space="preserve"> Stakeholders considered it</w:t>
      </w:r>
      <w:r w:rsidR="007A1743">
        <w:t xml:space="preserve"> particularly</w:t>
      </w:r>
      <w:r w:rsidR="009A235E">
        <w:t xml:space="preserve"> important </w:t>
      </w:r>
      <w:r w:rsidR="009A235E" w:rsidRPr="00E844BB">
        <w:t>to try to minimise hypoglycaemic events due to their multi-dimensional effect on patients, including quality of life, productivity, risk of falls in the elderly, and for severe hypoglycaemia, limiting expensive hospital admissions.</w:t>
      </w:r>
    </w:p>
    <w:p w:rsidR="00072B02" w:rsidRDefault="009A235E" w:rsidP="00492694">
      <w:pPr>
        <w:pStyle w:val="BodyText1"/>
      </w:pPr>
      <w:r>
        <w:t xml:space="preserve">Stakeholders noted that the PBS restrictions were complex and required updating. Similarly, stakeholders highlighted that the proliferation of available </w:t>
      </w:r>
      <w:r w:rsidR="007A1743">
        <w:t xml:space="preserve">clinical </w:t>
      </w:r>
      <w:r>
        <w:t xml:space="preserve">guidelines may </w:t>
      </w:r>
      <w:r w:rsidR="00C73EAD">
        <w:t xml:space="preserve">be causing prescriber confusion, and recommended that the </w:t>
      </w:r>
      <w:r w:rsidR="000F3309" w:rsidRPr="00E844BB">
        <w:t>guidelines should be updated and consolidated</w:t>
      </w:r>
      <w:r w:rsidR="00072B02">
        <w:t>.</w:t>
      </w:r>
    </w:p>
    <w:p w:rsidR="000F3309" w:rsidRPr="00E844BB" w:rsidRDefault="00C73EAD" w:rsidP="00492694">
      <w:pPr>
        <w:pStyle w:val="BodyText1"/>
      </w:pPr>
      <w:r>
        <w:t>Stakeholders emphasised that t</w:t>
      </w:r>
      <w:r w:rsidR="000F3309" w:rsidRPr="00E844BB">
        <w:t>reatment pathways need to consider prevention, e</w:t>
      </w:r>
      <w:r>
        <w:t>ducation and lifestyle factors, and that c</w:t>
      </w:r>
      <w:r w:rsidR="000F3309" w:rsidRPr="00E844BB">
        <w:t>ommunity and school based education program</w:t>
      </w:r>
      <w:r>
        <w:t>me</w:t>
      </w:r>
      <w:r w:rsidR="000F3309" w:rsidRPr="00E844BB">
        <w:t xml:space="preserve">s </w:t>
      </w:r>
      <w:r>
        <w:t xml:space="preserve">were </w:t>
      </w:r>
      <w:r w:rsidR="000F3309" w:rsidRPr="00E844BB">
        <w:t>important to motivate people to address lifestyle factors.</w:t>
      </w:r>
    </w:p>
    <w:p w:rsidR="006110F5" w:rsidRDefault="0084164D" w:rsidP="00AD5BD0">
      <w:pPr>
        <w:pStyle w:val="Heading5"/>
        <w:keepNext/>
        <w:keepLines/>
      </w:pPr>
      <w:r>
        <w:t>Medicines u</w:t>
      </w:r>
      <w:r w:rsidR="006110F5">
        <w:t>se (ToR 1 and 2)</w:t>
      </w:r>
    </w:p>
    <w:p w:rsidR="00883100" w:rsidRPr="00FB680F" w:rsidRDefault="00E629F9" w:rsidP="00AD5BD0">
      <w:pPr>
        <w:pStyle w:val="BodyText1"/>
        <w:keepNext/>
        <w:keepLines/>
      </w:pPr>
      <w:r>
        <w:t>T</w:t>
      </w:r>
      <w:r w:rsidR="00D74AB1">
        <w:t>he Department’s Drug Utilisation Sub-Committee (DUSC) Secretariat</w:t>
      </w:r>
      <w:r w:rsidR="002126B8">
        <w:t>, the PBS Information Management Section</w:t>
      </w:r>
      <w:r w:rsidR="00D74AB1">
        <w:t xml:space="preserve"> and the University of Adelaide undertook analyses of </w:t>
      </w:r>
      <w:r w:rsidR="000D069A">
        <w:t xml:space="preserve">the patterns of use of </w:t>
      </w:r>
      <w:r w:rsidR="00D74AB1">
        <w:t xml:space="preserve">type 2 diabetes medicines. </w:t>
      </w:r>
      <w:r w:rsidR="00883100" w:rsidRPr="005932DF">
        <w:t>Government expenditure on diabetes medicines increased from alm</w:t>
      </w:r>
      <w:r w:rsidR="002126B8">
        <w:t xml:space="preserve">ost $130 million in 2000 to </w:t>
      </w:r>
      <w:r w:rsidR="00B44537">
        <w:t xml:space="preserve">about $500 million in 2013. </w:t>
      </w:r>
      <w:r w:rsidR="002126B8">
        <w:t>In 2013</w:t>
      </w:r>
      <w:r w:rsidR="00883100" w:rsidRPr="005932DF">
        <w:t xml:space="preserve">, the highest expenditure </w:t>
      </w:r>
      <w:r w:rsidR="00883100">
        <w:t xml:space="preserve">was on </w:t>
      </w:r>
      <w:r w:rsidR="00874FF8">
        <w:t>insulins,</w:t>
      </w:r>
      <w:r w:rsidR="002126B8">
        <w:t xml:space="preserve"> followed by fixed dose combinations and DPP-4 inhibitors,</w:t>
      </w:r>
      <w:r w:rsidR="00874FF8">
        <w:t xml:space="preserve"> while </w:t>
      </w:r>
      <w:r w:rsidR="008277DE">
        <w:t xml:space="preserve">the lower cost </w:t>
      </w:r>
      <w:r w:rsidR="00874FF8">
        <w:t>m</w:t>
      </w:r>
      <w:r w:rsidR="00883100" w:rsidRPr="005932DF">
        <w:t xml:space="preserve">etformin and sulfonylureas were the most commonly prescribed oral type 2 diabetes medicines. </w:t>
      </w:r>
    </w:p>
    <w:p w:rsidR="00883100" w:rsidRPr="005932DF" w:rsidRDefault="00883100" w:rsidP="00492694">
      <w:pPr>
        <w:pStyle w:val="BodyText1"/>
      </w:pPr>
      <w:r w:rsidRPr="005932DF">
        <w:t xml:space="preserve">In patients </w:t>
      </w:r>
      <w:r>
        <w:t xml:space="preserve">initiating </w:t>
      </w:r>
      <w:r w:rsidR="00874FF8">
        <w:t xml:space="preserve">type 2 </w:t>
      </w:r>
      <w:r>
        <w:t>diabetes pharmacotherapy between 2003–04 and 2009–</w:t>
      </w:r>
      <w:r w:rsidRPr="005932DF">
        <w:t>10, metformin was th</w:t>
      </w:r>
      <w:r>
        <w:t xml:space="preserve">e most common first line medicine, </w:t>
      </w:r>
      <w:r w:rsidRPr="005932DF">
        <w:t xml:space="preserve">in </w:t>
      </w:r>
      <w:r w:rsidR="00874FF8">
        <w:t xml:space="preserve">line with clinical guidelines. </w:t>
      </w:r>
      <w:r w:rsidRPr="005932DF">
        <w:t xml:space="preserve">In the first 3.5 years after starting therapy, more than 60% of patients did not </w:t>
      </w:r>
      <w:r>
        <w:t>add or switch medicines and fewer</w:t>
      </w:r>
      <w:r w:rsidRPr="005932DF">
        <w:t xml:space="preserve"> than 5% of patients added or switched medicines outside</w:t>
      </w:r>
      <w:r w:rsidR="000D069A">
        <w:t xml:space="preserve"> of</w:t>
      </w:r>
      <w:r w:rsidRPr="005932DF">
        <w:t xml:space="preserve"> the PBS restrictions for subsidy.</w:t>
      </w:r>
      <w:r w:rsidR="00874FF8">
        <w:t xml:space="preserve"> </w:t>
      </w:r>
    </w:p>
    <w:p w:rsidR="00883100" w:rsidRDefault="00883100" w:rsidP="00492694">
      <w:pPr>
        <w:pStyle w:val="BodyText1"/>
      </w:pPr>
      <w:r w:rsidRPr="005932DF">
        <w:lastRenderedPageBreak/>
        <w:t>For patients</w:t>
      </w:r>
      <w:r w:rsidR="00FF6951">
        <w:t xml:space="preserve"> initiating</w:t>
      </w:r>
      <w:r w:rsidR="000D069A">
        <w:t xml:space="preserve"> a newer type 2 diabetes medicine (</w:t>
      </w:r>
      <w:r w:rsidRPr="005932DF">
        <w:t xml:space="preserve">a </w:t>
      </w:r>
      <w:r w:rsidR="00FF6951">
        <w:t>DPP-4 inhibitor</w:t>
      </w:r>
      <w:r w:rsidRPr="005932DF">
        <w:t xml:space="preserve">, </w:t>
      </w:r>
      <w:r w:rsidR="0040498D">
        <w:t xml:space="preserve">TZD </w:t>
      </w:r>
      <w:r w:rsidR="00FF6951">
        <w:t>or exenatide</w:t>
      </w:r>
      <w:r w:rsidR="000D069A">
        <w:t>)</w:t>
      </w:r>
      <w:r w:rsidRPr="005932DF">
        <w:t xml:space="preserve"> between July and December 2011, 47.7% had not received a supply of both metfo</w:t>
      </w:r>
      <w:r w:rsidR="000D069A">
        <w:t>rmin and a sulfonylurea in the two</w:t>
      </w:r>
      <w:r w:rsidR="00BE7456">
        <w:t xml:space="preserve"> years prior. The PBS restr</w:t>
      </w:r>
      <w:r w:rsidR="00E629F9">
        <w:t>i</w:t>
      </w:r>
      <w:r w:rsidR="00BE7456">
        <w:t>c</w:t>
      </w:r>
      <w:r w:rsidR="00E629F9">
        <w:t xml:space="preserve">tions </w:t>
      </w:r>
      <w:r w:rsidR="007A1743">
        <w:t>at the time</w:t>
      </w:r>
      <w:r w:rsidR="00E629F9">
        <w:t xml:space="preserve"> required prior use of metformin and a sulfonylurea</w:t>
      </w:r>
      <w:r w:rsidR="007A1743">
        <w:t xml:space="preserve"> (</w:t>
      </w:r>
      <w:r w:rsidRPr="005932DF">
        <w:t xml:space="preserve">except where </w:t>
      </w:r>
      <w:r w:rsidR="007A1743">
        <w:t xml:space="preserve">treatment with these medicines was </w:t>
      </w:r>
      <w:r w:rsidRPr="005932DF">
        <w:t>contraindicated</w:t>
      </w:r>
      <w:r w:rsidR="007A1743">
        <w:t>)</w:t>
      </w:r>
      <w:r w:rsidRPr="005932DF">
        <w:t xml:space="preserve">. </w:t>
      </w:r>
      <w:r w:rsidR="000F71AE">
        <w:t>This u</w:t>
      </w:r>
      <w:r w:rsidRPr="005932DF">
        <w:t>se outside the restrictions was highest for those initiating a</w:t>
      </w:r>
      <w:r w:rsidR="00780C3E">
        <w:t xml:space="preserve"> </w:t>
      </w:r>
      <w:r w:rsidR="006B5DD2">
        <w:t>DPP-4 inhibitor</w:t>
      </w:r>
      <w:r w:rsidR="00780C3E">
        <w:t xml:space="preserve"> + metformin fixed dose combination</w:t>
      </w:r>
      <w:r w:rsidR="003776A5">
        <w:t xml:space="preserve"> </w:t>
      </w:r>
      <w:r w:rsidR="000F71AE">
        <w:t>(55%) and t</w:t>
      </w:r>
      <w:r>
        <w:t xml:space="preserve">he DUSC considered that the availability of </w:t>
      </w:r>
      <w:r w:rsidR="00780C3E">
        <w:t>combinatio</w:t>
      </w:r>
      <w:r w:rsidR="00E629F9">
        <w:t>n products</w:t>
      </w:r>
      <w:r w:rsidR="00780C3E">
        <w:t xml:space="preserve"> </w:t>
      </w:r>
      <w:r>
        <w:t>may be contributing to use outside of the PBS restrictions.</w:t>
      </w:r>
    </w:p>
    <w:p w:rsidR="00665403" w:rsidRDefault="00665403" w:rsidP="00492694">
      <w:pPr>
        <w:pStyle w:val="BodyText1"/>
      </w:pPr>
      <w:r w:rsidRPr="00665403">
        <w:t>In April and July 2013, as a result of these findings, the PBAC recommended the listings of saxagliptin with metformin, linagliptin with metformin and alogliptin for the treatment of type 2 diabetes, the la</w:t>
      </w:r>
      <w:r>
        <w:t xml:space="preserve">tter </w:t>
      </w:r>
      <w:r w:rsidRPr="00665403">
        <w:t>in combination with metformin or a sulfonylurea, without the requirement for contraindication or intolerance to metformin + sulfonylurea. The PBAC recommended the listings at a reduced price, where the likely proportion of use in patients who have not trialled a sulfonylurea was cost-minimised to the average daily dose of a sulfonylurea in combination with metformin. Alogliptin was subsequently listed on the PBS on 1 December 2013</w:t>
      </w:r>
      <w:r>
        <w:t xml:space="preserve"> </w:t>
      </w:r>
      <w:r w:rsidRPr="00665403">
        <w:t xml:space="preserve">with the reduced price and revised restriction. Due to the application of the reference pricing policy, the sponsors of the other listed DPP-4 inhibitors </w:t>
      </w:r>
      <w:r>
        <w:t xml:space="preserve">agreed to reduced PBS prices. </w:t>
      </w:r>
      <w:r w:rsidRPr="00665403">
        <w:t>The restrictions for the other DDP-4 inhibitors were similarly revised at the same time.</w:t>
      </w:r>
    </w:p>
    <w:p w:rsidR="00F80A39" w:rsidRDefault="00F80A39" w:rsidP="00F80A39">
      <w:pPr>
        <w:rPr>
          <w:lang w:eastAsia="en-AU"/>
        </w:rPr>
      </w:pPr>
      <w:r>
        <w:rPr>
          <w:lang w:eastAsia="en-AU"/>
        </w:rPr>
        <w:t xml:space="preserve">In July 2014, the PBAC recommended the listing of a fixed dose combination of dapagliflozin + metformin XR, and that the PBS listings for dapagliflozin and the fixed dose combination be aligned with that of the DPP-4 inhibitors. The PBAC considered that such an alignment of restrictions would be cost-effective if the prices were also aligned with the DPP-4 inhibitors, noting the current dapagliflozin cost offset for adverse events. </w:t>
      </w:r>
    </w:p>
    <w:p w:rsidR="00883100" w:rsidRDefault="00883100" w:rsidP="00492694">
      <w:pPr>
        <w:pStyle w:val="BodyText1"/>
      </w:pPr>
      <w:r w:rsidRPr="005932DF">
        <w:t xml:space="preserve">Of patients prescribed a </w:t>
      </w:r>
      <w:r w:rsidR="00B800F5">
        <w:t xml:space="preserve">newer type 2 diabetes medicine </w:t>
      </w:r>
      <w:r w:rsidRPr="005932DF">
        <w:t xml:space="preserve">between February 2011 and May 2012, </w:t>
      </w:r>
      <w:r>
        <w:t>27.9</w:t>
      </w:r>
      <w:r w:rsidRPr="005932DF">
        <w:t xml:space="preserve">% were </w:t>
      </w:r>
      <w:r>
        <w:t>co-</w:t>
      </w:r>
      <w:r w:rsidRPr="005932DF">
        <w:t xml:space="preserve">prescribed a regimen of </w:t>
      </w:r>
      <w:r>
        <w:t>medicine</w:t>
      </w:r>
      <w:r w:rsidRPr="005932DF">
        <w:t>s that did not co</w:t>
      </w:r>
      <w:r w:rsidR="000F71AE">
        <w:t>mply with PBS subsidy cri</w:t>
      </w:r>
      <w:r w:rsidR="00B800F5">
        <w:t>teria. Triple oral therapy with</w:t>
      </w:r>
      <w:r w:rsidRPr="005932DF">
        <w:t xml:space="preserve"> </w:t>
      </w:r>
      <w:r w:rsidR="006B5DD2">
        <w:t>DPP-4 inhibitor</w:t>
      </w:r>
      <w:r w:rsidR="00B800F5">
        <w:t xml:space="preserve"> + </w:t>
      </w:r>
      <w:r w:rsidRPr="005932DF">
        <w:t>metform</w:t>
      </w:r>
      <w:r w:rsidR="00B800F5">
        <w:t>in +</w:t>
      </w:r>
      <w:r w:rsidRPr="005932DF">
        <w:t xml:space="preserve"> sulfonylurea contributed the most to </w:t>
      </w:r>
      <w:r w:rsidR="000F71AE">
        <w:t xml:space="preserve">this </w:t>
      </w:r>
      <w:r w:rsidRPr="005932DF">
        <w:t xml:space="preserve">use outside PBS restrictions. Some use of </w:t>
      </w:r>
      <w:r w:rsidR="0085743A">
        <w:t>DPP-</w:t>
      </w:r>
      <w:r w:rsidR="006B5DD2">
        <w:t>4 inhibitor</w:t>
      </w:r>
      <w:r w:rsidRPr="005932DF">
        <w:t xml:space="preserve"> monotherapy</w:t>
      </w:r>
      <w:r w:rsidR="000F71AE">
        <w:t xml:space="preserve">, exenatide with insulin, </w:t>
      </w:r>
      <w:r w:rsidR="00F31523">
        <w:t>and pioglitazone either alone or with another</w:t>
      </w:r>
      <w:r w:rsidR="005C5073">
        <w:t xml:space="preserve"> newer type 2 diabetes medicine</w:t>
      </w:r>
      <w:r w:rsidR="00F31523">
        <w:t xml:space="preserve">, </w:t>
      </w:r>
      <w:r w:rsidRPr="005932DF">
        <w:t>was also evident</w:t>
      </w:r>
      <w:r w:rsidR="000F71AE">
        <w:t xml:space="preserve">. </w:t>
      </w:r>
      <w:r>
        <w:t>The DUSC considered</w:t>
      </w:r>
      <w:r w:rsidRPr="005A727D">
        <w:t xml:space="preserve"> </w:t>
      </w:r>
      <w:r>
        <w:t xml:space="preserve">that </w:t>
      </w:r>
      <w:r w:rsidRPr="005A727D">
        <w:t>the overall rate of use beyond the PBS restriction</w:t>
      </w:r>
      <w:r>
        <w:t>s</w:t>
      </w:r>
      <w:r w:rsidRPr="005A727D">
        <w:t xml:space="preserve"> in relation to </w:t>
      </w:r>
      <w:r w:rsidR="006B5DD2">
        <w:t xml:space="preserve">newer type 2 diabetes medicines </w:t>
      </w:r>
      <w:r>
        <w:t xml:space="preserve">is at least 30%, and </w:t>
      </w:r>
      <w:r w:rsidRPr="005A727D">
        <w:t>that this is a conservative estimate of non-cost-effective use.</w:t>
      </w:r>
    </w:p>
    <w:p w:rsidR="006110F5" w:rsidRDefault="006110F5" w:rsidP="00EC73F8">
      <w:pPr>
        <w:pStyle w:val="Heading5"/>
        <w:keepNext/>
        <w:keepLines/>
      </w:pPr>
      <w:r>
        <w:t>Evidence used to supporting PBS listings (ToR 3)</w:t>
      </w:r>
    </w:p>
    <w:p w:rsidR="00EE68F1" w:rsidRDefault="00EE68F1" w:rsidP="00EC73F8">
      <w:pPr>
        <w:pStyle w:val="BodyText1"/>
        <w:keepNext/>
        <w:keepLines/>
        <w:rPr>
          <w:lang w:eastAsia="en-AU"/>
        </w:rPr>
      </w:pPr>
      <w:r>
        <w:t xml:space="preserve">The University of Newcastle developed a report </w:t>
      </w:r>
      <w:r>
        <w:rPr>
          <w:lang w:eastAsia="en-AU"/>
        </w:rPr>
        <w:t>consolidating</w:t>
      </w:r>
      <w:r w:rsidRPr="00EE68F1">
        <w:rPr>
          <w:lang w:eastAsia="en-AU"/>
        </w:rPr>
        <w:t xml:space="preserve"> the clinical trial evidence used to support PBS listings of diabe</w:t>
      </w:r>
      <w:r>
        <w:rPr>
          <w:lang w:eastAsia="en-AU"/>
        </w:rPr>
        <w:t>tes medicines listed</w:t>
      </w:r>
      <w:r w:rsidR="00AE14CB" w:rsidRPr="00AE14CB">
        <w:rPr>
          <w:lang w:eastAsia="en-AU"/>
        </w:rPr>
        <w:t xml:space="preserve"> </w:t>
      </w:r>
      <w:r w:rsidR="006B5DD2">
        <w:rPr>
          <w:lang w:eastAsia="en-AU"/>
        </w:rPr>
        <w:t>between 2002 and</w:t>
      </w:r>
      <w:r w:rsidR="00AE14CB">
        <w:rPr>
          <w:lang w:eastAsia="en-AU"/>
        </w:rPr>
        <w:t xml:space="preserve"> 2013</w:t>
      </w:r>
      <w:r>
        <w:rPr>
          <w:lang w:eastAsia="en-AU"/>
        </w:rPr>
        <w:t xml:space="preserve">. </w:t>
      </w:r>
      <w:r w:rsidR="00AE14CB">
        <w:rPr>
          <w:lang w:eastAsia="en-AU"/>
        </w:rPr>
        <w:t>E</w:t>
      </w:r>
      <w:r>
        <w:rPr>
          <w:lang w:eastAsia="en-AU"/>
        </w:rPr>
        <w:t xml:space="preserve">arlier submissions for </w:t>
      </w:r>
      <w:r w:rsidR="00780C3E">
        <w:rPr>
          <w:lang w:eastAsia="en-AU"/>
        </w:rPr>
        <w:t>TZDs</w:t>
      </w:r>
      <w:r>
        <w:rPr>
          <w:lang w:eastAsia="en-AU"/>
        </w:rPr>
        <w:t xml:space="preserve"> were </w:t>
      </w:r>
      <w:r w:rsidR="00AE14CB">
        <w:rPr>
          <w:lang w:eastAsia="en-AU"/>
        </w:rPr>
        <w:t xml:space="preserve">also </w:t>
      </w:r>
      <w:r>
        <w:rPr>
          <w:lang w:eastAsia="en-AU"/>
        </w:rPr>
        <w:t>reviewed.</w:t>
      </w:r>
    </w:p>
    <w:p w:rsidR="003E0246" w:rsidRDefault="003E0246" w:rsidP="003E0246">
      <w:r w:rsidRPr="0006018C">
        <w:t xml:space="preserve">A total of 177 clinical studies/systematic reviews </w:t>
      </w:r>
      <w:r>
        <w:t xml:space="preserve">assessing the newer type 2 diabetes medicines and nominated comparators were identified from </w:t>
      </w:r>
      <w:r w:rsidRPr="0006018C">
        <w:t xml:space="preserve">47 submissions </w:t>
      </w:r>
      <w:r w:rsidR="006B5DD2">
        <w:t xml:space="preserve">considered </w:t>
      </w:r>
      <w:r w:rsidR="006B5DD2">
        <w:lastRenderedPageBreak/>
        <w:t xml:space="preserve">by the PBAC. Twenty-six </w:t>
      </w:r>
      <w:r>
        <w:t xml:space="preserve">(55%) of </w:t>
      </w:r>
      <w:r w:rsidR="00EB2F97">
        <w:t xml:space="preserve">these submissions </w:t>
      </w:r>
      <w:r>
        <w:t xml:space="preserve">received positive recommendations. Only 17 </w:t>
      </w:r>
      <w:r w:rsidRPr="0006018C">
        <w:t xml:space="preserve">submissions (36%) presented some direct head-to-head evidence against the main comparator. </w:t>
      </w:r>
      <w:r>
        <w:t xml:space="preserve">The newer </w:t>
      </w:r>
      <w:r w:rsidR="006B5DD2">
        <w:t xml:space="preserve">type 2 </w:t>
      </w:r>
      <w:r>
        <w:t xml:space="preserve">diabetes medicines have been positioned after the use of metformin and/or a sulfonylurea based on a series of non-inferiority comparisons originating from insulin. </w:t>
      </w:r>
    </w:p>
    <w:p w:rsidR="003E0246" w:rsidRDefault="003E0246" w:rsidP="003E0246">
      <w:r>
        <w:t>Superiority claims in terms of comparative efficacy were made in 14 submissions. No submission has received a positive recommendation on the basis of a clinical claim of superiority.</w:t>
      </w:r>
      <w:r w:rsidRPr="003E0246">
        <w:t xml:space="preserve"> </w:t>
      </w:r>
      <w:r>
        <w:t xml:space="preserve">The PBAC has </w:t>
      </w:r>
      <w:r w:rsidR="00B44537">
        <w:t>not</w:t>
      </w:r>
      <w:r>
        <w:t>ed marginal differences in change in HbA</w:t>
      </w:r>
      <w:r w:rsidRPr="003E0246">
        <w:rPr>
          <w:vertAlign w:val="subscript"/>
        </w:rPr>
        <w:t>1c</w:t>
      </w:r>
      <w:r>
        <w:t xml:space="preserve"> between medicines, but has never accepted a claim of superiority due to the difficulty in translating these differences to clinical outcomes. When presented, the nominated non-inferiority margin for change in HbA</w:t>
      </w:r>
      <w:r w:rsidRPr="003E0246">
        <w:rPr>
          <w:vertAlign w:val="subscript"/>
        </w:rPr>
        <w:t>1c</w:t>
      </w:r>
      <w:r>
        <w:t xml:space="preserve"> from baseline generally ranged from 0.3% to 0.4%</w:t>
      </w:r>
      <w:r w:rsidR="006B5DD2">
        <w:t xml:space="preserve"> (3–4 mmol/mol)</w:t>
      </w:r>
      <w:r>
        <w:t>. The PBAC has acknowledged that there may be differences between treatments in regards to</w:t>
      </w:r>
      <w:r w:rsidR="00AE14CB" w:rsidRPr="00AE14CB">
        <w:t xml:space="preserve"> </w:t>
      </w:r>
      <w:r w:rsidR="00AE14CB">
        <w:t>weight management and hypoglycaemia</w:t>
      </w:r>
      <w:r>
        <w:t xml:space="preserve">, but the magnitude and clinical importance of these differences has not been adequately demonstrated. </w:t>
      </w:r>
    </w:p>
    <w:p w:rsidR="003E0246" w:rsidRDefault="003E0246" w:rsidP="003E0246">
      <w:r>
        <w:t xml:space="preserve">None of the newer </w:t>
      </w:r>
      <w:r w:rsidR="006B5DD2">
        <w:t xml:space="preserve">type 2 </w:t>
      </w:r>
      <w:r>
        <w:t>diabetes medicine submissi</w:t>
      </w:r>
      <w:r w:rsidR="008277DE">
        <w:t>ons have</w:t>
      </w:r>
      <w:r w:rsidR="006B5DD2">
        <w:t xml:space="preserve"> presented microvascular or</w:t>
      </w:r>
      <w:r>
        <w:t xml:space="preserve"> macrovascular events as a key outcome.</w:t>
      </w:r>
      <w:r w:rsidR="00AE14CB">
        <w:t xml:space="preserve"> Cardiovascular</w:t>
      </w:r>
      <w:r>
        <w:t xml:space="preserve"> </w:t>
      </w:r>
      <w:r w:rsidR="00AE14CB">
        <w:t xml:space="preserve">safety </w:t>
      </w:r>
      <w:r w:rsidR="00F719E3">
        <w:t xml:space="preserve">data has been considered for two </w:t>
      </w:r>
      <w:r w:rsidR="006B5DD2">
        <w:t>DPP-4 inhibi</w:t>
      </w:r>
      <w:r w:rsidR="00AE14CB">
        <w:t>t</w:t>
      </w:r>
      <w:r w:rsidR="006B5DD2">
        <w:t>o</w:t>
      </w:r>
      <w:r w:rsidR="00AE14CB">
        <w:t xml:space="preserve">rs. </w:t>
      </w:r>
      <w:r w:rsidR="00B44537">
        <w:t>O</w:t>
      </w:r>
      <w:r>
        <w:t>ther limit</w:t>
      </w:r>
      <w:r w:rsidR="00B44537">
        <w:t>ations of the clinical evidence include</w:t>
      </w:r>
      <w:r>
        <w:t xml:space="preserve"> the lack of long term safety data and uncertain applicability of the clinical evidence (e.g. duration of treatment, background therapies, treatment details).</w:t>
      </w:r>
    </w:p>
    <w:p w:rsidR="00EB2F97" w:rsidRDefault="00AE14CB" w:rsidP="00AE14CB">
      <w:pPr>
        <w:rPr>
          <w:lang w:eastAsia="en-AU"/>
        </w:rPr>
      </w:pPr>
      <w:r>
        <w:rPr>
          <w:lang w:eastAsia="en-AU"/>
        </w:rPr>
        <w:t>PBS rest</w:t>
      </w:r>
      <w:r w:rsidR="00F719E3">
        <w:rPr>
          <w:lang w:eastAsia="en-AU"/>
        </w:rPr>
        <w:t>r</w:t>
      </w:r>
      <w:r>
        <w:rPr>
          <w:lang w:eastAsia="en-AU"/>
        </w:rPr>
        <w:t xml:space="preserve">ictions and Therapeutic Goods Administration (TGA) indications for the medicines were also compared. The following combinations of therapies for the newer type 2 diabetes medicines are TGA-approved, but not subsidised by the PBS: </w:t>
      </w:r>
    </w:p>
    <w:p w:rsidR="00EB2F97" w:rsidRDefault="00EB2F97" w:rsidP="007156EB">
      <w:pPr>
        <w:pStyle w:val="ListParagraph"/>
        <w:numPr>
          <w:ilvl w:val="0"/>
          <w:numId w:val="61"/>
        </w:numPr>
      </w:pPr>
      <w:r>
        <w:rPr>
          <w:lang w:eastAsia="en-AU"/>
        </w:rPr>
        <w:t>m</w:t>
      </w:r>
      <w:r w:rsidR="00AE14CB" w:rsidRPr="0006018C">
        <w:t>onotherapy</w:t>
      </w:r>
    </w:p>
    <w:p w:rsidR="00EB2F97" w:rsidRDefault="006B5DD2" w:rsidP="007156EB">
      <w:pPr>
        <w:pStyle w:val="ListParagraph"/>
        <w:numPr>
          <w:ilvl w:val="0"/>
          <w:numId w:val="61"/>
        </w:numPr>
      </w:pPr>
      <w:r>
        <w:t>TZD + DPP-4 inhibitor/SGLT2 inhibitor</w:t>
      </w:r>
    </w:p>
    <w:p w:rsidR="00EB2F97" w:rsidRDefault="00AE14CB" w:rsidP="007156EB">
      <w:pPr>
        <w:pStyle w:val="ListParagraph"/>
        <w:numPr>
          <w:ilvl w:val="0"/>
          <w:numId w:val="61"/>
        </w:numPr>
      </w:pPr>
      <w:r w:rsidRPr="0006018C">
        <w:t>trip</w:t>
      </w:r>
      <w:r>
        <w:t>le therapy with metformin + sulfonylurea</w:t>
      </w:r>
      <w:r w:rsidR="006B5DD2">
        <w:t xml:space="preserve"> + DPP-4 inhibitor/SGLT2 inhibitor</w:t>
      </w:r>
    </w:p>
    <w:p w:rsidR="00EB2F97" w:rsidRDefault="00AE14CB" w:rsidP="007156EB">
      <w:pPr>
        <w:pStyle w:val="ListParagraph"/>
        <w:numPr>
          <w:ilvl w:val="0"/>
          <w:numId w:val="61"/>
        </w:numPr>
      </w:pPr>
      <w:r>
        <w:t xml:space="preserve">insulin in combination with a </w:t>
      </w:r>
      <w:r w:rsidR="002772EC">
        <w:t>DPP-4 inhibitor</w:t>
      </w:r>
      <w:r w:rsidR="00EB2F97">
        <w:t>/SGLT2 inhibitor/</w:t>
      </w:r>
      <w:r w:rsidRPr="0006018C">
        <w:t xml:space="preserve">GLP-1 </w:t>
      </w:r>
      <w:r w:rsidR="00EB2F97">
        <w:t>receptor agonist</w:t>
      </w:r>
    </w:p>
    <w:p w:rsidR="00EB2F97" w:rsidRDefault="00AE14CB" w:rsidP="007156EB">
      <w:pPr>
        <w:pStyle w:val="ListParagraph"/>
        <w:numPr>
          <w:ilvl w:val="0"/>
          <w:numId w:val="61"/>
        </w:numPr>
      </w:pPr>
      <w:r w:rsidRPr="0006018C">
        <w:t xml:space="preserve">initial use of </w:t>
      </w:r>
      <w:r w:rsidR="00EB2F97">
        <w:t xml:space="preserve">a </w:t>
      </w:r>
      <w:r w:rsidR="002772EC">
        <w:t>DPP-4 inhibitor</w:t>
      </w:r>
      <w:r>
        <w:t xml:space="preserve"> or </w:t>
      </w:r>
      <w:r w:rsidR="00A26D2D">
        <w:t xml:space="preserve">SGLT2 inhibitor </w:t>
      </w:r>
      <w:r>
        <w:t xml:space="preserve">with metformin. </w:t>
      </w:r>
    </w:p>
    <w:p w:rsidR="00AE14CB" w:rsidRDefault="00AE14CB" w:rsidP="00EB2F97">
      <w:r>
        <w:t>Conversely, the current PBS listing for pioglitazone allows use in any combination with insulin, while the TGA indication specifies dual therapy with insulin only.</w:t>
      </w:r>
    </w:p>
    <w:p w:rsidR="006110F5" w:rsidRDefault="006110F5" w:rsidP="0029088C">
      <w:pPr>
        <w:pStyle w:val="Heading5"/>
      </w:pPr>
      <w:r>
        <w:t>New evidence (ToR 4)</w:t>
      </w:r>
    </w:p>
    <w:p w:rsidR="003A0A74" w:rsidRDefault="00DC7551" w:rsidP="0029088C">
      <w:r>
        <w:t>Griffith University undertook a systematic literature review of</w:t>
      </w:r>
      <w:r w:rsidR="00EC73F8">
        <w:t xml:space="preserve"> the safety and efficacy of type 2 diabetes medicines</w:t>
      </w:r>
      <w:r>
        <w:t>, inclu</w:t>
      </w:r>
      <w:r w:rsidR="008243F0">
        <w:t xml:space="preserve">ding a network meta-analysis of </w:t>
      </w:r>
      <w:r>
        <w:t>t</w:t>
      </w:r>
      <w:r w:rsidR="00923EE3">
        <w:t xml:space="preserve">riple therapy trials. </w:t>
      </w:r>
      <w:r w:rsidR="008277DE">
        <w:t>A total of 87</w:t>
      </w:r>
      <w:r>
        <w:t xml:space="preserve"> </w:t>
      </w:r>
      <w:r w:rsidR="00EC73F8" w:rsidRPr="0026739E">
        <w:t xml:space="preserve">publications </w:t>
      </w:r>
      <w:r w:rsidR="00A26D2D">
        <w:t xml:space="preserve">published between January 2003 and March 2014, </w:t>
      </w:r>
      <w:r w:rsidR="00EC73F8">
        <w:t>covering</w:t>
      </w:r>
      <w:r w:rsidR="00EC73F8" w:rsidRPr="0026739E">
        <w:t xml:space="preserve"> </w:t>
      </w:r>
      <w:r w:rsidR="00923EE3">
        <w:t>72</w:t>
      </w:r>
      <w:r>
        <w:t xml:space="preserve"> RCTs (</w:t>
      </w:r>
      <w:r w:rsidR="00EC73F8">
        <w:t>43 not seen by the PBAC previously</w:t>
      </w:r>
      <w:r>
        <w:t>) were identified</w:t>
      </w:r>
      <w:r w:rsidR="00EC73F8">
        <w:t>.</w:t>
      </w:r>
      <w:r w:rsidR="003A0A74">
        <w:t xml:space="preserve"> </w:t>
      </w:r>
      <w:r w:rsidR="00A26D2D">
        <w:t xml:space="preserve">No long </w:t>
      </w:r>
      <w:r w:rsidR="00EC73F8">
        <w:t xml:space="preserve">term macrovascular or microvascular outcome data for acarbose, insulin, SGLT2 inhibitors and GLP-1 receptor agonists was </w:t>
      </w:r>
      <w:r w:rsidR="008277DE">
        <w:t>identified. Limited trial data we</w:t>
      </w:r>
      <w:r w:rsidR="00EC73F8">
        <w:t xml:space="preserve">re available with a duration of </w:t>
      </w:r>
      <w:r w:rsidR="00EC73F8">
        <w:lastRenderedPageBreak/>
        <w:t>over six months and many trials were underpowered to detect</w:t>
      </w:r>
      <w:r w:rsidR="003A0A74">
        <w:t xml:space="preserve"> differences in adverse events.</w:t>
      </w:r>
    </w:p>
    <w:p w:rsidR="00EC73F8" w:rsidRDefault="008243F0" w:rsidP="003A0A74">
      <w:r>
        <w:t>The monotherapy trials and the majority of dual therapy trials were not an</w:t>
      </w:r>
      <w:r w:rsidR="00EB2F97">
        <w:t>a</w:t>
      </w:r>
      <w:r>
        <w:t>lysed further on the advice of the expert Reference Group, as it was considered that the PBAC had already considered the comparisons in these trials. However, o</w:t>
      </w:r>
      <w:r w:rsidR="00EC73F8">
        <w:t>ne dual therapy trial considered a combination not yet seen by the PBAC</w:t>
      </w:r>
      <w:r w:rsidR="00EB2F97">
        <w:t xml:space="preserve"> (TZD + DPP-4 inhibitor)</w:t>
      </w:r>
      <w:r w:rsidR="00EC73F8">
        <w:t>. Compared to TZD mon</w:t>
      </w:r>
      <w:r>
        <w:t>otherapy, TZD + DPP-4 inhibitor</w:t>
      </w:r>
      <w:r w:rsidR="00EC73F8">
        <w:t xml:space="preserve"> reduced HbA</w:t>
      </w:r>
      <w:r w:rsidR="00EC73F8" w:rsidRPr="003A0A74">
        <w:rPr>
          <w:vertAlign w:val="subscript"/>
        </w:rPr>
        <w:t>1c</w:t>
      </w:r>
      <w:r w:rsidR="00EB2F97">
        <w:t xml:space="preserve"> (-0.9%; 95% CI: </w:t>
      </w:r>
      <w:r w:rsidR="00EB2F97">
        <w:noBreakHyphen/>
        <w:t>1.1,</w:t>
      </w:r>
      <w:r w:rsidR="00EC73F8">
        <w:t xml:space="preserve"> -0.7) and increased weight (1.1 kg; p-value not reported).</w:t>
      </w:r>
      <w:r w:rsidR="0093455B" w:rsidRPr="00413AE0">
        <w:rPr>
          <w:vertAlign w:val="superscript"/>
        </w:rPr>
        <w:t>1</w:t>
      </w:r>
      <w:r w:rsidR="00EC73F8">
        <w:t xml:space="preserve"> The results may not be applicable to Australian practice as the patients were treatment naïve. </w:t>
      </w:r>
    </w:p>
    <w:p w:rsidR="00923EE3" w:rsidRDefault="0029088C" w:rsidP="00923EE3">
      <w:r>
        <w:t>Table 2</w:t>
      </w:r>
      <w:r w:rsidR="008277DE">
        <w:t xml:space="preserve"> provides a summary of the triple therapy trial evidence for the different therapeutic groups. </w:t>
      </w:r>
      <w:r w:rsidR="00EC73F8">
        <w:t>Twenty</w:t>
      </w:r>
      <w:r w:rsidR="00923EE3">
        <w:t xml:space="preserve">-one </w:t>
      </w:r>
      <w:r w:rsidR="00EC73F8" w:rsidRPr="00082421">
        <w:t xml:space="preserve">triple therapy </w:t>
      </w:r>
      <w:r w:rsidR="00EC73F8">
        <w:t xml:space="preserve">RCTs </w:t>
      </w:r>
      <w:r w:rsidR="00EC73F8" w:rsidRPr="00082421">
        <w:t>were</w:t>
      </w:r>
      <w:r w:rsidR="00EC73F8">
        <w:t xml:space="preserve"> identified and assessed for risk of bias: high – 4</w:t>
      </w:r>
      <w:r w:rsidR="00EB2F97">
        <w:t xml:space="preserve"> trials</w:t>
      </w:r>
      <w:r w:rsidR="00EC73F8">
        <w:t>, unclear – 12</w:t>
      </w:r>
      <w:r w:rsidR="00EB2F97">
        <w:t xml:space="preserve"> trials</w:t>
      </w:r>
      <w:r w:rsidR="00EC73F8">
        <w:t>, and low –</w:t>
      </w:r>
      <w:r w:rsidR="00923EE3">
        <w:t xml:space="preserve"> 5</w:t>
      </w:r>
      <w:r w:rsidR="00EB2F97">
        <w:t xml:space="preserve"> trials</w:t>
      </w:r>
      <w:r w:rsidR="00EC73F8">
        <w:t xml:space="preserve">.  </w:t>
      </w:r>
    </w:p>
    <w:p w:rsidR="00923EE3" w:rsidRPr="00923EE3" w:rsidRDefault="0029088C" w:rsidP="00A05846">
      <w:pPr>
        <w:keepNext/>
        <w:keepLines/>
        <w:rPr>
          <w:b/>
        </w:rPr>
      </w:pPr>
      <w:r>
        <w:rPr>
          <w:b/>
        </w:rPr>
        <w:t>Table 2</w:t>
      </w:r>
      <w:r w:rsidR="00923EE3">
        <w:rPr>
          <w:b/>
        </w:rPr>
        <w:t>.</w:t>
      </w:r>
      <w:r w:rsidR="00923EE3" w:rsidRPr="00923EE3">
        <w:rPr>
          <w:b/>
        </w:rPr>
        <w:t xml:space="preserve"> Available evidence for triple therapy.</w:t>
      </w:r>
    </w:p>
    <w:tbl>
      <w:tblPr>
        <w:tblStyle w:val="TableGrid"/>
        <w:tblW w:w="4507" w:type="pct"/>
        <w:tblLook w:val="04A0" w:firstRow="1" w:lastRow="0" w:firstColumn="1" w:lastColumn="0" w:noHBand="0" w:noVBand="1"/>
      </w:tblPr>
      <w:tblGrid>
        <w:gridCol w:w="4399"/>
        <w:gridCol w:w="1191"/>
        <w:gridCol w:w="983"/>
        <w:gridCol w:w="1758"/>
      </w:tblGrid>
      <w:tr w:rsidR="0085743A" w:rsidRPr="00923EE3" w:rsidTr="00470430">
        <w:tc>
          <w:tcPr>
            <w:tcW w:w="2640" w:type="pct"/>
            <w:shd w:val="clear" w:color="auto" w:fill="BFBFBF" w:themeFill="background1" w:themeFillShade="BF"/>
          </w:tcPr>
          <w:p w:rsidR="0085743A" w:rsidRPr="00923EE3" w:rsidRDefault="0085743A" w:rsidP="00A05846">
            <w:pPr>
              <w:keepNext/>
              <w:keepLines/>
              <w:spacing w:before="40" w:after="40" w:line="240" w:lineRule="auto"/>
              <w:rPr>
                <w:rFonts w:asciiTheme="majorHAnsi" w:hAnsiTheme="majorHAnsi"/>
                <w:b/>
                <w:sz w:val="22"/>
                <w:szCs w:val="22"/>
              </w:rPr>
            </w:pPr>
            <w:r w:rsidRPr="00923EE3">
              <w:rPr>
                <w:rFonts w:asciiTheme="majorHAnsi" w:hAnsiTheme="majorHAnsi"/>
                <w:b/>
                <w:sz w:val="22"/>
                <w:szCs w:val="22"/>
              </w:rPr>
              <w:t>Triple therapy</w:t>
            </w:r>
          </w:p>
        </w:tc>
        <w:tc>
          <w:tcPr>
            <w:tcW w:w="715" w:type="pct"/>
            <w:shd w:val="clear" w:color="auto" w:fill="BFBFBF" w:themeFill="background1" w:themeFillShade="BF"/>
          </w:tcPr>
          <w:p w:rsidR="0085743A" w:rsidRPr="00923EE3" w:rsidRDefault="0085743A" w:rsidP="00A05846">
            <w:pPr>
              <w:keepNext/>
              <w:keepLines/>
              <w:spacing w:before="40" w:after="40" w:line="240" w:lineRule="auto"/>
              <w:jc w:val="center"/>
              <w:rPr>
                <w:rFonts w:asciiTheme="majorHAnsi" w:hAnsiTheme="majorHAnsi"/>
                <w:b/>
                <w:sz w:val="22"/>
                <w:szCs w:val="22"/>
              </w:rPr>
            </w:pPr>
            <w:r w:rsidRPr="00923EE3">
              <w:rPr>
                <w:rFonts w:asciiTheme="majorHAnsi" w:hAnsiTheme="majorHAnsi"/>
                <w:b/>
                <w:sz w:val="22"/>
                <w:szCs w:val="22"/>
              </w:rPr>
              <w:t>Evidence available</w:t>
            </w:r>
          </w:p>
        </w:tc>
        <w:tc>
          <w:tcPr>
            <w:tcW w:w="590" w:type="pct"/>
            <w:shd w:val="clear" w:color="auto" w:fill="BFBFBF" w:themeFill="background1" w:themeFillShade="BF"/>
          </w:tcPr>
          <w:p w:rsidR="0085743A" w:rsidRPr="00923EE3" w:rsidRDefault="00865DAA" w:rsidP="00A05846">
            <w:pPr>
              <w:keepNext/>
              <w:keepLines/>
              <w:spacing w:before="40" w:after="40" w:line="240" w:lineRule="auto"/>
              <w:jc w:val="center"/>
              <w:rPr>
                <w:rFonts w:asciiTheme="majorHAnsi" w:hAnsiTheme="majorHAnsi"/>
                <w:b/>
                <w:sz w:val="22"/>
                <w:szCs w:val="22"/>
              </w:rPr>
            </w:pPr>
            <w:r>
              <w:rPr>
                <w:rFonts w:asciiTheme="majorHAnsi" w:hAnsiTheme="majorHAnsi"/>
                <w:b/>
                <w:sz w:val="22"/>
                <w:szCs w:val="22"/>
              </w:rPr>
              <w:t>No. of tria</w:t>
            </w:r>
            <w:r w:rsidR="0085743A">
              <w:rPr>
                <w:rFonts w:asciiTheme="majorHAnsi" w:hAnsiTheme="majorHAnsi"/>
                <w:b/>
                <w:sz w:val="22"/>
                <w:szCs w:val="22"/>
              </w:rPr>
              <w:t>ls</w:t>
            </w:r>
          </w:p>
        </w:tc>
        <w:tc>
          <w:tcPr>
            <w:tcW w:w="1055" w:type="pct"/>
            <w:shd w:val="clear" w:color="auto" w:fill="BFBFBF" w:themeFill="background1" w:themeFillShade="BF"/>
          </w:tcPr>
          <w:p w:rsidR="0085743A" w:rsidRDefault="0085743A" w:rsidP="00A05846">
            <w:pPr>
              <w:keepNext/>
              <w:keepLines/>
              <w:spacing w:before="40" w:after="40" w:line="240" w:lineRule="auto"/>
              <w:jc w:val="center"/>
              <w:rPr>
                <w:rFonts w:asciiTheme="majorHAnsi" w:hAnsiTheme="majorHAnsi"/>
                <w:b/>
                <w:sz w:val="22"/>
                <w:szCs w:val="22"/>
              </w:rPr>
            </w:pPr>
            <w:r>
              <w:rPr>
                <w:rFonts w:asciiTheme="majorHAnsi" w:hAnsiTheme="majorHAnsi"/>
                <w:b/>
                <w:sz w:val="22"/>
                <w:szCs w:val="22"/>
              </w:rPr>
              <w:t xml:space="preserve">No. </w:t>
            </w:r>
            <w:r w:rsidR="008277DE">
              <w:rPr>
                <w:rFonts w:asciiTheme="majorHAnsi" w:hAnsiTheme="majorHAnsi"/>
                <w:b/>
                <w:sz w:val="22"/>
                <w:szCs w:val="22"/>
              </w:rPr>
              <w:t xml:space="preserve">of </w:t>
            </w:r>
            <w:r>
              <w:rPr>
                <w:rFonts w:asciiTheme="majorHAnsi" w:hAnsiTheme="majorHAnsi"/>
                <w:b/>
                <w:sz w:val="22"/>
                <w:szCs w:val="22"/>
              </w:rPr>
              <w:t>trials seen by PBAC</w:t>
            </w:r>
            <w:r w:rsidR="00470430">
              <w:rPr>
                <w:rFonts w:asciiTheme="majorHAnsi" w:hAnsiTheme="majorHAnsi"/>
                <w:b/>
                <w:sz w:val="22"/>
                <w:szCs w:val="22"/>
              </w:rPr>
              <w:t>*</w:t>
            </w:r>
          </w:p>
        </w:tc>
      </w:tr>
      <w:tr w:rsidR="0085743A" w:rsidRPr="00923EE3" w:rsidTr="00470430">
        <w:tc>
          <w:tcPr>
            <w:tcW w:w="2640" w:type="pct"/>
          </w:tcPr>
          <w:p w:rsidR="0085743A" w:rsidRPr="00923EE3" w:rsidRDefault="0085743A" w:rsidP="00A05846">
            <w:pPr>
              <w:keepNext/>
              <w:keepLines/>
              <w:spacing w:before="40" w:after="40" w:line="240" w:lineRule="auto"/>
              <w:rPr>
                <w:rFonts w:asciiTheme="majorHAnsi" w:hAnsiTheme="majorHAnsi"/>
                <w:b/>
                <w:sz w:val="22"/>
                <w:szCs w:val="22"/>
              </w:rPr>
            </w:pPr>
            <w:r w:rsidRPr="00923EE3">
              <w:rPr>
                <w:rFonts w:asciiTheme="majorHAnsi" w:hAnsiTheme="majorHAnsi"/>
                <w:b/>
                <w:sz w:val="22"/>
                <w:szCs w:val="22"/>
              </w:rPr>
              <w:t>DPP-4 i</w:t>
            </w:r>
            <w:r>
              <w:rPr>
                <w:rFonts w:asciiTheme="majorHAnsi" w:hAnsiTheme="majorHAnsi"/>
                <w:b/>
                <w:sz w:val="22"/>
                <w:szCs w:val="22"/>
              </w:rPr>
              <w:t>nhibitors</w:t>
            </w:r>
          </w:p>
          <w:p w:rsidR="0085743A" w:rsidRPr="00923EE3" w:rsidRDefault="0085743A" w:rsidP="00A05846">
            <w:pPr>
              <w:keepNext/>
              <w:keepLines/>
              <w:spacing w:before="40" w:after="40" w:line="240" w:lineRule="auto"/>
              <w:rPr>
                <w:rFonts w:asciiTheme="majorHAnsi" w:hAnsiTheme="majorHAnsi"/>
                <w:sz w:val="22"/>
                <w:szCs w:val="22"/>
              </w:rPr>
            </w:pPr>
            <w:r>
              <w:rPr>
                <w:rFonts w:asciiTheme="majorHAnsi" w:hAnsiTheme="majorHAnsi"/>
                <w:sz w:val="22"/>
                <w:szCs w:val="22"/>
              </w:rPr>
              <w:t>+ Metformin + Sulfonylurea</w:t>
            </w:r>
          </w:p>
          <w:p w:rsidR="0085743A" w:rsidRPr="00923EE3" w:rsidRDefault="0085743A" w:rsidP="00A05846">
            <w:pPr>
              <w:keepNext/>
              <w:keepLines/>
              <w:spacing w:before="40" w:after="40" w:line="240" w:lineRule="auto"/>
              <w:rPr>
                <w:rFonts w:asciiTheme="majorHAnsi" w:hAnsiTheme="majorHAnsi"/>
                <w:sz w:val="22"/>
                <w:szCs w:val="22"/>
              </w:rPr>
            </w:pPr>
            <w:r w:rsidRPr="00923EE3">
              <w:rPr>
                <w:rFonts w:asciiTheme="majorHAnsi" w:hAnsiTheme="majorHAnsi"/>
                <w:sz w:val="22"/>
                <w:szCs w:val="22"/>
              </w:rPr>
              <w:t xml:space="preserve">+ </w:t>
            </w:r>
            <w:r>
              <w:rPr>
                <w:rFonts w:asciiTheme="majorHAnsi" w:hAnsiTheme="majorHAnsi"/>
                <w:sz w:val="22"/>
                <w:szCs w:val="22"/>
              </w:rPr>
              <w:t>Metformin</w:t>
            </w:r>
            <w:r w:rsidRPr="00923EE3">
              <w:rPr>
                <w:rFonts w:asciiTheme="majorHAnsi" w:hAnsiTheme="majorHAnsi"/>
                <w:sz w:val="22"/>
                <w:szCs w:val="22"/>
              </w:rPr>
              <w:t xml:space="preserve"> + TZD</w:t>
            </w:r>
          </w:p>
          <w:p w:rsidR="0085743A" w:rsidRPr="00923EE3" w:rsidRDefault="0085743A" w:rsidP="00A05846">
            <w:pPr>
              <w:keepNext/>
              <w:keepLines/>
              <w:spacing w:before="40" w:after="40" w:line="240" w:lineRule="auto"/>
              <w:rPr>
                <w:rFonts w:asciiTheme="majorHAnsi" w:hAnsiTheme="majorHAnsi"/>
                <w:sz w:val="22"/>
                <w:szCs w:val="22"/>
              </w:rPr>
            </w:pPr>
            <w:r w:rsidRPr="00923EE3">
              <w:rPr>
                <w:rFonts w:asciiTheme="majorHAnsi" w:hAnsiTheme="majorHAnsi"/>
                <w:sz w:val="22"/>
                <w:szCs w:val="22"/>
              </w:rPr>
              <w:t xml:space="preserve">+ </w:t>
            </w:r>
            <w:r>
              <w:rPr>
                <w:rFonts w:asciiTheme="majorHAnsi" w:hAnsiTheme="majorHAnsi"/>
                <w:sz w:val="22"/>
                <w:szCs w:val="22"/>
              </w:rPr>
              <w:t>Metformin</w:t>
            </w:r>
            <w:r w:rsidRPr="00923EE3">
              <w:rPr>
                <w:rFonts w:asciiTheme="majorHAnsi" w:hAnsiTheme="majorHAnsi"/>
                <w:sz w:val="22"/>
                <w:szCs w:val="22"/>
              </w:rPr>
              <w:t xml:space="preserve"> + </w:t>
            </w:r>
            <w:r>
              <w:rPr>
                <w:rFonts w:asciiTheme="majorHAnsi" w:hAnsiTheme="majorHAnsi"/>
                <w:sz w:val="22"/>
                <w:szCs w:val="22"/>
              </w:rPr>
              <w:t>Insulin</w:t>
            </w:r>
          </w:p>
        </w:tc>
        <w:tc>
          <w:tcPr>
            <w:tcW w:w="715" w:type="pct"/>
          </w:tcPr>
          <w:p w:rsidR="0085743A" w:rsidRPr="00923EE3" w:rsidRDefault="0085743A" w:rsidP="00A05846">
            <w:pPr>
              <w:keepNext/>
              <w:keepLines/>
              <w:spacing w:before="40" w:after="40" w:line="240" w:lineRule="auto"/>
              <w:jc w:val="center"/>
              <w:rPr>
                <w:rFonts w:asciiTheme="majorHAnsi" w:hAnsiTheme="majorHAnsi"/>
                <w:sz w:val="22"/>
                <w:szCs w:val="22"/>
              </w:rPr>
            </w:pPr>
          </w:p>
          <w:p w:rsidR="0085743A" w:rsidRPr="00923EE3" w:rsidRDefault="0085743A" w:rsidP="00A05846">
            <w:pPr>
              <w:keepNext/>
              <w:keepLines/>
              <w:spacing w:before="40" w:after="40" w:line="240" w:lineRule="auto"/>
              <w:jc w:val="center"/>
              <w:rPr>
                <w:rFonts w:asciiTheme="majorHAnsi" w:hAnsiTheme="majorHAnsi"/>
                <w:sz w:val="22"/>
                <w:szCs w:val="22"/>
              </w:rPr>
            </w:pPr>
            <w:r w:rsidRPr="00923EE3">
              <w:rPr>
                <w:rFonts w:asciiTheme="majorHAnsi" w:hAnsiTheme="majorHAnsi"/>
                <w:sz w:val="22"/>
                <w:szCs w:val="22"/>
              </w:rPr>
              <w:t>Yes</w:t>
            </w:r>
          </w:p>
          <w:p w:rsidR="0085743A" w:rsidRPr="00923EE3" w:rsidRDefault="0085743A" w:rsidP="00A05846">
            <w:pPr>
              <w:keepNext/>
              <w:keepLines/>
              <w:spacing w:before="40" w:after="40" w:line="240" w:lineRule="auto"/>
              <w:jc w:val="center"/>
              <w:rPr>
                <w:rFonts w:asciiTheme="majorHAnsi" w:hAnsiTheme="majorHAnsi"/>
                <w:sz w:val="22"/>
                <w:szCs w:val="22"/>
              </w:rPr>
            </w:pPr>
            <w:r w:rsidRPr="00923EE3">
              <w:rPr>
                <w:rFonts w:asciiTheme="majorHAnsi" w:hAnsiTheme="majorHAnsi"/>
                <w:sz w:val="22"/>
                <w:szCs w:val="22"/>
              </w:rPr>
              <w:t>Yes</w:t>
            </w:r>
          </w:p>
          <w:p w:rsidR="0085743A" w:rsidRPr="00923EE3" w:rsidRDefault="0085743A" w:rsidP="00A05846">
            <w:pPr>
              <w:keepNext/>
              <w:keepLines/>
              <w:spacing w:before="40" w:after="40" w:line="240" w:lineRule="auto"/>
              <w:jc w:val="center"/>
              <w:rPr>
                <w:rFonts w:asciiTheme="majorHAnsi" w:hAnsiTheme="majorHAnsi"/>
                <w:sz w:val="22"/>
                <w:szCs w:val="22"/>
              </w:rPr>
            </w:pPr>
            <w:r w:rsidRPr="00923EE3">
              <w:rPr>
                <w:rFonts w:asciiTheme="majorHAnsi" w:hAnsiTheme="majorHAnsi"/>
                <w:sz w:val="22"/>
                <w:szCs w:val="22"/>
              </w:rPr>
              <w:t>Yes</w:t>
            </w:r>
          </w:p>
        </w:tc>
        <w:tc>
          <w:tcPr>
            <w:tcW w:w="590" w:type="pct"/>
          </w:tcPr>
          <w:p w:rsidR="0085743A" w:rsidRDefault="0085743A" w:rsidP="00A05846">
            <w:pPr>
              <w:keepNext/>
              <w:keepLines/>
              <w:spacing w:before="40" w:after="40" w:line="240" w:lineRule="auto"/>
              <w:jc w:val="center"/>
              <w:rPr>
                <w:rFonts w:asciiTheme="majorHAnsi" w:hAnsiTheme="majorHAnsi"/>
                <w:sz w:val="22"/>
                <w:szCs w:val="22"/>
              </w:rPr>
            </w:pPr>
          </w:p>
          <w:p w:rsidR="00271EB4" w:rsidRDefault="00F65C6A"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3</w:t>
            </w:r>
          </w:p>
          <w:p w:rsidR="00271EB4" w:rsidRDefault="00271EB4"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3</w:t>
            </w:r>
          </w:p>
          <w:p w:rsidR="00271EB4" w:rsidRPr="00923EE3" w:rsidRDefault="00271EB4"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1</w:t>
            </w:r>
          </w:p>
        </w:tc>
        <w:tc>
          <w:tcPr>
            <w:tcW w:w="1055" w:type="pct"/>
          </w:tcPr>
          <w:p w:rsidR="0085743A" w:rsidRDefault="0085743A" w:rsidP="00A05846">
            <w:pPr>
              <w:keepNext/>
              <w:keepLines/>
              <w:spacing w:before="40" w:after="40" w:line="240" w:lineRule="auto"/>
              <w:jc w:val="center"/>
              <w:rPr>
                <w:rFonts w:asciiTheme="majorHAnsi" w:hAnsiTheme="majorHAnsi"/>
                <w:sz w:val="22"/>
                <w:szCs w:val="22"/>
              </w:rPr>
            </w:pPr>
          </w:p>
          <w:p w:rsidR="00271EB4" w:rsidRDefault="00F65C6A"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2</w:t>
            </w:r>
          </w:p>
          <w:p w:rsidR="00271EB4" w:rsidRDefault="00271EB4"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0</w:t>
            </w:r>
          </w:p>
          <w:p w:rsidR="00271EB4" w:rsidRPr="00923EE3" w:rsidRDefault="00271EB4"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0</w:t>
            </w:r>
          </w:p>
        </w:tc>
      </w:tr>
      <w:tr w:rsidR="0085743A" w:rsidRPr="00923EE3" w:rsidTr="00470430">
        <w:tc>
          <w:tcPr>
            <w:tcW w:w="2640" w:type="pct"/>
          </w:tcPr>
          <w:p w:rsidR="0085743A" w:rsidRPr="00923EE3" w:rsidRDefault="0085743A" w:rsidP="00A05846">
            <w:pPr>
              <w:keepNext/>
              <w:keepLines/>
              <w:spacing w:before="40" w:after="40" w:line="240" w:lineRule="auto"/>
              <w:rPr>
                <w:rFonts w:asciiTheme="majorHAnsi" w:hAnsiTheme="majorHAnsi"/>
                <w:b/>
                <w:sz w:val="22"/>
                <w:szCs w:val="22"/>
              </w:rPr>
            </w:pPr>
            <w:r w:rsidRPr="00923EE3">
              <w:rPr>
                <w:rFonts w:asciiTheme="majorHAnsi" w:hAnsiTheme="majorHAnsi"/>
                <w:b/>
                <w:sz w:val="22"/>
                <w:szCs w:val="22"/>
              </w:rPr>
              <w:t>TZD</w:t>
            </w:r>
          </w:p>
          <w:p w:rsidR="0085743A" w:rsidRPr="00923EE3" w:rsidRDefault="0085743A" w:rsidP="00A05846">
            <w:pPr>
              <w:keepNext/>
              <w:keepLines/>
              <w:spacing w:before="40" w:after="40" w:line="240" w:lineRule="auto"/>
              <w:rPr>
                <w:rFonts w:asciiTheme="majorHAnsi" w:hAnsiTheme="majorHAnsi"/>
                <w:sz w:val="22"/>
                <w:szCs w:val="22"/>
              </w:rPr>
            </w:pPr>
            <w:r w:rsidRPr="00923EE3">
              <w:rPr>
                <w:rFonts w:asciiTheme="majorHAnsi" w:hAnsiTheme="majorHAnsi"/>
                <w:sz w:val="22"/>
                <w:szCs w:val="22"/>
              </w:rPr>
              <w:t xml:space="preserve">+ </w:t>
            </w:r>
            <w:r>
              <w:rPr>
                <w:rFonts w:asciiTheme="majorHAnsi" w:hAnsiTheme="majorHAnsi"/>
                <w:sz w:val="22"/>
                <w:szCs w:val="22"/>
              </w:rPr>
              <w:t>Metformin</w:t>
            </w:r>
            <w:r w:rsidRPr="00923EE3">
              <w:rPr>
                <w:rFonts w:asciiTheme="majorHAnsi" w:hAnsiTheme="majorHAnsi"/>
                <w:sz w:val="22"/>
                <w:szCs w:val="22"/>
              </w:rPr>
              <w:t xml:space="preserve"> + </w:t>
            </w:r>
            <w:r>
              <w:rPr>
                <w:rFonts w:asciiTheme="majorHAnsi" w:hAnsiTheme="majorHAnsi"/>
                <w:sz w:val="22"/>
                <w:szCs w:val="22"/>
              </w:rPr>
              <w:t>Sulfonylurea</w:t>
            </w:r>
          </w:p>
          <w:p w:rsidR="0085743A" w:rsidRPr="00923EE3" w:rsidRDefault="0085743A" w:rsidP="00A05846">
            <w:pPr>
              <w:keepNext/>
              <w:keepLines/>
              <w:spacing w:before="40" w:after="40" w:line="240" w:lineRule="auto"/>
              <w:rPr>
                <w:rFonts w:asciiTheme="majorHAnsi" w:hAnsiTheme="majorHAnsi"/>
                <w:sz w:val="22"/>
                <w:szCs w:val="22"/>
              </w:rPr>
            </w:pPr>
            <w:r w:rsidRPr="00923EE3">
              <w:rPr>
                <w:rFonts w:asciiTheme="majorHAnsi" w:hAnsiTheme="majorHAnsi"/>
                <w:sz w:val="22"/>
                <w:szCs w:val="22"/>
              </w:rPr>
              <w:t xml:space="preserve">+ </w:t>
            </w:r>
            <w:r>
              <w:rPr>
                <w:rFonts w:asciiTheme="majorHAnsi" w:hAnsiTheme="majorHAnsi"/>
                <w:sz w:val="22"/>
                <w:szCs w:val="22"/>
              </w:rPr>
              <w:t>Metformin</w:t>
            </w:r>
            <w:r w:rsidRPr="00923EE3">
              <w:rPr>
                <w:rFonts w:asciiTheme="majorHAnsi" w:hAnsiTheme="majorHAnsi"/>
                <w:sz w:val="22"/>
                <w:szCs w:val="22"/>
              </w:rPr>
              <w:t xml:space="preserve"> + DPP-4 i</w:t>
            </w:r>
            <w:r>
              <w:rPr>
                <w:rFonts w:asciiTheme="majorHAnsi" w:hAnsiTheme="majorHAnsi"/>
                <w:sz w:val="22"/>
                <w:szCs w:val="22"/>
              </w:rPr>
              <w:t>nhibitor</w:t>
            </w:r>
          </w:p>
        </w:tc>
        <w:tc>
          <w:tcPr>
            <w:tcW w:w="715" w:type="pct"/>
          </w:tcPr>
          <w:p w:rsidR="0085743A" w:rsidRPr="00923EE3" w:rsidRDefault="0085743A" w:rsidP="00A05846">
            <w:pPr>
              <w:keepNext/>
              <w:keepLines/>
              <w:spacing w:before="40" w:after="40" w:line="240" w:lineRule="auto"/>
              <w:jc w:val="center"/>
              <w:rPr>
                <w:rFonts w:asciiTheme="majorHAnsi" w:hAnsiTheme="majorHAnsi"/>
                <w:sz w:val="22"/>
                <w:szCs w:val="22"/>
              </w:rPr>
            </w:pPr>
          </w:p>
          <w:p w:rsidR="0085743A" w:rsidRPr="00923EE3" w:rsidRDefault="0085743A" w:rsidP="00A05846">
            <w:pPr>
              <w:keepNext/>
              <w:keepLines/>
              <w:spacing w:before="40" w:after="40" w:line="240" w:lineRule="auto"/>
              <w:jc w:val="center"/>
              <w:rPr>
                <w:rFonts w:asciiTheme="majorHAnsi" w:hAnsiTheme="majorHAnsi"/>
                <w:sz w:val="22"/>
                <w:szCs w:val="22"/>
              </w:rPr>
            </w:pPr>
            <w:r w:rsidRPr="00923EE3">
              <w:rPr>
                <w:rFonts w:asciiTheme="majorHAnsi" w:hAnsiTheme="majorHAnsi"/>
                <w:sz w:val="22"/>
                <w:szCs w:val="22"/>
              </w:rPr>
              <w:t>Yes</w:t>
            </w:r>
          </w:p>
          <w:p w:rsidR="0085743A" w:rsidRPr="00923EE3" w:rsidRDefault="0085743A" w:rsidP="00A05846">
            <w:pPr>
              <w:keepNext/>
              <w:keepLines/>
              <w:spacing w:before="40" w:after="40" w:line="240" w:lineRule="auto"/>
              <w:jc w:val="center"/>
              <w:rPr>
                <w:rFonts w:asciiTheme="majorHAnsi" w:hAnsiTheme="majorHAnsi"/>
                <w:sz w:val="22"/>
                <w:szCs w:val="22"/>
              </w:rPr>
            </w:pPr>
            <w:r w:rsidRPr="00923EE3">
              <w:rPr>
                <w:rFonts w:asciiTheme="majorHAnsi" w:hAnsiTheme="majorHAnsi"/>
                <w:sz w:val="22"/>
                <w:szCs w:val="22"/>
              </w:rPr>
              <w:t>Yes</w:t>
            </w:r>
          </w:p>
        </w:tc>
        <w:tc>
          <w:tcPr>
            <w:tcW w:w="590" w:type="pct"/>
          </w:tcPr>
          <w:p w:rsidR="0085743A" w:rsidRDefault="0085743A" w:rsidP="00A05846">
            <w:pPr>
              <w:keepNext/>
              <w:keepLines/>
              <w:spacing w:before="40" w:after="40" w:line="240" w:lineRule="auto"/>
              <w:jc w:val="center"/>
              <w:rPr>
                <w:rFonts w:asciiTheme="majorHAnsi" w:hAnsiTheme="majorHAnsi"/>
                <w:sz w:val="22"/>
                <w:szCs w:val="22"/>
              </w:rPr>
            </w:pPr>
          </w:p>
          <w:p w:rsidR="00271EB4" w:rsidRDefault="00271EB4"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3</w:t>
            </w:r>
          </w:p>
          <w:p w:rsidR="00271EB4" w:rsidRPr="00923EE3" w:rsidRDefault="00271EB4"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3</w:t>
            </w:r>
          </w:p>
        </w:tc>
        <w:tc>
          <w:tcPr>
            <w:tcW w:w="1055" w:type="pct"/>
          </w:tcPr>
          <w:p w:rsidR="0085743A" w:rsidRDefault="0085743A" w:rsidP="00A05846">
            <w:pPr>
              <w:keepNext/>
              <w:keepLines/>
              <w:spacing w:before="40" w:after="40" w:line="240" w:lineRule="auto"/>
              <w:jc w:val="center"/>
              <w:rPr>
                <w:rFonts w:asciiTheme="majorHAnsi" w:hAnsiTheme="majorHAnsi"/>
                <w:sz w:val="22"/>
                <w:szCs w:val="22"/>
              </w:rPr>
            </w:pPr>
          </w:p>
          <w:p w:rsidR="00271EB4" w:rsidRDefault="00271EB4"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2</w:t>
            </w:r>
          </w:p>
          <w:p w:rsidR="00271EB4" w:rsidRPr="00923EE3" w:rsidRDefault="00271EB4"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0</w:t>
            </w:r>
          </w:p>
        </w:tc>
      </w:tr>
      <w:tr w:rsidR="0085743A" w:rsidRPr="00923EE3" w:rsidTr="00470430">
        <w:tc>
          <w:tcPr>
            <w:tcW w:w="2640" w:type="pct"/>
          </w:tcPr>
          <w:p w:rsidR="0085743A" w:rsidRPr="00923EE3" w:rsidRDefault="0085743A" w:rsidP="00A05846">
            <w:pPr>
              <w:keepNext/>
              <w:keepLines/>
              <w:spacing w:before="40" w:after="40" w:line="240" w:lineRule="auto"/>
              <w:rPr>
                <w:rFonts w:asciiTheme="majorHAnsi" w:hAnsiTheme="majorHAnsi"/>
                <w:b/>
                <w:sz w:val="22"/>
                <w:szCs w:val="22"/>
              </w:rPr>
            </w:pPr>
            <w:r>
              <w:rPr>
                <w:rFonts w:asciiTheme="majorHAnsi" w:hAnsiTheme="majorHAnsi"/>
                <w:b/>
                <w:sz w:val="22"/>
                <w:szCs w:val="22"/>
              </w:rPr>
              <w:t>Insulin</w:t>
            </w:r>
          </w:p>
          <w:p w:rsidR="0085743A" w:rsidRPr="00923EE3" w:rsidRDefault="0085743A" w:rsidP="00A05846">
            <w:pPr>
              <w:keepNext/>
              <w:keepLines/>
              <w:spacing w:before="40" w:after="40" w:line="240" w:lineRule="auto"/>
              <w:rPr>
                <w:rFonts w:asciiTheme="majorHAnsi" w:hAnsiTheme="majorHAnsi"/>
                <w:sz w:val="22"/>
                <w:szCs w:val="22"/>
              </w:rPr>
            </w:pPr>
            <w:r w:rsidRPr="00923EE3">
              <w:rPr>
                <w:rFonts w:asciiTheme="majorHAnsi" w:hAnsiTheme="majorHAnsi"/>
                <w:sz w:val="22"/>
                <w:szCs w:val="22"/>
              </w:rPr>
              <w:t xml:space="preserve">+ </w:t>
            </w:r>
            <w:r>
              <w:rPr>
                <w:rFonts w:asciiTheme="majorHAnsi" w:hAnsiTheme="majorHAnsi"/>
                <w:sz w:val="22"/>
                <w:szCs w:val="22"/>
              </w:rPr>
              <w:t>Metformin</w:t>
            </w:r>
            <w:r w:rsidRPr="00923EE3">
              <w:rPr>
                <w:rFonts w:asciiTheme="majorHAnsi" w:hAnsiTheme="majorHAnsi"/>
                <w:sz w:val="22"/>
                <w:szCs w:val="22"/>
              </w:rPr>
              <w:t xml:space="preserve"> + DPP-4 i</w:t>
            </w:r>
            <w:r>
              <w:rPr>
                <w:rFonts w:asciiTheme="majorHAnsi" w:hAnsiTheme="majorHAnsi"/>
                <w:sz w:val="22"/>
                <w:szCs w:val="22"/>
              </w:rPr>
              <w:t>nhibitor</w:t>
            </w:r>
          </w:p>
          <w:p w:rsidR="0085743A" w:rsidRPr="00923EE3" w:rsidRDefault="0085743A" w:rsidP="00A05846">
            <w:pPr>
              <w:keepNext/>
              <w:keepLines/>
              <w:spacing w:before="40" w:after="40" w:line="240" w:lineRule="auto"/>
              <w:rPr>
                <w:rFonts w:asciiTheme="majorHAnsi" w:hAnsiTheme="majorHAnsi"/>
                <w:sz w:val="22"/>
                <w:szCs w:val="22"/>
              </w:rPr>
            </w:pPr>
            <w:r w:rsidRPr="00923EE3">
              <w:rPr>
                <w:rFonts w:asciiTheme="majorHAnsi" w:hAnsiTheme="majorHAnsi"/>
                <w:sz w:val="22"/>
                <w:szCs w:val="22"/>
              </w:rPr>
              <w:t xml:space="preserve">+ </w:t>
            </w:r>
            <w:r>
              <w:rPr>
                <w:rFonts w:asciiTheme="majorHAnsi" w:hAnsiTheme="majorHAnsi"/>
                <w:sz w:val="22"/>
                <w:szCs w:val="22"/>
              </w:rPr>
              <w:t>Metformin</w:t>
            </w:r>
            <w:r w:rsidRPr="00923EE3">
              <w:rPr>
                <w:rFonts w:asciiTheme="majorHAnsi" w:hAnsiTheme="majorHAnsi"/>
                <w:sz w:val="22"/>
                <w:szCs w:val="22"/>
              </w:rPr>
              <w:t xml:space="preserve"> + </w:t>
            </w:r>
            <w:r>
              <w:rPr>
                <w:rFonts w:asciiTheme="majorHAnsi" w:hAnsiTheme="majorHAnsi"/>
                <w:sz w:val="22"/>
                <w:szCs w:val="22"/>
              </w:rPr>
              <w:t>Sulfonylurea</w:t>
            </w:r>
          </w:p>
          <w:p w:rsidR="0085743A" w:rsidRPr="00923EE3" w:rsidRDefault="0085743A" w:rsidP="00A05846">
            <w:pPr>
              <w:keepNext/>
              <w:keepLines/>
              <w:spacing w:before="40" w:after="40" w:line="240" w:lineRule="auto"/>
              <w:rPr>
                <w:rFonts w:asciiTheme="majorHAnsi" w:hAnsiTheme="majorHAnsi"/>
                <w:sz w:val="22"/>
                <w:szCs w:val="22"/>
              </w:rPr>
            </w:pPr>
            <w:r w:rsidRPr="00923EE3">
              <w:rPr>
                <w:rFonts w:asciiTheme="majorHAnsi" w:hAnsiTheme="majorHAnsi"/>
                <w:sz w:val="22"/>
                <w:szCs w:val="22"/>
              </w:rPr>
              <w:t xml:space="preserve">+ </w:t>
            </w:r>
            <w:r>
              <w:rPr>
                <w:rFonts w:asciiTheme="majorHAnsi" w:hAnsiTheme="majorHAnsi"/>
                <w:sz w:val="22"/>
                <w:szCs w:val="22"/>
              </w:rPr>
              <w:t>Metformin + GLP-1 receptor agonist</w:t>
            </w:r>
          </w:p>
        </w:tc>
        <w:tc>
          <w:tcPr>
            <w:tcW w:w="715" w:type="pct"/>
          </w:tcPr>
          <w:p w:rsidR="0085743A" w:rsidRPr="00923EE3" w:rsidRDefault="0085743A" w:rsidP="00A05846">
            <w:pPr>
              <w:keepNext/>
              <w:keepLines/>
              <w:spacing w:before="40" w:after="40" w:line="240" w:lineRule="auto"/>
              <w:jc w:val="center"/>
              <w:rPr>
                <w:rFonts w:asciiTheme="majorHAnsi" w:hAnsiTheme="majorHAnsi"/>
                <w:sz w:val="22"/>
                <w:szCs w:val="22"/>
              </w:rPr>
            </w:pPr>
          </w:p>
          <w:p w:rsidR="0085743A" w:rsidRPr="00923EE3" w:rsidRDefault="0085743A" w:rsidP="00A05846">
            <w:pPr>
              <w:keepNext/>
              <w:keepLines/>
              <w:spacing w:before="40" w:after="40" w:line="240" w:lineRule="auto"/>
              <w:jc w:val="center"/>
              <w:rPr>
                <w:rFonts w:asciiTheme="majorHAnsi" w:hAnsiTheme="majorHAnsi"/>
                <w:sz w:val="22"/>
                <w:szCs w:val="22"/>
              </w:rPr>
            </w:pPr>
            <w:r w:rsidRPr="00923EE3">
              <w:rPr>
                <w:rFonts w:asciiTheme="majorHAnsi" w:hAnsiTheme="majorHAnsi"/>
                <w:sz w:val="22"/>
                <w:szCs w:val="22"/>
              </w:rPr>
              <w:t>Yes</w:t>
            </w:r>
          </w:p>
          <w:p w:rsidR="0085743A" w:rsidRPr="00923EE3" w:rsidRDefault="0085743A" w:rsidP="00A05846">
            <w:pPr>
              <w:keepNext/>
              <w:keepLines/>
              <w:spacing w:before="40" w:after="40" w:line="240" w:lineRule="auto"/>
              <w:jc w:val="center"/>
              <w:rPr>
                <w:rFonts w:asciiTheme="majorHAnsi" w:hAnsiTheme="majorHAnsi"/>
                <w:sz w:val="22"/>
                <w:szCs w:val="22"/>
              </w:rPr>
            </w:pPr>
            <w:r w:rsidRPr="00923EE3">
              <w:rPr>
                <w:rFonts w:asciiTheme="majorHAnsi" w:hAnsiTheme="majorHAnsi"/>
                <w:sz w:val="22"/>
                <w:szCs w:val="22"/>
              </w:rPr>
              <w:t>Yes</w:t>
            </w:r>
          </w:p>
          <w:p w:rsidR="0085743A" w:rsidRPr="00923EE3" w:rsidRDefault="0085743A" w:rsidP="00A05846">
            <w:pPr>
              <w:keepNext/>
              <w:keepLines/>
              <w:spacing w:before="40" w:after="40" w:line="240" w:lineRule="auto"/>
              <w:jc w:val="center"/>
              <w:rPr>
                <w:rFonts w:asciiTheme="majorHAnsi" w:hAnsiTheme="majorHAnsi"/>
                <w:sz w:val="22"/>
                <w:szCs w:val="22"/>
              </w:rPr>
            </w:pPr>
            <w:r w:rsidRPr="00923EE3">
              <w:rPr>
                <w:rFonts w:asciiTheme="majorHAnsi" w:hAnsiTheme="majorHAnsi"/>
                <w:sz w:val="22"/>
                <w:szCs w:val="22"/>
              </w:rPr>
              <w:t>Yes</w:t>
            </w:r>
          </w:p>
        </w:tc>
        <w:tc>
          <w:tcPr>
            <w:tcW w:w="590" w:type="pct"/>
          </w:tcPr>
          <w:p w:rsidR="0085743A" w:rsidRDefault="0085743A" w:rsidP="00A05846">
            <w:pPr>
              <w:keepNext/>
              <w:keepLines/>
              <w:spacing w:before="40" w:after="40" w:line="240" w:lineRule="auto"/>
              <w:jc w:val="center"/>
              <w:rPr>
                <w:rFonts w:asciiTheme="majorHAnsi" w:hAnsiTheme="majorHAnsi"/>
                <w:sz w:val="22"/>
                <w:szCs w:val="22"/>
              </w:rPr>
            </w:pPr>
          </w:p>
          <w:p w:rsidR="00271EB4" w:rsidRDefault="00271EB4"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1</w:t>
            </w:r>
          </w:p>
          <w:p w:rsidR="00E32B36" w:rsidRDefault="00E32B36"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11</w:t>
            </w:r>
          </w:p>
          <w:p w:rsidR="00E32B36" w:rsidRPr="00923EE3" w:rsidRDefault="00E32B36"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1</w:t>
            </w:r>
          </w:p>
        </w:tc>
        <w:tc>
          <w:tcPr>
            <w:tcW w:w="1055" w:type="pct"/>
          </w:tcPr>
          <w:p w:rsidR="0085743A" w:rsidRDefault="0085743A" w:rsidP="00A05846">
            <w:pPr>
              <w:keepNext/>
              <w:keepLines/>
              <w:spacing w:before="40" w:after="40" w:line="240" w:lineRule="auto"/>
              <w:jc w:val="center"/>
              <w:rPr>
                <w:rFonts w:asciiTheme="majorHAnsi" w:hAnsiTheme="majorHAnsi"/>
                <w:sz w:val="22"/>
                <w:szCs w:val="22"/>
              </w:rPr>
            </w:pPr>
          </w:p>
          <w:p w:rsidR="00271EB4" w:rsidRDefault="00271EB4"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0</w:t>
            </w:r>
          </w:p>
          <w:p w:rsidR="00E32B36" w:rsidRDefault="00E32B36"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3</w:t>
            </w:r>
          </w:p>
          <w:p w:rsidR="00E32B36" w:rsidRPr="00923EE3" w:rsidRDefault="00E32B36"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0</w:t>
            </w:r>
          </w:p>
        </w:tc>
      </w:tr>
      <w:tr w:rsidR="0085743A" w:rsidRPr="00923EE3" w:rsidTr="00470430">
        <w:tc>
          <w:tcPr>
            <w:tcW w:w="2640" w:type="pct"/>
          </w:tcPr>
          <w:p w:rsidR="0085743A" w:rsidRPr="00923EE3" w:rsidRDefault="0085743A" w:rsidP="00A05846">
            <w:pPr>
              <w:keepNext/>
              <w:keepLines/>
              <w:spacing w:before="40" w:after="40" w:line="240" w:lineRule="auto"/>
              <w:rPr>
                <w:rFonts w:asciiTheme="majorHAnsi" w:hAnsiTheme="majorHAnsi"/>
                <w:b/>
                <w:sz w:val="22"/>
                <w:szCs w:val="22"/>
              </w:rPr>
            </w:pPr>
            <w:r w:rsidRPr="00923EE3">
              <w:rPr>
                <w:rFonts w:asciiTheme="majorHAnsi" w:hAnsiTheme="majorHAnsi"/>
                <w:b/>
                <w:sz w:val="22"/>
                <w:szCs w:val="22"/>
              </w:rPr>
              <w:t>GLP-1 RA</w:t>
            </w:r>
          </w:p>
          <w:p w:rsidR="0085743A" w:rsidRPr="00923EE3" w:rsidRDefault="0085743A" w:rsidP="00A05846">
            <w:pPr>
              <w:keepNext/>
              <w:keepLines/>
              <w:spacing w:before="40" w:after="40" w:line="240" w:lineRule="auto"/>
              <w:rPr>
                <w:rFonts w:asciiTheme="majorHAnsi" w:hAnsiTheme="majorHAnsi"/>
                <w:sz w:val="22"/>
                <w:szCs w:val="22"/>
              </w:rPr>
            </w:pPr>
            <w:r w:rsidRPr="00923EE3">
              <w:rPr>
                <w:rFonts w:asciiTheme="majorHAnsi" w:hAnsiTheme="majorHAnsi"/>
                <w:sz w:val="22"/>
                <w:szCs w:val="22"/>
              </w:rPr>
              <w:t xml:space="preserve">+ </w:t>
            </w:r>
            <w:r>
              <w:rPr>
                <w:rFonts w:asciiTheme="majorHAnsi" w:hAnsiTheme="majorHAnsi"/>
                <w:sz w:val="22"/>
                <w:szCs w:val="22"/>
              </w:rPr>
              <w:t>Metformin</w:t>
            </w:r>
            <w:r w:rsidRPr="00923EE3">
              <w:rPr>
                <w:rFonts w:asciiTheme="majorHAnsi" w:hAnsiTheme="majorHAnsi"/>
                <w:sz w:val="22"/>
                <w:szCs w:val="22"/>
              </w:rPr>
              <w:t xml:space="preserve"> + </w:t>
            </w:r>
            <w:r>
              <w:rPr>
                <w:rFonts w:asciiTheme="majorHAnsi" w:hAnsiTheme="majorHAnsi"/>
                <w:sz w:val="22"/>
                <w:szCs w:val="22"/>
              </w:rPr>
              <w:t>Sulfonylurea</w:t>
            </w:r>
          </w:p>
          <w:p w:rsidR="0085743A" w:rsidRPr="00923EE3" w:rsidRDefault="0085743A" w:rsidP="00A05846">
            <w:pPr>
              <w:keepNext/>
              <w:keepLines/>
              <w:spacing w:before="40" w:after="40" w:line="240" w:lineRule="auto"/>
              <w:rPr>
                <w:rFonts w:asciiTheme="majorHAnsi" w:hAnsiTheme="majorHAnsi"/>
                <w:sz w:val="22"/>
                <w:szCs w:val="22"/>
              </w:rPr>
            </w:pPr>
            <w:r w:rsidRPr="00923EE3">
              <w:rPr>
                <w:rFonts w:asciiTheme="majorHAnsi" w:hAnsiTheme="majorHAnsi"/>
                <w:sz w:val="22"/>
                <w:szCs w:val="22"/>
              </w:rPr>
              <w:t xml:space="preserve">+ </w:t>
            </w:r>
            <w:r>
              <w:rPr>
                <w:rFonts w:asciiTheme="majorHAnsi" w:hAnsiTheme="majorHAnsi"/>
                <w:sz w:val="22"/>
                <w:szCs w:val="22"/>
              </w:rPr>
              <w:t>Metformin</w:t>
            </w:r>
            <w:r w:rsidRPr="00923EE3">
              <w:rPr>
                <w:rFonts w:asciiTheme="majorHAnsi" w:hAnsiTheme="majorHAnsi"/>
                <w:sz w:val="22"/>
                <w:szCs w:val="22"/>
              </w:rPr>
              <w:t xml:space="preserve"> + </w:t>
            </w:r>
            <w:r>
              <w:rPr>
                <w:rFonts w:asciiTheme="majorHAnsi" w:hAnsiTheme="majorHAnsi"/>
                <w:sz w:val="22"/>
                <w:szCs w:val="22"/>
              </w:rPr>
              <w:t>Insulin</w:t>
            </w:r>
          </w:p>
        </w:tc>
        <w:tc>
          <w:tcPr>
            <w:tcW w:w="715" w:type="pct"/>
          </w:tcPr>
          <w:p w:rsidR="0085743A" w:rsidRPr="00923EE3" w:rsidRDefault="0085743A" w:rsidP="00A05846">
            <w:pPr>
              <w:keepNext/>
              <w:keepLines/>
              <w:spacing w:before="40" w:after="40" w:line="240" w:lineRule="auto"/>
              <w:jc w:val="center"/>
              <w:rPr>
                <w:rFonts w:asciiTheme="majorHAnsi" w:hAnsiTheme="majorHAnsi"/>
                <w:sz w:val="22"/>
                <w:szCs w:val="22"/>
              </w:rPr>
            </w:pPr>
          </w:p>
          <w:p w:rsidR="0085743A" w:rsidRPr="00923EE3" w:rsidRDefault="0085743A" w:rsidP="00A05846">
            <w:pPr>
              <w:keepNext/>
              <w:keepLines/>
              <w:spacing w:before="40" w:after="40" w:line="240" w:lineRule="auto"/>
              <w:jc w:val="center"/>
              <w:rPr>
                <w:rFonts w:asciiTheme="majorHAnsi" w:hAnsiTheme="majorHAnsi"/>
                <w:sz w:val="22"/>
                <w:szCs w:val="22"/>
              </w:rPr>
            </w:pPr>
            <w:r w:rsidRPr="00923EE3">
              <w:rPr>
                <w:rFonts w:asciiTheme="majorHAnsi" w:hAnsiTheme="majorHAnsi"/>
                <w:sz w:val="22"/>
                <w:szCs w:val="22"/>
              </w:rPr>
              <w:t>Yes</w:t>
            </w:r>
          </w:p>
          <w:p w:rsidR="0085743A" w:rsidRPr="00923EE3" w:rsidRDefault="0085743A" w:rsidP="00A05846">
            <w:pPr>
              <w:keepNext/>
              <w:keepLines/>
              <w:spacing w:before="40" w:after="40" w:line="240" w:lineRule="auto"/>
              <w:jc w:val="center"/>
              <w:rPr>
                <w:rFonts w:asciiTheme="majorHAnsi" w:hAnsiTheme="majorHAnsi"/>
                <w:sz w:val="22"/>
                <w:szCs w:val="22"/>
              </w:rPr>
            </w:pPr>
            <w:r w:rsidRPr="00923EE3">
              <w:rPr>
                <w:rFonts w:asciiTheme="majorHAnsi" w:hAnsiTheme="majorHAnsi"/>
                <w:sz w:val="22"/>
                <w:szCs w:val="22"/>
              </w:rPr>
              <w:t>Yes</w:t>
            </w:r>
          </w:p>
        </w:tc>
        <w:tc>
          <w:tcPr>
            <w:tcW w:w="590" w:type="pct"/>
          </w:tcPr>
          <w:p w:rsidR="0085743A" w:rsidRDefault="0085743A" w:rsidP="00A05846">
            <w:pPr>
              <w:keepNext/>
              <w:keepLines/>
              <w:spacing w:before="40" w:after="40" w:line="240" w:lineRule="auto"/>
              <w:jc w:val="center"/>
              <w:rPr>
                <w:rFonts w:asciiTheme="majorHAnsi" w:hAnsiTheme="majorHAnsi"/>
                <w:sz w:val="22"/>
                <w:szCs w:val="22"/>
              </w:rPr>
            </w:pPr>
          </w:p>
          <w:p w:rsidR="00E32B36" w:rsidRDefault="00E32B36"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5</w:t>
            </w:r>
          </w:p>
          <w:p w:rsidR="00E32B36" w:rsidRPr="00923EE3" w:rsidRDefault="00E32B36"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1</w:t>
            </w:r>
          </w:p>
        </w:tc>
        <w:tc>
          <w:tcPr>
            <w:tcW w:w="1055" w:type="pct"/>
          </w:tcPr>
          <w:p w:rsidR="0085743A" w:rsidRDefault="0085743A" w:rsidP="00A05846">
            <w:pPr>
              <w:keepNext/>
              <w:keepLines/>
              <w:spacing w:before="40" w:after="40" w:line="240" w:lineRule="auto"/>
              <w:jc w:val="center"/>
              <w:rPr>
                <w:rFonts w:asciiTheme="majorHAnsi" w:hAnsiTheme="majorHAnsi"/>
                <w:sz w:val="22"/>
                <w:szCs w:val="22"/>
              </w:rPr>
            </w:pPr>
          </w:p>
          <w:p w:rsidR="00E32B36" w:rsidRDefault="00E32B36"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3</w:t>
            </w:r>
          </w:p>
          <w:p w:rsidR="00E32B36" w:rsidRPr="00923EE3" w:rsidRDefault="00E32B36"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0</w:t>
            </w:r>
          </w:p>
        </w:tc>
      </w:tr>
      <w:tr w:rsidR="0085743A" w:rsidRPr="00923EE3" w:rsidTr="00470430">
        <w:tc>
          <w:tcPr>
            <w:tcW w:w="2640" w:type="pct"/>
          </w:tcPr>
          <w:p w:rsidR="0085743A" w:rsidRPr="00923EE3" w:rsidRDefault="0085743A" w:rsidP="00A05846">
            <w:pPr>
              <w:keepNext/>
              <w:keepLines/>
              <w:spacing w:before="40" w:after="40" w:line="240" w:lineRule="auto"/>
              <w:rPr>
                <w:rFonts w:asciiTheme="majorHAnsi" w:hAnsiTheme="majorHAnsi"/>
                <w:b/>
                <w:sz w:val="22"/>
                <w:szCs w:val="22"/>
              </w:rPr>
            </w:pPr>
            <w:r>
              <w:rPr>
                <w:rFonts w:asciiTheme="majorHAnsi" w:hAnsiTheme="majorHAnsi"/>
                <w:b/>
                <w:sz w:val="22"/>
                <w:szCs w:val="22"/>
              </w:rPr>
              <w:t xml:space="preserve">SGLT2 </w:t>
            </w:r>
            <w:r w:rsidRPr="00923EE3">
              <w:rPr>
                <w:rFonts w:asciiTheme="majorHAnsi" w:hAnsiTheme="majorHAnsi"/>
                <w:b/>
                <w:sz w:val="22"/>
                <w:szCs w:val="22"/>
              </w:rPr>
              <w:t>i</w:t>
            </w:r>
            <w:r>
              <w:rPr>
                <w:rFonts w:asciiTheme="majorHAnsi" w:hAnsiTheme="majorHAnsi"/>
                <w:b/>
                <w:sz w:val="22"/>
                <w:szCs w:val="22"/>
              </w:rPr>
              <w:t>nhibitors</w:t>
            </w:r>
          </w:p>
          <w:p w:rsidR="0085743A" w:rsidRPr="00923EE3" w:rsidRDefault="0085743A" w:rsidP="00A05846">
            <w:pPr>
              <w:keepNext/>
              <w:keepLines/>
              <w:spacing w:before="40" w:after="40" w:line="240" w:lineRule="auto"/>
              <w:rPr>
                <w:rFonts w:asciiTheme="majorHAnsi" w:hAnsiTheme="majorHAnsi"/>
                <w:sz w:val="22"/>
                <w:szCs w:val="22"/>
              </w:rPr>
            </w:pPr>
            <w:r w:rsidRPr="00923EE3">
              <w:rPr>
                <w:rFonts w:asciiTheme="majorHAnsi" w:hAnsiTheme="majorHAnsi"/>
                <w:sz w:val="22"/>
                <w:szCs w:val="22"/>
              </w:rPr>
              <w:t xml:space="preserve">+ </w:t>
            </w:r>
            <w:r>
              <w:rPr>
                <w:rFonts w:asciiTheme="majorHAnsi" w:hAnsiTheme="majorHAnsi"/>
                <w:sz w:val="22"/>
                <w:szCs w:val="22"/>
              </w:rPr>
              <w:t>Metformin</w:t>
            </w:r>
            <w:r w:rsidRPr="00923EE3">
              <w:rPr>
                <w:rFonts w:asciiTheme="majorHAnsi" w:hAnsiTheme="majorHAnsi"/>
                <w:sz w:val="22"/>
                <w:szCs w:val="22"/>
              </w:rPr>
              <w:t xml:space="preserve"> + </w:t>
            </w:r>
            <w:r>
              <w:rPr>
                <w:rFonts w:asciiTheme="majorHAnsi" w:hAnsiTheme="majorHAnsi"/>
                <w:sz w:val="22"/>
                <w:szCs w:val="22"/>
              </w:rPr>
              <w:t>Sulfonylurea</w:t>
            </w:r>
          </w:p>
        </w:tc>
        <w:tc>
          <w:tcPr>
            <w:tcW w:w="715" w:type="pct"/>
          </w:tcPr>
          <w:p w:rsidR="0085743A" w:rsidRPr="00923EE3" w:rsidRDefault="0085743A" w:rsidP="00A05846">
            <w:pPr>
              <w:keepNext/>
              <w:keepLines/>
              <w:spacing w:before="40" w:after="40" w:line="240" w:lineRule="auto"/>
              <w:jc w:val="center"/>
              <w:rPr>
                <w:rFonts w:asciiTheme="majorHAnsi" w:hAnsiTheme="majorHAnsi"/>
                <w:sz w:val="22"/>
                <w:szCs w:val="22"/>
              </w:rPr>
            </w:pPr>
          </w:p>
          <w:p w:rsidR="0085743A" w:rsidRPr="00923EE3" w:rsidRDefault="0085743A" w:rsidP="00A05846">
            <w:pPr>
              <w:keepNext/>
              <w:keepLines/>
              <w:spacing w:before="40" w:after="40" w:line="240" w:lineRule="auto"/>
              <w:jc w:val="center"/>
              <w:rPr>
                <w:rFonts w:asciiTheme="majorHAnsi" w:hAnsiTheme="majorHAnsi"/>
                <w:sz w:val="22"/>
                <w:szCs w:val="22"/>
              </w:rPr>
            </w:pPr>
            <w:r w:rsidRPr="00923EE3">
              <w:rPr>
                <w:rFonts w:asciiTheme="majorHAnsi" w:hAnsiTheme="majorHAnsi"/>
                <w:sz w:val="22"/>
                <w:szCs w:val="22"/>
              </w:rPr>
              <w:t>Yes</w:t>
            </w:r>
          </w:p>
        </w:tc>
        <w:tc>
          <w:tcPr>
            <w:tcW w:w="590" w:type="pct"/>
          </w:tcPr>
          <w:p w:rsidR="0085743A" w:rsidRDefault="0085743A" w:rsidP="00A05846">
            <w:pPr>
              <w:keepNext/>
              <w:keepLines/>
              <w:spacing w:before="40" w:after="40" w:line="240" w:lineRule="auto"/>
              <w:jc w:val="center"/>
              <w:rPr>
                <w:rFonts w:asciiTheme="majorHAnsi" w:hAnsiTheme="majorHAnsi"/>
                <w:sz w:val="22"/>
                <w:szCs w:val="22"/>
              </w:rPr>
            </w:pPr>
          </w:p>
          <w:p w:rsidR="00E32B36" w:rsidRPr="00923EE3" w:rsidRDefault="00E32B36"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1</w:t>
            </w:r>
          </w:p>
        </w:tc>
        <w:tc>
          <w:tcPr>
            <w:tcW w:w="1055" w:type="pct"/>
          </w:tcPr>
          <w:p w:rsidR="0085743A" w:rsidRDefault="0085743A" w:rsidP="00A05846">
            <w:pPr>
              <w:keepNext/>
              <w:keepLines/>
              <w:spacing w:before="40" w:after="40" w:line="240" w:lineRule="auto"/>
              <w:jc w:val="center"/>
              <w:rPr>
                <w:rFonts w:asciiTheme="majorHAnsi" w:hAnsiTheme="majorHAnsi"/>
                <w:sz w:val="22"/>
                <w:szCs w:val="22"/>
              </w:rPr>
            </w:pPr>
          </w:p>
          <w:p w:rsidR="00E32B36" w:rsidRPr="00923EE3" w:rsidRDefault="00E32B36"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1</w:t>
            </w:r>
          </w:p>
        </w:tc>
      </w:tr>
      <w:tr w:rsidR="0085743A" w:rsidRPr="00923EE3" w:rsidTr="00470430">
        <w:tc>
          <w:tcPr>
            <w:tcW w:w="2640" w:type="pct"/>
            <w:shd w:val="clear" w:color="auto" w:fill="FFFFFF" w:themeFill="background1"/>
          </w:tcPr>
          <w:p w:rsidR="0085743A" w:rsidRPr="00923EE3" w:rsidRDefault="0085743A" w:rsidP="00A05846">
            <w:pPr>
              <w:keepNext/>
              <w:keepLines/>
              <w:spacing w:before="40" w:after="40" w:line="240" w:lineRule="auto"/>
              <w:rPr>
                <w:rFonts w:asciiTheme="majorHAnsi" w:hAnsiTheme="majorHAnsi"/>
                <w:sz w:val="22"/>
                <w:szCs w:val="22"/>
              </w:rPr>
            </w:pPr>
            <w:r w:rsidRPr="00923EE3">
              <w:rPr>
                <w:rFonts w:asciiTheme="majorHAnsi" w:hAnsiTheme="majorHAnsi"/>
                <w:b/>
                <w:sz w:val="22"/>
                <w:szCs w:val="22"/>
              </w:rPr>
              <w:t>Acarbose</w:t>
            </w:r>
          </w:p>
        </w:tc>
        <w:tc>
          <w:tcPr>
            <w:tcW w:w="715" w:type="pct"/>
            <w:shd w:val="clear" w:color="auto" w:fill="FFFFFF" w:themeFill="background1"/>
          </w:tcPr>
          <w:p w:rsidR="0085743A" w:rsidRPr="00923EE3" w:rsidRDefault="0085743A" w:rsidP="00A05846">
            <w:pPr>
              <w:keepNext/>
              <w:keepLines/>
              <w:spacing w:before="40" w:after="40" w:line="240" w:lineRule="auto"/>
              <w:jc w:val="center"/>
              <w:rPr>
                <w:rFonts w:asciiTheme="majorHAnsi" w:hAnsiTheme="majorHAnsi"/>
                <w:sz w:val="22"/>
                <w:szCs w:val="22"/>
              </w:rPr>
            </w:pPr>
            <w:r w:rsidRPr="00923EE3">
              <w:rPr>
                <w:rFonts w:asciiTheme="majorHAnsi" w:hAnsiTheme="majorHAnsi"/>
                <w:sz w:val="22"/>
                <w:szCs w:val="22"/>
              </w:rPr>
              <w:t>No</w:t>
            </w:r>
          </w:p>
        </w:tc>
        <w:tc>
          <w:tcPr>
            <w:tcW w:w="590" w:type="pct"/>
            <w:shd w:val="clear" w:color="auto" w:fill="FFFFFF" w:themeFill="background1"/>
          </w:tcPr>
          <w:p w:rsidR="0085743A" w:rsidRPr="00923EE3" w:rsidRDefault="00E32B36"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0</w:t>
            </w:r>
          </w:p>
        </w:tc>
        <w:tc>
          <w:tcPr>
            <w:tcW w:w="1055" w:type="pct"/>
            <w:shd w:val="clear" w:color="auto" w:fill="FFFFFF" w:themeFill="background1"/>
          </w:tcPr>
          <w:p w:rsidR="0085743A" w:rsidRPr="00923EE3" w:rsidRDefault="00E32B36" w:rsidP="00A05846">
            <w:pPr>
              <w:keepNext/>
              <w:keepLines/>
              <w:spacing w:before="40" w:after="40" w:line="240" w:lineRule="auto"/>
              <w:jc w:val="center"/>
              <w:rPr>
                <w:rFonts w:asciiTheme="majorHAnsi" w:hAnsiTheme="majorHAnsi"/>
                <w:sz w:val="22"/>
                <w:szCs w:val="22"/>
              </w:rPr>
            </w:pPr>
            <w:r>
              <w:rPr>
                <w:rFonts w:asciiTheme="majorHAnsi" w:hAnsiTheme="majorHAnsi"/>
                <w:sz w:val="22"/>
                <w:szCs w:val="22"/>
              </w:rPr>
              <w:t>0</w:t>
            </w:r>
          </w:p>
        </w:tc>
      </w:tr>
    </w:tbl>
    <w:p w:rsidR="00B81299" w:rsidRPr="00470430" w:rsidRDefault="00470430" w:rsidP="00A05846">
      <w:pPr>
        <w:keepNext/>
        <w:keepLines/>
        <w:rPr>
          <w:rFonts w:asciiTheme="majorHAnsi" w:hAnsiTheme="majorHAnsi"/>
          <w:sz w:val="20"/>
          <w:szCs w:val="20"/>
        </w:rPr>
      </w:pPr>
      <w:r w:rsidRPr="00470430">
        <w:rPr>
          <w:rFonts w:asciiTheme="majorHAnsi" w:hAnsiTheme="majorHAnsi"/>
          <w:sz w:val="20"/>
          <w:szCs w:val="20"/>
        </w:rPr>
        <w:t xml:space="preserve">* </w:t>
      </w:r>
      <w:r>
        <w:rPr>
          <w:rFonts w:asciiTheme="majorHAnsi" w:hAnsiTheme="majorHAnsi"/>
          <w:sz w:val="20"/>
          <w:szCs w:val="20"/>
        </w:rPr>
        <w:t xml:space="preserve">Trials included in submissions from 2002 to </w:t>
      </w:r>
      <w:r w:rsidRPr="00470430">
        <w:rPr>
          <w:rFonts w:asciiTheme="majorHAnsi" w:hAnsiTheme="majorHAnsi"/>
          <w:sz w:val="20"/>
          <w:szCs w:val="20"/>
        </w:rPr>
        <w:t>November 2013.</w:t>
      </w:r>
    </w:p>
    <w:p w:rsidR="00A05846" w:rsidRDefault="00A05846" w:rsidP="003A0A74"/>
    <w:p w:rsidR="003A0A74" w:rsidRDefault="00EC73F8" w:rsidP="003A0A74">
      <w:r>
        <w:t>HbA</w:t>
      </w:r>
      <w:r w:rsidRPr="003A0A74">
        <w:rPr>
          <w:vertAlign w:val="subscript"/>
        </w:rPr>
        <w:t>1c</w:t>
      </w:r>
      <w:r>
        <w:t>, body mass index (BMI) and age at baseline were similar in the analysed trials. All triple therapy combinations of medicines</w:t>
      </w:r>
      <w:r w:rsidRPr="007B3F15">
        <w:t xml:space="preserve"> </w:t>
      </w:r>
      <w:r>
        <w:t>provided a significantly better reduction in HbA</w:t>
      </w:r>
      <w:r w:rsidRPr="003A0A74">
        <w:rPr>
          <w:vertAlign w:val="subscript"/>
        </w:rPr>
        <w:t>1c</w:t>
      </w:r>
      <w:r>
        <w:t xml:space="preserve"> </w:t>
      </w:r>
      <w:r w:rsidR="00923EE3">
        <w:t xml:space="preserve">at six months </w:t>
      </w:r>
      <w:r>
        <w:t>compared to metformin + sulfonylurea dual therapy, in the range of 0.7–1</w:t>
      </w:r>
      <w:r w:rsidR="00923EE3">
        <w:t>.1</w:t>
      </w:r>
      <w:r>
        <w:t>%, except for metformin + TZD + DPP-4 inhibitor</w:t>
      </w:r>
      <w:r w:rsidR="00E24370">
        <w:t xml:space="preserve"> (Figure 1)</w:t>
      </w:r>
      <w:r>
        <w:t>. None of the triple therapy combinations demonstrated clinically relevant differences in HbA</w:t>
      </w:r>
      <w:r w:rsidRPr="007966F9">
        <w:rPr>
          <w:vertAlign w:val="subscript"/>
        </w:rPr>
        <w:t>1c</w:t>
      </w:r>
      <w:r>
        <w:t xml:space="preserve"> compared with other triple therapies. </w:t>
      </w:r>
    </w:p>
    <w:p w:rsidR="00E24370" w:rsidRPr="00307262" w:rsidRDefault="00E24370" w:rsidP="0029088C">
      <w:pPr>
        <w:rPr>
          <w:b/>
        </w:rPr>
      </w:pPr>
      <w:r>
        <w:rPr>
          <w:b/>
        </w:rPr>
        <w:lastRenderedPageBreak/>
        <w:t>Figure 1</w:t>
      </w:r>
      <w:r w:rsidRPr="00307262">
        <w:rPr>
          <w:b/>
        </w:rPr>
        <w:t>. Forest plot of mean difference in HbA</w:t>
      </w:r>
      <w:r w:rsidRPr="00307262">
        <w:rPr>
          <w:b/>
          <w:vertAlign w:val="subscript"/>
        </w:rPr>
        <w:t>1c</w:t>
      </w:r>
      <w:r w:rsidRPr="00307262">
        <w:rPr>
          <w:b/>
        </w:rPr>
        <w:t xml:space="preserve"> (%) (95% CI) </w:t>
      </w:r>
      <w:r>
        <w:rPr>
          <w:b/>
        </w:rPr>
        <w:t xml:space="preserve">at six months </w:t>
      </w:r>
      <w:r w:rsidRPr="00307262">
        <w:rPr>
          <w:b/>
        </w:rPr>
        <w:t>for triple therapy combinations compared to metformin + sulfonylurea dual therapy – network analysis.</w:t>
      </w:r>
    </w:p>
    <w:p w:rsidR="00E24370" w:rsidRDefault="00E24370" w:rsidP="0029088C">
      <w:r>
        <w:rPr>
          <w:lang w:eastAsia="en-AU"/>
        </w:rPr>
        <w:drawing>
          <wp:inline distT="0" distB="0" distL="0" distR="0" wp14:anchorId="248862CA" wp14:editId="1F42AB70">
            <wp:extent cx="5317323" cy="2431915"/>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334954" cy="2439979"/>
                    </a:xfrm>
                    <a:prstGeom prst="rect">
                      <a:avLst/>
                    </a:prstGeom>
                    <a:noFill/>
                    <a:ln>
                      <a:noFill/>
                    </a:ln>
                  </pic:spPr>
                </pic:pic>
              </a:graphicData>
            </a:graphic>
          </wp:inline>
        </w:drawing>
      </w:r>
    </w:p>
    <w:p w:rsidR="00E24370" w:rsidRPr="00A565D6" w:rsidRDefault="00E24370" w:rsidP="0029088C">
      <w:pPr>
        <w:pStyle w:val="Notes"/>
        <w:rPr>
          <w:sz w:val="18"/>
          <w:szCs w:val="18"/>
        </w:rPr>
      </w:pPr>
      <w:r w:rsidRPr="00A565D6">
        <w:rPr>
          <w:sz w:val="18"/>
          <w:szCs w:val="18"/>
        </w:rPr>
        <w:t xml:space="preserve">Statistically significant difference are marked in </w:t>
      </w:r>
      <w:r w:rsidRPr="00A565D6">
        <w:rPr>
          <w:b/>
          <w:sz w:val="18"/>
          <w:szCs w:val="18"/>
        </w:rPr>
        <w:t>bold</w:t>
      </w:r>
      <w:r w:rsidRPr="00A565D6">
        <w:rPr>
          <w:sz w:val="18"/>
          <w:szCs w:val="18"/>
        </w:rPr>
        <w:t>.</w:t>
      </w:r>
    </w:p>
    <w:p w:rsidR="00E24370" w:rsidRPr="00A565D6" w:rsidRDefault="00E24370" w:rsidP="0029088C">
      <w:pPr>
        <w:pStyle w:val="Notes"/>
        <w:rPr>
          <w:sz w:val="18"/>
          <w:szCs w:val="18"/>
        </w:rPr>
      </w:pPr>
      <w:r w:rsidRPr="00A565D6">
        <w:rPr>
          <w:sz w:val="18"/>
          <w:szCs w:val="18"/>
        </w:rPr>
        <w:t xml:space="preserve">Abbreviations: CI = confidence interval; DPP-4-i = DPP4 inhibitor; GLP-1-RA = GLP-1 receptor agonist; INS = insulin; MET = metformin; SGLT2-i = </w:t>
      </w:r>
      <w:r w:rsidRPr="00A565D6">
        <w:rPr>
          <w:rStyle w:val="TableText"/>
          <w:rFonts w:asciiTheme="majorHAnsi" w:hAnsiTheme="majorHAnsi"/>
          <w:sz w:val="18"/>
          <w:szCs w:val="18"/>
        </w:rPr>
        <w:t>sodium glucose co-transporter 2 inhibitor</w:t>
      </w:r>
      <w:r w:rsidR="00A05846" w:rsidRPr="00A565D6">
        <w:rPr>
          <w:rStyle w:val="TableText"/>
          <w:rFonts w:asciiTheme="majorHAnsi" w:hAnsiTheme="majorHAnsi"/>
          <w:sz w:val="18"/>
          <w:szCs w:val="18"/>
        </w:rPr>
        <w:t>;</w:t>
      </w:r>
      <w:r w:rsidRPr="00A565D6">
        <w:rPr>
          <w:rStyle w:val="TableText"/>
          <w:sz w:val="18"/>
          <w:szCs w:val="18"/>
        </w:rPr>
        <w:t xml:space="preserve"> </w:t>
      </w:r>
      <w:r w:rsidR="00A05846" w:rsidRPr="00A565D6">
        <w:rPr>
          <w:sz w:val="18"/>
          <w:szCs w:val="18"/>
        </w:rPr>
        <w:t>and SU = sulfonylurea</w:t>
      </w:r>
      <w:r w:rsidRPr="00A565D6">
        <w:rPr>
          <w:sz w:val="18"/>
          <w:szCs w:val="18"/>
        </w:rPr>
        <w:t xml:space="preserve">. </w:t>
      </w:r>
    </w:p>
    <w:p w:rsidR="0013003D" w:rsidRDefault="0013003D" w:rsidP="0029088C"/>
    <w:p w:rsidR="0029088C" w:rsidRDefault="0029088C" w:rsidP="0029088C">
      <w:r>
        <w:t>Triple therapy regimens were often weight neutral or resulted in weight gain</w:t>
      </w:r>
      <w:r w:rsidRPr="00F86E56">
        <w:t xml:space="preserve"> </w:t>
      </w:r>
      <w:r>
        <w:t>after six months of treatment compared to metformin + sulfonylurea in the range of -0.3 to 3.5 kg (Figure 2). The combination of SGLT2 inhibitor + metformin + sulfonylurea showed a significant reduction with a mean difference of -2.4 kg, and the combination of GLP-1 receptor agonist + metformin + sulfonylurea showed a significant reduction with a mean difference of -1.5 kg. In terms of body weight change, when used in combination with metformin + sulfonylurea: SGLT2 inhibitors and GLP-1 receptor agonists were superior to insulin, TZDs, and DPP-4 inhibitors; and insulin was superior to TZDs.</w:t>
      </w:r>
    </w:p>
    <w:p w:rsidR="0029088C" w:rsidRDefault="0029088C" w:rsidP="0029088C">
      <w:pPr>
        <w:rPr>
          <w:b/>
        </w:rPr>
      </w:pPr>
    </w:p>
    <w:p w:rsidR="00AE2565" w:rsidRPr="00AE2565" w:rsidRDefault="00E24370" w:rsidP="0029088C">
      <w:pPr>
        <w:keepNext/>
        <w:keepLines/>
        <w:rPr>
          <w:b/>
        </w:rPr>
      </w:pPr>
      <w:r w:rsidRPr="00AE2565">
        <w:rPr>
          <w:b/>
        </w:rPr>
        <w:lastRenderedPageBreak/>
        <w:t xml:space="preserve">Figure 2. </w:t>
      </w:r>
      <w:r w:rsidR="00AE2565" w:rsidRPr="00AE2565">
        <w:rPr>
          <w:b/>
        </w:rPr>
        <w:t>Forest plot of mean difference in change in body weight (kg) (95% CI) at six months for triple therapy combinations compared to metformin + sulfonylurea dual therapy – network analysis</w:t>
      </w:r>
      <w:r w:rsidR="00AE2565">
        <w:rPr>
          <w:b/>
        </w:rPr>
        <w:t>.</w:t>
      </w:r>
    </w:p>
    <w:p w:rsidR="00E24370" w:rsidRDefault="00AE2565" w:rsidP="0029088C">
      <w:pPr>
        <w:keepNext/>
        <w:keepLines/>
      </w:pPr>
      <w:r w:rsidRPr="00003B39">
        <w:rPr>
          <w:lang w:eastAsia="en-AU"/>
        </w:rPr>
        <w:drawing>
          <wp:inline distT="0" distB="0" distL="0" distR="0" wp14:anchorId="4451DEA5" wp14:editId="13D7458C">
            <wp:extent cx="5748295" cy="2324911"/>
            <wp:effectExtent l="0" t="0" r="508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med\Research\PBAC\Projects for PBAC\Diabetes\Teleconference 20 Aug 2014\Update forest plots\Triple therapy vs MET+SU BW.jpg"/>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748295" cy="2324911"/>
                    </a:xfrm>
                    <a:prstGeom prst="rect">
                      <a:avLst/>
                    </a:prstGeom>
                    <a:noFill/>
                    <a:ln>
                      <a:noFill/>
                    </a:ln>
                  </pic:spPr>
                </pic:pic>
              </a:graphicData>
            </a:graphic>
          </wp:inline>
        </w:drawing>
      </w:r>
    </w:p>
    <w:p w:rsidR="0029088C" w:rsidRPr="0029088C" w:rsidRDefault="0029088C" w:rsidP="0029088C">
      <w:pPr>
        <w:pStyle w:val="TableFooter"/>
        <w:keepNext/>
        <w:keepLines/>
        <w:widowControl/>
        <w:rPr>
          <w:rFonts w:asciiTheme="majorHAnsi" w:hAnsiTheme="majorHAnsi"/>
          <w:szCs w:val="18"/>
        </w:rPr>
      </w:pPr>
      <w:r w:rsidRPr="0029088C">
        <w:rPr>
          <w:rFonts w:asciiTheme="majorHAnsi" w:hAnsiTheme="majorHAnsi"/>
          <w:szCs w:val="18"/>
        </w:rPr>
        <w:t xml:space="preserve">Statistically significant </w:t>
      </w:r>
      <w:proofErr w:type="gramStart"/>
      <w:r w:rsidRPr="0029088C">
        <w:rPr>
          <w:rFonts w:asciiTheme="majorHAnsi" w:hAnsiTheme="majorHAnsi"/>
          <w:szCs w:val="18"/>
        </w:rPr>
        <w:t>difference are</w:t>
      </w:r>
      <w:proofErr w:type="gramEnd"/>
      <w:r w:rsidRPr="0029088C">
        <w:rPr>
          <w:rFonts w:asciiTheme="majorHAnsi" w:hAnsiTheme="majorHAnsi"/>
          <w:szCs w:val="18"/>
        </w:rPr>
        <w:t xml:space="preserve"> marked in </w:t>
      </w:r>
      <w:r w:rsidRPr="0029088C">
        <w:rPr>
          <w:rFonts w:asciiTheme="majorHAnsi" w:hAnsiTheme="majorHAnsi"/>
          <w:b/>
          <w:szCs w:val="18"/>
        </w:rPr>
        <w:t>bold</w:t>
      </w:r>
      <w:r w:rsidRPr="0029088C">
        <w:rPr>
          <w:rFonts w:asciiTheme="majorHAnsi" w:hAnsiTheme="majorHAnsi"/>
          <w:szCs w:val="18"/>
        </w:rPr>
        <w:t>.</w:t>
      </w:r>
    </w:p>
    <w:p w:rsidR="00AE2565" w:rsidRPr="00A565D6" w:rsidRDefault="00A05846" w:rsidP="0029088C">
      <w:pPr>
        <w:pStyle w:val="TableFooter"/>
        <w:keepNext/>
        <w:keepLines/>
        <w:widowControl/>
        <w:rPr>
          <w:rFonts w:asciiTheme="majorHAnsi" w:hAnsiTheme="majorHAnsi"/>
          <w:noProof/>
          <w:snapToGrid/>
          <w:szCs w:val="18"/>
          <w:lang w:eastAsia="en-AU"/>
        </w:rPr>
      </w:pPr>
      <w:r w:rsidRPr="00A565D6">
        <w:rPr>
          <w:rFonts w:asciiTheme="majorHAnsi" w:hAnsiTheme="majorHAnsi"/>
          <w:noProof/>
          <w:snapToGrid/>
          <w:szCs w:val="18"/>
          <w:lang w:eastAsia="en-AU"/>
        </w:rPr>
        <w:t xml:space="preserve">Abbreviations: </w:t>
      </w:r>
      <w:r w:rsidR="00AE2565" w:rsidRPr="00A565D6">
        <w:rPr>
          <w:rFonts w:asciiTheme="majorHAnsi" w:hAnsiTheme="majorHAnsi"/>
          <w:noProof/>
          <w:snapToGrid/>
          <w:szCs w:val="18"/>
          <w:lang w:eastAsia="en-AU"/>
        </w:rPr>
        <w:t>CI = confidence interval; DPP-4-i = dipeptidyl peptidase-4 inhibitor; GLP-1 = glucagon-like peptide-1 receptor agonist; INS = insulin; MET = metformin; SGLT2 = sodium glucose co-transporter 2 inhibitor; SU = sulfonylurea; TZD = thiazolidinedione</w:t>
      </w:r>
      <w:r w:rsidRPr="00A565D6">
        <w:rPr>
          <w:rFonts w:asciiTheme="majorHAnsi" w:hAnsiTheme="majorHAnsi"/>
          <w:noProof/>
          <w:snapToGrid/>
          <w:szCs w:val="18"/>
          <w:lang w:eastAsia="en-AU"/>
        </w:rPr>
        <w:t>.</w:t>
      </w:r>
    </w:p>
    <w:p w:rsidR="00AE2565" w:rsidRDefault="00AE2565" w:rsidP="0029088C"/>
    <w:p w:rsidR="007A55C7" w:rsidRDefault="00EC73F8" w:rsidP="003A0A74">
      <w:r>
        <w:t>Four</w:t>
      </w:r>
      <w:r w:rsidR="008243F0">
        <w:t xml:space="preserve"> trials were identified that exami</w:t>
      </w:r>
      <w:r>
        <w:t>ned long term outcomes when a sulfonylurea, TZD or DPP-4 inhibitor was added to existing therapy</w:t>
      </w:r>
      <w:r w:rsidR="002A58ED">
        <w:t xml:space="preserve"> (Table 3</w:t>
      </w:r>
      <w:r w:rsidR="000766F3">
        <w:t>). E</w:t>
      </w:r>
      <w:r w:rsidR="002A7526">
        <w:t>xisting medications varie</w:t>
      </w:r>
      <w:r w:rsidR="000766F3">
        <w:t>d within and between the trials</w:t>
      </w:r>
      <w:r>
        <w:t xml:space="preserve">. </w:t>
      </w:r>
      <w:r w:rsidR="000766F3">
        <w:t xml:space="preserve">No trials examining long term macrovascular or microvascular outcomes were identified for insulins, GLP-1 receptor agonists, SGLT2 inhibitors or acarbose. </w:t>
      </w:r>
    </w:p>
    <w:p w:rsidR="00EC73F8" w:rsidRDefault="000766F3" w:rsidP="003A0A74">
      <w:r>
        <w:t>Sulfonylureas, TZDs and DPP-4 inhibitors added to existing therapy a</w:t>
      </w:r>
      <w:r w:rsidR="00EC73F8">
        <w:t>ll provided a statistically significant reduction in HbA</w:t>
      </w:r>
      <w:r w:rsidR="00EC73F8" w:rsidRPr="003A0A74">
        <w:rPr>
          <w:vertAlign w:val="subscript"/>
        </w:rPr>
        <w:t>1c</w:t>
      </w:r>
      <w:r w:rsidR="008277DE">
        <w:t>, but</w:t>
      </w:r>
      <w:r w:rsidR="00EC73F8">
        <w:t xml:space="preserve"> increased the risk of hypoglycaemia</w:t>
      </w:r>
      <w:r w:rsidR="00EC73F8" w:rsidRPr="00CA2DAB">
        <w:t xml:space="preserve"> </w:t>
      </w:r>
      <w:r w:rsidR="00EC73F8">
        <w:t xml:space="preserve"> compared to existing medication</w:t>
      </w:r>
      <w:r>
        <w:t xml:space="preserve"> in trials of greater than two years duration</w:t>
      </w:r>
      <w:r w:rsidR="00EC73F8">
        <w:t xml:space="preserve">. </w:t>
      </w:r>
      <w:r w:rsidR="003A0A74">
        <w:t xml:space="preserve">Only </w:t>
      </w:r>
      <w:r w:rsidR="00EC73F8">
        <w:t>sulfonylurea</w:t>
      </w:r>
      <w:r w:rsidR="003A0A74">
        <w:t>s when added</w:t>
      </w:r>
      <w:r w:rsidR="00EC73F8">
        <w:t xml:space="preserve"> to existing medication reduced major microvascular events (</w:t>
      </w:r>
      <w:r w:rsidR="003A0A74">
        <w:t>HR: 0.86; 95% CI: 0.77, 0.97). The a</w:t>
      </w:r>
      <w:r w:rsidR="00EC73F8">
        <w:t xml:space="preserve">ddition of TZDs to existing medication reduced major macrovascular events (HR: 0.84; 95% CI: 0.72, 0.98), while DPP-4 inhibitors had no effect on this outcome. TZDs increased </w:t>
      </w:r>
      <w:r w:rsidR="003A0A74">
        <w:t xml:space="preserve">the </w:t>
      </w:r>
      <w:r w:rsidR="00EC73F8">
        <w:t xml:space="preserve">risk of heart failure, and TZDs and DPP-4 inhibitors increased the risk of hospitalisation due to heart failure. </w:t>
      </w:r>
    </w:p>
    <w:p w:rsidR="00CD6FD3" w:rsidRPr="002E07FF" w:rsidRDefault="00CD6FD3" w:rsidP="00A05846">
      <w:pPr>
        <w:keepNext/>
        <w:keepLines/>
        <w:widowControl w:val="0"/>
        <w:rPr>
          <w:b/>
        </w:rPr>
      </w:pPr>
      <w:r w:rsidRPr="002E07FF">
        <w:rPr>
          <w:b/>
        </w:rPr>
        <w:lastRenderedPageBreak/>
        <w:t xml:space="preserve">Table </w:t>
      </w:r>
      <w:r w:rsidR="002A58ED">
        <w:rPr>
          <w:b/>
        </w:rPr>
        <w:t>3</w:t>
      </w:r>
      <w:r>
        <w:rPr>
          <w:b/>
        </w:rPr>
        <w:t xml:space="preserve">. </w:t>
      </w:r>
      <w:r w:rsidRPr="002E07FF">
        <w:rPr>
          <w:b/>
        </w:rPr>
        <w:t xml:space="preserve">Primary and key secondary cardiovascular outcome results from trials </w:t>
      </w:r>
      <w:r>
        <w:rPr>
          <w:b/>
        </w:rPr>
        <w:t xml:space="preserve">(trials </w:t>
      </w:r>
      <w:r w:rsidRPr="002E07FF">
        <w:rPr>
          <w:b/>
        </w:rPr>
        <w:t xml:space="preserve">with a duration </w:t>
      </w:r>
      <w:r>
        <w:rPr>
          <w:b/>
        </w:rPr>
        <w:t xml:space="preserve">of greater than </w:t>
      </w:r>
      <w:r w:rsidRPr="002E07FF">
        <w:rPr>
          <w:b/>
        </w:rPr>
        <w:t>1 year</w:t>
      </w:r>
      <w:r>
        <w:rPr>
          <w:b/>
        </w:rPr>
        <w:t>).</w:t>
      </w:r>
    </w:p>
    <w:tbl>
      <w:tblPr>
        <w:tblW w:w="5541"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20"/>
        <w:gridCol w:w="1701"/>
        <w:gridCol w:w="1844"/>
        <w:gridCol w:w="1711"/>
        <w:gridCol w:w="1689"/>
      </w:tblGrid>
      <w:tr w:rsidR="00CD6FD3" w:rsidRPr="00DF45A0" w:rsidTr="007A55C7">
        <w:trPr>
          <w:cantSplit/>
          <w:trHeight w:val="288"/>
          <w:tblHeader/>
        </w:trPr>
        <w:tc>
          <w:tcPr>
            <w:tcW w:w="1550" w:type="pct"/>
            <w:shd w:val="clear" w:color="auto" w:fill="D9D9D9" w:themeFill="background1" w:themeFillShade="D9"/>
            <w:noWrap/>
            <w:vAlign w:val="center"/>
          </w:tcPr>
          <w:p w:rsidR="00CD6FD3" w:rsidRPr="000B5B9E" w:rsidRDefault="00CD6FD3" w:rsidP="00A05846">
            <w:pPr>
              <w:keepNext/>
              <w:keepLines/>
              <w:widowControl w:val="0"/>
              <w:spacing w:before="60" w:after="60" w:line="240" w:lineRule="auto"/>
              <w:rPr>
                <w:rStyle w:val="TableText"/>
                <w:rFonts w:asciiTheme="majorHAnsi" w:hAnsiTheme="majorHAnsi"/>
                <w:b/>
                <w:szCs w:val="20"/>
              </w:rPr>
            </w:pPr>
            <w:r w:rsidRPr="000B5B9E">
              <w:rPr>
                <w:rStyle w:val="TableText"/>
                <w:rFonts w:asciiTheme="majorHAnsi" w:hAnsiTheme="majorHAnsi"/>
                <w:b/>
                <w:szCs w:val="20"/>
              </w:rPr>
              <w:t>Comparison</w:t>
            </w:r>
          </w:p>
        </w:tc>
        <w:tc>
          <w:tcPr>
            <w:tcW w:w="845" w:type="pct"/>
            <w:shd w:val="clear" w:color="auto" w:fill="D9D9D9" w:themeFill="background1" w:themeFillShade="D9"/>
            <w:noWrap/>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EM vs. EM + SU</w:t>
            </w:r>
          </w:p>
        </w:tc>
        <w:tc>
          <w:tcPr>
            <w:tcW w:w="916" w:type="pct"/>
            <w:shd w:val="clear" w:color="auto" w:fill="D9D9D9" w:themeFill="background1" w:themeFillShade="D9"/>
            <w:noWrap/>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EM vs. EM + TZD</w:t>
            </w:r>
          </w:p>
        </w:tc>
        <w:tc>
          <w:tcPr>
            <w:tcW w:w="1689" w:type="pct"/>
            <w:gridSpan w:val="2"/>
            <w:shd w:val="clear" w:color="auto" w:fill="D9D9D9" w:themeFill="background1" w:themeFillShade="D9"/>
            <w:noWrap/>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EM vs. EM + DPP-4 inhibitors</w:t>
            </w:r>
          </w:p>
        </w:tc>
      </w:tr>
      <w:tr w:rsidR="00CD6FD3" w:rsidRPr="00DF45A0" w:rsidTr="007A55C7">
        <w:trPr>
          <w:cantSplit/>
          <w:trHeight w:val="288"/>
          <w:tblHeader/>
        </w:trPr>
        <w:tc>
          <w:tcPr>
            <w:tcW w:w="1550" w:type="pct"/>
            <w:shd w:val="clear" w:color="auto" w:fill="D9D9D9" w:themeFill="background1" w:themeFillShade="D9"/>
            <w:noWrap/>
            <w:vAlign w:val="center"/>
            <w:hideMark/>
          </w:tcPr>
          <w:p w:rsidR="00CD6FD3" w:rsidRPr="000B5B9E" w:rsidRDefault="00CD6FD3" w:rsidP="00A05846">
            <w:pPr>
              <w:keepNext/>
              <w:keepLines/>
              <w:widowControl w:val="0"/>
              <w:spacing w:before="60" w:after="60" w:line="240" w:lineRule="auto"/>
              <w:rPr>
                <w:rStyle w:val="TableText"/>
                <w:rFonts w:asciiTheme="majorHAnsi" w:hAnsiTheme="majorHAnsi"/>
                <w:b/>
                <w:szCs w:val="20"/>
              </w:rPr>
            </w:pPr>
            <w:r w:rsidRPr="000B5B9E">
              <w:rPr>
                <w:rStyle w:val="TableText"/>
                <w:rFonts w:asciiTheme="majorHAnsi" w:hAnsiTheme="majorHAnsi"/>
                <w:b/>
                <w:szCs w:val="20"/>
              </w:rPr>
              <w:t>Trial</w:t>
            </w:r>
            <w:r>
              <w:rPr>
                <w:rStyle w:val="TableText"/>
                <w:rFonts w:asciiTheme="majorHAnsi" w:hAnsiTheme="majorHAnsi"/>
                <w:b/>
                <w:szCs w:val="20"/>
              </w:rPr>
              <w:t xml:space="preserve"> publication</w:t>
            </w:r>
          </w:p>
        </w:tc>
        <w:tc>
          <w:tcPr>
            <w:tcW w:w="845" w:type="pct"/>
            <w:shd w:val="clear" w:color="auto" w:fill="D9D9D9" w:themeFill="background1" w:themeFillShade="D9"/>
            <w:noWrap/>
            <w:vAlign w:val="center"/>
            <w:hideMark/>
          </w:tcPr>
          <w:p w:rsidR="00CD6FD3" w:rsidRPr="002E07FF" w:rsidRDefault="00CD6FD3" w:rsidP="00A05846">
            <w:pPr>
              <w:keepNext/>
              <w:keepLines/>
              <w:widowControl w:val="0"/>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Advance 2008</w:t>
            </w:r>
            <w:r w:rsidR="0093455B" w:rsidRPr="00835E73">
              <w:rPr>
                <w:rStyle w:val="TableText"/>
                <w:rFonts w:asciiTheme="majorHAnsi" w:hAnsiTheme="majorHAnsi"/>
                <w:b/>
                <w:szCs w:val="20"/>
                <w:vertAlign w:val="superscript"/>
              </w:rPr>
              <w:t>2</w:t>
            </w:r>
          </w:p>
        </w:tc>
        <w:tc>
          <w:tcPr>
            <w:tcW w:w="916" w:type="pct"/>
            <w:shd w:val="clear" w:color="auto" w:fill="D9D9D9" w:themeFill="background1" w:themeFillShade="D9"/>
            <w:noWrap/>
            <w:vAlign w:val="center"/>
            <w:hideMark/>
          </w:tcPr>
          <w:p w:rsidR="00CD6FD3" w:rsidRPr="002E07FF" w:rsidRDefault="00CD6FD3" w:rsidP="00A05846">
            <w:pPr>
              <w:keepNext/>
              <w:keepLines/>
              <w:widowControl w:val="0"/>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Dormandy 2005</w:t>
            </w:r>
            <w:r w:rsidR="0093455B" w:rsidRPr="00835E73">
              <w:rPr>
                <w:rStyle w:val="TableText"/>
                <w:rFonts w:asciiTheme="majorHAnsi" w:hAnsiTheme="majorHAnsi"/>
                <w:b/>
                <w:szCs w:val="20"/>
                <w:vertAlign w:val="superscript"/>
              </w:rPr>
              <w:t>3</w:t>
            </w:r>
          </w:p>
        </w:tc>
        <w:tc>
          <w:tcPr>
            <w:tcW w:w="850" w:type="pct"/>
            <w:shd w:val="clear" w:color="auto" w:fill="D9D9D9" w:themeFill="background1" w:themeFillShade="D9"/>
            <w:noWrap/>
            <w:vAlign w:val="center"/>
            <w:hideMark/>
          </w:tcPr>
          <w:p w:rsidR="00CD6FD3" w:rsidRPr="002E07FF" w:rsidRDefault="00CD6FD3" w:rsidP="00A05846">
            <w:pPr>
              <w:keepNext/>
              <w:keepLines/>
              <w:widowControl w:val="0"/>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Scirica 2013</w:t>
            </w:r>
            <w:r w:rsidR="0093455B" w:rsidRPr="00835E73">
              <w:rPr>
                <w:rStyle w:val="TableText"/>
                <w:rFonts w:asciiTheme="majorHAnsi" w:hAnsiTheme="majorHAnsi"/>
                <w:b/>
                <w:szCs w:val="20"/>
                <w:vertAlign w:val="superscript"/>
              </w:rPr>
              <w:t>4</w:t>
            </w:r>
          </w:p>
        </w:tc>
        <w:tc>
          <w:tcPr>
            <w:tcW w:w="839" w:type="pct"/>
            <w:shd w:val="clear" w:color="auto" w:fill="D9D9D9" w:themeFill="background1" w:themeFillShade="D9"/>
            <w:noWrap/>
            <w:vAlign w:val="center"/>
            <w:hideMark/>
          </w:tcPr>
          <w:p w:rsidR="00CD6FD3" w:rsidRPr="002E07FF" w:rsidRDefault="00CD6FD3" w:rsidP="00A05846">
            <w:pPr>
              <w:keepNext/>
              <w:keepLines/>
              <w:widowControl w:val="0"/>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White 2013</w:t>
            </w:r>
            <w:r w:rsidR="0093455B" w:rsidRPr="00835E73">
              <w:rPr>
                <w:rStyle w:val="TableText"/>
                <w:rFonts w:asciiTheme="majorHAnsi" w:hAnsiTheme="majorHAnsi"/>
                <w:b/>
                <w:szCs w:val="20"/>
                <w:vertAlign w:val="superscript"/>
              </w:rPr>
              <w:t>5</w:t>
            </w:r>
          </w:p>
        </w:tc>
      </w:tr>
      <w:tr w:rsidR="00CD6FD3" w:rsidRPr="00C6581C" w:rsidTr="007A55C7">
        <w:trPr>
          <w:cantSplit/>
          <w:trHeight w:val="239"/>
        </w:trPr>
        <w:tc>
          <w:tcPr>
            <w:tcW w:w="1550" w:type="pct"/>
            <w:shd w:val="clear" w:color="auto" w:fill="auto"/>
            <w:vAlign w:val="center"/>
            <w:hideMark/>
          </w:tcPr>
          <w:p w:rsidR="00CD6FD3" w:rsidRPr="002E07FF" w:rsidRDefault="00CD6FD3" w:rsidP="00A05846">
            <w:pPr>
              <w:keepNext/>
              <w:keepLines/>
              <w:widowControl w:val="0"/>
              <w:spacing w:before="60" w:after="60" w:line="240" w:lineRule="auto"/>
              <w:rPr>
                <w:rStyle w:val="TableText"/>
                <w:rFonts w:asciiTheme="majorHAnsi" w:hAnsiTheme="majorHAnsi"/>
                <w:szCs w:val="20"/>
              </w:rPr>
            </w:pPr>
            <w:r w:rsidRPr="002E07FF">
              <w:rPr>
                <w:rStyle w:val="TableText"/>
                <w:rFonts w:asciiTheme="majorHAnsi" w:hAnsiTheme="majorHAnsi"/>
                <w:szCs w:val="20"/>
              </w:rPr>
              <w:t>Trial duration</w:t>
            </w:r>
          </w:p>
        </w:tc>
        <w:tc>
          <w:tcPr>
            <w:tcW w:w="845" w:type="pct"/>
            <w:shd w:val="clear" w:color="auto" w:fill="auto"/>
            <w:noWrap/>
            <w:vAlign w:val="center"/>
            <w:hideMark/>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sidRPr="002E07FF">
              <w:rPr>
                <w:rStyle w:val="TableText"/>
                <w:rFonts w:asciiTheme="majorHAnsi" w:hAnsiTheme="majorHAnsi"/>
                <w:szCs w:val="20"/>
              </w:rPr>
              <w:t>5 years (median)</w:t>
            </w:r>
          </w:p>
        </w:tc>
        <w:tc>
          <w:tcPr>
            <w:tcW w:w="916" w:type="pct"/>
            <w:shd w:val="clear" w:color="auto" w:fill="auto"/>
            <w:noWrap/>
            <w:vAlign w:val="center"/>
            <w:hideMark/>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sidRPr="002E07FF">
              <w:rPr>
                <w:rStyle w:val="TableText"/>
                <w:rFonts w:asciiTheme="majorHAnsi" w:hAnsiTheme="majorHAnsi"/>
                <w:szCs w:val="20"/>
              </w:rPr>
              <w:t>34.5 months</w:t>
            </w:r>
          </w:p>
        </w:tc>
        <w:tc>
          <w:tcPr>
            <w:tcW w:w="850" w:type="pct"/>
            <w:shd w:val="clear" w:color="auto" w:fill="auto"/>
            <w:noWrap/>
            <w:vAlign w:val="center"/>
            <w:hideMark/>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sidRPr="002E07FF">
              <w:rPr>
                <w:rStyle w:val="TableText"/>
                <w:rFonts w:asciiTheme="majorHAnsi" w:hAnsiTheme="majorHAnsi"/>
                <w:szCs w:val="20"/>
              </w:rPr>
              <w:t>2.1 year</w:t>
            </w:r>
            <w:r>
              <w:rPr>
                <w:rStyle w:val="TableText"/>
                <w:rFonts w:asciiTheme="majorHAnsi" w:hAnsiTheme="majorHAnsi"/>
                <w:szCs w:val="20"/>
              </w:rPr>
              <w:t>s</w:t>
            </w:r>
          </w:p>
        </w:tc>
        <w:tc>
          <w:tcPr>
            <w:tcW w:w="839" w:type="pct"/>
            <w:shd w:val="clear" w:color="auto" w:fill="auto"/>
            <w:noWrap/>
            <w:vAlign w:val="center"/>
            <w:hideMark/>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sidRPr="002E07FF">
              <w:rPr>
                <w:rStyle w:val="TableText"/>
                <w:rFonts w:asciiTheme="majorHAnsi" w:hAnsiTheme="majorHAnsi"/>
                <w:szCs w:val="20"/>
              </w:rPr>
              <w:t>18 months</w:t>
            </w:r>
          </w:p>
        </w:tc>
      </w:tr>
      <w:tr w:rsidR="00CD6FD3" w:rsidRPr="00C6581C" w:rsidTr="007A55C7">
        <w:trPr>
          <w:cantSplit/>
          <w:trHeight w:val="129"/>
        </w:trPr>
        <w:tc>
          <w:tcPr>
            <w:tcW w:w="1550" w:type="pct"/>
            <w:shd w:val="clear" w:color="auto" w:fill="auto"/>
            <w:noWrap/>
            <w:vAlign w:val="center"/>
            <w:hideMark/>
          </w:tcPr>
          <w:p w:rsidR="00CD6FD3" w:rsidRPr="002E07FF" w:rsidRDefault="00CD6FD3" w:rsidP="00A05846">
            <w:pPr>
              <w:keepNext/>
              <w:keepLines/>
              <w:widowControl w:val="0"/>
              <w:spacing w:before="60" w:after="60" w:line="240" w:lineRule="auto"/>
              <w:rPr>
                <w:rStyle w:val="TableText"/>
                <w:rFonts w:asciiTheme="majorHAnsi" w:hAnsiTheme="majorHAnsi"/>
                <w:szCs w:val="20"/>
              </w:rPr>
            </w:pPr>
            <w:r w:rsidRPr="002E07FF">
              <w:rPr>
                <w:rStyle w:val="TableText"/>
                <w:rFonts w:asciiTheme="majorHAnsi" w:hAnsiTheme="majorHAnsi"/>
                <w:szCs w:val="20"/>
              </w:rPr>
              <w:t>N</w:t>
            </w:r>
          </w:p>
        </w:tc>
        <w:tc>
          <w:tcPr>
            <w:tcW w:w="845" w:type="pct"/>
            <w:shd w:val="clear" w:color="auto" w:fill="auto"/>
            <w:noWrap/>
            <w:vAlign w:val="center"/>
            <w:hideMark/>
          </w:tcPr>
          <w:p w:rsidR="00CD6FD3"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 xml:space="preserve">EM + SU: </w:t>
            </w:r>
            <w:r w:rsidRPr="002E07FF">
              <w:rPr>
                <w:rStyle w:val="TableText"/>
                <w:rFonts w:asciiTheme="majorHAnsi" w:hAnsiTheme="majorHAnsi"/>
                <w:szCs w:val="20"/>
              </w:rPr>
              <w:t>5,571</w:t>
            </w:r>
          </w:p>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EM:5,569</w:t>
            </w:r>
          </w:p>
        </w:tc>
        <w:tc>
          <w:tcPr>
            <w:tcW w:w="916" w:type="pct"/>
            <w:shd w:val="clear" w:color="auto" w:fill="auto"/>
            <w:noWrap/>
            <w:vAlign w:val="center"/>
            <w:hideMark/>
          </w:tcPr>
          <w:p w:rsidR="00CD6FD3"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 xml:space="preserve">EM + TZD: </w:t>
            </w:r>
            <w:r w:rsidRPr="002E07FF">
              <w:rPr>
                <w:rStyle w:val="TableText"/>
                <w:rFonts w:asciiTheme="majorHAnsi" w:hAnsiTheme="majorHAnsi"/>
                <w:szCs w:val="20"/>
              </w:rPr>
              <w:t>2,605</w:t>
            </w:r>
          </w:p>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EM: 2,633</w:t>
            </w:r>
          </w:p>
        </w:tc>
        <w:tc>
          <w:tcPr>
            <w:tcW w:w="850" w:type="pct"/>
            <w:shd w:val="clear" w:color="auto" w:fill="auto"/>
            <w:noWrap/>
            <w:vAlign w:val="center"/>
            <w:hideMark/>
          </w:tcPr>
          <w:p w:rsidR="00CD6FD3"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 xml:space="preserve">EM + DPP-4: </w:t>
            </w:r>
            <w:r w:rsidRPr="002E07FF">
              <w:rPr>
                <w:rStyle w:val="TableText"/>
                <w:rFonts w:asciiTheme="majorHAnsi" w:hAnsiTheme="majorHAnsi"/>
                <w:szCs w:val="20"/>
              </w:rPr>
              <w:t>8,280</w:t>
            </w:r>
          </w:p>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EM + PBO: 8,212</w:t>
            </w:r>
          </w:p>
        </w:tc>
        <w:tc>
          <w:tcPr>
            <w:tcW w:w="839" w:type="pct"/>
            <w:shd w:val="clear" w:color="auto" w:fill="auto"/>
            <w:noWrap/>
            <w:vAlign w:val="center"/>
            <w:hideMark/>
          </w:tcPr>
          <w:p w:rsidR="00CD6FD3"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 xml:space="preserve">EM + DPP-4: </w:t>
            </w:r>
            <w:r w:rsidRPr="002E07FF">
              <w:rPr>
                <w:rStyle w:val="TableText"/>
                <w:rFonts w:asciiTheme="majorHAnsi" w:hAnsiTheme="majorHAnsi"/>
                <w:szCs w:val="20"/>
              </w:rPr>
              <w:t>2,701</w:t>
            </w:r>
          </w:p>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EM + PBO: 2,679</w:t>
            </w:r>
          </w:p>
        </w:tc>
      </w:tr>
      <w:tr w:rsidR="00CD6FD3" w:rsidRPr="00DF45A0" w:rsidTr="007A55C7">
        <w:trPr>
          <w:cantSplit/>
          <w:trHeight w:val="288"/>
        </w:trPr>
        <w:tc>
          <w:tcPr>
            <w:tcW w:w="1550" w:type="pct"/>
            <w:shd w:val="clear" w:color="auto" w:fill="auto"/>
            <w:vAlign w:val="center"/>
          </w:tcPr>
          <w:p w:rsidR="00CD6FD3" w:rsidRPr="002E07FF" w:rsidRDefault="00CD6FD3" w:rsidP="00A05846">
            <w:pPr>
              <w:keepNext/>
              <w:keepLines/>
              <w:widowControl w:val="0"/>
              <w:spacing w:before="60" w:after="60" w:line="240" w:lineRule="auto"/>
              <w:rPr>
                <w:rFonts w:asciiTheme="majorHAnsi" w:hAnsiTheme="majorHAnsi"/>
                <w:sz w:val="20"/>
                <w:szCs w:val="20"/>
              </w:rPr>
            </w:pPr>
            <w:r w:rsidRPr="002E07FF">
              <w:rPr>
                <w:rFonts w:asciiTheme="majorHAnsi" w:hAnsiTheme="majorHAnsi"/>
                <w:sz w:val="20"/>
                <w:szCs w:val="20"/>
              </w:rPr>
              <w:t>Death from any cause</w:t>
            </w:r>
          </w:p>
        </w:tc>
        <w:tc>
          <w:tcPr>
            <w:tcW w:w="845" w:type="pct"/>
            <w:shd w:val="clear" w:color="auto" w:fill="auto"/>
            <w:noWrap/>
            <w:vAlign w:val="center"/>
          </w:tcPr>
          <w:p w:rsidR="00CD6FD3" w:rsidRPr="002E07FF" w:rsidRDefault="00CD6FD3" w:rsidP="00A05846">
            <w:pPr>
              <w:keepNext/>
              <w:keepLines/>
              <w:widowControl w:val="0"/>
              <w:spacing w:before="60" w:after="60" w:line="240" w:lineRule="auto"/>
              <w:jc w:val="center"/>
              <w:rPr>
                <w:rFonts w:asciiTheme="majorHAnsi" w:hAnsiTheme="majorHAnsi"/>
                <w:sz w:val="20"/>
                <w:szCs w:val="20"/>
              </w:rPr>
            </w:pPr>
            <w:r w:rsidRPr="002E07FF">
              <w:rPr>
                <w:rFonts w:asciiTheme="majorHAnsi" w:hAnsiTheme="majorHAnsi"/>
                <w:sz w:val="20"/>
                <w:szCs w:val="20"/>
              </w:rPr>
              <w:t>0.93 (0.83, 1.06)</w:t>
            </w:r>
            <w:r w:rsidRPr="002E07FF">
              <w:rPr>
                <w:rStyle w:val="TableText"/>
                <w:rFonts w:asciiTheme="majorHAnsi" w:hAnsiTheme="majorHAnsi"/>
                <w:szCs w:val="20"/>
                <w:vertAlign w:val="superscript"/>
              </w:rPr>
              <w:t>a</w:t>
            </w:r>
          </w:p>
        </w:tc>
        <w:tc>
          <w:tcPr>
            <w:tcW w:w="916" w:type="pct"/>
            <w:shd w:val="clear" w:color="auto" w:fill="auto"/>
            <w:noWrap/>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sidRPr="002E07FF">
              <w:rPr>
                <w:rStyle w:val="TableText"/>
                <w:rFonts w:asciiTheme="majorHAnsi" w:hAnsiTheme="majorHAnsi"/>
                <w:szCs w:val="20"/>
              </w:rPr>
              <w:t>0·96 (0.78, 1.18)</w:t>
            </w:r>
            <w:r w:rsidRPr="002E07FF">
              <w:rPr>
                <w:rStyle w:val="TableText"/>
                <w:rFonts w:asciiTheme="majorHAnsi" w:hAnsiTheme="majorHAnsi"/>
                <w:szCs w:val="20"/>
                <w:vertAlign w:val="superscript"/>
              </w:rPr>
              <w:t>a</w:t>
            </w:r>
          </w:p>
        </w:tc>
        <w:tc>
          <w:tcPr>
            <w:tcW w:w="850" w:type="pct"/>
            <w:shd w:val="clear" w:color="auto" w:fill="auto"/>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39" w:type="pct"/>
            <w:shd w:val="clear" w:color="auto" w:fill="auto"/>
            <w:noWrap/>
            <w:vAlign w:val="center"/>
          </w:tcPr>
          <w:p w:rsidR="00CD6FD3" w:rsidRPr="007F6CE5" w:rsidRDefault="00CD6FD3" w:rsidP="00A05846">
            <w:pPr>
              <w:keepNext/>
              <w:keepLines/>
              <w:widowControl w:val="0"/>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r>
      <w:tr w:rsidR="00CD6FD3" w:rsidRPr="00DF45A0" w:rsidTr="007A55C7">
        <w:trPr>
          <w:cantSplit/>
          <w:trHeight w:val="288"/>
        </w:trPr>
        <w:tc>
          <w:tcPr>
            <w:tcW w:w="1550" w:type="pct"/>
            <w:shd w:val="clear" w:color="auto" w:fill="auto"/>
            <w:vAlign w:val="center"/>
          </w:tcPr>
          <w:p w:rsidR="00CD6FD3" w:rsidRPr="002E07FF" w:rsidRDefault="00CD6FD3" w:rsidP="00A05846">
            <w:pPr>
              <w:keepNext/>
              <w:keepLines/>
              <w:widowControl w:val="0"/>
              <w:spacing w:before="60" w:after="60" w:line="240" w:lineRule="auto"/>
              <w:rPr>
                <w:rFonts w:asciiTheme="majorHAnsi" w:hAnsiTheme="majorHAnsi"/>
                <w:sz w:val="20"/>
                <w:szCs w:val="20"/>
              </w:rPr>
            </w:pPr>
            <w:r w:rsidRPr="002E07FF">
              <w:rPr>
                <w:rStyle w:val="TableText"/>
                <w:rFonts w:asciiTheme="majorHAnsi" w:hAnsiTheme="majorHAnsi"/>
                <w:szCs w:val="20"/>
              </w:rPr>
              <w:t>Heart failure</w:t>
            </w:r>
          </w:p>
        </w:tc>
        <w:tc>
          <w:tcPr>
            <w:tcW w:w="845" w:type="pct"/>
            <w:shd w:val="clear" w:color="auto" w:fill="auto"/>
            <w:noWrap/>
            <w:vAlign w:val="center"/>
          </w:tcPr>
          <w:p w:rsidR="00CD6FD3" w:rsidRPr="002E07FF" w:rsidRDefault="00CD6FD3" w:rsidP="00A05846">
            <w:pPr>
              <w:keepNext/>
              <w:keepLines/>
              <w:widowControl w:val="0"/>
              <w:spacing w:before="60" w:after="60" w:line="240" w:lineRule="auto"/>
              <w:jc w:val="center"/>
              <w:rPr>
                <w:rFonts w:asciiTheme="majorHAnsi" w:hAnsiTheme="majorHAnsi"/>
                <w:sz w:val="20"/>
                <w:szCs w:val="20"/>
              </w:rPr>
            </w:pPr>
            <w:r w:rsidRPr="002E07FF">
              <w:rPr>
                <w:rStyle w:val="TableText"/>
                <w:rFonts w:asciiTheme="majorHAnsi" w:hAnsiTheme="majorHAnsi"/>
                <w:szCs w:val="20"/>
              </w:rPr>
              <w:t>5 (−14 to 21)</w:t>
            </w:r>
            <w:r w:rsidRPr="002E07FF">
              <w:rPr>
                <w:rStyle w:val="TableText"/>
                <w:rFonts w:asciiTheme="majorHAnsi" w:hAnsiTheme="majorHAnsi"/>
                <w:szCs w:val="20"/>
                <w:vertAlign w:val="superscript"/>
              </w:rPr>
              <w:t>d</w:t>
            </w:r>
          </w:p>
        </w:tc>
        <w:tc>
          <w:tcPr>
            <w:tcW w:w="916" w:type="pct"/>
            <w:shd w:val="clear" w:color="auto" w:fill="auto"/>
            <w:noWrap/>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1.49 (1.23, 1.8)</w:t>
            </w:r>
            <w:r w:rsidRPr="002E07FF">
              <w:rPr>
                <w:rStyle w:val="TableText"/>
                <w:rFonts w:asciiTheme="majorHAnsi" w:hAnsiTheme="majorHAnsi"/>
                <w:b/>
                <w:szCs w:val="20"/>
                <w:vertAlign w:val="superscript"/>
              </w:rPr>
              <w:t>b</w:t>
            </w:r>
          </w:p>
        </w:tc>
        <w:tc>
          <w:tcPr>
            <w:tcW w:w="850" w:type="pct"/>
            <w:shd w:val="clear" w:color="auto" w:fill="auto"/>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39" w:type="pct"/>
            <w:shd w:val="clear" w:color="auto" w:fill="auto"/>
            <w:noWrap/>
            <w:vAlign w:val="center"/>
          </w:tcPr>
          <w:p w:rsidR="00CD6FD3" w:rsidRPr="007F6CE5" w:rsidRDefault="00CD6FD3" w:rsidP="00A05846">
            <w:pPr>
              <w:keepNext/>
              <w:keepLines/>
              <w:widowControl w:val="0"/>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r>
      <w:tr w:rsidR="00CD6FD3" w:rsidRPr="00DF45A0" w:rsidTr="007A55C7">
        <w:trPr>
          <w:cantSplit/>
          <w:trHeight w:val="288"/>
        </w:trPr>
        <w:tc>
          <w:tcPr>
            <w:tcW w:w="1550" w:type="pct"/>
            <w:shd w:val="clear" w:color="auto" w:fill="auto"/>
            <w:vAlign w:val="center"/>
          </w:tcPr>
          <w:p w:rsidR="00CD6FD3" w:rsidRPr="002E07FF" w:rsidRDefault="00CD6FD3" w:rsidP="00A05846">
            <w:pPr>
              <w:keepNext/>
              <w:keepLines/>
              <w:widowControl w:val="0"/>
              <w:spacing w:before="60" w:after="60" w:line="240" w:lineRule="auto"/>
              <w:rPr>
                <w:rFonts w:asciiTheme="majorHAnsi" w:hAnsiTheme="majorHAnsi"/>
                <w:sz w:val="20"/>
                <w:szCs w:val="20"/>
              </w:rPr>
            </w:pPr>
            <w:r w:rsidRPr="002E07FF">
              <w:rPr>
                <w:rStyle w:val="TableText"/>
                <w:rFonts w:asciiTheme="majorHAnsi" w:hAnsiTheme="majorHAnsi"/>
                <w:szCs w:val="20"/>
              </w:rPr>
              <w:t>Hospitalisation due to heart failure</w:t>
            </w:r>
          </w:p>
        </w:tc>
        <w:tc>
          <w:tcPr>
            <w:tcW w:w="845" w:type="pct"/>
            <w:shd w:val="clear" w:color="auto" w:fill="auto"/>
            <w:noWrap/>
            <w:vAlign w:val="center"/>
          </w:tcPr>
          <w:p w:rsidR="00CD6FD3" w:rsidRPr="002E07FF" w:rsidRDefault="00CD6FD3" w:rsidP="00A05846">
            <w:pPr>
              <w:keepNext/>
              <w:keepLines/>
              <w:widowControl w:val="0"/>
              <w:spacing w:before="60" w:after="60" w:line="240" w:lineRule="auto"/>
              <w:jc w:val="center"/>
              <w:rPr>
                <w:rFonts w:asciiTheme="majorHAnsi" w:hAnsiTheme="majorHAnsi"/>
                <w:sz w:val="20"/>
                <w:szCs w:val="20"/>
              </w:rPr>
            </w:pPr>
            <w:r>
              <w:rPr>
                <w:rFonts w:asciiTheme="majorHAnsi" w:hAnsiTheme="majorHAnsi"/>
                <w:sz w:val="20"/>
                <w:szCs w:val="20"/>
              </w:rPr>
              <w:t>NR</w:t>
            </w:r>
          </w:p>
        </w:tc>
        <w:tc>
          <w:tcPr>
            <w:tcW w:w="916" w:type="pct"/>
            <w:shd w:val="clear" w:color="auto" w:fill="auto"/>
            <w:noWrap/>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1.42 (1.1, 1.83)</w:t>
            </w:r>
            <w:r w:rsidRPr="002E07FF">
              <w:rPr>
                <w:rStyle w:val="TableText"/>
                <w:rFonts w:asciiTheme="majorHAnsi" w:hAnsiTheme="majorHAnsi"/>
                <w:b/>
                <w:szCs w:val="20"/>
                <w:vertAlign w:val="superscript"/>
              </w:rPr>
              <w:t>b</w:t>
            </w:r>
          </w:p>
        </w:tc>
        <w:tc>
          <w:tcPr>
            <w:tcW w:w="850" w:type="pct"/>
            <w:shd w:val="clear" w:color="auto" w:fill="auto"/>
            <w:vAlign w:val="center"/>
          </w:tcPr>
          <w:p w:rsidR="00CD6FD3" w:rsidRPr="00E63155" w:rsidRDefault="00CD6FD3" w:rsidP="00A05846">
            <w:pPr>
              <w:keepNext/>
              <w:keepLines/>
              <w:widowControl w:val="0"/>
              <w:spacing w:before="60" w:after="60" w:line="240" w:lineRule="auto"/>
              <w:jc w:val="center"/>
              <w:rPr>
                <w:rStyle w:val="TableText"/>
                <w:rFonts w:asciiTheme="majorHAnsi" w:hAnsiTheme="majorHAnsi"/>
                <w:b/>
                <w:szCs w:val="20"/>
              </w:rPr>
            </w:pPr>
            <w:r w:rsidRPr="00E63155">
              <w:rPr>
                <w:rStyle w:val="CommentReference"/>
                <w:rFonts w:asciiTheme="majorHAnsi" w:hAnsiTheme="majorHAnsi"/>
                <w:b/>
                <w:sz w:val="20"/>
                <w:szCs w:val="20"/>
              </w:rPr>
              <w:t>1.27 (1.07, 1.51)</w:t>
            </w:r>
            <w:r w:rsidRPr="00E63155">
              <w:rPr>
                <w:rStyle w:val="TableText"/>
                <w:rFonts w:asciiTheme="majorHAnsi" w:hAnsiTheme="majorHAnsi"/>
                <w:b/>
                <w:szCs w:val="20"/>
                <w:vertAlign w:val="superscript"/>
              </w:rPr>
              <w:t>a</w:t>
            </w:r>
          </w:p>
        </w:tc>
        <w:tc>
          <w:tcPr>
            <w:tcW w:w="839" w:type="pct"/>
            <w:shd w:val="clear" w:color="auto" w:fill="auto"/>
            <w:noWrap/>
            <w:vAlign w:val="center"/>
          </w:tcPr>
          <w:p w:rsidR="00CD6FD3" w:rsidRPr="007F6CE5" w:rsidRDefault="00CD6FD3" w:rsidP="00A05846">
            <w:pPr>
              <w:keepNext/>
              <w:keepLines/>
              <w:widowControl w:val="0"/>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r>
      <w:tr w:rsidR="00CD6FD3" w:rsidRPr="00DF45A0" w:rsidTr="007A55C7">
        <w:trPr>
          <w:cantSplit/>
          <w:trHeight w:val="288"/>
        </w:trPr>
        <w:tc>
          <w:tcPr>
            <w:tcW w:w="1550" w:type="pct"/>
            <w:shd w:val="clear" w:color="auto" w:fill="auto"/>
            <w:vAlign w:val="center"/>
          </w:tcPr>
          <w:p w:rsidR="00CD6FD3" w:rsidRPr="002E07FF" w:rsidRDefault="00CD6FD3" w:rsidP="00A05846">
            <w:pPr>
              <w:pStyle w:val="TableFooter"/>
              <w:keepNext/>
              <w:keepLines/>
              <w:spacing w:before="60" w:after="60"/>
              <w:jc w:val="left"/>
              <w:rPr>
                <w:rFonts w:asciiTheme="majorHAnsi" w:hAnsiTheme="majorHAnsi" w:cs="Times New Roman"/>
                <w:sz w:val="20"/>
                <w:szCs w:val="20"/>
              </w:rPr>
            </w:pPr>
            <w:r w:rsidRPr="002E07FF">
              <w:rPr>
                <w:rFonts w:asciiTheme="majorHAnsi" w:hAnsiTheme="majorHAnsi"/>
                <w:sz w:val="20"/>
                <w:szCs w:val="20"/>
              </w:rPr>
              <w:t>Major microvascular events:</w:t>
            </w:r>
            <w:r w:rsidRPr="002E07FF">
              <w:rPr>
                <w:rStyle w:val="TableText"/>
                <w:rFonts w:asciiTheme="majorHAnsi" w:hAnsiTheme="majorHAnsi"/>
                <w:szCs w:val="20"/>
              </w:rPr>
              <w:t xml:space="preserve"> </w:t>
            </w:r>
            <w:r w:rsidRPr="002E07FF">
              <w:rPr>
                <w:rFonts w:asciiTheme="majorHAnsi" w:hAnsiTheme="majorHAnsi"/>
                <w:sz w:val="20"/>
                <w:szCs w:val="20"/>
              </w:rPr>
              <w:t>new or worsening nephropathy or retinopathy</w:t>
            </w:r>
          </w:p>
        </w:tc>
        <w:tc>
          <w:tcPr>
            <w:tcW w:w="845" w:type="pct"/>
            <w:shd w:val="clear" w:color="auto" w:fill="auto"/>
            <w:noWrap/>
            <w:vAlign w:val="center"/>
          </w:tcPr>
          <w:p w:rsidR="00CD6FD3" w:rsidRPr="002E07FF" w:rsidRDefault="00CD6FD3" w:rsidP="00A05846">
            <w:pPr>
              <w:keepNext/>
              <w:keepLines/>
              <w:widowControl w:val="0"/>
              <w:spacing w:before="60" w:after="60" w:line="240" w:lineRule="auto"/>
              <w:jc w:val="center"/>
              <w:rPr>
                <w:rFonts w:asciiTheme="majorHAnsi" w:hAnsiTheme="majorHAnsi"/>
                <w:b/>
                <w:sz w:val="20"/>
                <w:szCs w:val="20"/>
              </w:rPr>
            </w:pPr>
            <w:r w:rsidRPr="002E07FF">
              <w:rPr>
                <w:rFonts w:asciiTheme="majorHAnsi" w:hAnsiTheme="majorHAnsi"/>
                <w:b/>
                <w:sz w:val="20"/>
                <w:szCs w:val="20"/>
              </w:rPr>
              <w:t>0.86 (0.77, 0.97)</w:t>
            </w:r>
            <w:r w:rsidRPr="002E07FF">
              <w:rPr>
                <w:rStyle w:val="TableText"/>
                <w:rFonts w:asciiTheme="majorHAnsi" w:hAnsiTheme="majorHAnsi"/>
                <w:szCs w:val="20"/>
                <w:vertAlign w:val="superscript"/>
              </w:rPr>
              <w:t>a</w:t>
            </w:r>
          </w:p>
        </w:tc>
        <w:tc>
          <w:tcPr>
            <w:tcW w:w="916" w:type="pct"/>
            <w:shd w:val="clear" w:color="auto" w:fill="auto"/>
            <w:noWrap/>
            <w:vAlign w:val="center"/>
          </w:tcPr>
          <w:p w:rsidR="00CD6FD3" w:rsidRPr="007F6CE5" w:rsidRDefault="00CD6FD3" w:rsidP="00A05846">
            <w:pPr>
              <w:keepNext/>
              <w:keepLines/>
              <w:widowControl w:val="0"/>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c>
          <w:tcPr>
            <w:tcW w:w="850" w:type="pct"/>
            <w:shd w:val="clear" w:color="auto" w:fill="auto"/>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39" w:type="pct"/>
            <w:shd w:val="clear" w:color="auto" w:fill="auto"/>
            <w:noWrap/>
            <w:vAlign w:val="center"/>
          </w:tcPr>
          <w:p w:rsidR="00CD6FD3" w:rsidRPr="007F6CE5" w:rsidRDefault="00CD6FD3" w:rsidP="00A05846">
            <w:pPr>
              <w:keepNext/>
              <w:keepLines/>
              <w:widowControl w:val="0"/>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r>
      <w:tr w:rsidR="00CD6FD3" w:rsidRPr="00DF45A0" w:rsidTr="007A55C7">
        <w:trPr>
          <w:cantSplit/>
          <w:trHeight w:val="288"/>
        </w:trPr>
        <w:tc>
          <w:tcPr>
            <w:tcW w:w="1550" w:type="pct"/>
            <w:shd w:val="clear" w:color="auto" w:fill="auto"/>
            <w:vAlign w:val="center"/>
          </w:tcPr>
          <w:p w:rsidR="00CD6FD3" w:rsidRPr="002E07FF" w:rsidRDefault="00CD6FD3" w:rsidP="00A05846">
            <w:pPr>
              <w:keepNext/>
              <w:keepLines/>
              <w:widowControl w:val="0"/>
              <w:spacing w:before="60" w:after="60" w:line="240" w:lineRule="auto"/>
              <w:rPr>
                <w:rFonts w:asciiTheme="majorHAnsi" w:hAnsiTheme="majorHAnsi"/>
                <w:sz w:val="20"/>
                <w:szCs w:val="20"/>
              </w:rPr>
            </w:pPr>
            <w:r w:rsidRPr="002E07FF">
              <w:rPr>
                <w:rFonts w:asciiTheme="majorHAnsi" w:hAnsiTheme="majorHAnsi"/>
                <w:sz w:val="20"/>
                <w:szCs w:val="20"/>
              </w:rPr>
              <w:t>Major macrovascular events:</w:t>
            </w:r>
            <w:r w:rsidRPr="002E07FF">
              <w:rPr>
                <w:rStyle w:val="TableText"/>
                <w:rFonts w:asciiTheme="majorHAnsi" w:hAnsiTheme="majorHAnsi"/>
                <w:szCs w:val="20"/>
              </w:rPr>
              <w:t xml:space="preserve"> CV death, non-fatal MI and non-fatal stroke.</w:t>
            </w:r>
          </w:p>
        </w:tc>
        <w:tc>
          <w:tcPr>
            <w:tcW w:w="845" w:type="pct"/>
            <w:shd w:val="clear" w:color="auto" w:fill="auto"/>
            <w:noWrap/>
            <w:vAlign w:val="center"/>
          </w:tcPr>
          <w:p w:rsidR="00CD6FD3" w:rsidRPr="002E07FF" w:rsidRDefault="00CD6FD3" w:rsidP="00A05846">
            <w:pPr>
              <w:keepNext/>
              <w:keepLines/>
              <w:widowControl w:val="0"/>
              <w:spacing w:before="60" w:after="60" w:line="240" w:lineRule="auto"/>
              <w:jc w:val="center"/>
              <w:rPr>
                <w:rFonts w:asciiTheme="majorHAnsi" w:hAnsiTheme="majorHAnsi"/>
                <w:sz w:val="20"/>
                <w:szCs w:val="20"/>
              </w:rPr>
            </w:pPr>
            <w:r w:rsidRPr="002E07FF">
              <w:rPr>
                <w:rFonts w:asciiTheme="majorHAnsi" w:hAnsiTheme="majorHAnsi"/>
                <w:sz w:val="20"/>
                <w:szCs w:val="20"/>
              </w:rPr>
              <w:t>0.94 (0.84, 1.06)</w:t>
            </w:r>
            <w:r w:rsidRPr="002E07FF">
              <w:rPr>
                <w:rStyle w:val="TableText"/>
                <w:rFonts w:asciiTheme="majorHAnsi" w:hAnsiTheme="majorHAnsi"/>
                <w:szCs w:val="20"/>
                <w:vertAlign w:val="superscript"/>
              </w:rPr>
              <w:t>a</w:t>
            </w:r>
          </w:p>
        </w:tc>
        <w:tc>
          <w:tcPr>
            <w:tcW w:w="916" w:type="pct"/>
            <w:shd w:val="clear" w:color="auto" w:fill="auto"/>
            <w:noWrap/>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0.84 (0.72, 0.98)</w:t>
            </w:r>
            <w:r w:rsidRPr="002E07FF">
              <w:rPr>
                <w:rStyle w:val="TableText"/>
                <w:rFonts w:asciiTheme="majorHAnsi" w:hAnsiTheme="majorHAnsi"/>
                <w:szCs w:val="20"/>
                <w:vertAlign w:val="superscript"/>
              </w:rPr>
              <w:t>a</w:t>
            </w:r>
          </w:p>
        </w:tc>
        <w:tc>
          <w:tcPr>
            <w:tcW w:w="850" w:type="pct"/>
            <w:shd w:val="clear" w:color="auto" w:fill="auto"/>
            <w:vAlign w:val="center"/>
          </w:tcPr>
          <w:p w:rsidR="00CD6FD3" w:rsidRPr="00E63155" w:rsidRDefault="00CD6FD3" w:rsidP="00A05846">
            <w:pPr>
              <w:keepNext/>
              <w:keepLines/>
              <w:widowControl w:val="0"/>
              <w:spacing w:before="60" w:after="60" w:line="240" w:lineRule="auto"/>
              <w:jc w:val="center"/>
              <w:rPr>
                <w:rStyle w:val="TableText"/>
                <w:rFonts w:asciiTheme="majorHAnsi" w:hAnsiTheme="majorHAnsi"/>
                <w:szCs w:val="20"/>
              </w:rPr>
            </w:pPr>
            <w:r w:rsidRPr="00E63155">
              <w:rPr>
                <w:rStyle w:val="CommentReference"/>
                <w:rFonts w:asciiTheme="majorHAnsi" w:hAnsiTheme="majorHAnsi"/>
                <w:sz w:val="20"/>
                <w:szCs w:val="20"/>
              </w:rPr>
              <w:t>1.00 (0.89, 1.12)</w:t>
            </w:r>
            <w:r w:rsidRPr="00E63155">
              <w:rPr>
                <w:rStyle w:val="TableText"/>
                <w:rFonts w:asciiTheme="majorHAnsi" w:hAnsiTheme="majorHAnsi"/>
                <w:szCs w:val="20"/>
                <w:vertAlign w:val="superscript"/>
              </w:rPr>
              <w:t>a</w:t>
            </w:r>
          </w:p>
        </w:tc>
        <w:tc>
          <w:tcPr>
            <w:tcW w:w="839" w:type="pct"/>
            <w:shd w:val="clear" w:color="auto" w:fill="auto"/>
            <w:noWrap/>
            <w:vAlign w:val="center"/>
          </w:tcPr>
          <w:p w:rsidR="00CD6FD3" w:rsidRPr="00E63155" w:rsidRDefault="00CD6FD3" w:rsidP="00A05846">
            <w:pPr>
              <w:keepNext/>
              <w:keepLines/>
              <w:widowControl w:val="0"/>
              <w:spacing w:before="60" w:after="60" w:line="240" w:lineRule="auto"/>
              <w:jc w:val="center"/>
              <w:rPr>
                <w:rStyle w:val="TableText"/>
                <w:rFonts w:asciiTheme="majorHAnsi" w:hAnsiTheme="majorHAnsi"/>
                <w:szCs w:val="20"/>
              </w:rPr>
            </w:pPr>
            <w:r w:rsidRPr="00E63155">
              <w:rPr>
                <w:rStyle w:val="CommentReference"/>
                <w:rFonts w:asciiTheme="majorHAnsi" w:hAnsiTheme="majorHAnsi"/>
                <w:sz w:val="20"/>
                <w:szCs w:val="20"/>
              </w:rPr>
              <w:t>0.96 (≤ 1.16)</w:t>
            </w:r>
            <w:r w:rsidRPr="00E63155">
              <w:rPr>
                <w:rStyle w:val="CommentReference"/>
                <w:rFonts w:asciiTheme="majorHAnsi" w:hAnsiTheme="majorHAnsi"/>
                <w:sz w:val="20"/>
                <w:szCs w:val="20"/>
                <w:vertAlign w:val="superscript"/>
              </w:rPr>
              <w:t>c</w:t>
            </w:r>
          </w:p>
        </w:tc>
      </w:tr>
      <w:tr w:rsidR="00CD6FD3" w:rsidRPr="00DF45A0" w:rsidTr="007A55C7">
        <w:trPr>
          <w:cantSplit/>
          <w:trHeight w:val="288"/>
        </w:trPr>
        <w:tc>
          <w:tcPr>
            <w:tcW w:w="1550" w:type="pct"/>
            <w:shd w:val="clear" w:color="auto" w:fill="auto"/>
            <w:vAlign w:val="center"/>
          </w:tcPr>
          <w:p w:rsidR="00CD6FD3" w:rsidRPr="002E07FF" w:rsidRDefault="00CD6FD3" w:rsidP="00A05846">
            <w:pPr>
              <w:keepNext/>
              <w:keepLines/>
              <w:widowControl w:val="0"/>
              <w:spacing w:before="60" w:after="60" w:line="240" w:lineRule="auto"/>
              <w:rPr>
                <w:rFonts w:asciiTheme="majorHAnsi" w:hAnsiTheme="majorHAnsi"/>
                <w:sz w:val="20"/>
                <w:szCs w:val="20"/>
              </w:rPr>
            </w:pPr>
            <w:r w:rsidRPr="002E07FF">
              <w:rPr>
                <w:rFonts w:asciiTheme="majorHAnsi" w:hAnsiTheme="majorHAnsi"/>
                <w:sz w:val="20"/>
                <w:szCs w:val="20"/>
              </w:rPr>
              <w:t>Death from any cause, non-fatal</w:t>
            </w:r>
            <w:r>
              <w:rPr>
                <w:rFonts w:asciiTheme="majorHAnsi" w:hAnsiTheme="majorHAnsi"/>
                <w:sz w:val="20"/>
                <w:szCs w:val="20"/>
              </w:rPr>
              <w:t xml:space="preserve"> MI</w:t>
            </w:r>
            <w:r w:rsidRPr="002E07FF">
              <w:rPr>
                <w:rFonts w:asciiTheme="majorHAnsi" w:hAnsiTheme="majorHAnsi"/>
                <w:sz w:val="20"/>
                <w:szCs w:val="20"/>
              </w:rPr>
              <w:t>, stroke, acute coronary syndrome, leg amputation/revascularisation and coronary revascularisation</w:t>
            </w:r>
          </w:p>
        </w:tc>
        <w:tc>
          <w:tcPr>
            <w:tcW w:w="845" w:type="pct"/>
            <w:shd w:val="clear" w:color="auto" w:fill="auto"/>
            <w:noWrap/>
            <w:vAlign w:val="center"/>
          </w:tcPr>
          <w:p w:rsidR="00CD6FD3" w:rsidRPr="002E07FF" w:rsidRDefault="00CD6FD3" w:rsidP="00A05846">
            <w:pPr>
              <w:keepNext/>
              <w:keepLines/>
              <w:widowControl w:val="0"/>
              <w:spacing w:before="60" w:after="60" w:line="240" w:lineRule="auto"/>
              <w:jc w:val="center"/>
              <w:rPr>
                <w:rFonts w:asciiTheme="majorHAnsi" w:hAnsiTheme="majorHAnsi"/>
                <w:sz w:val="20"/>
                <w:szCs w:val="20"/>
              </w:rPr>
            </w:pPr>
            <w:r>
              <w:rPr>
                <w:rFonts w:asciiTheme="majorHAnsi" w:hAnsiTheme="majorHAnsi"/>
                <w:sz w:val="20"/>
                <w:szCs w:val="20"/>
              </w:rPr>
              <w:t>NR</w:t>
            </w:r>
          </w:p>
        </w:tc>
        <w:tc>
          <w:tcPr>
            <w:tcW w:w="916" w:type="pct"/>
            <w:shd w:val="clear" w:color="auto" w:fill="auto"/>
            <w:noWrap/>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sidRPr="002E07FF">
              <w:rPr>
                <w:rFonts w:asciiTheme="majorHAnsi" w:hAnsiTheme="majorHAnsi" w:cs="Times New Roman"/>
                <w:sz w:val="20"/>
                <w:szCs w:val="20"/>
              </w:rPr>
              <w:t>0.90 (0.80, 1.02)</w:t>
            </w:r>
            <w:r w:rsidRPr="002E07FF">
              <w:rPr>
                <w:rStyle w:val="TableText"/>
                <w:rFonts w:asciiTheme="majorHAnsi" w:hAnsiTheme="majorHAnsi"/>
                <w:szCs w:val="20"/>
                <w:vertAlign w:val="superscript"/>
              </w:rPr>
              <w:t>a</w:t>
            </w:r>
          </w:p>
        </w:tc>
        <w:tc>
          <w:tcPr>
            <w:tcW w:w="850" w:type="pct"/>
            <w:shd w:val="clear" w:color="auto" w:fill="auto"/>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39" w:type="pct"/>
            <w:shd w:val="clear" w:color="auto" w:fill="auto"/>
            <w:noWrap/>
            <w:vAlign w:val="center"/>
          </w:tcPr>
          <w:p w:rsidR="00CD6FD3" w:rsidRPr="007F6CE5" w:rsidRDefault="00CD6FD3" w:rsidP="00A05846">
            <w:pPr>
              <w:keepNext/>
              <w:keepLines/>
              <w:widowControl w:val="0"/>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r>
      <w:tr w:rsidR="00CD6FD3" w:rsidRPr="00DF45A0" w:rsidTr="007A55C7">
        <w:trPr>
          <w:cantSplit/>
          <w:trHeight w:val="288"/>
        </w:trPr>
        <w:tc>
          <w:tcPr>
            <w:tcW w:w="1550" w:type="pct"/>
            <w:shd w:val="clear" w:color="auto" w:fill="auto"/>
            <w:vAlign w:val="center"/>
            <w:hideMark/>
          </w:tcPr>
          <w:p w:rsidR="00CD6FD3" w:rsidRPr="002E07FF" w:rsidRDefault="00CD6FD3" w:rsidP="00A05846">
            <w:pPr>
              <w:keepNext/>
              <w:keepLines/>
              <w:widowControl w:val="0"/>
              <w:spacing w:before="60" w:after="60" w:line="240" w:lineRule="auto"/>
              <w:rPr>
                <w:rStyle w:val="TableText"/>
                <w:rFonts w:asciiTheme="majorHAnsi" w:hAnsiTheme="majorHAnsi"/>
                <w:szCs w:val="20"/>
              </w:rPr>
            </w:pPr>
            <w:r w:rsidRPr="002E07FF">
              <w:rPr>
                <w:rFonts w:asciiTheme="majorHAnsi" w:hAnsiTheme="majorHAnsi"/>
                <w:sz w:val="20"/>
                <w:szCs w:val="20"/>
              </w:rPr>
              <w:t>Combined major macrovascular and microvascular events</w:t>
            </w:r>
          </w:p>
        </w:tc>
        <w:tc>
          <w:tcPr>
            <w:tcW w:w="845" w:type="pct"/>
            <w:shd w:val="clear" w:color="auto" w:fill="auto"/>
            <w:noWrap/>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b/>
                <w:szCs w:val="20"/>
              </w:rPr>
            </w:pPr>
            <w:r w:rsidRPr="002E07FF">
              <w:rPr>
                <w:rFonts w:asciiTheme="majorHAnsi" w:hAnsiTheme="majorHAnsi"/>
                <w:b/>
                <w:sz w:val="20"/>
                <w:szCs w:val="20"/>
              </w:rPr>
              <w:t>0.90 (0.82, 0.98)</w:t>
            </w:r>
            <w:r w:rsidRPr="002E07FF">
              <w:rPr>
                <w:rStyle w:val="TableText"/>
                <w:rFonts w:asciiTheme="majorHAnsi" w:hAnsiTheme="majorHAnsi"/>
                <w:szCs w:val="20"/>
                <w:vertAlign w:val="superscript"/>
              </w:rPr>
              <w:t>a</w:t>
            </w:r>
          </w:p>
        </w:tc>
        <w:tc>
          <w:tcPr>
            <w:tcW w:w="916" w:type="pct"/>
            <w:shd w:val="clear" w:color="auto" w:fill="auto"/>
            <w:noWrap/>
            <w:vAlign w:val="center"/>
          </w:tcPr>
          <w:p w:rsidR="00CD6FD3" w:rsidRPr="007F6CE5" w:rsidRDefault="00CD6FD3" w:rsidP="00A05846">
            <w:pPr>
              <w:keepNext/>
              <w:keepLines/>
              <w:widowControl w:val="0"/>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c>
          <w:tcPr>
            <w:tcW w:w="850" w:type="pct"/>
            <w:shd w:val="clear" w:color="auto" w:fill="auto"/>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39" w:type="pct"/>
            <w:shd w:val="clear" w:color="auto" w:fill="auto"/>
            <w:noWrap/>
            <w:vAlign w:val="center"/>
          </w:tcPr>
          <w:p w:rsidR="00CD6FD3" w:rsidRPr="007F6CE5" w:rsidRDefault="00CD6FD3" w:rsidP="00A05846">
            <w:pPr>
              <w:keepNext/>
              <w:keepLines/>
              <w:widowControl w:val="0"/>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r>
      <w:tr w:rsidR="00CD6FD3" w:rsidRPr="00DF45A0" w:rsidTr="007A55C7">
        <w:trPr>
          <w:cantSplit/>
          <w:trHeight w:val="288"/>
        </w:trPr>
        <w:tc>
          <w:tcPr>
            <w:tcW w:w="1550" w:type="pct"/>
            <w:shd w:val="clear" w:color="auto" w:fill="auto"/>
            <w:noWrap/>
            <w:vAlign w:val="center"/>
            <w:hideMark/>
          </w:tcPr>
          <w:p w:rsidR="00CD6FD3" w:rsidRPr="002E07FF" w:rsidRDefault="00CD6FD3" w:rsidP="00A05846">
            <w:pPr>
              <w:keepNext/>
              <w:keepLines/>
              <w:widowControl w:val="0"/>
              <w:spacing w:before="60" w:after="60" w:line="240" w:lineRule="auto"/>
              <w:rPr>
                <w:rStyle w:val="TableText"/>
                <w:rFonts w:asciiTheme="majorHAnsi" w:hAnsiTheme="majorHAnsi"/>
                <w:szCs w:val="20"/>
              </w:rPr>
            </w:pPr>
            <w:r w:rsidRPr="002E07FF">
              <w:rPr>
                <w:rStyle w:val="CommentReference"/>
                <w:rFonts w:asciiTheme="majorHAnsi" w:hAnsiTheme="majorHAnsi"/>
                <w:sz w:val="20"/>
                <w:szCs w:val="20"/>
              </w:rPr>
              <w:t>CV death, MI, stroke, hospitalisation for unstable angina, HF, or coronary revascularisation: secondary efficacy end point</w:t>
            </w:r>
          </w:p>
        </w:tc>
        <w:tc>
          <w:tcPr>
            <w:tcW w:w="845" w:type="pct"/>
            <w:shd w:val="clear" w:color="auto" w:fill="auto"/>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916" w:type="pct"/>
            <w:shd w:val="clear" w:color="auto" w:fill="auto"/>
            <w:noWrap/>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50" w:type="pct"/>
            <w:shd w:val="clear" w:color="auto" w:fill="auto"/>
            <w:noWrap/>
            <w:vAlign w:val="center"/>
          </w:tcPr>
          <w:p w:rsidR="00CD6FD3" w:rsidRPr="00E63155" w:rsidRDefault="00CD6FD3" w:rsidP="00A05846">
            <w:pPr>
              <w:keepNext/>
              <w:keepLines/>
              <w:widowControl w:val="0"/>
              <w:spacing w:before="60" w:after="60" w:line="240" w:lineRule="auto"/>
              <w:jc w:val="center"/>
              <w:rPr>
                <w:rStyle w:val="TableText"/>
                <w:rFonts w:asciiTheme="majorHAnsi" w:hAnsiTheme="majorHAnsi"/>
                <w:szCs w:val="20"/>
              </w:rPr>
            </w:pPr>
            <w:r w:rsidRPr="00E63155">
              <w:rPr>
                <w:rStyle w:val="CommentReference"/>
                <w:rFonts w:asciiTheme="majorHAnsi" w:hAnsiTheme="majorHAnsi"/>
                <w:sz w:val="20"/>
                <w:szCs w:val="20"/>
              </w:rPr>
              <w:t>1.02 (0.94, 1.11)</w:t>
            </w:r>
            <w:r w:rsidRPr="00E63155">
              <w:rPr>
                <w:rStyle w:val="TableText"/>
                <w:rFonts w:asciiTheme="majorHAnsi" w:hAnsiTheme="majorHAnsi"/>
                <w:szCs w:val="20"/>
                <w:vertAlign w:val="superscript"/>
              </w:rPr>
              <w:t>a</w:t>
            </w:r>
          </w:p>
        </w:tc>
        <w:tc>
          <w:tcPr>
            <w:tcW w:w="839" w:type="pct"/>
            <w:shd w:val="clear" w:color="auto" w:fill="auto"/>
            <w:noWrap/>
            <w:vAlign w:val="center"/>
          </w:tcPr>
          <w:p w:rsidR="00CD6FD3" w:rsidRPr="00E63155"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r>
      <w:tr w:rsidR="00CD6FD3" w:rsidRPr="00DF45A0" w:rsidTr="007A55C7">
        <w:trPr>
          <w:cantSplit/>
          <w:trHeight w:val="288"/>
        </w:trPr>
        <w:tc>
          <w:tcPr>
            <w:tcW w:w="1550" w:type="pct"/>
            <w:shd w:val="clear" w:color="auto" w:fill="auto"/>
            <w:noWrap/>
            <w:vAlign w:val="center"/>
          </w:tcPr>
          <w:p w:rsidR="00CD6FD3" w:rsidRPr="002E07FF" w:rsidRDefault="00CD6FD3" w:rsidP="00A05846">
            <w:pPr>
              <w:keepNext/>
              <w:keepLines/>
              <w:widowControl w:val="0"/>
              <w:spacing w:before="60" w:after="60" w:line="240" w:lineRule="auto"/>
              <w:rPr>
                <w:rStyle w:val="TableText"/>
                <w:rFonts w:asciiTheme="majorHAnsi" w:hAnsiTheme="majorHAnsi"/>
                <w:szCs w:val="20"/>
              </w:rPr>
            </w:pPr>
            <w:r w:rsidRPr="002E07FF">
              <w:rPr>
                <w:rStyle w:val="TableText"/>
                <w:rFonts w:asciiTheme="majorHAnsi" w:hAnsiTheme="majorHAnsi"/>
                <w:szCs w:val="20"/>
              </w:rPr>
              <w:t>CV death, MI, stroke or urgent revascularization due to unstable angina</w:t>
            </w:r>
            <w:r w:rsidRPr="002E07FF">
              <w:rPr>
                <w:rStyle w:val="CommentReference"/>
                <w:rFonts w:asciiTheme="majorHAnsi" w:hAnsiTheme="majorHAnsi"/>
                <w:sz w:val="20"/>
                <w:szCs w:val="20"/>
              </w:rPr>
              <w:t>:</w:t>
            </w:r>
            <w:r w:rsidRPr="002E07FF">
              <w:rPr>
                <w:rStyle w:val="CommentReference"/>
                <w:rFonts w:asciiTheme="majorHAnsi" w:hAnsiTheme="majorHAnsi"/>
                <w:b/>
                <w:sz w:val="20"/>
                <w:szCs w:val="20"/>
              </w:rPr>
              <w:t xml:space="preserve"> </w:t>
            </w:r>
            <w:r w:rsidRPr="002E07FF">
              <w:rPr>
                <w:rStyle w:val="CommentReference"/>
                <w:rFonts w:asciiTheme="majorHAnsi" w:hAnsiTheme="majorHAnsi"/>
                <w:sz w:val="20"/>
                <w:szCs w:val="20"/>
              </w:rPr>
              <w:t>secondary efficacy end point</w:t>
            </w:r>
          </w:p>
        </w:tc>
        <w:tc>
          <w:tcPr>
            <w:tcW w:w="845" w:type="pct"/>
            <w:shd w:val="clear" w:color="auto" w:fill="auto"/>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916" w:type="pct"/>
            <w:shd w:val="clear" w:color="auto" w:fill="auto"/>
            <w:noWrap/>
            <w:vAlign w:val="center"/>
          </w:tcPr>
          <w:p w:rsidR="00CD6FD3" w:rsidRPr="002E07FF"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50" w:type="pct"/>
            <w:shd w:val="clear" w:color="auto" w:fill="auto"/>
            <w:noWrap/>
            <w:vAlign w:val="center"/>
          </w:tcPr>
          <w:p w:rsidR="00CD6FD3" w:rsidRPr="00E63155" w:rsidRDefault="00CD6FD3" w:rsidP="00A05846">
            <w:pPr>
              <w:keepNext/>
              <w:keepLines/>
              <w:widowControl w:val="0"/>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39" w:type="pct"/>
            <w:shd w:val="clear" w:color="auto" w:fill="auto"/>
            <w:noWrap/>
            <w:vAlign w:val="center"/>
          </w:tcPr>
          <w:p w:rsidR="00CD6FD3" w:rsidRPr="00E63155" w:rsidRDefault="00CD6FD3" w:rsidP="00A05846">
            <w:pPr>
              <w:keepNext/>
              <w:keepLines/>
              <w:widowControl w:val="0"/>
              <w:spacing w:before="60" w:after="60" w:line="240" w:lineRule="auto"/>
              <w:jc w:val="center"/>
              <w:rPr>
                <w:rStyle w:val="TableText"/>
                <w:rFonts w:asciiTheme="majorHAnsi" w:hAnsiTheme="majorHAnsi"/>
                <w:szCs w:val="20"/>
              </w:rPr>
            </w:pPr>
            <w:r w:rsidRPr="00E63155">
              <w:rPr>
                <w:rStyle w:val="CommentReference"/>
                <w:rFonts w:asciiTheme="majorHAnsi" w:hAnsiTheme="majorHAnsi"/>
                <w:sz w:val="20"/>
                <w:szCs w:val="20"/>
              </w:rPr>
              <w:t>0.95 (≤ 1.14)</w:t>
            </w:r>
            <w:r w:rsidRPr="00E63155">
              <w:rPr>
                <w:rStyle w:val="CommentReference"/>
                <w:rFonts w:asciiTheme="majorHAnsi" w:hAnsiTheme="majorHAnsi"/>
                <w:sz w:val="20"/>
                <w:szCs w:val="20"/>
                <w:vertAlign w:val="superscript"/>
              </w:rPr>
              <w:t>c</w:t>
            </w:r>
          </w:p>
        </w:tc>
      </w:tr>
    </w:tbl>
    <w:p w:rsidR="00CD6FD3" w:rsidRPr="00A565D6" w:rsidRDefault="00CD6FD3" w:rsidP="00A05846">
      <w:pPr>
        <w:pStyle w:val="Notes"/>
        <w:keepNext/>
        <w:keepLines/>
        <w:widowControl w:val="0"/>
        <w:rPr>
          <w:sz w:val="18"/>
          <w:szCs w:val="18"/>
        </w:rPr>
      </w:pPr>
      <w:r w:rsidRPr="00A565D6">
        <w:rPr>
          <w:sz w:val="18"/>
          <w:szCs w:val="18"/>
        </w:rPr>
        <w:t xml:space="preserve">Statistically significant difference are marked in </w:t>
      </w:r>
      <w:r w:rsidRPr="00A565D6">
        <w:rPr>
          <w:b/>
          <w:sz w:val="18"/>
          <w:szCs w:val="18"/>
        </w:rPr>
        <w:t>bold</w:t>
      </w:r>
      <w:r w:rsidRPr="00A565D6">
        <w:rPr>
          <w:sz w:val="18"/>
          <w:szCs w:val="18"/>
        </w:rPr>
        <w:t>.</w:t>
      </w:r>
    </w:p>
    <w:p w:rsidR="00CD6FD3" w:rsidRPr="00A565D6" w:rsidRDefault="00CD6FD3" w:rsidP="00A05846">
      <w:pPr>
        <w:pStyle w:val="Notes"/>
        <w:keepNext/>
        <w:keepLines/>
        <w:widowControl w:val="0"/>
        <w:rPr>
          <w:sz w:val="18"/>
          <w:szCs w:val="18"/>
        </w:rPr>
      </w:pPr>
      <w:r w:rsidRPr="00A565D6">
        <w:rPr>
          <w:sz w:val="18"/>
          <w:szCs w:val="18"/>
        </w:rPr>
        <w:t>Abbreviations: CV = cardiovascular, MI = myocardial infarction; EM = Existing medication; DPP-4 = DPP-4 inhibitor; N = Number of patients; NR = Not reported; and SU = sulfonylurea.</w:t>
      </w:r>
    </w:p>
    <w:p w:rsidR="00CD6FD3" w:rsidRPr="00A565D6" w:rsidRDefault="00CD6FD3" w:rsidP="00A05846">
      <w:pPr>
        <w:pStyle w:val="Notes"/>
        <w:keepNext/>
        <w:keepLines/>
        <w:widowControl w:val="0"/>
        <w:rPr>
          <w:sz w:val="18"/>
          <w:szCs w:val="18"/>
        </w:rPr>
      </w:pPr>
      <w:r w:rsidRPr="00A565D6">
        <w:rPr>
          <w:sz w:val="18"/>
          <w:szCs w:val="18"/>
        </w:rPr>
        <w:t>Notes:</w:t>
      </w:r>
      <w:r w:rsidRPr="00A565D6">
        <w:rPr>
          <w:sz w:val="18"/>
          <w:szCs w:val="18"/>
          <w:vertAlign w:val="superscript"/>
        </w:rPr>
        <w:t xml:space="preserve"> a</w:t>
      </w:r>
      <w:r w:rsidRPr="00A565D6">
        <w:rPr>
          <w:sz w:val="18"/>
          <w:szCs w:val="18"/>
        </w:rPr>
        <w:t xml:space="preserve"> </w:t>
      </w:r>
      <w:r w:rsidRPr="00A565D6">
        <w:rPr>
          <w:rStyle w:val="CommentReference"/>
          <w:sz w:val="18"/>
          <w:szCs w:val="18"/>
        </w:rPr>
        <w:t xml:space="preserve">Hazard ratio (95% confidence interval); </w:t>
      </w:r>
      <w:r w:rsidRPr="00A565D6">
        <w:rPr>
          <w:sz w:val="18"/>
          <w:szCs w:val="18"/>
          <w:vertAlign w:val="superscript"/>
        </w:rPr>
        <w:t>b</w:t>
      </w:r>
      <w:r w:rsidRPr="00A565D6">
        <w:rPr>
          <w:sz w:val="18"/>
          <w:szCs w:val="18"/>
        </w:rPr>
        <w:t xml:space="preserve"> Odds ratio (95% CI); </w:t>
      </w:r>
      <w:r w:rsidRPr="00A565D6">
        <w:rPr>
          <w:rStyle w:val="CommentReference"/>
          <w:sz w:val="18"/>
          <w:szCs w:val="18"/>
          <w:vertAlign w:val="superscript"/>
        </w:rPr>
        <w:t>c</w:t>
      </w:r>
      <w:r w:rsidRPr="00A565D6">
        <w:rPr>
          <w:rStyle w:val="CommentReference"/>
          <w:sz w:val="18"/>
          <w:szCs w:val="18"/>
        </w:rPr>
        <w:t xml:space="preserve"> Hazard ratio (the upper boundary of the one-sided repeated CI, at an alpha level of 0.01); </w:t>
      </w:r>
      <w:r w:rsidRPr="00A565D6">
        <w:rPr>
          <w:rStyle w:val="CommentReference"/>
          <w:sz w:val="18"/>
          <w:szCs w:val="18"/>
          <w:vertAlign w:val="superscript"/>
        </w:rPr>
        <w:t>d</w:t>
      </w:r>
      <w:r w:rsidRPr="00A565D6">
        <w:rPr>
          <w:rStyle w:val="CommentReference"/>
          <w:sz w:val="18"/>
          <w:szCs w:val="18"/>
        </w:rPr>
        <w:t xml:space="preserve"> R</w:t>
      </w:r>
      <w:r w:rsidRPr="00A565D6">
        <w:rPr>
          <w:sz w:val="18"/>
          <w:szCs w:val="18"/>
        </w:rPr>
        <w:t>elative risk reduction (95% CI).</w:t>
      </w:r>
    </w:p>
    <w:p w:rsidR="007A55C7" w:rsidRDefault="007A55C7" w:rsidP="006B6C55">
      <w:bookmarkStart w:id="130" w:name="_Reference_Group_consideration"/>
      <w:bookmarkEnd w:id="130"/>
    </w:p>
    <w:p w:rsidR="00B81299" w:rsidRDefault="008277DE" w:rsidP="0013003D">
      <w:pPr>
        <w:pStyle w:val="Heading5"/>
      </w:pPr>
      <w:r>
        <w:t>Reference Group c</w:t>
      </w:r>
      <w:r w:rsidR="0041719B">
        <w:t>onsideration</w:t>
      </w:r>
    </w:p>
    <w:p w:rsidR="00B81299" w:rsidRDefault="00B81299" w:rsidP="0013003D">
      <w:pPr>
        <w:spacing w:after="240"/>
      </w:pPr>
      <w:r>
        <w:t>The expert Reference Group considered the draft Medicines Review Report</w:t>
      </w:r>
      <w:r w:rsidR="0041719B">
        <w:t>, including the reports adressing ToR 1–4 and stakeholder input,</w:t>
      </w:r>
      <w:r>
        <w:t xml:space="preserve"> on 20 August 2014. The members no</w:t>
      </w:r>
      <w:r w:rsidR="004C20ED">
        <w:t>ted that patients and clinicians wanted access to a w</w:t>
      </w:r>
      <w:r w:rsidR="00322397">
        <w:t>ider range of triple therapies</w:t>
      </w:r>
      <w:r w:rsidR="004C20ED">
        <w:t xml:space="preserve"> and that </w:t>
      </w:r>
      <w:r>
        <w:t xml:space="preserve">triple therapy combinations </w:t>
      </w:r>
      <w:r w:rsidR="004C20ED">
        <w:t xml:space="preserve">recommended in some </w:t>
      </w:r>
      <w:r w:rsidR="00720B54">
        <w:t xml:space="preserve">clinical </w:t>
      </w:r>
      <w:r w:rsidR="004C20ED">
        <w:t>guidelines are not currently subsidised under the PBS</w:t>
      </w:r>
      <w:r>
        <w:t>.</w:t>
      </w:r>
      <w:r w:rsidR="004C20ED">
        <w:t xml:space="preserve"> </w:t>
      </w:r>
      <w:r w:rsidR="00322397">
        <w:t>Members considered that there was clinical need for access to triple therapy with metformin + sulfonylurea + DPP-4 inhibitors</w:t>
      </w:r>
      <w:r w:rsidR="00AD2F8A">
        <w:t>/SGLT2 inhibitors/</w:t>
      </w:r>
      <w:r w:rsidR="00322397">
        <w:t>GLP-1 receptor agonists</w:t>
      </w:r>
      <w:r w:rsidR="00DF4210">
        <w:t xml:space="preserve"> (noting that exenatide is available for use in triple therapy)</w:t>
      </w:r>
      <w:r w:rsidR="00322397">
        <w:t>. T</w:t>
      </w:r>
      <w:r w:rsidR="004C20ED">
        <w:t>he currently availab</w:t>
      </w:r>
      <w:r w:rsidR="00720B54">
        <w:t>le triple oral therapy combinations of</w:t>
      </w:r>
      <w:r w:rsidR="004C20ED">
        <w:t xml:space="preserve"> metformin + </w:t>
      </w:r>
      <w:r w:rsidR="004C20ED">
        <w:lastRenderedPageBreak/>
        <w:t>sulfonylurea + pioglitazone</w:t>
      </w:r>
      <w:r w:rsidR="00720B54">
        <w:t>/</w:t>
      </w:r>
      <w:r w:rsidR="004C20ED">
        <w:t xml:space="preserve">acarbose, were </w:t>
      </w:r>
      <w:r w:rsidR="001C1FD1">
        <w:t xml:space="preserve">deemed </w:t>
      </w:r>
      <w:r w:rsidR="00AD2F8A">
        <w:t xml:space="preserve">either </w:t>
      </w:r>
      <w:r w:rsidR="004C20ED">
        <w:t>unpopular due to side effects</w:t>
      </w:r>
      <w:r w:rsidR="00AD2F8A">
        <w:t xml:space="preserve"> or</w:t>
      </w:r>
      <w:r w:rsidR="004C20ED">
        <w:t xml:space="preserve"> only appropriate for small, select groups of patients. Members also noted that many patient</w:t>
      </w:r>
      <w:r w:rsidR="00322397">
        <w:t xml:space="preserve">s </w:t>
      </w:r>
      <w:r w:rsidR="008277DE">
        <w:t xml:space="preserve">disliked </w:t>
      </w:r>
      <w:r w:rsidR="00322397">
        <w:t>injections</w:t>
      </w:r>
      <w:r w:rsidR="00E974BE">
        <w:t xml:space="preserve">, and that patient-specific factors and consumer choice around side effects were important </w:t>
      </w:r>
      <w:r w:rsidR="00720B54">
        <w:t>in</w:t>
      </w:r>
      <w:r w:rsidR="00E974BE">
        <w:t xml:space="preserve"> </w:t>
      </w:r>
      <w:r w:rsidR="00322397">
        <w:t xml:space="preserve">the </w:t>
      </w:r>
      <w:r w:rsidR="00E974BE">
        <w:t xml:space="preserve">prescribing </w:t>
      </w:r>
      <w:r w:rsidR="00322397">
        <w:t xml:space="preserve">of </w:t>
      </w:r>
      <w:r w:rsidR="00E974BE">
        <w:t>type 2 diabetes medicines</w:t>
      </w:r>
      <w:r w:rsidR="004C20ED">
        <w:t>.</w:t>
      </w:r>
    </w:p>
    <w:p w:rsidR="00322397" w:rsidRDefault="00322397" w:rsidP="00322397">
      <w:pPr>
        <w:spacing w:before="240" w:after="240"/>
      </w:pPr>
      <w:r>
        <w:t>Reference Gr</w:t>
      </w:r>
      <w:r w:rsidR="00AD2F8A">
        <w:t>oup members considered that the</w:t>
      </w:r>
      <w:r>
        <w:t xml:space="preserve"> triple therapy use outside of the restrictions seen in the utilisation review was an accurate reflection of Australian practice. Members </w:t>
      </w:r>
      <w:r w:rsidR="001C1FD1">
        <w:t>regarded</w:t>
      </w:r>
      <w:r>
        <w:t xml:space="preserve"> the</w:t>
      </w:r>
      <w:r w:rsidR="001C1FD1">
        <w:t xml:space="preserve"> 0.7–</w:t>
      </w:r>
      <w:r>
        <w:t>1.1% improvement in HbA</w:t>
      </w:r>
      <w:r w:rsidRPr="00322397">
        <w:rPr>
          <w:vertAlign w:val="subscript"/>
        </w:rPr>
        <w:t>1c</w:t>
      </w:r>
      <w:r>
        <w:t xml:space="preserve"> seen with the triple therapy combinations at six </w:t>
      </w:r>
      <w:r w:rsidR="001C1FD1">
        <w:t xml:space="preserve">months treatment </w:t>
      </w:r>
      <w:r>
        <w:t>as clinically</w:t>
      </w:r>
      <w:r w:rsidR="00B44537">
        <w:t xml:space="preserve"> meaningful</w:t>
      </w:r>
      <w:r>
        <w:t>. Although ther</w:t>
      </w:r>
      <w:r w:rsidR="001C1FD1">
        <w:t>e were few studies longer than six</w:t>
      </w:r>
      <w:r>
        <w:t xml:space="preserve"> months to demonstrate durability of response, the members considered that the few trials available did demonstrate a durable response</w:t>
      </w:r>
      <w:r w:rsidR="001C1FD1">
        <w:t>,</w:t>
      </w:r>
      <w:r w:rsidR="00B44537">
        <w:t xml:space="preserve"> as did open label trials</w:t>
      </w:r>
      <w:r>
        <w:t>.</w:t>
      </w:r>
      <w:r w:rsidR="001C1FD1">
        <w:t xml:space="preserve"> </w:t>
      </w:r>
      <w:r>
        <w:t xml:space="preserve">However, </w:t>
      </w:r>
      <w:r w:rsidR="001C1FD1">
        <w:t xml:space="preserve">members queried </w:t>
      </w:r>
      <w:r>
        <w:t xml:space="preserve">whether </w:t>
      </w:r>
      <w:r w:rsidR="001C1FD1">
        <w:t xml:space="preserve">the use of </w:t>
      </w:r>
      <w:r w:rsidR="00DF4210">
        <w:t>DPP-4 inhibitors and</w:t>
      </w:r>
      <w:r w:rsidR="001C1FD1">
        <w:t xml:space="preserve"> SGLT2 inhibitors in triple therapy would be </w:t>
      </w:r>
      <w:r>
        <w:t>cost-effective at the current price</w:t>
      </w:r>
      <w:r w:rsidR="001C1FD1">
        <w:t>s</w:t>
      </w:r>
      <w:r>
        <w:t>.</w:t>
      </w:r>
    </w:p>
    <w:p w:rsidR="004C20ED" w:rsidRDefault="004C20ED" w:rsidP="00B81299">
      <w:pPr>
        <w:spacing w:after="240"/>
      </w:pPr>
      <w:r>
        <w:t>Members noted that newer medicines were being heavily marketed, driving a reduction in sulfonylurea prescribing</w:t>
      </w:r>
      <w:r w:rsidR="00E974BE">
        <w:t xml:space="preserve">. Members </w:t>
      </w:r>
      <w:r w:rsidR="008277DE">
        <w:t>observ</w:t>
      </w:r>
      <w:r w:rsidR="00E974BE">
        <w:t xml:space="preserve">ed that </w:t>
      </w:r>
      <w:r w:rsidR="00720B54">
        <w:t xml:space="preserve">in evidence-based guidelines </w:t>
      </w:r>
      <w:r w:rsidR="00E974BE">
        <w:t xml:space="preserve">sulfonylureas were still considered the usual second line medicine, and that the Department should consider prescriber education around the role of </w:t>
      </w:r>
      <w:r w:rsidR="00322397">
        <w:t>sulfonylureas.</w:t>
      </w:r>
    </w:p>
    <w:p w:rsidR="00287007" w:rsidRPr="00B25A7B" w:rsidRDefault="005A59ED" w:rsidP="00287007">
      <w:pPr>
        <w:spacing w:after="240"/>
      </w:pPr>
      <w:r>
        <w:t xml:space="preserve">The Reference Group noted the stakeholder requests for </w:t>
      </w:r>
      <w:r w:rsidR="00287007">
        <w:t>the 2009 ‘</w:t>
      </w:r>
      <w:r w:rsidR="00287007" w:rsidRPr="00B25A7B">
        <w:t>National Evidence Based Guideline for Blood Glucose Control in Type 2 Diabetes’</w:t>
      </w:r>
      <w:r w:rsidR="0093455B" w:rsidRPr="001E0DCC">
        <w:rPr>
          <w:vertAlign w:val="superscript"/>
        </w:rPr>
        <w:t>6</w:t>
      </w:r>
      <w:r>
        <w:t xml:space="preserve">  to be updated</w:t>
      </w:r>
      <w:r w:rsidR="00287007" w:rsidRPr="00B25A7B">
        <w:t>.</w:t>
      </w:r>
    </w:p>
    <w:p w:rsidR="00720B54" w:rsidRDefault="00720B54" w:rsidP="00B81299">
      <w:pPr>
        <w:spacing w:after="240"/>
      </w:pPr>
      <w:r>
        <w:t>Some members considered that it would be useful to have the option to use medicines in patients with a HbA</w:t>
      </w:r>
      <w:r w:rsidRPr="00441ED8">
        <w:rPr>
          <w:vertAlign w:val="subscript"/>
        </w:rPr>
        <w:t>1c</w:t>
      </w:r>
      <w:r>
        <w:t xml:space="preserve"> below 7%, in line with </w:t>
      </w:r>
      <w:r w:rsidR="008277DE">
        <w:t xml:space="preserve">some clinical guidelines. However, the majority of </w:t>
      </w:r>
      <w:r>
        <w:t xml:space="preserve">members judged that this use would not improve cost-effectiveness, and that long term outcome data was needed to support this practice. Members </w:t>
      </w:r>
      <w:r w:rsidR="00BC7999">
        <w:t>stat</w:t>
      </w:r>
      <w:r>
        <w:t>ed that some data indicated that lower targets did not improve clinical outcomes and may increase the  risk of hypoglycaemic events.</w:t>
      </w:r>
    </w:p>
    <w:p w:rsidR="00B81299" w:rsidRPr="008243F0" w:rsidRDefault="00414D51" w:rsidP="00A565D6">
      <w:pPr>
        <w:spacing w:after="240"/>
      </w:pPr>
      <w:r>
        <w:t>The Reference Group members deemed that the inclusion of a ‘General statement on blood glucose-lowering medicines</w:t>
      </w:r>
      <w:r w:rsidR="00CB1BF4">
        <w:t xml:space="preserve"> for the management of type 2 diabetes</w:t>
      </w:r>
      <w:r>
        <w:t xml:space="preserve">’ in the PBS, to summarise the restrictions on type 2 diabetes medicines, would be useful to prescribers. Members also generally supported the inclusion of a ‘stopping rule’ in the statement, so that if a </w:t>
      </w:r>
      <w:r w:rsidR="007770BF">
        <w:t xml:space="preserve">clinically meaningful </w:t>
      </w:r>
      <w:r>
        <w:t xml:space="preserve">change in blood glucose levels </w:t>
      </w:r>
      <w:r w:rsidR="007770BF">
        <w:t>(i.e. 0.5% reduction in HbA</w:t>
      </w:r>
      <w:r w:rsidR="007770BF" w:rsidRPr="007770BF">
        <w:rPr>
          <w:vertAlign w:val="subscript"/>
        </w:rPr>
        <w:t>1c</w:t>
      </w:r>
      <w:r w:rsidR="007770BF">
        <w:t xml:space="preserve"> or equivalent) </w:t>
      </w:r>
      <w:r>
        <w:t xml:space="preserve">had not occurred after a specified period of time (after addressing any adherence issues), then the medicine should be ceased and a new medicine trialled. Members felt that this </w:t>
      </w:r>
      <w:r w:rsidR="007770BF">
        <w:t xml:space="preserve">was in line with a number of clinical guidelines and </w:t>
      </w:r>
      <w:r>
        <w:t>would improve cost-effectiveness, but noted that prescriber education would be required to promote this practice.</w:t>
      </w:r>
    </w:p>
    <w:p w:rsidR="007A55C7" w:rsidRDefault="007A55C7" w:rsidP="00492694">
      <w:pPr>
        <w:pStyle w:val="Heading1"/>
      </w:pPr>
      <w:bookmarkStart w:id="131" w:name="_Toc382906697"/>
      <w:bookmarkStart w:id="132" w:name="_Toc397947694"/>
      <w:r>
        <w:br w:type="page"/>
      </w:r>
    </w:p>
    <w:p w:rsidR="000E65B5" w:rsidRPr="00382C99" w:rsidRDefault="00382C99" w:rsidP="00492694">
      <w:pPr>
        <w:pStyle w:val="Heading1"/>
      </w:pPr>
      <w:bookmarkStart w:id="133" w:name="_Toc403399535"/>
      <w:r w:rsidRPr="00382C99">
        <w:lastRenderedPageBreak/>
        <w:t xml:space="preserve">Part 1 </w:t>
      </w:r>
      <w:r w:rsidRPr="00382C99">
        <w:softHyphen/>
        <w:t xml:space="preserve">– </w:t>
      </w:r>
      <w:r w:rsidR="009C6838">
        <w:t xml:space="preserve">Review </w:t>
      </w:r>
      <w:r w:rsidR="00134808" w:rsidRPr="00382C99">
        <w:t>Background</w:t>
      </w:r>
      <w:r w:rsidR="009C6838">
        <w:t>, Process and Context</w:t>
      </w:r>
      <w:bookmarkEnd w:id="131"/>
      <w:bookmarkEnd w:id="132"/>
      <w:bookmarkEnd w:id="133"/>
    </w:p>
    <w:p w:rsidR="00D67086" w:rsidRPr="007F5C1E" w:rsidRDefault="00D67086" w:rsidP="00492694">
      <w:pPr>
        <w:pStyle w:val="Heading2"/>
      </w:pPr>
      <w:bookmarkStart w:id="134" w:name="_Toc375216757"/>
      <w:bookmarkStart w:id="135" w:name="_Toc382906698"/>
      <w:bookmarkStart w:id="136" w:name="_Toc397947695"/>
      <w:bookmarkStart w:id="137" w:name="_Toc403399536"/>
      <w:r>
        <w:t>1.1</w:t>
      </w:r>
      <w:r>
        <w:tab/>
      </w:r>
      <w:r w:rsidRPr="007F5C1E">
        <w:t xml:space="preserve">Diabetes </w:t>
      </w:r>
      <w:r>
        <w:t xml:space="preserve">Post-market </w:t>
      </w:r>
      <w:r w:rsidRPr="007F5C1E">
        <w:t>Review</w:t>
      </w:r>
      <w:bookmarkEnd w:id="134"/>
      <w:bookmarkEnd w:id="135"/>
      <w:bookmarkEnd w:id="136"/>
      <w:bookmarkEnd w:id="137"/>
    </w:p>
    <w:p w:rsidR="00D67086" w:rsidRPr="00B02B95" w:rsidRDefault="00D67086" w:rsidP="00492694">
      <w:pPr>
        <w:pStyle w:val="BodyText1"/>
      </w:pPr>
      <w:r w:rsidRPr="00B02B95">
        <w:t>Appropriate medicatio</w:t>
      </w:r>
      <w:r w:rsidR="00114085">
        <w:t xml:space="preserve">n and treatment management is an important objective of Australia’s </w:t>
      </w:r>
      <w:r w:rsidRPr="00B02B95">
        <w:t>National Medicines Policy (NMP)</w:t>
      </w:r>
      <w:r>
        <w:t xml:space="preserve">. </w:t>
      </w:r>
      <w:r w:rsidRPr="00114085">
        <w:t>Th</w:t>
      </w:r>
      <w:r w:rsidR="00114085" w:rsidRPr="00114085">
        <w:t>e</w:t>
      </w:r>
      <w:r w:rsidRPr="00114085">
        <w:t xml:space="preserve"> Post</w:t>
      </w:r>
      <w:r>
        <w:t>-market Review of Products used in the Management of Diabetes (Diabetes Review)</w:t>
      </w:r>
      <w:r w:rsidRPr="00B02B95">
        <w:t xml:space="preserve"> aims to ensure that patients are using the most appropriate medicines and products, effectively, and safely, to achieve optimal health outcomes and support quality use of medicines.</w:t>
      </w:r>
    </w:p>
    <w:p w:rsidR="00D67086" w:rsidRPr="007F5C1E" w:rsidRDefault="00D67086" w:rsidP="00492694">
      <w:pPr>
        <w:pStyle w:val="BodyText1"/>
      </w:pPr>
      <w:r w:rsidRPr="007F5C1E">
        <w:t xml:space="preserve">The </w:t>
      </w:r>
      <w:r>
        <w:t xml:space="preserve">Diabetes </w:t>
      </w:r>
      <w:r w:rsidRPr="007F5C1E">
        <w:t xml:space="preserve">Review </w:t>
      </w:r>
      <w:r>
        <w:t>is divided into three s</w:t>
      </w:r>
      <w:r w:rsidRPr="007F5C1E">
        <w:t>tages:</w:t>
      </w:r>
    </w:p>
    <w:p w:rsidR="00D67086" w:rsidRPr="00572E89" w:rsidRDefault="00D67086" w:rsidP="00780C3E">
      <w:pPr>
        <w:pStyle w:val="BodyText1"/>
        <w:numPr>
          <w:ilvl w:val="0"/>
          <w:numId w:val="9"/>
        </w:numPr>
      </w:pPr>
      <w:r w:rsidRPr="00572E89">
        <w:t>Blood glucose test strips use in people with type 2 diabetes</w:t>
      </w:r>
      <w:r w:rsidR="00EC7EB1">
        <w:t xml:space="preserve"> not using insulin.</w:t>
      </w:r>
    </w:p>
    <w:p w:rsidR="00D67086" w:rsidRPr="00572E89" w:rsidRDefault="00D67086" w:rsidP="00780C3E">
      <w:pPr>
        <w:pStyle w:val="BodyText1"/>
        <w:numPr>
          <w:ilvl w:val="0"/>
          <w:numId w:val="9"/>
        </w:numPr>
      </w:pPr>
      <w:r w:rsidRPr="00572E89">
        <w:t>Insulin pumps for people with type 1 diabetes,</w:t>
      </w:r>
      <w:r>
        <w:t xml:space="preserve"> and</w:t>
      </w:r>
      <w:r w:rsidR="00EC7EB1">
        <w:t xml:space="preserve"> the Insulin Pump Programme.</w:t>
      </w:r>
    </w:p>
    <w:p w:rsidR="00D67086" w:rsidRPr="00572E89" w:rsidRDefault="00D67086" w:rsidP="00780C3E">
      <w:pPr>
        <w:pStyle w:val="BodyText1"/>
        <w:numPr>
          <w:ilvl w:val="0"/>
          <w:numId w:val="9"/>
        </w:numPr>
      </w:pPr>
      <w:r w:rsidRPr="00572E89">
        <w:t xml:space="preserve">Medicines used in the management of type 2 diabetes. </w:t>
      </w:r>
    </w:p>
    <w:p w:rsidR="00D67086" w:rsidRPr="007F5C1E" w:rsidRDefault="00D67086" w:rsidP="00492694">
      <w:pPr>
        <w:pStyle w:val="BodyText1"/>
      </w:pPr>
      <w:r w:rsidRPr="007F5C1E">
        <w:t>Each stage is being progressed separately with the findings presented in an associated report. Each report is designed to be read as a stand</w:t>
      </w:r>
      <w:r>
        <w:t>-</w:t>
      </w:r>
      <w:r w:rsidRPr="007F5C1E">
        <w:t>alone document and may contain some shared information with previous reports. Reports will be provided to the Pharmaceutical Benefits Advisory Committee (PBAC)</w:t>
      </w:r>
      <w:r w:rsidR="00EC7EB1">
        <w:t>, where appropriate,</w:t>
      </w:r>
      <w:r w:rsidRPr="007F5C1E">
        <w:t xml:space="preserve"> and to</w:t>
      </w:r>
      <w:r w:rsidR="00861291">
        <w:t xml:space="preserve"> </w:t>
      </w:r>
      <w:r w:rsidR="00861291" w:rsidRPr="00114085">
        <w:t>the</w:t>
      </w:r>
      <w:r w:rsidRPr="007F5C1E">
        <w:t xml:space="preserve"> Government for consideration in a staged approach. The</w:t>
      </w:r>
      <w:r>
        <w:t> </w:t>
      </w:r>
      <w:r w:rsidRPr="007F5C1E">
        <w:t xml:space="preserve">findings will be published on the </w:t>
      </w:r>
      <w:r w:rsidR="00C60CC9" w:rsidRPr="0028026D">
        <w:t>Diabetes Review</w:t>
      </w:r>
      <w:r w:rsidRPr="00E97B20">
        <w:t xml:space="preserve"> </w:t>
      </w:r>
      <w:r w:rsidRPr="007F5C1E">
        <w:t>website</w:t>
      </w:r>
      <w:r w:rsidR="00114085">
        <w:t>.</w:t>
      </w:r>
    </w:p>
    <w:p w:rsidR="00D67086" w:rsidRDefault="00D67086" w:rsidP="00492694">
      <w:pPr>
        <w:pStyle w:val="BodyText1"/>
      </w:pPr>
      <w:r w:rsidRPr="007F5C1E">
        <w:t xml:space="preserve">Each stage will be progressed in line with work being undertaken across other NMP partners including the Therapeutic Goods Administration (TGA), the National Health and Medical Research Council (NHMRC), and the National Prescribing Service </w:t>
      </w:r>
      <w:r>
        <w:t xml:space="preserve">Medicinewise </w:t>
      </w:r>
      <w:r w:rsidRPr="007F5C1E">
        <w:t>(NPS</w:t>
      </w:r>
      <w:r w:rsidR="00EC7EB1">
        <w:t xml:space="preserve"> MedicineW</w:t>
      </w:r>
      <w:r>
        <w:t>ise</w:t>
      </w:r>
      <w:r w:rsidRPr="007F5C1E">
        <w:t>).</w:t>
      </w:r>
    </w:p>
    <w:p w:rsidR="00A52C51" w:rsidRPr="007F5C1E" w:rsidRDefault="00A52C51" w:rsidP="00492694">
      <w:pPr>
        <w:pStyle w:val="BodyText1"/>
      </w:pPr>
      <w:r>
        <w:t xml:space="preserve">Further information on the NMP, the Post-Market Monitoring Programme, and the role of the PBAC, is in </w:t>
      </w:r>
      <w:hyperlink w:anchor="_Appendix_A:_List" w:history="1">
        <w:r w:rsidRPr="006E1080">
          <w:rPr>
            <w:rStyle w:val="Hyperlink"/>
          </w:rPr>
          <w:t>Appendix A</w:t>
        </w:r>
      </w:hyperlink>
      <w:r>
        <w:t>.</w:t>
      </w:r>
    </w:p>
    <w:p w:rsidR="009C6838" w:rsidRDefault="009C6838" w:rsidP="00492694">
      <w:pPr>
        <w:pStyle w:val="Heading2"/>
      </w:pPr>
      <w:bookmarkStart w:id="138" w:name="_Toc382906699"/>
      <w:bookmarkStart w:id="139" w:name="_Toc397947696"/>
      <w:bookmarkStart w:id="140" w:name="_Toc403399537"/>
      <w:bookmarkStart w:id="141" w:name="_Toc375216759"/>
      <w:r>
        <w:t>1.2</w:t>
      </w:r>
      <w:r>
        <w:tab/>
        <w:t>Medicines Review</w:t>
      </w:r>
      <w:bookmarkEnd w:id="138"/>
      <w:bookmarkEnd w:id="139"/>
      <w:bookmarkEnd w:id="140"/>
    </w:p>
    <w:p w:rsidR="009C6838" w:rsidRDefault="009C6838" w:rsidP="00492694">
      <w:pPr>
        <w:pStyle w:val="Heading3"/>
      </w:pPr>
      <w:bookmarkStart w:id="142" w:name="_Toc382906700"/>
      <w:r>
        <w:t>1.2.1</w:t>
      </w:r>
      <w:r>
        <w:tab/>
        <w:t>Background</w:t>
      </w:r>
      <w:bookmarkEnd w:id="142"/>
    </w:p>
    <w:p w:rsidR="009C6838" w:rsidRDefault="009C6838" w:rsidP="00492694">
      <w:pPr>
        <w:pStyle w:val="BodyText1"/>
      </w:pPr>
      <w:r>
        <w:t xml:space="preserve">In </w:t>
      </w:r>
      <w:r w:rsidR="00343D98">
        <w:t xml:space="preserve">February </w:t>
      </w:r>
      <w:r>
        <w:t>2012, the</w:t>
      </w:r>
      <w:r w:rsidR="00E97B20">
        <w:t xml:space="preserve"> </w:t>
      </w:r>
      <w:r w:rsidR="00E97B20" w:rsidRPr="00114085">
        <w:t>Drug Utilisation Sub-Committee</w:t>
      </w:r>
      <w:r w:rsidRPr="00114085">
        <w:t xml:space="preserve"> </w:t>
      </w:r>
      <w:r w:rsidR="00E97B20" w:rsidRPr="00114085">
        <w:t>(</w:t>
      </w:r>
      <w:r w:rsidRPr="00114085">
        <w:t>DUSC</w:t>
      </w:r>
      <w:r w:rsidR="00E97B20" w:rsidRPr="00114085">
        <w:t>)</w:t>
      </w:r>
      <w:r w:rsidRPr="00753BCB">
        <w:t xml:space="preserve"> </w:t>
      </w:r>
      <w:r w:rsidR="00EC7EB1">
        <w:t xml:space="preserve">of the PBAC </w:t>
      </w:r>
      <w:r>
        <w:t xml:space="preserve">requested a complete review of </w:t>
      </w:r>
      <w:r w:rsidR="00114085">
        <w:t xml:space="preserve">type 2 </w:t>
      </w:r>
      <w:r>
        <w:t xml:space="preserve">diabetes medicines, </w:t>
      </w:r>
      <w:r w:rsidR="001E3FF8">
        <w:t>following its consideration of</w:t>
      </w:r>
      <w:r>
        <w:t xml:space="preserve"> a number of changes</w:t>
      </w:r>
      <w:r w:rsidRPr="001B2806">
        <w:t xml:space="preserve"> </w:t>
      </w:r>
      <w:r>
        <w:t xml:space="preserve">to diabetes products </w:t>
      </w:r>
      <w:r w:rsidRPr="008443DF">
        <w:t>listed</w:t>
      </w:r>
      <w:r>
        <w:t xml:space="preserve"> on the PBS. These included amended restrictions, additional indications for existing medicines, and the lis</w:t>
      </w:r>
      <w:r w:rsidR="00E97B20">
        <w:t xml:space="preserve">ting of new medicines. </w:t>
      </w:r>
      <w:r w:rsidR="00114085">
        <w:t xml:space="preserve">The </w:t>
      </w:r>
      <w:r w:rsidR="00E97B20">
        <w:t>DUSC</w:t>
      </w:r>
      <w:r>
        <w:t xml:space="preserve"> noted </w:t>
      </w:r>
      <w:r w:rsidR="003867DE">
        <w:t xml:space="preserve">use of medicines outside the PBS restrictions, </w:t>
      </w:r>
      <w:r w:rsidR="00114085">
        <w:t xml:space="preserve">that </w:t>
      </w:r>
      <w:r>
        <w:t>the PBS restrictions have become complex over time</w:t>
      </w:r>
      <w:r w:rsidRPr="00357B47">
        <w:t xml:space="preserve"> </w:t>
      </w:r>
      <w:r w:rsidR="00E97B20">
        <w:t xml:space="preserve">and </w:t>
      </w:r>
      <w:r w:rsidR="003867DE">
        <w:t xml:space="preserve">that </w:t>
      </w:r>
      <w:r w:rsidRPr="008443DF">
        <w:t>safety concerns</w:t>
      </w:r>
      <w:r>
        <w:t xml:space="preserve"> have arisen</w:t>
      </w:r>
      <w:r w:rsidRPr="008443DF">
        <w:t xml:space="preserve"> </w:t>
      </w:r>
      <w:r>
        <w:t>for</w:t>
      </w:r>
      <w:r w:rsidRPr="008443DF">
        <w:t xml:space="preserve"> some </w:t>
      </w:r>
      <w:r>
        <w:t xml:space="preserve">medicines. </w:t>
      </w:r>
      <w:r w:rsidR="00343D98">
        <w:t xml:space="preserve">The PBAC </w:t>
      </w:r>
      <w:r w:rsidR="00E97B20" w:rsidRPr="00114085">
        <w:t>considered the DUSC advice and recommended</w:t>
      </w:r>
      <w:r w:rsidR="00343D98">
        <w:t xml:space="preserve"> a review of the utilisation and cost-effectiveness</w:t>
      </w:r>
      <w:r w:rsidR="00E97B20">
        <w:t xml:space="preserve"> of type 2 diabetes medicines </w:t>
      </w:r>
      <w:r w:rsidR="00114085">
        <w:t xml:space="preserve">in </w:t>
      </w:r>
      <w:r w:rsidR="00343D98">
        <w:t>March 2012</w:t>
      </w:r>
      <w:r w:rsidR="00114085">
        <w:t>.</w:t>
      </w:r>
    </w:p>
    <w:p w:rsidR="009C6838" w:rsidRPr="00A53E3C" w:rsidRDefault="00A52777" w:rsidP="00492694">
      <w:pPr>
        <w:pStyle w:val="Heading3"/>
      </w:pPr>
      <w:bookmarkStart w:id="143" w:name="_Toc382906701"/>
      <w:r>
        <w:lastRenderedPageBreak/>
        <w:t>1.2.2</w:t>
      </w:r>
      <w:r w:rsidR="009C6838" w:rsidRPr="00A53E3C">
        <w:t xml:space="preserve"> </w:t>
      </w:r>
      <w:r w:rsidR="009C6838" w:rsidRPr="00A53E3C">
        <w:tab/>
        <w:t xml:space="preserve">Terms of Reference </w:t>
      </w:r>
      <w:r w:rsidR="009C6838">
        <w:t>(ToR)</w:t>
      </w:r>
      <w:bookmarkEnd w:id="143"/>
    </w:p>
    <w:p w:rsidR="009C6838" w:rsidRPr="001F45E9" w:rsidRDefault="009C6838" w:rsidP="00492694">
      <w:pPr>
        <w:pStyle w:val="BodyText1"/>
      </w:pPr>
      <w:r w:rsidRPr="007F5C1E">
        <w:t xml:space="preserve">In August 2012, the PBAC endorsed the Terms of Reference (ToR) for the </w:t>
      </w:r>
      <w:r w:rsidR="00114085">
        <w:t xml:space="preserve">Diabetes </w:t>
      </w:r>
      <w:r>
        <w:t>Review</w:t>
      </w:r>
      <w:r w:rsidR="00114085">
        <w:t>. The Medicines Review (Stage 3</w:t>
      </w:r>
      <w:r w:rsidR="00114085" w:rsidRPr="007F5C1E">
        <w:t>)</w:t>
      </w:r>
      <w:r w:rsidR="00114085">
        <w:t xml:space="preserve"> </w:t>
      </w:r>
      <w:r w:rsidRPr="001F45E9">
        <w:t xml:space="preserve">comprises ToR </w:t>
      </w:r>
      <w:r>
        <w:t xml:space="preserve">1–4 </w:t>
      </w:r>
      <w:r w:rsidRPr="001F45E9">
        <w:t>of the Diabetes Review</w:t>
      </w:r>
      <w:r w:rsidR="00696BB0">
        <w:t>, provided below</w:t>
      </w:r>
      <w:r w:rsidRPr="001F45E9">
        <w:t>.</w:t>
      </w:r>
    </w:p>
    <w:p w:rsidR="009C6838" w:rsidRPr="00A53E3C" w:rsidRDefault="009C6838" w:rsidP="00492694">
      <w:pPr>
        <w:pStyle w:val="BodyText1"/>
      </w:pPr>
      <w:r>
        <w:t xml:space="preserve">Purpose: to </w:t>
      </w:r>
      <w:r w:rsidRPr="00A53E3C">
        <w:t>examine and characterise the complexity and hetero</w:t>
      </w:r>
      <w:r>
        <w:t>geneity of PBS listings for medicine</w:t>
      </w:r>
      <w:r w:rsidRPr="00A53E3C">
        <w:t xml:space="preserve">s used in </w:t>
      </w:r>
      <w:r>
        <w:t xml:space="preserve">type 2 diabetes </w:t>
      </w:r>
      <w:r w:rsidRPr="00A53E3C">
        <w:t xml:space="preserve">to inform an assessment of their effectiveness in terms of clinical outcomes and cost. </w:t>
      </w:r>
    </w:p>
    <w:p w:rsidR="009C6838" w:rsidRPr="00A53E3C" w:rsidRDefault="009C6838" w:rsidP="00492694">
      <w:pPr>
        <w:pStyle w:val="ListParagraph"/>
        <w:numPr>
          <w:ilvl w:val="0"/>
          <w:numId w:val="1"/>
        </w:numPr>
      </w:pPr>
      <w:r w:rsidRPr="00A53E3C">
        <w:t xml:space="preserve">Describe the utilisation and patterns of treatment of PBS listed drugs for </w:t>
      </w:r>
      <w:r>
        <w:t>type 2 diabetes</w:t>
      </w:r>
      <w:r w:rsidRPr="00A53E3C">
        <w:t>, and comp</w:t>
      </w:r>
      <w:r>
        <w:t>are these with PBS restrictions.</w:t>
      </w:r>
    </w:p>
    <w:p w:rsidR="009C6838" w:rsidRPr="00A53E3C" w:rsidRDefault="009C6838" w:rsidP="00492694">
      <w:pPr>
        <w:pStyle w:val="ListParagraph"/>
        <w:numPr>
          <w:ilvl w:val="0"/>
          <w:numId w:val="1"/>
        </w:numPr>
      </w:pPr>
      <w:r w:rsidRPr="00A53E3C">
        <w:t>Consider if the utilisation of PBS listed drugs in current clinical practice represents expected cost-</w:t>
      </w:r>
      <w:r>
        <w:t>effective use.</w:t>
      </w:r>
      <w:r w:rsidRPr="00A53E3C">
        <w:t xml:space="preserve"> </w:t>
      </w:r>
    </w:p>
    <w:p w:rsidR="009C6838" w:rsidRPr="00A53E3C" w:rsidRDefault="009C6838" w:rsidP="00492694">
      <w:pPr>
        <w:pStyle w:val="ListParagraph"/>
        <w:numPr>
          <w:ilvl w:val="0"/>
          <w:numId w:val="1"/>
        </w:numPr>
      </w:pPr>
      <w:r w:rsidRPr="00A53E3C">
        <w:t>Consolidate the clinical trial evidence used to support PBS listings of diabet</w:t>
      </w:r>
      <w:r>
        <w:t>es medicines listed since 2002.</w:t>
      </w:r>
    </w:p>
    <w:p w:rsidR="009C6838" w:rsidRPr="00A53E3C" w:rsidRDefault="009C6838" w:rsidP="00492694">
      <w:pPr>
        <w:pStyle w:val="ListParagraph"/>
        <w:numPr>
          <w:ilvl w:val="0"/>
          <w:numId w:val="1"/>
        </w:numPr>
      </w:pPr>
      <w:r w:rsidRPr="00A53E3C">
        <w:t xml:space="preserve">Collate and evaluate any additional clinical studies or meta-analyses for drugs currently PBS listed for </w:t>
      </w:r>
      <w:r>
        <w:t>type 2 diabetes</w:t>
      </w:r>
      <w:r w:rsidRPr="00A53E3C">
        <w:t xml:space="preserve"> that the </w:t>
      </w:r>
      <w:r>
        <w:t>PBAC</w:t>
      </w:r>
      <w:r w:rsidRPr="00A53E3C">
        <w:t xml:space="preserve"> has not seen and that would inform their</w:t>
      </w:r>
      <w:r>
        <w:t xml:space="preserve"> consideration.</w:t>
      </w:r>
    </w:p>
    <w:p w:rsidR="009C6838" w:rsidRDefault="00A52777" w:rsidP="00492694">
      <w:pPr>
        <w:pStyle w:val="Heading3"/>
      </w:pPr>
      <w:bookmarkStart w:id="144" w:name="_1.2.3_Scope"/>
      <w:bookmarkStart w:id="145" w:name="_Toc382906702"/>
      <w:bookmarkEnd w:id="144"/>
      <w:r>
        <w:t>1.2.3</w:t>
      </w:r>
      <w:r w:rsidR="009C6838">
        <w:tab/>
        <w:t>Scope</w:t>
      </w:r>
      <w:bookmarkEnd w:id="145"/>
    </w:p>
    <w:p w:rsidR="009C6838" w:rsidRDefault="00696BB0" w:rsidP="00492694">
      <w:pPr>
        <w:pStyle w:val="BodyText1"/>
      </w:pPr>
      <w:r>
        <w:t>The Medicines R</w:t>
      </w:r>
      <w:r w:rsidR="00261672">
        <w:t xml:space="preserve">eview </w:t>
      </w:r>
      <w:r w:rsidR="009C6838">
        <w:t xml:space="preserve">aims to analyse the use, patterns of treatment, and evidence of </w:t>
      </w:r>
      <w:r>
        <w:t xml:space="preserve">clinical </w:t>
      </w:r>
      <w:r w:rsidR="009C6838">
        <w:t xml:space="preserve">benefit of PBS listed type 2 diabetes medicines. This includes a review of the listing of type 2 diabetes medicines on the PBS, and the associated restrictions; and a review of </w:t>
      </w:r>
      <w:r>
        <w:t xml:space="preserve">Australian and international pharmacotherapy algorithms </w:t>
      </w:r>
      <w:r w:rsidR="009C6838">
        <w:t xml:space="preserve">for </w:t>
      </w:r>
      <w:r>
        <w:t xml:space="preserve">the treatment of </w:t>
      </w:r>
      <w:r w:rsidR="009C6838">
        <w:t>type 2 diabetes</w:t>
      </w:r>
      <w:r w:rsidR="0085069E">
        <w:t>.</w:t>
      </w:r>
    </w:p>
    <w:p w:rsidR="009C6838" w:rsidRDefault="009C6838" w:rsidP="00492694">
      <w:pPr>
        <w:pStyle w:val="BodyText1"/>
      </w:pPr>
      <w:r w:rsidRPr="00EC7EB1">
        <w:rPr>
          <w:lang w:eastAsia="en-AU"/>
        </w:rPr>
        <w:t>Table 1</w:t>
      </w:r>
      <w:r w:rsidR="00696BB0" w:rsidRPr="00EC7EB1">
        <w:rPr>
          <w:lang w:eastAsia="en-AU"/>
        </w:rPr>
        <w:t>.1</w:t>
      </w:r>
      <w:r>
        <w:rPr>
          <w:lang w:eastAsia="en-AU"/>
        </w:rPr>
        <w:t xml:space="preserve"> lists the medicines </w:t>
      </w:r>
      <w:r w:rsidRPr="00E6705C">
        <w:rPr>
          <w:lang w:eastAsia="en-AU"/>
        </w:rPr>
        <w:t xml:space="preserve">that have been registered on the Australian Register of Therapeutic Goods </w:t>
      </w:r>
      <w:r>
        <w:rPr>
          <w:lang w:eastAsia="en-AU"/>
        </w:rPr>
        <w:t xml:space="preserve">(ARTG) </w:t>
      </w:r>
      <w:r w:rsidRPr="00E6705C">
        <w:rPr>
          <w:lang w:eastAsia="en-AU"/>
        </w:rPr>
        <w:t xml:space="preserve">and listed on the </w:t>
      </w:r>
      <w:r>
        <w:rPr>
          <w:lang w:eastAsia="en-AU"/>
        </w:rPr>
        <w:t xml:space="preserve">PBS </w:t>
      </w:r>
      <w:r w:rsidR="000A4C18" w:rsidRPr="000A4C18">
        <w:t xml:space="preserve">and Repatriation PBS (RPBS)  </w:t>
      </w:r>
      <w:r>
        <w:rPr>
          <w:lang w:eastAsia="en-AU"/>
        </w:rPr>
        <w:t xml:space="preserve">for the management of type 2 diabetes, that are in scope of the Medicines Review. Although </w:t>
      </w:r>
      <w:r>
        <w:t>insulin is used in the management o</w:t>
      </w:r>
      <w:r w:rsidR="00261672">
        <w:t xml:space="preserve">f type 2 diabetes, it is </w:t>
      </w:r>
      <w:r w:rsidR="00261672" w:rsidRPr="00696BB0">
        <w:t>not a</w:t>
      </w:r>
      <w:r>
        <w:t xml:space="preserve"> focus of this Review. However, the utilisation data and information on the comparative safety and efficacy of insulin may be used to provide context.</w:t>
      </w:r>
    </w:p>
    <w:p w:rsidR="000A4C18" w:rsidRPr="00646887" w:rsidRDefault="000A4C18" w:rsidP="00492694">
      <w:pPr>
        <w:rPr>
          <w:b/>
        </w:rPr>
      </w:pPr>
      <w:r w:rsidRPr="000A4C18">
        <w:rPr>
          <w:b/>
        </w:rPr>
        <w:t>Table</w:t>
      </w:r>
      <w:r>
        <w:rPr>
          <w:b/>
        </w:rPr>
        <w:t xml:space="preserve"> 1</w:t>
      </w:r>
      <w:r w:rsidR="00646887">
        <w:rPr>
          <w:b/>
        </w:rPr>
        <w:t>.1.</w:t>
      </w:r>
      <w:r w:rsidRPr="000A4C18">
        <w:rPr>
          <w:b/>
        </w:rPr>
        <w:t xml:space="preserve"> </w:t>
      </w:r>
      <w:r w:rsidRPr="00646887">
        <w:rPr>
          <w:b/>
        </w:rPr>
        <w:t xml:space="preserve">Medicines </w:t>
      </w:r>
      <w:r w:rsidR="00F86FD0">
        <w:rPr>
          <w:b/>
        </w:rPr>
        <w:t xml:space="preserve">in scope of the Review: Medicines </w:t>
      </w:r>
      <w:r w:rsidRPr="00646887">
        <w:rPr>
          <w:b/>
        </w:rPr>
        <w:t>subsidised by the PBS and RPBS for the treatment of type 2 diabetes</w:t>
      </w:r>
      <w:r w:rsidR="00F86FD0">
        <w:rPr>
          <w:b/>
        </w:rPr>
        <w:t xml:space="preserve"> at 1 August 2014</w:t>
      </w:r>
      <w:r w:rsidRPr="00646887">
        <w:rPr>
          <w:b/>
        </w:rPr>
        <w:t>,</w:t>
      </w:r>
      <w:r w:rsidR="00F86FD0">
        <w:rPr>
          <w:b/>
        </w:rPr>
        <w:t xml:space="preserve"> or considered for listing to November 2013</w:t>
      </w:r>
      <w:r w:rsidRPr="00646887">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2835"/>
        <w:gridCol w:w="1843"/>
        <w:gridCol w:w="1904"/>
      </w:tblGrid>
      <w:tr w:rsidR="000A4C18" w:rsidRPr="000A4C18" w:rsidTr="000A4C18">
        <w:tc>
          <w:tcPr>
            <w:tcW w:w="2660" w:type="dxa"/>
            <w:shd w:val="clear" w:color="auto" w:fill="BFBFBF"/>
          </w:tcPr>
          <w:p w:rsidR="000A4C18" w:rsidRPr="00646887" w:rsidRDefault="000A4C18" w:rsidP="00492694">
            <w:pPr>
              <w:pStyle w:val="BodyText1"/>
              <w:rPr>
                <w:sz w:val="22"/>
                <w:szCs w:val="22"/>
              </w:rPr>
            </w:pPr>
            <w:r w:rsidRPr="00646887">
              <w:rPr>
                <w:sz w:val="22"/>
                <w:szCs w:val="22"/>
              </w:rPr>
              <w:t>Drug Class</w:t>
            </w:r>
          </w:p>
        </w:tc>
        <w:tc>
          <w:tcPr>
            <w:tcW w:w="2835" w:type="dxa"/>
            <w:shd w:val="clear" w:color="auto" w:fill="BFBFBF"/>
          </w:tcPr>
          <w:p w:rsidR="000A4C18" w:rsidRPr="00646887" w:rsidRDefault="000A4C18" w:rsidP="00492694">
            <w:pPr>
              <w:pStyle w:val="BodyText1"/>
              <w:rPr>
                <w:sz w:val="22"/>
                <w:szCs w:val="22"/>
              </w:rPr>
            </w:pPr>
            <w:r w:rsidRPr="00646887">
              <w:rPr>
                <w:sz w:val="22"/>
                <w:szCs w:val="22"/>
              </w:rPr>
              <w:t>Description</w:t>
            </w:r>
            <w:r w:rsidR="00886B4F" w:rsidRPr="00646887">
              <w:rPr>
                <w:sz w:val="22"/>
                <w:szCs w:val="22"/>
              </w:rPr>
              <w:t>/Main action</w:t>
            </w:r>
          </w:p>
        </w:tc>
        <w:tc>
          <w:tcPr>
            <w:tcW w:w="1843" w:type="dxa"/>
            <w:shd w:val="clear" w:color="auto" w:fill="BFBFBF"/>
          </w:tcPr>
          <w:p w:rsidR="000A4C18" w:rsidRPr="00646887" w:rsidRDefault="000A4C18" w:rsidP="00492694">
            <w:pPr>
              <w:pStyle w:val="BodyText1"/>
              <w:rPr>
                <w:sz w:val="22"/>
                <w:szCs w:val="22"/>
              </w:rPr>
            </w:pPr>
            <w:r w:rsidRPr="00646887">
              <w:rPr>
                <w:sz w:val="22"/>
                <w:szCs w:val="22"/>
              </w:rPr>
              <w:t>Drug(s)</w:t>
            </w:r>
          </w:p>
        </w:tc>
        <w:tc>
          <w:tcPr>
            <w:tcW w:w="1904" w:type="dxa"/>
            <w:shd w:val="clear" w:color="auto" w:fill="BFBFBF"/>
          </w:tcPr>
          <w:p w:rsidR="000A4C18" w:rsidRPr="00646887" w:rsidRDefault="000A4C18" w:rsidP="00492694">
            <w:pPr>
              <w:pStyle w:val="BodyText1"/>
              <w:rPr>
                <w:sz w:val="22"/>
                <w:szCs w:val="22"/>
              </w:rPr>
            </w:pPr>
            <w:r w:rsidRPr="00646887">
              <w:rPr>
                <w:sz w:val="22"/>
                <w:szCs w:val="22"/>
              </w:rPr>
              <w:t xml:space="preserve">First PBS listing </w:t>
            </w:r>
          </w:p>
        </w:tc>
      </w:tr>
      <w:tr w:rsidR="000A4C18" w:rsidRPr="000A4C18" w:rsidTr="000A4C18">
        <w:tc>
          <w:tcPr>
            <w:tcW w:w="2660" w:type="dxa"/>
            <w:shd w:val="clear" w:color="auto" w:fill="auto"/>
          </w:tcPr>
          <w:p w:rsidR="000A4C18" w:rsidRPr="00646887" w:rsidRDefault="000A4C18" w:rsidP="00492694">
            <w:pPr>
              <w:pStyle w:val="BodyText1"/>
              <w:rPr>
                <w:sz w:val="22"/>
                <w:szCs w:val="22"/>
              </w:rPr>
            </w:pPr>
            <w:r w:rsidRPr="00646887">
              <w:rPr>
                <w:sz w:val="22"/>
                <w:szCs w:val="22"/>
              </w:rPr>
              <w:t>Biguanides</w:t>
            </w:r>
          </w:p>
        </w:tc>
        <w:tc>
          <w:tcPr>
            <w:tcW w:w="2835" w:type="dxa"/>
            <w:shd w:val="clear" w:color="auto" w:fill="auto"/>
          </w:tcPr>
          <w:p w:rsidR="000A4C18" w:rsidRPr="00646887" w:rsidRDefault="000A4C18" w:rsidP="00492694">
            <w:pPr>
              <w:pStyle w:val="BodyText1"/>
              <w:rPr>
                <w:sz w:val="22"/>
                <w:szCs w:val="22"/>
              </w:rPr>
            </w:pPr>
            <w:r w:rsidRPr="00646887">
              <w:rPr>
                <w:sz w:val="22"/>
                <w:szCs w:val="22"/>
              </w:rPr>
              <w:t>Decrease glucose production in the liver</w:t>
            </w:r>
            <w:r w:rsidR="00886B4F" w:rsidRPr="00646887">
              <w:rPr>
                <w:sz w:val="22"/>
                <w:szCs w:val="22"/>
              </w:rPr>
              <w:t>.</w:t>
            </w:r>
          </w:p>
        </w:tc>
        <w:tc>
          <w:tcPr>
            <w:tcW w:w="1843" w:type="dxa"/>
            <w:shd w:val="clear" w:color="auto" w:fill="auto"/>
          </w:tcPr>
          <w:p w:rsidR="000A4C18" w:rsidRPr="00646887" w:rsidRDefault="000A4C18" w:rsidP="00492694">
            <w:pPr>
              <w:pStyle w:val="BodyText1"/>
              <w:rPr>
                <w:sz w:val="22"/>
                <w:szCs w:val="22"/>
              </w:rPr>
            </w:pPr>
            <w:r w:rsidRPr="00646887">
              <w:rPr>
                <w:sz w:val="22"/>
                <w:szCs w:val="22"/>
              </w:rPr>
              <w:t>Metformin</w:t>
            </w:r>
            <w:r w:rsidR="004D258D">
              <w:rPr>
                <w:sz w:val="22"/>
                <w:szCs w:val="22"/>
              </w:rPr>
              <w:t xml:space="preserve"> and Metformin X</w:t>
            </w:r>
            <w:r w:rsidR="00F86FD0">
              <w:rPr>
                <w:sz w:val="22"/>
                <w:szCs w:val="22"/>
              </w:rPr>
              <w:t>R</w:t>
            </w:r>
          </w:p>
        </w:tc>
        <w:tc>
          <w:tcPr>
            <w:tcW w:w="1904" w:type="dxa"/>
            <w:shd w:val="clear" w:color="auto" w:fill="auto"/>
          </w:tcPr>
          <w:p w:rsidR="000A4C18" w:rsidRPr="00646887" w:rsidRDefault="000A4C18" w:rsidP="00492694">
            <w:pPr>
              <w:pStyle w:val="BodyText1"/>
              <w:rPr>
                <w:sz w:val="22"/>
                <w:szCs w:val="22"/>
              </w:rPr>
            </w:pPr>
            <w:r w:rsidRPr="00646887">
              <w:rPr>
                <w:sz w:val="22"/>
                <w:szCs w:val="22"/>
              </w:rPr>
              <w:t>May 1963</w:t>
            </w:r>
          </w:p>
        </w:tc>
      </w:tr>
      <w:tr w:rsidR="000A4C18" w:rsidRPr="000A4C18" w:rsidTr="000A4C18">
        <w:tc>
          <w:tcPr>
            <w:tcW w:w="2660" w:type="dxa"/>
            <w:vMerge w:val="restart"/>
            <w:shd w:val="clear" w:color="auto" w:fill="auto"/>
          </w:tcPr>
          <w:p w:rsidR="000A4C18" w:rsidRPr="00646887" w:rsidRDefault="000A4C18" w:rsidP="00492694">
            <w:pPr>
              <w:pStyle w:val="BodyText1"/>
              <w:rPr>
                <w:sz w:val="22"/>
                <w:szCs w:val="22"/>
              </w:rPr>
            </w:pPr>
            <w:r w:rsidRPr="00646887">
              <w:rPr>
                <w:sz w:val="22"/>
                <w:szCs w:val="22"/>
              </w:rPr>
              <w:t>Sulfonamides (sulfonylureas)</w:t>
            </w:r>
          </w:p>
        </w:tc>
        <w:tc>
          <w:tcPr>
            <w:tcW w:w="2835" w:type="dxa"/>
            <w:vMerge w:val="restart"/>
            <w:shd w:val="clear" w:color="auto" w:fill="auto"/>
          </w:tcPr>
          <w:p w:rsidR="000A4C18" w:rsidRPr="00646887" w:rsidRDefault="000A4C18" w:rsidP="00492694">
            <w:pPr>
              <w:pStyle w:val="BodyText1"/>
              <w:rPr>
                <w:sz w:val="22"/>
                <w:szCs w:val="22"/>
              </w:rPr>
            </w:pPr>
            <w:r w:rsidRPr="00646887">
              <w:rPr>
                <w:sz w:val="22"/>
                <w:szCs w:val="22"/>
              </w:rPr>
              <w:t>Stimulate insulin secretion by the pancreas</w:t>
            </w:r>
            <w:r w:rsidR="00886B4F" w:rsidRPr="00646887">
              <w:rPr>
                <w:sz w:val="22"/>
                <w:szCs w:val="22"/>
              </w:rPr>
              <w:t>.</w:t>
            </w:r>
          </w:p>
        </w:tc>
        <w:tc>
          <w:tcPr>
            <w:tcW w:w="1843" w:type="dxa"/>
            <w:shd w:val="clear" w:color="auto" w:fill="auto"/>
          </w:tcPr>
          <w:p w:rsidR="000A4C18" w:rsidRPr="00646887" w:rsidRDefault="000A4C18" w:rsidP="00492694">
            <w:pPr>
              <w:pStyle w:val="BodyText1"/>
              <w:rPr>
                <w:sz w:val="22"/>
                <w:szCs w:val="22"/>
              </w:rPr>
            </w:pPr>
            <w:r w:rsidRPr="00646887">
              <w:rPr>
                <w:sz w:val="22"/>
                <w:szCs w:val="22"/>
              </w:rPr>
              <w:t>Glibenclamide</w:t>
            </w:r>
            <w:r w:rsidRPr="00646887">
              <w:rPr>
                <w:sz w:val="22"/>
                <w:szCs w:val="22"/>
                <w:vertAlign w:val="superscript"/>
              </w:rPr>
              <w:t>a</w:t>
            </w:r>
          </w:p>
        </w:tc>
        <w:tc>
          <w:tcPr>
            <w:tcW w:w="1904" w:type="dxa"/>
            <w:shd w:val="clear" w:color="auto" w:fill="auto"/>
          </w:tcPr>
          <w:p w:rsidR="000A4C18" w:rsidRPr="00646887" w:rsidRDefault="000A4C18" w:rsidP="00492694">
            <w:pPr>
              <w:pStyle w:val="BodyText1"/>
              <w:rPr>
                <w:sz w:val="22"/>
                <w:szCs w:val="22"/>
              </w:rPr>
            </w:pPr>
            <w:r w:rsidRPr="00646887">
              <w:rPr>
                <w:sz w:val="22"/>
                <w:szCs w:val="22"/>
              </w:rPr>
              <w:t>Aug 1993</w:t>
            </w:r>
          </w:p>
        </w:tc>
      </w:tr>
      <w:tr w:rsidR="000A4C18" w:rsidRPr="000A4C18" w:rsidTr="000A4C18">
        <w:tc>
          <w:tcPr>
            <w:tcW w:w="2660" w:type="dxa"/>
            <w:vMerge/>
            <w:shd w:val="clear" w:color="auto" w:fill="auto"/>
          </w:tcPr>
          <w:p w:rsidR="000A4C18" w:rsidRPr="00646887" w:rsidRDefault="000A4C18" w:rsidP="00492694">
            <w:pPr>
              <w:pStyle w:val="BodyText1"/>
              <w:rPr>
                <w:sz w:val="22"/>
                <w:szCs w:val="22"/>
              </w:rPr>
            </w:pPr>
          </w:p>
        </w:tc>
        <w:tc>
          <w:tcPr>
            <w:tcW w:w="2835" w:type="dxa"/>
            <w:vMerge/>
            <w:shd w:val="clear" w:color="auto" w:fill="auto"/>
          </w:tcPr>
          <w:p w:rsidR="000A4C18" w:rsidRPr="00646887" w:rsidRDefault="000A4C18" w:rsidP="00492694">
            <w:pPr>
              <w:pStyle w:val="BodyText1"/>
              <w:rPr>
                <w:sz w:val="22"/>
                <w:szCs w:val="22"/>
              </w:rPr>
            </w:pPr>
          </w:p>
        </w:tc>
        <w:tc>
          <w:tcPr>
            <w:tcW w:w="1843" w:type="dxa"/>
            <w:shd w:val="clear" w:color="auto" w:fill="auto"/>
          </w:tcPr>
          <w:p w:rsidR="000A4C18" w:rsidRPr="00646887" w:rsidRDefault="000A4C18" w:rsidP="00492694">
            <w:pPr>
              <w:pStyle w:val="BodyText1"/>
              <w:rPr>
                <w:sz w:val="22"/>
                <w:szCs w:val="22"/>
              </w:rPr>
            </w:pPr>
            <w:r w:rsidRPr="00646887">
              <w:rPr>
                <w:sz w:val="22"/>
                <w:szCs w:val="22"/>
              </w:rPr>
              <w:t>Glic</w:t>
            </w:r>
            <w:r w:rsidR="006A0AA3">
              <w:rPr>
                <w:sz w:val="22"/>
                <w:szCs w:val="22"/>
              </w:rPr>
              <w:t>l</w:t>
            </w:r>
            <w:r w:rsidRPr="00646887">
              <w:rPr>
                <w:sz w:val="22"/>
                <w:szCs w:val="22"/>
              </w:rPr>
              <w:t>azide</w:t>
            </w:r>
          </w:p>
        </w:tc>
        <w:tc>
          <w:tcPr>
            <w:tcW w:w="1904" w:type="dxa"/>
            <w:shd w:val="clear" w:color="auto" w:fill="auto"/>
          </w:tcPr>
          <w:p w:rsidR="000A4C18" w:rsidRPr="00646887" w:rsidRDefault="000A4C18" w:rsidP="00492694">
            <w:pPr>
              <w:pStyle w:val="BodyText1"/>
              <w:rPr>
                <w:sz w:val="22"/>
                <w:szCs w:val="22"/>
              </w:rPr>
            </w:pPr>
            <w:r w:rsidRPr="00646887">
              <w:rPr>
                <w:sz w:val="22"/>
                <w:szCs w:val="22"/>
              </w:rPr>
              <w:t>Aug 1993</w:t>
            </w:r>
          </w:p>
        </w:tc>
      </w:tr>
      <w:tr w:rsidR="000A4C18" w:rsidRPr="000A4C18" w:rsidTr="000A4C18">
        <w:tc>
          <w:tcPr>
            <w:tcW w:w="2660" w:type="dxa"/>
            <w:vMerge/>
            <w:shd w:val="clear" w:color="auto" w:fill="auto"/>
          </w:tcPr>
          <w:p w:rsidR="000A4C18" w:rsidRPr="00646887" w:rsidRDefault="000A4C18" w:rsidP="00492694">
            <w:pPr>
              <w:pStyle w:val="BodyText1"/>
              <w:rPr>
                <w:sz w:val="22"/>
                <w:szCs w:val="22"/>
              </w:rPr>
            </w:pPr>
          </w:p>
        </w:tc>
        <w:tc>
          <w:tcPr>
            <w:tcW w:w="2835" w:type="dxa"/>
            <w:vMerge/>
            <w:shd w:val="clear" w:color="auto" w:fill="auto"/>
          </w:tcPr>
          <w:p w:rsidR="000A4C18" w:rsidRPr="00646887" w:rsidRDefault="000A4C18" w:rsidP="00492694">
            <w:pPr>
              <w:pStyle w:val="BodyText1"/>
              <w:rPr>
                <w:sz w:val="22"/>
                <w:szCs w:val="22"/>
              </w:rPr>
            </w:pPr>
          </w:p>
        </w:tc>
        <w:tc>
          <w:tcPr>
            <w:tcW w:w="1843" w:type="dxa"/>
            <w:shd w:val="clear" w:color="auto" w:fill="auto"/>
          </w:tcPr>
          <w:p w:rsidR="000A4C18" w:rsidRPr="00646887" w:rsidRDefault="000A4C18" w:rsidP="00492694">
            <w:pPr>
              <w:pStyle w:val="BodyText1"/>
              <w:rPr>
                <w:sz w:val="22"/>
                <w:szCs w:val="22"/>
              </w:rPr>
            </w:pPr>
            <w:r w:rsidRPr="00646887">
              <w:rPr>
                <w:sz w:val="22"/>
                <w:szCs w:val="22"/>
              </w:rPr>
              <w:t>Glimepiride</w:t>
            </w:r>
          </w:p>
        </w:tc>
        <w:tc>
          <w:tcPr>
            <w:tcW w:w="1904" w:type="dxa"/>
            <w:shd w:val="clear" w:color="auto" w:fill="auto"/>
          </w:tcPr>
          <w:p w:rsidR="000A4C18" w:rsidRPr="00646887" w:rsidRDefault="000A4C18" w:rsidP="00492694">
            <w:pPr>
              <w:pStyle w:val="BodyText1"/>
              <w:rPr>
                <w:sz w:val="22"/>
                <w:szCs w:val="22"/>
              </w:rPr>
            </w:pPr>
            <w:r w:rsidRPr="00646887">
              <w:rPr>
                <w:sz w:val="22"/>
                <w:szCs w:val="22"/>
              </w:rPr>
              <w:t>Nov 2000</w:t>
            </w:r>
          </w:p>
        </w:tc>
      </w:tr>
      <w:tr w:rsidR="000A4C18" w:rsidRPr="000A4C18" w:rsidTr="000A4C18">
        <w:tc>
          <w:tcPr>
            <w:tcW w:w="2660" w:type="dxa"/>
            <w:vMerge/>
            <w:shd w:val="clear" w:color="auto" w:fill="auto"/>
          </w:tcPr>
          <w:p w:rsidR="000A4C18" w:rsidRPr="00646887" w:rsidRDefault="000A4C18" w:rsidP="00492694">
            <w:pPr>
              <w:pStyle w:val="BodyText1"/>
              <w:rPr>
                <w:sz w:val="22"/>
                <w:szCs w:val="22"/>
              </w:rPr>
            </w:pPr>
          </w:p>
        </w:tc>
        <w:tc>
          <w:tcPr>
            <w:tcW w:w="2835" w:type="dxa"/>
            <w:vMerge/>
            <w:shd w:val="clear" w:color="auto" w:fill="auto"/>
          </w:tcPr>
          <w:p w:rsidR="000A4C18" w:rsidRPr="00646887" w:rsidRDefault="000A4C18" w:rsidP="00492694">
            <w:pPr>
              <w:pStyle w:val="BodyText1"/>
              <w:rPr>
                <w:sz w:val="22"/>
                <w:szCs w:val="22"/>
              </w:rPr>
            </w:pPr>
          </w:p>
        </w:tc>
        <w:tc>
          <w:tcPr>
            <w:tcW w:w="1843" w:type="dxa"/>
            <w:shd w:val="clear" w:color="auto" w:fill="auto"/>
          </w:tcPr>
          <w:p w:rsidR="000A4C18" w:rsidRPr="00646887" w:rsidRDefault="000A4C18" w:rsidP="00492694">
            <w:pPr>
              <w:pStyle w:val="BodyText1"/>
              <w:rPr>
                <w:sz w:val="22"/>
                <w:szCs w:val="22"/>
              </w:rPr>
            </w:pPr>
            <w:r w:rsidRPr="00646887">
              <w:rPr>
                <w:sz w:val="22"/>
                <w:szCs w:val="22"/>
              </w:rPr>
              <w:t>Glipizide</w:t>
            </w:r>
          </w:p>
        </w:tc>
        <w:tc>
          <w:tcPr>
            <w:tcW w:w="1904" w:type="dxa"/>
            <w:shd w:val="clear" w:color="auto" w:fill="auto"/>
          </w:tcPr>
          <w:p w:rsidR="000A4C18" w:rsidRPr="00646887" w:rsidRDefault="000A4C18" w:rsidP="00492694">
            <w:pPr>
              <w:pStyle w:val="BodyText1"/>
              <w:rPr>
                <w:sz w:val="22"/>
                <w:szCs w:val="22"/>
              </w:rPr>
            </w:pPr>
            <w:r w:rsidRPr="00646887">
              <w:rPr>
                <w:sz w:val="22"/>
                <w:szCs w:val="22"/>
              </w:rPr>
              <w:t>Aug 1993</w:t>
            </w:r>
          </w:p>
        </w:tc>
      </w:tr>
      <w:tr w:rsidR="000A4C18" w:rsidRPr="000A4C18" w:rsidTr="000A4C18">
        <w:tc>
          <w:tcPr>
            <w:tcW w:w="2660" w:type="dxa"/>
            <w:shd w:val="clear" w:color="auto" w:fill="auto"/>
          </w:tcPr>
          <w:p w:rsidR="000A4C18" w:rsidRPr="00646887" w:rsidRDefault="000A4C18" w:rsidP="00492694">
            <w:pPr>
              <w:pStyle w:val="BodyText1"/>
              <w:rPr>
                <w:sz w:val="22"/>
                <w:szCs w:val="22"/>
              </w:rPr>
            </w:pPr>
            <w:r w:rsidRPr="00646887">
              <w:rPr>
                <w:sz w:val="22"/>
                <w:szCs w:val="22"/>
              </w:rPr>
              <w:t>Alpha glucosidase inhibitors</w:t>
            </w:r>
          </w:p>
        </w:tc>
        <w:tc>
          <w:tcPr>
            <w:tcW w:w="2835" w:type="dxa"/>
            <w:shd w:val="clear" w:color="auto" w:fill="auto"/>
          </w:tcPr>
          <w:p w:rsidR="000A4C18" w:rsidRPr="00646887" w:rsidRDefault="000A4C18" w:rsidP="00492694">
            <w:pPr>
              <w:pStyle w:val="BodyText1"/>
              <w:rPr>
                <w:sz w:val="22"/>
                <w:szCs w:val="22"/>
              </w:rPr>
            </w:pPr>
            <w:r w:rsidRPr="00646887">
              <w:rPr>
                <w:sz w:val="22"/>
                <w:szCs w:val="22"/>
              </w:rPr>
              <w:t>Inhibit uptake of simple carbohydrates in the small intestine</w:t>
            </w:r>
            <w:r w:rsidR="00886B4F" w:rsidRPr="00646887">
              <w:rPr>
                <w:sz w:val="22"/>
                <w:szCs w:val="22"/>
              </w:rPr>
              <w:t>.</w:t>
            </w:r>
          </w:p>
        </w:tc>
        <w:tc>
          <w:tcPr>
            <w:tcW w:w="1843" w:type="dxa"/>
            <w:shd w:val="clear" w:color="auto" w:fill="auto"/>
          </w:tcPr>
          <w:p w:rsidR="000A4C18" w:rsidRPr="00646887" w:rsidRDefault="000A4C18" w:rsidP="00492694">
            <w:pPr>
              <w:pStyle w:val="BodyText1"/>
              <w:rPr>
                <w:sz w:val="22"/>
                <w:szCs w:val="22"/>
              </w:rPr>
            </w:pPr>
            <w:r w:rsidRPr="00646887">
              <w:rPr>
                <w:sz w:val="22"/>
                <w:szCs w:val="22"/>
              </w:rPr>
              <w:t>Acarbose</w:t>
            </w:r>
          </w:p>
        </w:tc>
        <w:tc>
          <w:tcPr>
            <w:tcW w:w="1904" w:type="dxa"/>
            <w:shd w:val="clear" w:color="auto" w:fill="auto"/>
          </w:tcPr>
          <w:p w:rsidR="000A4C18" w:rsidRPr="00646887" w:rsidRDefault="000A4C18" w:rsidP="00492694">
            <w:pPr>
              <w:pStyle w:val="BodyText1"/>
              <w:rPr>
                <w:sz w:val="22"/>
                <w:szCs w:val="22"/>
              </w:rPr>
            </w:pPr>
            <w:r w:rsidRPr="00646887">
              <w:rPr>
                <w:sz w:val="22"/>
                <w:szCs w:val="22"/>
              </w:rPr>
              <w:t>Nov 1997</w:t>
            </w:r>
          </w:p>
        </w:tc>
      </w:tr>
      <w:tr w:rsidR="000A4C18" w:rsidRPr="000A4C18" w:rsidTr="000A4C18">
        <w:tc>
          <w:tcPr>
            <w:tcW w:w="2660" w:type="dxa"/>
            <w:vMerge w:val="restart"/>
            <w:shd w:val="clear" w:color="auto" w:fill="auto"/>
          </w:tcPr>
          <w:p w:rsidR="000A4C18" w:rsidRPr="00646887" w:rsidRDefault="000A4C18" w:rsidP="00492694">
            <w:pPr>
              <w:pStyle w:val="BodyText1"/>
              <w:rPr>
                <w:sz w:val="22"/>
                <w:szCs w:val="22"/>
              </w:rPr>
            </w:pPr>
            <w:r w:rsidRPr="00646887">
              <w:rPr>
                <w:sz w:val="22"/>
                <w:szCs w:val="22"/>
              </w:rPr>
              <w:t>Thiazolidinediones (</w:t>
            </w:r>
            <w:r w:rsidR="006820B1">
              <w:rPr>
                <w:sz w:val="22"/>
                <w:szCs w:val="22"/>
              </w:rPr>
              <w:t xml:space="preserve">TZDs or </w:t>
            </w:r>
            <w:r w:rsidRPr="00646887">
              <w:rPr>
                <w:sz w:val="22"/>
                <w:szCs w:val="22"/>
              </w:rPr>
              <w:t>glitazones)</w:t>
            </w:r>
          </w:p>
        </w:tc>
        <w:tc>
          <w:tcPr>
            <w:tcW w:w="2835" w:type="dxa"/>
            <w:vMerge w:val="restart"/>
            <w:shd w:val="clear" w:color="auto" w:fill="auto"/>
          </w:tcPr>
          <w:p w:rsidR="000A4C18" w:rsidRPr="00646887" w:rsidRDefault="000A4C18" w:rsidP="00492694">
            <w:pPr>
              <w:pStyle w:val="BodyText1"/>
              <w:rPr>
                <w:sz w:val="22"/>
                <w:szCs w:val="22"/>
              </w:rPr>
            </w:pPr>
            <w:r w:rsidRPr="00646887">
              <w:rPr>
                <w:sz w:val="22"/>
                <w:szCs w:val="22"/>
              </w:rPr>
              <w:t>Increase the response of cells to insulin</w:t>
            </w:r>
            <w:r w:rsidR="00886B4F" w:rsidRPr="00646887">
              <w:rPr>
                <w:sz w:val="22"/>
                <w:szCs w:val="22"/>
              </w:rPr>
              <w:t>.</w:t>
            </w:r>
          </w:p>
        </w:tc>
        <w:tc>
          <w:tcPr>
            <w:tcW w:w="1843" w:type="dxa"/>
            <w:shd w:val="clear" w:color="auto" w:fill="auto"/>
          </w:tcPr>
          <w:p w:rsidR="000A4C18" w:rsidRPr="00646887" w:rsidRDefault="000A4C18" w:rsidP="00492694">
            <w:pPr>
              <w:pStyle w:val="BodyText1"/>
              <w:rPr>
                <w:sz w:val="22"/>
                <w:szCs w:val="22"/>
              </w:rPr>
            </w:pPr>
            <w:r w:rsidRPr="00646887">
              <w:rPr>
                <w:sz w:val="22"/>
                <w:szCs w:val="22"/>
              </w:rPr>
              <w:t>Pioglitazone</w:t>
            </w:r>
          </w:p>
        </w:tc>
        <w:tc>
          <w:tcPr>
            <w:tcW w:w="1904" w:type="dxa"/>
            <w:shd w:val="clear" w:color="auto" w:fill="auto"/>
          </w:tcPr>
          <w:p w:rsidR="000A4C18" w:rsidRPr="00646887" w:rsidRDefault="000A4C18" w:rsidP="00492694">
            <w:pPr>
              <w:pStyle w:val="BodyText1"/>
              <w:rPr>
                <w:sz w:val="22"/>
                <w:szCs w:val="22"/>
              </w:rPr>
            </w:pPr>
            <w:r w:rsidRPr="00646887">
              <w:rPr>
                <w:sz w:val="22"/>
                <w:szCs w:val="22"/>
              </w:rPr>
              <w:t>Nov 2003</w:t>
            </w:r>
          </w:p>
        </w:tc>
      </w:tr>
      <w:tr w:rsidR="000A4C18" w:rsidRPr="000A4C18" w:rsidTr="000A4C18">
        <w:tc>
          <w:tcPr>
            <w:tcW w:w="2660" w:type="dxa"/>
            <w:vMerge/>
            <w:shd w:val="clear" w:color="auto" w:fill="auto"/>
          </w:tcPr>
          <w:p w:rsidR="000A4C18" w:rsidRPr="00646887" w:rsidRDefault="000A4C18" w:rsidP="00492694">
            <w:pPr>
              <w:pStyle w:val="BodyText1"/>
              <w:rPr>
                <w:sz w:val="22"/>
                <w:szCs w:val="22"/>
              </w:rPr>
            </w:pPr>
          </w:p>
        </w:tc>
        <w:tc>
          <w:tcPr>
            <w:tcW w:w="2835" w:type="dxa"/>
            <w:vMerge/>
            <w:shd w:val="clear" w:color="auto" w:fill="auto"/>
          </w:tcPr>
          <w:p w:rsidR="000A4C18" w:rsidRPr="00646887" w:rsidRDefault="000A4C18" w:rsidP="00492694">
            <w:pPr>
              <w:pStyle w:val="BodyText1"/>
              <w:rPr>
                <w:sz w:val="22"/>
                <w:szCs w:val="22"/>
              </w:rPr>
            </w:pPr>
          </w:p>
        </w:tc>
        <w:tc>
          <w:tcPr>
            <w:tcW w:w="1843" w:type="dxa"/>
            <w:shd w:val="clear" w:color="auto" w:fill="auto"/>
          </w:tcPr>
          <w:p w:rsidR="000A4C18" w:rsidRPr="00646887" w:rsidRDefault="000A4C18" w:rsidP="00492694">
            <w:pPr>
              <w:pStyle w:val="BodyText1"/>
              <w:rPr>
                <w:sz w:val="22"/>
                <w:szCs w:val="22"/>
              </w:rPr>
            </w:pPr>
            <w:r w:rsidRPr="00646887">
              <w:rPr>
                <w:sz w:val="22"/>
                <w:szCs w:val="22"/>
              </w:rPr>
              <w:t>Roziglitazone</w:t>
            </w:r>
            <w:r w:rsidRPr="00646887">
              <w:rPr>
                <w:sz w:val="22"/>
                <w:szCs w:val="22"/>
                <w:vertAlign w:val="superscript"/>
              </w:rPr>
              <w:t>a</w:t>
            </w:r>
          </w:p>
        </w:tc>
        <w:tc>
          <w:tcPr>
            <w:tcW w:w="1904" w:type="dxa"/>
            <w:shd w:val="clear" w:color="auto" w:fill="auto"/>
          </w:tcPr>
          <w:p w:rsidR="000A4C18" w:rsidRPr="00646887" w:rsidRDefault="000A4C18" w:rsidP="00492694">
            <w:pPr>
              <w:pStyle w:val="BodyText1"/>
              <w:rPr>
                <w:sz w:val="22"/>
                <w:szCs w:val="22"/>
              </w:rPr>
            </w:pPr>
            <w:r w:rsidRPr="00646887">
              <w:rPr>
                <w:sz w:val="22"/>
                <w:szCs w:val="22"/>
              </w:rPr>
              <w:t>Nov 2003</w:t>
            </w:r>
          </w:p>
        </w:tc>
      </w:tr>
      <w:tr w:rsidR="000A4C18" w:rsidRPr="000A4C18" w:rsidTr="000A4C18">
        <w:tc>
          <w:tcPr>
            <w:tcW w:w="2660" w:type="dxa"/>
            <w:vMerge w:val="restart"/>
            <w:shd w:val="clear" w:color="auto" w:fill="auto"/>
          </w:tcPr>
          <w:p w:rsidR="000A4C18" w:rsidRPr="00646887" w:rsidRDefault="00786555" w:rsidP="00492694">
            <w:pPr>
              <w:pStyle w:val="BodyText1"/>
              <w:rPr>
                <w:sz w:val="22"/>
                <w:szCs w:val="22"/>
              </w:rPr>
            </w:pPr>
            <w:r w:rsidRPr="00646887">
              <w:rPr>
                <w:sz w:val="22"/>
                <w:szCs w:val="22"/>
              </w:rPr>
              <w:t xml:space="preserve">Dipeptidyl peptidase </w:t>
            </w:r>
            <w:r w:rsidR="000A4C18" w:rsidRPr="00646887">
              <w:rPr>
                <w:sz w:val="22"/>
                <w:szCs w:val="22"/>
              </w:rPr>
              <w:t>4 (DPP</w:t>
            </w:r>
            <w:r w:rsidR="003776A5">
              <w:rPr>
                <w:sz w:val="22"/>
                <w:szCs w:val="22"/>
              </w:rPr>
              <w:t>-</w:t>
            </w:r>
            <w:r w:rsidR="000A4C18" w:rsidRPr="00646887">
              <w:rPr>
                <w:sz w:val="22"/>
                <w:szCs w:val="22"/>
              </w:rPr>
              <w:t>4) inhibitors (gliptins)</w:t>
            </w:r>
          </w:p>
        </w:tc>
        <w:tc>
          <w:tcPr>
            <w:tcW w:w="2835" w:type="dxa"/>
            <w:vMerge w:val="restart"/>
            <w:shd w:val="clear" w:color="auto" w:fill="auto"/>
          </w:tcPr>
          <w:p w:rsidR="000A4C18" w:rsidRPr="00646887" w:rsidRDefault="000A4C18" w:rsidP="00492694">
            <w:pPr>
              <w:pStyle w:val="BodyText1"/>
              <w:rPr>
                <w:sz w:val="22"/>
                <w:szCs w:val="22"/>
              </w:rPr>
            </w:pPr>
            <w:r w:rsidRPr="00646887">
              <w:rPr>
                <w:sz w:val="22"/>
                <w:szCs w:val="22"/>
              </w:rPr>
              <w:t>Increase insulin synthesis and release by the pancreas</w:t>
            </w:r>
            <w:r w:rsidR="00886B4F" w:rsidRPr="00646887">
              <w:rPr>
                <w:sz w:val="22"/>
                <w:szCs w:val="22"/>
              </w:rPr>
              <w:t>.</w:t>
            </w:r>
          </w:p>
        </w:tc>
        <w:tc>
          <w:tcPr>
            <w:tcW w:w="1843" w:type="dxa"/>
            <w:shd w:val="clear" w:color="auto" w:fill="auto"/>
          </w:tcPr>
          <w:p w:rsidR="000A4C18" w:rsidRPr="00646887" w:rsidRDefault="000A4C18" w:rsidP="00492694">
            <w:pPr>
              <w:pStyle w:val="BodyText1"/>
              <w:rPr>
                <w:sz w:val="22"/>
                <w:szCs w:val="22"/>
              </w:rPr>
            </w:pPr>
            <w:r w:rsidRPr="00646887">
              <w:rPr>
                <w:sz w:val="22"/>
                <w:szCs w:val="22"/>
              </w:rPr>
              <w:t>Alogliptin</w:t>
            </w:r>
            <w:r w:rsidRPr="00646887">
              <w:rPr>
                <w:sz w:val="22"/>
                <w:szCs w:val="22"/>
                <w:vertAlign w:val="superscript"/>
              </w:rPr>
              <w:t>a</w:t>
            </w:r>
          </w:p>
        </w:tc>
        <w:tc>
          <w:tcPr>
            <w:tcW w:w="1904" w:type="dxa"/>
            <w:shd w:val="clear" w:color="auto" w:fill="auto"/>
          </w:tcPr>
          <w:p w:rsidR="000A4C18" w:rsidRPr="00646887" w:rsidRDefault="006A0AA3" w:rsidP="00492694">
            <w:pPr>
              <w:pStyle w:val="BodyText1"/>
              <w:rPr>
                <w:sz w:val="22"/>
                <w:szCs w:val="22"/>
              </w:rPr>
            </w:pPr>
            <w:r>
              <w:rPr>
                <w:sz w:val="22"/>
                <w:szCs w:val="22"/>
              </w:rPr>
              <w:t>Dec</w:t>
            </w:r>
            <w:r w:rsidR="000A4C18" w:rsidRPr="00646887">
              <w:rPr>
                <w:sz w:val="22"/>
                <w:szCs w:val="22"/>
              </w:rPr>
              <w:t xml:space="preserve"> 2013</w:t>
            </w:r>
          </w:p>
        </w:tc>
      </w:tr>
      <w:tr w:rsidR="000A4C18" w:rsidRPr="000A4C18" w:rsidTr="000A4C18">
        <w:tc>
          <w:tcPr>
            <w:tcW w:w="2660" w:type="dxa"/>
            <w:vMerge/>
            <w:shd w:val="clear" w:color="auto" w:fill="auto"/>
          </w:tcPr>
          <w:p w:rsidR="000A4C18" w:rsidRPr="00646887" w:rsidRDefault="000A4C18" w:rsidP="00492694">
            <w:pPr>
              <w:pStyle w:val="BodyText1"/>
              <w:rPr>
                <w:sz w:val="22"/>
                <w:szCs w:val="22"/>
              </w:rPr>
            </w:pPr>
          </w:p>
        </w:tc>
        <w:tc>
          <w:tcPr>
            <w:tcW w:w="2835" w:type="dxa"/>
            <w:vMerge/>
            <w:shd w:val="clear" w:color="auto" w:fill="auto"/>
          </w:tcPr>
          <w:p w:rsidR="000A4C18" w:rsidRPr="00646887" w:rsidRDefault="000A4C18" w:rsidP="00492694">
            <w:pPr>
              <w:pStyle w:val="BodyText1"/>
              <w:rPr>
                <w:sz w:val="22"/>
                <w:szCs w:val="22"/>
              </w:rPr>
            </w:pPr>
          </w:p>
        </w:tc>
        <w:tc>
          <w:tcPr>
            <w:tcW w:w="1843" w:type="dxa"/>
            <w:shd w:val="clear" w:color="auto" w:fill="auto"/>
          </w:tcPr>
          <w:p w:rsidR="000A4C18" w:rsidRPr="00646887" w:rsidRDefault="000A4C18" w:rsidP="00492694">
            <w:pPr>
              <w:pStyle w:val="BodyText1"/>
              <w:rPr>
                <w:sz w:val="22"/>
                <w:szCs w:val="22"/>
              </w:rPr>
            </w:pPr>
            <w:r w:rsidRPr="00646887">
              <w:rPr>
                <w:sz w:val="22"/>
                <w:szCs w:val="22"/>
              </w:rPr>
              <w:t>Linagliptin</w:t>
            </w:r>
            <w:r w:rsidRPr="00646887">
              <w:rPr>
                <w:sz w:val="22"/>
                <w:szCs w:val="22"/>
                <w:vertAlign w:val="superscript"/>
              </w:rPr>
              <w:t>a</w:t>
            </w:r>
          </w:p>
        </w:tc>
        <w:tc>
          <w:tcPr>
            <w:tcW w:w="1904" w:type="dxa"/>
            <w:shd w:val="clear" w:color="auto" w:fill="auto"/>
          </w:tcPr>
          <w:p w:rsidR="000A4C18" w:rsidRPr="00646887" w:rsidRDefault="000A4C18" w:rsidP="00492694">
            <w:pPr>
              <w:pStyle w:val="BodyText1"/>
              <w:rPr>
                <w:sz w:val="22"/>
                <w:szCs w:val="22"/>
              </w:rPr>
            </w:pPr>
            <w:r w:rsidRPr="00646887">
              <w:rPr>
                <w:sz w:val="22"/>
                <w:szCs w:val="22"/>
              </w:rPr>
              <w:t>Mar 2012</w:t>
            </w:r>
          </w:p>
        </w:tc>
      </w:tr>
      <w:tr w:rsidR="000A4C18" w:rsidRPr="000A4C18" w:rsidTr="000A4C18">
        <w:tc>
          <w:tcPr>
            <w:tcW w:w="2660" w:type="dxa"/>
            <w:vMerge/>
            <w:shd w:val="clear" w:color="auto" w:fill="auto"/>
          </w:tcPr>
          <w:p w:rsidR="000A4C18" w:rsidRPr="00646887" w:rsidRDefault="000A4C18" w:rsidP="00492694">
            <w:pPr>
              <w:pStyle w:val="BodyText1"/>
              <w:rPr>
                <w:sz w:val="22"/>
                <w:szCs w:val="22"/>
              </w:rPr>
            </w:pPr>
          </w:p>
        </w:tc>
        <w:tc>
          <w:tcPr>
            <w:tcW w:w="2835" w:type="dxa"/>
            <w:vMerge/>
            <w:shd w:val="clear" w:color="auto" w:fill="auto"/>
          </w:tcPr>
          <w:p w:rsidR="000A4C18" w:rsidRPr="00646887" w:rsidRDefault="000A4C18" w:rsidP="00492694">
            <w:pPr>
              <w:pStyle w:val="BodyText1"/>
              <w:rPr>
                <w:sz w:val="22"/>
                <w:szCs w:val="22"/>
              </w:rPr>
            </w:pPr>
          </w:p>
        </w:tc>
        <w:tc>
          <w:tcPr>
            <w:tcW w:w="1843" w:type="dxa"/>
            <w:shd w:val="clear" w:color="auto" w:fill="auto"/>
          </w:tcPr>
          <w:p w:rsidR="000A4C18" w:rsidRPr="00646887" w:rsidRDefault="000A4C18" w:rsidP="00492694">
            <w:pPr>
              <w:pStyle w:val="BodyText1"/>
              <w:rPr>
                <w:sz w:val="22"/>
                <w:szCs w:val="22"/>
              </w:rPr>
            </w:pPr>
            <w:r w:rsidRPr="00646887">
              <w:rPr>
                <w:sz w:val="22"/>
                <w:szCs w:val="22"/>
              </w:rPr>
              <w:t>Saxagliptin</w:t>
            </w:r>
            <w:r w:rsidR="007C25C7">
              <w:rPr>
                <w:sz w:val="22"/>
                <w:szCs w:val="22"/>
                <w:vertAlign w:val="superscript"/>
              </w:rPr>
              <w:t>b</w:t>
            </w:r>
          </w:p>
        </w:tc>
        <w:tc>
          <w:tcPr>
            <w:tcW w:w="1904" w:type="dxa"/>
            <w:shd w:val="clear" w:color="auto" w:fill="auto"/>
          </w:tcPr>
          <w:p w:rsidR="000A4C18" w:rsidRPr="00646887" w:rsidRDefault="000A4C18" w:rsidP="00492694">
            <w:pPr>
              <w:pStyle w:val="BodyText1"/>
              <w:rPr>
                <w:sz w:val="22"/>
                <w:szCs w:val="22"/>
              </w:rPr>
            </w:pPr>
            <w:r w:rsidRPr="00646887">
              <w:rPr>
                <w:sz w:val="22"/>
                <w:szCs w:val="22"/>
              </w:rPr>
              <w:t>Jun 2011</w:t>
            </w:r>
          </w:p>
        </w:tc>
      </w:tr>
      <w:tr w:rsidR="000A4C18" w:rsidRPr="000A4C18" w:rsidTr="000A4C18">
        <w:tc>
          <w:tcPr>
            <w:tcW w:w="2660" w:type="dxa"/>
            <w:vMerge/>
            <w:shd w:val="clear" w:color="auto" w:fill="auto"/>
          </w:tcPr>
          <w:p w:rsidR="000A4C18" w:rsidRPr="00646887" w:rsidRDefault="000A4C18" w:rsidP="00492694">
            <w:pPr>
              <w:pStyle w:val="BodyText1"/>
              <w:rPr>
                <w:sz w:val="22"/>
                <w:szCs w:val="22"/>
              </w:rPr>
            </w:pPr>
          </w:p>
        </w:tc>
        <w:tc>
          <w:tcPr>
            <w:tcW w:w="2835" w:type="dxa"/>
            <w:vMerge/>
            <w:shd w:val="clear" w:color="auto" w:fill="auto"/>
          </w:tcPr>
          <w:p w:rsidR="000A4C18" w:rsidRPr="00646887" w:rsidRDefault="000A4C18" w:rsidP="00492694">
            <w:pPr>
              <w:pStyle w:val="BodyText1"/>
              <w:rPr>
                <w:sz w:val="22"/>
                <w:szCs w:val="22"/>
              </w:rPr>
            </w:pPr>
          </w:p>
        </w:tc>
        <w:tc>
          <w:tcPr>
            <w:tcW w:w="1843" w:type="dxa"/>
            <w:shd w:val="clear" w:color="auto" w:fill="auto"/>
          </w:tcPr>
          <w:p w:rsidR="000A4C18" w:rsidRPr="00646887" w:rsidRDefault="000A4C18" w:rsidP="00492694">
            <w:pPr>
              <w:pStyle w:val="BodyText1"/>
              <w:rPr>
                <w:sz w:val="22"/>
                <w:szCs w:val="22"/>
              </w:rPr>
            </w:pPr>
            <w:r w:rsidRPr="00646887">
              <w:rPr>
                <w:sz w:val="22"/>
                <w:szCs w:val="22"/>
              </w:rPr>
              <w:t>Sitagliptin</w:t>
            </w:r>
            <w:r w:rsidRPr="00646887">
              <w:rPr>
                <w:sz w:val="22"/>
                <w:szCs w:val="22"/>
                <w:vertAlign w:val="superscript"/>
              </w:rPr>
              <w:t>a</w:t>
            </w:r>
            <w:r w:rsidR="007C25C7">
              <w:rPr>
                <w:sz w:val="22"/>
                <w:szCs w:val="22"/>
                <w:vertAlign w:val="superscript"/>
              </w:rPr>
              <w:t>,b</w:t>
            </w:r>
          </w:p>
        </w:tc>
        <w:tc>
          <w:tcPr>
            <w:tcW w:w="1904" w:type="dxa"/>
            <w:shd w:val="clear" w:color="auto" w:fill="auto"/>
          </w:tcPr>
          <w:p w:rsidR="000A4C18" w:rsidRPr="00646887" w:rsidRDefault="000A4C18" w:rsidP="00492694">
            <w:pPr>
              <w:pStyle w:val="BodyText1"/>
              <w:rPr>
                <w:sz w:val="22"/>
                <w:szCs w:val="22"/>
              </w:rPr>
            </w:pPr>
            <w:r w:rsidRPr="00646887">
              <w:rPr>
                <w:sz w:val="22"/>
                <w:szCs w:val="22"/>
              </w:rPr>
              <w:t>Aug 2008</w:t>
            </w:r>
          </w:p>
        </w:tc>
      </w:tr>
      <w:tr w:rsidR="000A4C18" w:rsidRPr="000A4C18" w:rsidTr="000A4C18">
        <w:tc>
          <w:tcPr>
            <w:tcW w:w="2660" w:type="dxa"/>
            <w:vMerge/>
            <w:shd w:val="clear" w:color="auto" w:fill="auto"/>
          </w:tcPr>
          <w:p w:rsidR="000A4C18" w:rsidRPr="00646887" w:rsidRDefault="000A4C18" w:rsidP="00492694">
            <w:pPr>
              <w:pStyle w:val="BodyText1"/>
              <w:rPr>
                <w:sz w:val="22"/>
                <w:szCs w:val="22"/>
              </w:rPr>
            </w:pPr>
          </w:p>
        </w:tc>
        <w:tc>
          <w:tcPr>
            <w:tcW w:w="2835" w:type="dxa"/>
            <w:vMerge/>
            <w:shd w:val="clear" w:color="auto" w:fill="auto"/>
          </w:tcPr>
          <w:p w:rsidR="000A4C18" w:rsidRPr="00646887" w:rsidRDefault="000A4C18" w:rsidP="00492694">
            <w:pPr>
              <w:pStyle w:val="BodyText1"/>
              <w:rPr>
                <w:sz w:val="22"/>
                <w:szCs w:val="22"/>
              </w:rPr>
            </w:pPr>
          </w:p>
        </w:tc>
        <w:tc>
          <w:tcPr>
            <w:tcW w:w="1843" w:type="dxa"/>
            <w:shd w:val="clear" w:color="auto" w:fill="auto"/>
          </w:tcPr>
          <w:p w:rsidR="000A4C18" w:rsidRPr="00646887" w:rsidRDefault="000A4C18" w:rsidP="00492694">
            <w:pPr>
              <w:pStyle w:val="BodyText1"/>
              <w:rPr>
                <w:sz w:val="22"/>
                <w:szCs w:val="22"/>
              </w:rPr>
            </w:pPr>
            <w:r w:rsidRPr="00646887">
              <w:rPr>
                <w:sz w:val="22"/>
                <w:szCs w:val="22"/>
              </w:rPr>
              <w:t>Vildagliptin</w:t>
            </w:r>
            <w:r w:rsidRPr="00646887">
              <w:rPr>
                <w:sz w:val="22"/>
                <w:szCs w:val="22"/>
                <w:vertAlign w:val="superscript"/>
              </w:rPr>
              <w:t>a</w:t>
            </w:r>
          </w:p>
        </w:tc>
        <w:tc>
          <w:tcPr>
            <w:tcW w:w="1904" w:type="dxa"/>
            <w:shd w:val="clear" w:color="auto" w:fill="auto"/>
          </w:tcPr>
          <w:p w:rsidR="000A4C18" w:rsidRPr="00646887" w:rsidRDefault="000A4C18" w:rsidP="00492694">
            <w:pPr>
              <w:pStyle w:val="BodyText1"/>
              <w:rPr>
                <w:sz w:val="22"/>
                <w:szCs w:val="22"/>
              </w:rPr>
            </w:pPr>
            <w:r w:rsidRPr="00646887">
              <w:rPr>
                <w:sz w:val="22"/>
                <w:szCs w:val="22"/>
              </w:rPr>
              <w:t>Aug 2010</w:t>
            </w:r>
          </w:p>
        </w:tc>
      </w:tr>
      <w:tr w:rsidR="0096436F" w:rsidRPr="000A4C18" w:rsidTr="000A4C18">
        <w:tc>
          <w:tcPr>
            <w:tcW w:w="2660" w:type="dxa"/>
            <w:vMerge w:val="restart"/>
            <w:shd w:val="clear" w:color="auto" w:fill="auto"/>
          </w:tcPr>
          <w:p w:rsidR="0096436F" w:rsidRPr="00646887" w:rsidRDefault="0096436F" w:rsidP="00492694">
            <w:pPr>
              <w:pStyle w:val="BodyText1"/>
              <w:rPr>
                <w:sz w:val="22"/>
                <w:szCs w:val="22"/>
              </w:rPr>
            </w:pPr>
            <w:r w:rsidRPr="00646887">
              <w:rPr>
                <w:sz w:val="22"/>
                <w:szCs w:val="22"/>
                <w:lang w:eastAsia="en-AU"/>
              </w:rPr>
              <w:t>Sodium-glucose linked transporter protein 2 (</w:t>
            </w:r>
            <w:r w:rsidRPr="00646887">
              <w:rPr>
                <w:sz w:val="22"/>
                <w:szCs w:val="22"/>
              </w:rPr>
              <w:t>SGLT2) inhibitors</w:t>
            </w:r>
          </w:p>
        </w:tc>
        <w:tc>
          <w:tcPr>
            <w:tcW w:w="2835" w:type="dxa"/>
            <w:vMerge w:val="restart"/>
            <w:shd w:val="clear" w:color="auto" w:fill="auto"/>
          </w:tcPr>
          <w:p w:rsidR="0096436F" w:rsidRPr="00646887" w:rsidRDefault="0096436F" w:rsidP="00492694">
            <w:pPr>
              <w:pStyle w:val="BodyText1"/>
              <w:rPr>
                <w:sz w:val="22"/>
                <w:szCs w:val="22"/>
              </w:rPr>
            </w:pPr>
            <w:r w:rsidRPr="00646887">
              <w:rPr>
                <w:sz w:val="22"/>
                <w:szCs w:val="22"/>
              </w:rPr>
              <w:t>Block glucose reabsorption in the kidney.</w:t>
            </w:r>
          </w:p>
        </w:tc>
        <w:tc>
          <w:tcPr>
            <w:tcW w:w="1843" w:type="dxa"/>
            <w:shd w:val="clear" w:color="auto" w:fill="auto"/>
          </w:tcPr>
          <w:p w:rsidR="0096436F" w:rsidRPr="00646887" w:rsidRDefault="0096436F" w:rsidP="00492694">
            <w:pPr>
              <w:pStyle w:val="BodyText1"/>
              <w:rPr>
                <w:sz w:val="22"/>
                <w:szCs w:val="22"/>
              </w:rPr>
            </w:pPr>
            <w:r w:rsidRPr="00646887">
              <w:rPr>
                <w:sz w:val="22"/>
                <w:szCs w:val="22"/>
              </w:rPr>
              <w:t>Canagliflozin</w:t>
            </w:r>
          </w:p>
        </w:tc>
        <w:tc>
          <w:tcPr>
            <w:tcW w:w="1904" w:type="dxa"/>
            <w:shd w:val="clear" w:color="auto" w:fill="auto"/>
          </w:tcPr>
          <w:p w:rsidR="0096436F" w:rsidRPr="00646887" w:rsidRDefault="0096436F" w:rsidP="00492694">
            <w:pPr>
              <w:pStyle w:val="BodyText1"/>
              <w:rPr>
                <w:sz w:val="22"/>
                <w:szCs w:val="22"/>
              </w:rPr>
            </w:pPr>
            <w:r>
              <w:rPr>
                <w:sz w:val="22"/>
                <w:szCs w:val="22"/>
              </w:rPr>
              <w:t>Dec</w:t>
            </w:r>
            <w:r w:rsidRPr="00646887">
              <w:rPr>
                <w:sz w:val="22"/>
                <w:szCs w:val="22"/>
              </w:rPr>
              <w:t xml:space="preserve"> 2013</w:t>
            </w:r>
          </w:p>
        </w:tc>
      </w:tr>
      <w:tr w:rsidR="0096436F" w:rsidRPr="000A4C18" w:rsidTr="000A4C18">
        <w:tc>
          <w:tcPr>
            <w:tcW w:w="2660" w:type="dxa"/>
            <w:vMerge/>
            <w:shd w:val="clear" w:color="auto" w:fill="auto"/>
          </w:tcPr>
          <w:p w:rsidR="0096436F" w:rsidRPr="00646887" w:rsidRDefault="0096436F" w:rsidP="00492694">
            <w:pPr>
              <w:pStyle w:val="BodyText1"/>
              <w:rPr>
                <w:sz w:val="22"/>
                <w:szCs w:val="22"/>
              </w:rPr>
            </w:pPr>
          </w:p>
        </w:tc>
        <w:tc>
          <w:tcPr>
            <w:tcW w:w="2835" w:type="dxa"/>
            <w:vMerge/>
            <w:shd w:val="clear" w:color="auto" w:fill="auto"/>
          </w:tcPr>
          <w:p w:rsidR="0096436F" w:rsidRPr="00646887" w:rsidRDefault="0096436F" w:rsidP="00492694">
            <w:pPr>
              <w:pStyle w:val="BodyText1"/>
              <w:rPr>
                <w:sz w:val="22"/>
                <w:szCs w:val="22"/>
              </w:rPr>
            </w:pPr>
          </w:p>
        </w:tc>
        <w:tc>
          <w:tcPr>
            <w:tcW w:w="1843" w:type="dxa"/>
            <w:shd w:val="clear" w:color="auto" w:fill="auto"/>
          </w:tcPr>
          <w:p w:rsidR="0096436F" w:rsidRPr="00646887" w:rsidRDefault="0096436F" w:rsidP="00492694">
            <w:pPr>
              <w:pStyle w:val="BodyText1"/>
              <w:rPr>
                <w:sz w:val="22"/>
                <w:szCs w:val="22"/>
              </w:rPr>
            </w:pPr>
            <w:r w:rsidRPr="00646887">
              <w:rPr>
                <w:sz w:val="22"/>
                <w:szCs w:val="22"/>
              </w:rPr>
              <w:t>Dapagliflozin</w:t>
            </w:r>
          </w:p>
        </w:tc>
        <w:tc>
          <w:tcPr>
            <w:tcW w:w="1904" w:type="dxa"/>
            <w:shd w:val="clear" w:color="auto" w:fill="auto"/>
          </w:tcPr>
          <w:p w:rsidR="0096436F" w:rsidRPr="00646887" w:rsidRDefault="0096436F" w:rsidP="00492694">
            <w:pPr>
              <w:pStyle w:val="BodyText1"/>
              <w:rPr>
                <w:sz w:val="22"/>
                <w:szCs w:val="22"/>
              </w:rPr>
            </w:pPr>
            <w:r>
              <w:rPr>
                <w:sz w:val="22"/>
                <w:szCs w:val="22"/>
              </w:rPr>
              <w:t>Dec</w:t>
            </w:r>
            <w:r w:rsidRPr="00646887">
              <w:rPr>
                <w:sz w:val="22"/>
                <w:szCs w:val="22"/>
              </w:rPr>
              <w:t xml:space="preserve"> 2013</w:t>
            </w:r>
          </w:p>
        </w:tc>
      </w:tr>
      <w:tr w:rsidR="00C31FDB" w:rsidRPr="000A4C18" w:rsidTr="000A4C18">
        <w:tc>
          <w:tcPr>
            <w:tcW w:w="2660" w:type="dxa"/>
            <w:vMerge w:val="restart"/>
            <w:shd w:val="clear" w:color="auto" w:fill="auto"/>
          </w:tcPr>
          <w:p w:rsidR="00C31FDB" w:rsidRPr="00646887" w:rsidRDefault="00C31FDB" w:rsidP="00492694">
            <w:pPr>
              <w:pStyle w:val="BodyText1"/>
              <w:rPr>
                <w:sz w:val="22"/>
                <w:szCs w:val="22"/>
              </w:rPr>
            </w:pPr>
            <w:r w:rsidRPr="00646887">
              <w:rPr>
                <w:sz w:val="22"/>
                <w:szCs w:val="22"/>
              </w:rPr>
              <w:t>GLP-1 receptor agonists (incretin analogues)</w:t>
            </w:r>
          </w:p>
        </w:tc>
        <w:tc>
          <w:tcPr>
            <w:tcW w:w="2835" w:type="dxa"/>
            <w:vMerge w:val="restart"/>
            <w:shd w:val="clear" w:color="auto" w:fill="auto"/>
          </w:tcPr>
          <w:p w:rsidR="00C31FDB" w:rsidRPr="00646887" w:rsidRDefault="00C31FDB" w:rsidP="00492694">
            <w:pPr>
              <w:pStyle w:val="BodyText1"/>
              <w:rPr>
                <w:sz w:val="22"/>
                <w:szCs w:val="22"/>
              </w:rPr>
            </w:pPr>
            <w:r w:rsidRPr="00646887">
              <w:rPr>
                <w:sz w:val="22"/>
                <w:szCs w:val="22"/>
              </w:rPr>
              <w:t>Increase insulin synthesis and release by the pancreas.</w:t>
            </w:r>
          </w:p>
        </w:tc>
        <w:tc>
          <w:tcPr>
            <w:tcW w:w="1843" w:type="dxa"/>
            <w:shd w:val="clear" w:color="auto" w:fill="auto"/>
          </w:tcPr>
          <w:p w:rsidR="00C31FDB" w:rsidRPr="00646887" w:rsidRDefault="00C31FDB" w:rsidP="00492694">
            <w:pPr>
              <w:pStyle w:val="BodyText1"/>
              <w:rPr>
                <w:sz w:val="22"/>
                <w:szCs w:val="22"/>
              </w:rPr>
            </w:pPr>
            <w:r w:rsidRPr="00646887">
              <w:rPr>
                <w:sz w:val="22"/>
                <w:szCs w:val="22"/>
              </w:rPr>
              <w:t>Exenatide</w:t>
            </w:r>
          </w:p>
        </w:tc>
        <w:tc>
          <w:tcPr>
            <w:tcW w:w="1904" w:type="dxa"/>
            <w:shd w:val="clear" w:color="auto" w:fill="auto"/>
          </w:tcPr>
          <w:p w:rsidR="00C31FDB" w:rsidRPr="00646887" w:rsidRDefault="00C31FDB" w:rsidP="00492694">
            <w:pPr>
              <w:pStyle w:val="BodyText1"/>
              <w:rPr>
                <w:sz w:val="22"/>
                <w:szCs w:val="22"/>
              </w:rPr>
            </w:pPr>
            <w:r w:rsidRPr="00646887">
              <w:rPr>
                <w:sz w:val="22"/>
                <w:szCs w:val="22"/>
              </w:rPr>
              <w:t>Aug 2010</w:t>
            </w:r>
          </w:p>
        </w:tc>
      </w:tr>
      <w:tr w:rsidR="00C31FDB" w:rsidRPr="000A4C18" w:rsidTr="000A4C18">
        <w:tc>
          <w:tcPr>
            <w:tcW w:w="2660" w:type="dxa"/>
            <w:vMerge/>
            <w:shd w:val="clear" w:color="auto" w:fill="auto"/>
          </w:tcPr>
          <w:p w:rsidR="00C31FDB" w:rsidRPr="00646887" w:rsidRDefault="00C31FDB" w:rsidP="00492694">
            <w:pPr>
              <w:pStyle w:val="BodyText1"/>
              <w:rPr>
                <w:sz w:val="22"/>
                <w:szCs w:val="22"/>
              </w:rPr>
            </w:pPr>
          </w:p>
        </w:tc>
        <w:tc>
          <w:tcPr>
            <w:tcW w:w="2835" w:type="dxa"/>
            <w:vMerge/>
            <w:shd w:val="clear" w:color="auto" w:fill="auto"/>
          </w:tcPr>
          <w:p w:rsidR="00C31FDB" w:rsidRPr="00646887" w:rsidRDefault="00C31FDB" w:rsidP="00492694">
            <w:pPr>
              <w:pStyle w:val="BodyText1"/>
              <w:rPr>
                <w:sz w:val="22"/>
                <w:szCs w:val="22"/>
              </w:rPr>
            </w:pPr>
          </w:p>
        </w:tc>
        <w:tc>
          <w:tcPr>
            <w:tcW w:w="1843" w:type="dxa"/>
            <w:shd w:val="clear" w:color="auto" w:fill="auto"/>
          </w:tcPr>
          <w:p w:rsidR="00C31FDB" w:rsidRPr="00646887" w:rsidRDefault="00C31FDB" w:rsidP="00492694">
            <w:pPr>
              <w:pStyle w:val="BodyText1"/>
              <w:rPr>
                <w:sz w:val="22"/>
                <w:szCs w:val="22"/>
              </w:rPr>
            </w:pPr>
            <w:r>
              <w:rPr>
                <w:sz w:val="22"/>
                <w:szCs w:val="22"/>
              </w:rPr>
              <w:t>Liraglutide</w:t>
            </w:r>
          </w:p>
        </w:tc>
        <w:tc>
          <w:tcPr>
            <w:tcW w:w="1904" w:type="dxa"/>
            <w:shd w:val="clear" w:color="auto" w:fill="auto"/>
          </w:tcPr>
          <w:p w:rsidR="00C31FDB" w:rsidRDefault="00C31FDB" w:rsidP="00492694">
            <w:pPr>
              <w:pStyle w:val="BodyText1"/>
              <w:rPr>
                <w:sz w:val="22"/>
                <w:szCs w:val="22"/>
              </w:rPr>
            </w:pPr>
            <w:r>
              <w:rPr>
                <w:sz w:val="22"/>
                <w:szCs w:val="22"/>
              </w:rPr>
              <w:t xml:space="preserve">Not listed </w:t>
            </w:r>
          </w:p>
          <w:p w:rsidR="00C31FDB" w:rsidRPr="00646887" w:rsidRDefault="00C31FDB">
            <w:pPr>
              <w:pStyle w:val="BodyText1"/>
              <w:rPr>
                <w:sz w:val="22"/>
                <w:szCs w:val="22"/>
              </w:rPr>
            </w:pPr>
            <w:r>
              <w:rPr>
                <w:sz w:val="22"/>
                <w:szCs w:val="22"/>
              </w:rPr>
              <w:t>(</w:t>
            </w:r>
            <w:r w:rsidR="00AD4025">
              <w:rPr>
                <w:sz w:val="22"/>
                <w:szCs w:val="22"/>
              </w:rPr>
              <w:t>Recommended: March 2013</w:t>
            </w:r>
            <w:r>
              <w:rPr>
                <w:sz w:val="22"/>
                <w:szCs w:val="22"/>
              </w:rPr>
              <w:t>)</w:t>
            </w:r>
          </w:p>
        </w:tc>
      </w:tr>
    </w:tbl>
    <w:p w:rsidR="007C25C7" w:rsidRDefault="009C6838" w:rsidP="00646887">
      <w:pPr>
        <w:pStyle w:val="Notes"/>
      </w:pPr>
      <w:r w:rsidRPr="00E24A4D">
        <w:rPr>
          <w:vertAlign w:val="superscript"/>
        </w:rPr>
        <w:t>a</w:t>
      </w:r>
      <w:r w:rsidRPr="00E24A4D">
        <w:t xml:space="preserve"> Metformin </w:t>
      </w:r>
      <w:r w:rsidR="003776A5">
        <w:t xml:space="preserve">FDC </w:t>
      </w:r>
      <w:r w:rsidR="00404A6D">
        <w:t>available.</w:t>
      </w:r>
      <w:r w:rsidR="007C25C7">
        <w:t xml:space="preserve"> </w:t>
      </w:r>
    </w:p>
    <w:p w:rsidR="00404A6D" w:rsidRPr="00404A6D" w:rsidRDefault="007C25C7" w:rsidP="0093424D">
      <w:pPr>
        <w:pStyle w:val="Notes"/>
      </w:pPr>
      <w:r w:rsidRPr="0093424D">
        <w:rPr>
          <w:vertAlign w:val="superscript"/>
        </w:rPr>
        <w:t>b</w:t>
      </w:r>
      <w:r>
        <w:t xml:space="preserve"> Metf</w:t>
      </w:r>
      <w:r w:rsidR="004D258D">
        <w:t>ormin X</w:t>
      </w:r>
      <w:r>
        <w:t xml:space="preserve">R </w:t>
      </w:r>
      <w:r w:rsidR="00497A14">
        <w:t xml:space="preserve">(extended release) </w:t>
      </w:r>
      <w:r>
        <w:t>FDC available.</w:t>
      </w:r>
    </w:p>
    <w:p w:rsidR="00754150" w:rsidRDefault="00754150" w:rsidP="0093424D">
      <w:pPr>
        <w:pStyle w:val="Heading3"/>
        <w:rPr>
          <w:lang w:eastAsia="en-AU"/>
        </w:rPr>
      </w:pPr>
      <w:r>
        <w:rPr>
          <w:lang w:eastAsia="en-AU"/>
        </w:rPr>
        <w:t>1.2.4  Changes to PBS listings</w:t>
      </w:r>
      <w:r w:rsidR="003867DE">
        <w:rPr>
          <w:lang w:eastAsia="en-AU"/>
        </w:rPr>
        <w:t xml:space="preserve"> during the Review</w:t>
      </w:r>
    </w:p>
    <w:p w:rsidR="00754150" w:rsidRDefault="00754150" w:rsidP="0093424D">
      <w:pPr>
        <w:rPr>
          <w:lang w:eastAsia="en-AU"/>
        </w:rPr>
      </w:pPr>
      <w:r>
        <w:rPr>
          <w:lang w:eastAsia="en-AU"/>
        </w:rPr>
        <w:t xml:space="preserve">The following major changes to PBS listed medicines for the management of type 2 diabetes occurred </w:t>
      </w:r>
      <w:r w:rsidR="00665403">
        <w:rPr>
          <w:lang w:eastAsia="en-AU"/>
        </w:rPr>
        <w:t>in parallel with</w:t>
      </w:r>
      <w:r>
        <w:rPr>
          <w:lang w:eastAsia="en-AU"/>
        </w:rPr>
        <w:t xml:space="preserve"> the </w:t>
      </w:r>
      <w:r w:rsidR="004530B7">
        <w:rPr>
          <w:lang w:eastAsia="en-AU"/>
        </w:rPr>
        <w:t xml:space="preserve">Diabetes </w:t>
      </w:r>
      <w:r>
        <w:rPr>
          <w:lang w:eastAsia="en-AU"/>
        </w:rPr>
        <w:t>Review</w:t>
      </w:r>
      <w:r w:rsidR="00665403">
        <w:rPr>
          <w:lang w:eastAsia="en-AU"/>
        </w:rPr>
        <w:t xml:space="preserve"> as a result of sponsor submissions</w:t>
      </w:r>
      <w:r>
        <w:rPr>
          <w:lang w:eastAsia="en-AU"/>
        </w:rPr>
        <w:t>:</w:t>
      </w:r>
    </w:p>
    <w:p w:rsidR="00754150" w:rsidRDefault="00DA2A7F" w:rsidP="0093424D">
      <w:pPr>
        <w:pStyle w:val="ListParagraph"/>
        <w:numPr>
          <w:ilvl w:val="0"/>
          <w:numId w:val="64"/>
        </w:numPr>
        <w:rPr>
          <w:lang w:eastAsia="en-AU"/>
        </w:rPr>
      </w:pPr>
      <w:r>
        <w:rPr>
          <w:lang w:eastAsia="en-AU"/>
        </w:rPr>
        <w:t>Alogliptin, c</w:t>
      </w:r>
      <w:r w:rsidR="00754150">
        <w:rPr>
          <w:lang w:eastAsia="en-AU"/>
        </w:rPr>
        <w:t>anagliflozin and dapagliflozin were listed on 1 Dece</w:t>
      </w:r>
      <w:r w:rsidR="007618FC">
        <w:rPr>
          <w:lang w:eastAsia="en-AU"/>
        </w:rPr>
        <w:t>m</w:t>
      </w:r>
      <w:r w:rsidR="00754150">
        <w:rPr>
          <w:lang w:eastAsia="en-AU"/>
        </w:rPr>
        <w:t>ber 2013.</w:t>
      </w:r>
    </w:p>
    <w:p w:rsidR="007533E2" w:rsidRDefault="00754150" w:rsidP="0093424D">
      <w:pPr>
        <w:pStyle w:val="ListParagraph"/>
        <w:numPr>
          <w:ilvl w:val="0"/>
          <w:numId w:val="64"/>
        </w:numPr>
        <w:rPr>
          <w:lang w:eastAsia="en-AU"/>
        </w:rPr>
      </w:pPr>
      <w:r>
        <w:rPr>
          <w:lang w:eastAsia="en-AU"/>
        </w:rPr>
        <w:t>Sitaglitpin + simvastatin FDC</w:t>
      </w:r>
      <w:r w:rsidR="007533E2">
        <w:rPr>
          <w:lang w:eastAsia="en-AU"/>
        </w:rPr>
        <w:t xml:space="preserve"> was deleted on 1 April 2014.</w:t>
      </w:r>
    </w:p>
    <w:p w:rsidR="004D258D" w:rsidRDefault="00497A14" w:rsidP="0093424D">
      <w:pPr>
        <w:pStyle w:val="ListParagraph"/>
        <w:numPr>
          <w:ilvl w:val="0"/>
          <w:numId w:val="64"/>
        </w:numPr>
        <w:rPr>
          <w:lang w:eastAsia="en-AU"/>
        </w:rPr>
      </w:pPr>
      <w:r>
        <w:rPr>
          <w:lang w:eastAsia="en-AU"/>
        </w:rPr>
        <w:t>M</w:t>
      </w:r>
      <w:r w:rsidR="004D258D">
        <w:rPr>
          <w:lang w:eastAsia="en-AU"/>
        </w:rPr>
        <w:t>etformin XR FDCs with saxagliptin and sitagliptin were listed on</w:t>
      </w:r>
      <w:r>
        <w:rPr>
          <w:lang w:eastAsia="en-AU"/>
        </w:rPr>
        <w:t xml:space="preserve"> 1 March 2014 and 1 May 2014, respectively.</w:t>
      </w:r>
    </w:p>
    <w:p w:rsidR="00665403" w:rsidRDefault="00665403" w:rsidP="00665403">
      <w:pPr>
        <w:rPr>
          <w:lang w:eastAsia="en-AU"/>
        </w:rPr>
      </w:pPr>
      <w:r>
        <w:rPr>
          <w:lang w:eastAsia="en-AU"/>
        </w:rPr>
        <w:t xml:space="preserve">In April and July 2013, the PBAC recommended the listings of saxagliptin with metformin, linagliptin with metformin and alogliptin for the treatment of type 2 diabetes, the latter in combination with metformin or a sulfonylurea. At the time, the restrictions on other listed DPP-4 inhibitors allowed use of these medicines with metformin or a sulfonylurea only in patients whose condition was not controlled with metformin + sulfonylurea or with a contraindication to, or intolerant of, a combination of metformin + sulfonylurea. The PBAC recalled that the DUSC Analysis of Medicines for Type 2 Diabetes showed that a high percentage of patients (41%) started </w:t>
      </w:r>
      <w:r w:rsidR="000F567F" w:rsidRPr="005932DF">
        <w:t xml:space="preserve">a </w:t>
      </w:r>
      <w:r w:rsidR="000F567F">
        <w:t>DPP-4 inhibitor</w:t>
      </w:r>
      <w:r w:rsidR="000F567F" w:rsidRPr="005932DF">
        <w:t xml:space="preserve">, </w:t>
      </w:r>
      <w:r w:rsidR="000F567F">
        <w:t>TZD or exenatide</w:t>
      </w:r>
      <w:r w:rsidR="000F567F" w:rsidRPr="005932DF">
        <w:t xml:space="preserve"> </w:t>
      </w:r>
      <w:r>
        <w:rPr>
          <w:lang w:eastAsia="en-AU"/>
        </w:rPr>
        <w:t>without a trial of a sulfonylurea (a population in which cost-</w:t>
      </w:r>
      <w:r>
        <w:rPr>
          <w:lang w:eastAsia="en-AU"/>
        </w:rPr>
        <w:lastRenderedPageBreak/>
        <w:t>effectiveness has not been demonstrated). Therefore, the PBAC recommended the listing of these medicines at a reduced price, where the likely proportion of use in patients who have not trialled a sulfonylurea was cost-minimised to the average daily dose of a sulfonylurea in combination with metformin.</w:t>
      </w:r>
    </w:p>
    <w:p w:rsidR="00665403" w:rsidRDefault="00665403" w:rsidP="00665403">
      <w:pPr>
        <w:rPr>
          <w:lang w:eastAsia="en-AU"/>
        </w:rPr>
      </w:pPr>
      <w:r>
        <w:rPr>
          <w:lang w:eastAsia="en-AU"/>
        </w:rPr>
        <w:t>Due to the application of the reference pricing policy, the sponsors of the other listed DPP-4 inhibitors agreed to reduced PBS prices. The PBS prices of metformin + DPP-4 inhibitor fixed dose combination products were also reduced, as these are cost-minimised against the prices of the component medicines, or against other metformin + DPP-4 inhibitor fixed dose combinations.  Revised restrictions that removed the requirement for patients to be contraindicated to, or intolerant of, a combination of metformin + sulfonylurea were implemented in parallel with the price reduction.</w:t>
      </w:r>
    </w:p>
    <w:p w:rsidR="00754150" w:rsidRDefault="007618FC" w:rsidP="0093424D">
      <w:pPr>
        <w:rPr>
          <w:lang w:eastAsia="en-AU"/>
        </w:rPr>
      </w:pPr>
      <w:r>
        <w:rPr>
          <w:lang w:eastAsia="en-AU"/>
        </w:rPr>
        <w:t>In July</w:t>
      </w:r>
      <w:r w:rsidR="00AD4025">
        <w:rPr>
          <w:lang w:eastAsia="en-AU"/>
        </w:rPr>
        <w:t xml:space="preserve"> 2014, </w:t>
      </w:r>
      <w:r w:rsidR="0096436F">
        <w:rPr>
          <w:lang w:eastAsia="en-AU"/>
        </w:rPr>
        <w:t xml:space="preserve">the PBAC recommended the listing of a dapagliflozin + metformin XR FDC. As proposed by the sponsor, the PBAC recommended that the PBS listings for dapagliflozin and dapagliflozin + metformin </w:t>
      </w:r>
      <w:r w:rsidR="00847179">
        <w:rPr>
          <w:lang w:eastAsia="en-AU"/>
        </w:rPr>
        <w:t xml:space="preserve">XR </w:t>
      </w:r>
      <w:r w:rsidR="0096436F">
        <w:rPr>
          <w:lang w:eastAsia="en-AU"/>
        </w:rPr>
        <w:t xml:space="preserve">FDC be aligned with that of the DPP-4 inhibitors. </w:t>
      </w:r>
      <w:r w:rsidR="00847179">
        <w:rPr>
          <w:lang w:eastAsia="en-AU"/>
        </w:rPr>
        <w:t>The PBAC considered that such an alignment of restrictions would be cost-effective if the prices were also aligned with the DPP-4 inhibitors, noting that the price would require adjustment to take into account the current dapagliflozin cost offset for adverse events. Also i</w:t>
      </w:r>
      <w:r w:rsidR="0096436F">
        <w:rPr>
          <w:lang w:eastAsia="en-AU"/>
        </w:rPr>
        <w:t>n July 2014, the PBAC recommended the listing of another SGLT2 inhibitor, empagliflozi</w:t>
      </w:r>
      <w:r w:rsidR="00847179">
        <w:rPr>
          <w:lang w:eastAsia="en-AU"/>
        </w:rPr>
        <w:t>n, on a cost-minimisation basis with dapagliflozin and canagliflozin, with restrictions based on the current listing of these two medicines.</w:t>
      </w:r>
    </w:p>
    <w:p w:rsidR="005804E4" w:rsidRDefault="005804E4" w:rsidP="0093424D">
      <w:pPr>
        <w:rPr>
          <w:lang w:eastAsia="en-AU"/>
        </w:rPr>
      </w:pPr>
      <w:r>
        <w:rPr>
          <w:lang w:eastAsia="en-AU"/>
        </w:rPr>
        <w:t>The PBAC rejected the request to list lixisenatide for use in triple combination therapy with basal insulin and either metformin or a sulfonylurea in July 2014, o</w:t>
      </w:r>
      <w:r w:rsidR="00044D3D">
        <w:rPr>
          <w:lang w:eastAsia="en-AU"/>
        </w:rPr>
        <w:t>n the basis of uncertain clinica</w:t>
      </w:r>
      <w:r>
        <w:rPr>
          <w:lang w:eastAsia="en-AU"/>
        </w:rPr>
        <w:t>l place and inappropriate comparator (uptitrated insulin). The request to list lixisenatide for dual therapy in combination with metformin, and triple therapy in combination with metformin + sulfonylurea, was also rejected on the basis that non-inferiority to exenatide had not been adequately established.</w:t>
      </w:r>
    </w:p>
    <w:p w:rsidR="00754150" w:rsidRDefault="00754150" w:rsidP="0093424D">
      <w:bookmarkStart w:id="146" w:name="_Toc382906703"/>
    </w:p>
    <w:p w:rsidR="009C6838" w:rsidRDefault="009C6838" w:rsidP="00492694">
      <w:pPr>
        <w:pStyle w:val="Heading2"/>
      </w:pPr>
      <w:bookmarkStart w:id="147" w:name="_Toc397947697"/>
      <w:bookmarkStart w:id="148" w:name="_Toc403399538"/>
      <w:r w:rsidRPr="00A53E3C">
        <w:t>1.</w:t>
      </w:r>
      <w:r w:rsidR="002D7524">
        <w:t>3</w:t>
      </w:r>
      <w:bookmarkEnd w:id="146"/>
      <w:r w:rsidR="009B045E">
        <w:tab/>
      </w:r>
      <w:r w:rsidR="002D7524">
        <w:t>Medicines Review</w:t>
      </w:r>
      <w:r w:rsidR="009B045E">
        <w:t xml:space="preserve"> Process</w:t>
      </w:r>
      <w:bookmarkEnd w:id="147"/>
      <w:bookmarkEnd w:id="148"/>
    </w:p>
    <w:p w:rsidR="009241E7" w:rsidRDefault="009B045E" w:rsidP="00492694">
      <w:pPr>
        <w:pStyle w:val="BodyText1"/>
        <w:rPr>
          <w:lang w:eastAsia="en-AU"/>
        </w:rPr>
      </w:pPr>
      <w:r>
        <w:t>This post-market review</w:t>
      </w:r>
      <w:r w:rsidRPr="00787F54">
        <w:t xml:space="preserve"> follow</w:t>
      </w:r>
      <w:r>
        <w:t>ed the</w:t>
      </w:r>
      <w:r w:rsidRPr="00787F54">
        <w:t xml:space="preserve"> standard process detailed on the </w:t>
      </w:r>
      <w:r w:rsidRPr="00787F54">
        <w:rPr>
          <w:u w:val="single"/>
        </w:rPr>
        <w:t>Post-Market Review website</w:t>
      </w:r>
      <w:r>
        <w:t xml:space="preserve"> </w:t>
      </w:r>
      <w:r w:rsidR="009241E7">
        <w:t>(</w:t>
      </w:r>
      <w:r>
        <w:t>at the time</w:t>
      </w:r>
      <w:r w:rsidR="009241E7">
        <w:t xml:space="preserve">), and </w:t>
      </w:r>
      <w:r w:rsidR="009241E7">
        <w:rPr>
          <w:lang w:eastAsia="en-AU"/>
        </w:rPr>
        <w:t>involved the following key steps:</w:t>
      </w:r>
    </w:p>
    <w:p w:rsidR="009241E7" w:rsidRDefault="009241E7" w:rsidP="00492694">
      <w:pPr>
        <w:pStyle w:val="BodyText1"/>
        <w:numPr>
          <w:ilvl w:val="0"/>
          <w:numId w:val="6"/>
        </w:numPr>
        <w:rPr>
          <w:lang w:eastAsia="en-AU"/>
        </w:rPr>
      </w:pPr>
      <w:r>
        <w:rPr>
          <w:lang w:eastAsia="en-AU"/>
        </w:rPr>
        <w:t>Identification of issues by the DUSC.</w:t>
      </w:r>
    </w:p>
    <w:p w:rsidR="009241E7" w:rsidRDefault="009241E7" w:rsidP="00492694">
      <w:pPr>
        <w:pStyle w:val="BodyText1"/>
        <w:numPr>
          <w:ilvl w:val="0"/>
          <w:numId w:val="6"/>
        </w:numPr>
        <w:rPr>
          <w:lang w:eastAsia="en-AU"/>
        </w:rPr>
      </w:pPr>
      <w:r>
        <w:rPr>
          <w:lang w:eastAsia="en-AU"/>
        </w:rPr>
        <w:t xml:space="preserve">The PBAC recommended the Review and endorsed the ToR. </w:t>
      </w:r>
    </w:p>
    <w:p w:rsidR="009241E7" w:rsidRDefault="009241E7" w:rsidP="00492694">
      <w:pPr>
        <w:pStyle w:val="BodyText1"/>
        <w:numPr>
          <w:ilvl w:val="0"/>
          <w:numId w:val="6"/>
        </w:numPr>
        <w:rPr>
          <w:lang w:eastAsia="en-AU"/>
        </w:rPr>
      </w:pPr>
      <w:r>
        <w:rPr>
          <w:lang w:eastAsia="en-AU"/>
        </w:rPr>
        <w:t>The Minister approved commencement of the Review.</w:t>
      </w:r>
    </w:p>
    <w:p w:rsidR="009241E7" w:rsidRDefault="009241E7" w:rsidP="00492694">
      <w:pPr>
        <w:pStyle w:val="BodyText1"/>
        <w:numPr>
          <w:ilvl w:val="0"/>
          <w:numId w:val="6"/>
        </w:numPr>
        <w:rPr>
          <w:lang w:eastAsia="en-AU"/>
        </w:rPr>
      </w:pPr>
      <w:r>
        <w:rPr>
          <w:lang w:eastAsia="en-AU"/>
        </w:rPr>
        <w:t>A Reference Group of experts was established to guide the Review.</w:t>
      </w:r>
    </w:p>
    <w:p w:rsidR="009241E7" w:rsidRDefault="009241E7" w:rsidP="00492694">
      <w:pPr>
        <w:pStyle w:val="BodyText1"/>
        <w:numPr>
          <w:ilvl w:val="0"/>
          <w:numId w:val="6"/>
        </w:numPr>
        <w:rPr>
          <w:lang w:eastAsia="en-AU"/>
        </w:rPr>
      </w:pPr>
      <w:r>
        <w:rPr>
          <w:lang w:eastAsia="en-AU"/>
        </w:rPr>
        <w:t>Public input was sought through a written submission process.</w:t>
      </w:r>
    </w:p>
    <w:p w:rsidR="009241E7" w:rsidRDefault="009241E7" w:rsidP="00492694">
      <w:pPr>
        <w:pStyle w:val="BodyText1"/>
        <w:numPr>
          <w:ilvl w:val="0"/>
          <w:numId w:val="6"/>
        </w:numPr>
        <w:rPr>
          <w:lang w:eastAsia="en-AU"/>
        </w:rPr>
      </w:pPr>
      <w:r>
        <w:rPr>
          <w:lang w:eastAsia="en-AU"/>
        </w:rPr>
        <w:t>A Stakeholder Forum was held to further gather public input.</w:t>
      </w:r>
    </w:p>
    <w:p w:rsidR="009241E7" w:rsidRDefault="009241E7" w:rsidP="00492694">
      <w:pPr>
        <w:pStyle w:val="BodyText1"/>
        <w:numPr>
          <w:ilvl w:val="0"/>
          <w:numId w:val="6"/>
        </w:numPr>
        <w:rPr>
          <w:lang w:eastAsia="en-AU"/>
        </w:rPr>
      </w:pPr>
      <w:r>
        <w:rPr>
          <w:lang w:eastAsia="en-AU"/>
        </w:rPr>
        <w:t>Analyses were conducted, e.g. literature reviews.</w:t>
      </w:r>
    </w:p>
    <w:p w:rsidR="009241E7" w:rsidRDefault="009241E7" w:rsidP="00492694">
      <w:pPr>
        <w:pStyle w:val="BodyText1"/>
        <w:numPr>
          <w:ilvl w:val="0"/>
          <w:numId w:val="6"/>
        </w:numPr>
        <w:rPr>
          <w:lang w:eastAsia="en-AU"/>
        </w:rPr>
      </w:pPr>
      <w:r>
        <w:rPr>
          <w:lang w:eastAsia="en-AU"/>
        </w:rPr>
        <w:lastRenderedPageBreak/>
        <w:t>A draft report was released for public comment.</w:t>
      </w:r>
    </w:p>
    <w:p w:rsidR="00DE0923" w:rsidRDefault="00DE0923" w:rsidP="00492694">
      <w:pPr>
        <w:pStyle w:val="BodyText1"/>
      </w:pPr>
      <w:r>
        <w:rPr>
          <w:rFonts w:eastAsia="Calibri"/>
        </w:rPr>
        <w:t>The f</w:t>
      </w:r>
      <w:r w:rsidR="00EC7EB1">
        <w:rPr>
          <w:rFonts w:eastAsia="Calibri"/>
        </w:rPr>
        <w:t xml:space="preserve">inal Report, public submissions, </w:t>
      </w:r>
      <w:r>
        <w:rPr>
          <w:rFonts w:eastAsia="Calibri"/>
        </w:rPr>
        <w:t xml:space="preserve">and public comments on the draft Report, </w:t>
      </w:r>
      <w:r w:rsidRPr="001F45E9">
        <w:rPr>
          <w:rFonts w:eastAsia="Calibri"/>
        </w:rPr>
        <w:t xml:space="preserve">will be provided to the PBAC for </w:t>
      </w:r>
      <w:r>
        <w:rPr>
          <w:rFonts w:eastAsia="Calibri"/>
        </w:rPr>
        <w:t>consideration and recommendation, before the final Report is provided to the Minster.</w:t>
      </w:r>
    </w:p>
    <w:p w:rsidR="009C6838" w:rsidRPr="001F45E9" w:rsidRDefault="002D7524" w:rsidP="00492694">
      <w:pPr>
        <w:pStyle w:val="Heading3"/>
      </w:pPr>
      <w:bookmarkStart w:id="149" w:name="_1.2.4.1__Written"/>
      <w:bookmarkStart w:id="150" w:name="_1.3.1__Written"/>
      <w:bookmarkEnd w:id="149"/>
      <w:bookmarkEnd w:id="150"/>
      <w:r>
        <w:t>1.3</w:t>
      </w:r>
      <w:r w:rsidR="009C6838">
        <w:t>.</w:t>
      </w:r>
      <w:r w:rsidR="00A52777">
        <w:t xml:space="preserve">1  </w:t>
      </w:r>
      <w:r w:rsidR="009C6838">
        <w:t>Written submissions addressing</w:t>
      </w:r>
      <w:r w:rsidR="009C6838" w:rsidRPr="001F45E9">
        <w:t xml:space="preserve"> the ToRs</w:t>
      </w:r>
    </w:p>
    <w:p w:rsidR="00DE0923" w:rsidRDefault="00DE0923" w:rsidP="00492694">
      <w:pPr>
        <w:pStyle w:val="BodyText1"/>
      </w:pPr>
      <w:r>
        <w:t xml:space="preserve">Initial information about the Diabetes Review, including the complete ToR, were first published on the </w:t>
      </w:r>
      <w:r w:rsidRPr="0028026D">
        <w:t>Diabetes Review website</w:t>
      </w:r>
      <w:r>
        <w:t xml:space="preserve"> on 16 October 2012. Stakeholders were encouraged to join the PBS subscription service to receive alerts relating to the Review.</w:t>
      </w:r>
    </w:p>
    <w:p w:rsidR="009C6838" w:rsidRDefault="00404A6D" w:rsidP="00492694">
      <w:pPr>
        <w:pStyle w:val="BodyText1"/>
      </w:pPr>
      <w:r>
        <w:t>I</w:t>
      </w:r>
      <w:r w:rsidR="00261672" w:rsidRPr="00404A6D">
        <w:t>nput from identified</w:t>
      </w:r>
      <w:r w:rsidR="009C6838" w:rsidRPr="00404A6D">
        <w:t xml:space="preserve"> </w:t>
      </w:r>
      <w:r w:rsidR="00261672" w:rsidRPr="00404A6D">
        <w:t xml:space="preserve">stakeholders </w:t>
      </w:r>
      <w:r>
        <w:t xml:space="preserve">and the public </w:t>
      </w:r>
      <w:r w:rsidR="00261672" w:rsidRPr="00404A6D">
        <w:t>w</w:t>
      </w:r>
      <w:r>
        <w:t>as</w:t>
      </w:r>
      <w:r w:rsidR="009C6838" w:rsidRPr="001F45E9">
        <w:t xml:space="preserve"> sought by announcing a call for submissions to address ToR</w:t>
      </w:r>
      <w:r w:rsidR="009C6838">
        <w:t xml:space="preserve"> 1–4</w:t>
      </w:r>
      <w:r>
        <w:t xml:space="preserve"> </w:t>
      </w:r>
      <w:r w:rsidR="009C6838" w:rsidRPr="001F45E9">
        <w:t xml:space="preserve">on the </w:t>
      </w:r>
      <w:r w:rsidR="009C6838" w:rsidRPr="001F45E9">
        <w:rPr>
          <w:u w:val="single"/>
        </w:rPr>
        <w:t>PBS website</w:t>
      </w:r>
      <w:r w:rsidR="009C6838">
        <w:t xml:space="preserve"> on 20 May 2013</w:t>
      </w:r>
      <w:r w:rsidR="009C6838" w:rsidRPr="001F45E9">
        <w:t xml:space="preserve">. </w:t>
      </w:r>
      <w:r w:rsidR="009C6838">
        <w:t>Pharmaceutical sponsor companies and key diabetes and health professional organisations w</w:t>
      </w:r>
      <w:r>
        <w:t xml:space="preserve">ere also directly contacted two </w:t>
      </w:r>
      <w:r w:rsidR="009C6838">
        <w:t xml:space="preserve">weeks prior on 6 May 2013, to inform them of the upcoming submission process. </w:t>
      </w:r>
      <w:r w:rsidR="009C6838" w:rsidRPr="001F45E9">
        <w:t xml:space="preserve">The call for submissions was open </w:t>
      </w:r>
      <w:r>
        <w:t xml:space="preserve">for six </w:t>
      </w:r>
      <w:r w:rsidR="009C6838">
        <w:t>weeks to 2 July 2013</w:t>
      </w:r>
      <w:r w:rsidR="009C6838" w:rsidRPr="001F45E9">
        <w:t xml:space="preserve">. </w:t>
      </w:r>
    </w:p>
    <w:p w:rsidR="009C6838" w:rsidRDefault="00A92C8B" w:rsidP="00492694">
      <w:pPr>
        <w:pStyle w:val="BodyText1"/>
      </w:pPr>
      <w:r>
        <w:rPr>
          <w:bCs/>
        </w:rPr>
        <w:t>Twenty-</w:t>
      </w:r>
      <w:r w:rsidR="009C6838">
        <w:rPr>
          <w:bCs/>
        </w:rPr>
        <w:t xml:space="preserve">five </w:t>
      </w:r>
      <w:r w:rsidR="009C6838" w:rsidRPr="001F45E9">
        <w:rPr>
          <w:bCs/>
        </w:rPr>
        <w:t>s</w:t>
      </w:r>
      <w:r w:rsidR="009C6838" w:rsidRPr="001F45E9">
        <w:t>ubmissions were received from a range of stakeholders including</w:t>
      </w:r>
      <w:r w:rsidR="009C6838">
        <w:t>: industry organisations (10), professional peak bodies (6), non-Government organisations (4), individual professionals (4) and a Government organisation (1). No individual consumers made a submission.</w:t>
      </w:r>
    </w:p>
    <w:p w:rsidR="009C6838" w:rsidRPr="001F45E9" w:rsidRDefault="009C6838" w:rsidP="00492694">
      <w:pPr>
        <w:pStyle w:val="BodyText1"/>
      </w:pPr>
      <w:r>
        <w:t xml:space="preserve">The </w:t>
      </w:r>
      <w:r w:rsidRPr="001F45E9">
        <w:t>submissions were published on the</w:t>
      </w:r>
      <w:r>
        <w:t xml:space="preserve"> Medicines Review </w:t>
      </w:r>
      <w:r w:rsidRPr="0028026D">
        <w:t>public consultation website</w:t>
      </w:r>
      <w:r>
        <w:t xml:space="preserve"> on 26 August 2013</w:t>
      </w:r>
      <w:r w:rsidRPr="001F45E9">
        <w:t xml:space="preserve">, </w:t>
      </w:r>
      <w:r w:rsidR="00261672" w:rsidRPr="00404A6D">
        <w:t>unless the author requested confidentiality</w:t>
      </w:r>
      <w:r w:rsidRPr="001F45E9">
        <w:t xml:space="preserve">. A summary of key issues raised by stakeholders is in </w:t>
      </w:r>
      <w:hyperlink w:anchor="_3.1.1__Submissions" w:history="1">
        <w:r w:rsidRPr="006E1080">
          <w:rPr>
            <w:rStyle w:val="Hyperlink"/>
          </w:rPr>
          <w:t>Part</w:t>
        </w:r>
        <w:r w:rsidR="00D2508D" w:rsidRPr="006E1080">
          <w:rPr>
            <w:rStyle w:val="Hyperlink"/>
          </w:rPr>
          <w:t xml:space="preserve"> 3.1.1</w:t>
        </w:r>
      </w:hyperlink>
      <w:r w:rsidRPr="001F45E9">
        <w:t>.</w:t>
      </w:r>
      <w:r>
        <w:t xml:space="preserve"> The expert Reference Group</w:t>
      </w:r>
      <w:r w:rsidR="00261672">
        <w:t xml:space="preserve"> </w:t>
      </w:r>
      <w:r w:rsidR="00261672" w:rsidRPr="00D2508D">
        <w:t xml:space="preserve">(see </w:t>
      </w:r>
      <w:hyperlink w:anchor="_1.3.4__Reference" w:history="1">
        <w:r w:rsidR="00D2508D" w:rsidRPr="006E1080">
          <w:rPr>
            <w:rStyle w:val="Hyperlink"/>
          </w:rPr>
          <w:t>Part </w:t>
        </w:r>
        <w:r w:rsidR="00261672" w:rsidRPr="006E1080">
          <w:rPr>
            <w:rStyle w:val="Hyperlink"/>
          </w:rPr>
          <w:t>1.3.4</w:t>
        </w:r>
      </w:hyperlink>
      <w:r w:rsidR="00261672" w:rsidRPr="00D2508D">
        <w:t>)</w:t>
      </w:r>
      <w:r>
        <w:t xml:space="preserve"> was provided with </w:t>
      </w:r>
      <w:r w:rsidR="00D2508D">
        <w:t>the</w:t>
      </w:r>
      <w:r>
        <w:t xml:space="preserve"> submission</w:t>
      </w:r>
      <w:r w:rsidR="00A92C8B">
        <w:t>s for consideration</w:t>
      </w:r>
      <w:r>
        <w:t xml:space="preserve">. </w:t>
      </w:r>
    </w:p>
    <w:p w:rsidR="009C6838" w:rsidRPr="001F45E9" w:rsidRDefault="002D7524" w:rsidP="00492694">
      <w:pPr>
        <w:pStyle w:val="Heading3"/>
      </w:pPr>
      <w:bookmarkStart w:id="151" w:name="_1.3.2__Stakeholder"/>
      <w:bookmarkEnd w:id="151"/>
      <w:r>
        <w:t>1.3.</w:t>
      </w:r>
      <w:r w:rsidR="00A52777">
        <w:t xml:space="preserve">2  </w:t>
      </w:r>
      <w:r w:rsidR="009C6838" w:rsidRPr="001F45E9">
        <w:t>Stakeholder Forum</w:t>
      </w:r>
    </w:p>
    <w:p w:rsidR="00ED063A" w:rsidRDefault="009C6838" w:rsidP="00492694">
      <w:pPr>
        <w:pStyle w:val="BodyText1"/>
      </w:pPr>
      <w:r w:rsidRPr="001F45E9">
        <w:t>A Stakeholder Forum was held in</w:t>
      </w:r>
      <w:r>
        <w:t xml:space="preserve"> Canberra on 12 September 2013, to provide </w:t>
      </w:r>
      <w:r w:rsidRPr="001F45E9">
        <w:t>a further opportunity for stake</w:t>
      </w:r>
      <w:r>
        <w:t xml:space="preserve">holders to contribute to </w:t>
      </w:r>
      <w:r w:rsidRPr="001F45E9">
        <w:t xml:space="preserve">the </w:t>
      </w:r>
      <w:r w:rsidR="00494341">
        <w:t xml:space="preserve">Medicines </w:t>
      </w:r>
      <w:r w:rsidRPr="001F45E9">
        <w:t xml:space="preserve">Review. </w:t>
      </w:r>
    </w:p>
    <w:p w:rsidR="009C6838" w:rsidRDefault="009C6838" w:rsidP="00492694">
      <w:pPr>
        <w:pStyle w:val="BodyText1"/>
      </w:pPr>
      <w:r>
        <w:t xml:space="preserve">Individuals and organisations that had made a written submission to the Medicines Review were invited to attend. Relevant pharmaceutical sponsor companies and key diabetes and health professional organisations were also directly invited. </w:t>
      </w:r>
      <w:hyperlink w:anchor="_Appendix_B:_List" w:history="1">
        <w:r w:rsidRPr="006E1080">
          <w:rPr>
            <w:rStyle w:val="Hyperlink"/>
          </w:rPr>
          <w:t>App</w:t>
        </w:r>
        <w:r w:rsidR="00060162" w:rsidRPr="006E1080">
          <w:rPr>
            <w:rStyle w:val="Hyperlink"/>
          </w:rPr>
          <w:t>endix B</w:t>
        </w:r>
      </w:hyperlink>
      <w:r>
        <w:t xml:space="preserve"> provides the list of organisations invited. The Forum was announced on the PBS website and via the subscription service on 8 August 2013, and individuals/organisations could nominate to attend. In addition, the Department contacted the Consumers’ Health Forum to request that they </w:t>
      </w:r>
      <w:r w:rsidR="00261672" w:rsidRPr="00ED063A">
        <w:t>extend</w:t>
      </w:r>
      <w:r>
        <w:t xml:space="preserve"> an invitation to consumers and consumer advocates through their networks.</w:t>
      </w:r>
    </w:p>
    <w:p w:rsidR="009C6838" w:rsidRDefault="009C6838" w:rsidP="00492694">
      <w:pPr>
        <w:pStyle w:val="BodyText1"/>
      </w:pPr>
      <w:r w:rsidRPr="001F45E9">
        <w:t>Prior to the Forum, attendees were provided with a</w:t>
      </w:r>
      <w:r>
        <w:t>n agenda and</w:t>
      </w:r>
      <w:r w:rsidRPr="001F45E9">
        <w:t xml:space="preserve"> discussion paper that included </w:t>
      </w:r>
      <w:r>
        <w:t xml:space="preserve">background </w:t>
      </w:r>
      <w:r w:rsidRPr="001F45E9">
        <w:t>information</w:t>
      </w:r>
      <w:r>
        <w:t xml:space="preserve"> on the Review</w:t>
      </w:r>
      <w:r w:rsidRPr="001F45E9">
        <w:t xml:space="preserve">, </w:t>
      </w:r>
      <w:r>
        <w:t xml:space="preserve">the </w:t>
      </w:r>
      <w:r w:rsidRPr="001F45E9">
        <w:t>ToR, a summary of the</w:t>
      </w:r>
      <w:r>
        <w:t xml:space="preserve"> DUSC utilisation analyses</w:t>
      </w:r>
      <w:r w:rsidRPr="001F45E9">
        <w:t xml:space="preserve">, and issues and themes raised by stakeholders through the public submission process. </w:t>
      </w:r>
      <w:r w:rsidR="00F50050" w:rsidRPr="00CC5494">
        <w:t xml:space="preserve">The agenda included </w:t>
      </w:r>
      <w:r w:rsidR="00CC5494" w:rsidRPr="00CC5494">
        <w:t xml:space="preserve">group discussion on </w:t>
      </w:r>
      <w:r w:rsidR="00F50050" w:rsidRPr="00CC5494">
        <w:t>six questions prepared b</w:t>
      </w:r>
      <w:r w:rsidR="00CC5494" w:rsidRPr="00CC5494">
        <w:t>y the Department with opportunities</w:t>
      </w:r>
      <w:r w:rsidR="00F50050" w:rsidRPr="00CC5494">
        <w:t xml:space="preserve"> for additional comments and views</w:t>
      </w:r>
      <w:r w:rsidR="00CC5494">
        <w:t xml:space="preserve"> to be expressed</w:t>
      </w:r>
      <w:r>
        <w:t xml:space="preserve">. </w:t>
      </w:r>
    </w:p>
    <w:p w:rsidR="009C6838" w:rsidRPr="000C2801" w:rsidRDefault="009C6838" w:rsidP="00492694">
      <w:pPr>
        <w:pStyle w:val="BodyText1"/>
      </w:pPr>
      <w:r>
        <w:lastRenderedPageBreak/>
        <w:t xml:space="preserve">Discussion at the </w:t>
      </w:r>
      <w:r w:rsidRPr="000C2801">
        <w:t>Forum</w:t>
      </w:r>
      <w:r>
        <w:t xml:space="preserve"> focussed on</w:t>
      </w:r>
      <w:r w:rsidRPr="000C2801">
        <w:t>:</w:t>
      </w:r>
    </w:p>
    <w:p w:rsidR="009C6838" w:rsidRPr="000C2801" w:rsidRDefault="009C6838" w:rsidP="00492694">
      <w:pPr>
        <w:pStyle w:val="BodyText1"/>
        <w:numPr>
          <w:ilvl w:val="0"/>
          <w:numId w:val="7"/>
        </w:numPr>
      </w:pPr>
      <w:r w:rsidRPr="000C2801">
        <w:t xml:space="preserve">appropriate treatment pathways for type 2 diabetes, particularly the role of  newer medicines </w:t>
      </w:r>
    </w:p>
    <w:p w:rsidR="009C6838" w:rsidRPr="000C2801" w:rsidRDefault="009C6838" w:rsidP="00492694">
      <w:pPr>
        <w:pStyle w:val="BodyText1"/>
        <w:numPr>
          <w:ilvl w:val="0"/>
          <w:numId w:val="7"/>
        </w:numPr>
      </w:pPr>
      <w:r>
        <w:t xml:space="preserve">clinical benefits and </w:t>
      </w:r>
      <w:r w:rsidRPr="000C2801">
        <w:t xml:space="preserve">safety </w:t>
      </w:r>
      <w:r>
        <w:t>profile</w:t>
      </w:r>
      <w:r w:rsidRPr="000C2801">
        <w:t>s associated with type 2 diabetes medicines</w:t>
      </w:r>
    </w:p>
    <w:p w:rsidR="009C6838" w:rsidRPr="001F45E9" w:rsidRDefault="009C6838" w:rsidP="00492694">
      <w:pPr>
        <w:pStyle w:val="BodyText1"/>
        <w:numPr>
          <w:ilvl w:val="0"/>
          <w:numId w:val="7"/>
        </w:numPr>
      </w:pPr>
      <w:r w:rsidRPr="000C2801">
        <w:t>the appropriateness</w:t>
      </w:r>
      <w:r>
        <w:t xml:space="preserve"> and ease of use of the </w:t>
      </w:r>
      <w:r w:rsidRPr="000C2801">
        <w:t>guidelines and PBS restrictions.</w:t>
      </w:r>
    </w:p>
    <w:p w:rsidR="009C6838" w:rsidRDefault="009C6838" w:rsidP="00492694">
      <w:pPr>
        <w:pStyle w:val="BodyText1"/>
      </w:pPr>
      <w:r>
        <w:t>There were 37 attendees, including: industry organisations (16), non-Government organisations (7), professional peak bodies (6), individual consumers (5), Government organisations (2)</w:t>
      </w:r>
      <w:r w:rsidR="00A92C8B">
        <w:t>,</w:t>
      </w:r>
      <w:r>
        <w:t xml:space="preserve"> and an individual</w:t>
      </w:r>
      <w:r w:rsidR="00F50050">
        <w:t xml:space="preserve"> </w:t>
      </w:r>
      <w:r w:rsidR="00F50050" w:rsidRPr="007C2577">
        <w:t>health</w:t>
      </w:r>
      <w:r>
        <w:t xml:space="preserve"> professional.</w:t>
      </w:r>
    </w:p>
    <w:p w:rsidR="009C6838" w:rsidRPr="001F45E9" w:rsidRDefault="009C6838" w:rsidP="00492694">
      <w:pPr>
        <w:pStyle w:val="BodyText1"/>
      </w:pPr>
      <w:r>
        <w:t>A draft Forum Summary was circulated to attendees</w:t>
      </w:r>
      <w:r w:rsidR="00F50050">
        <w:t>,</w:t>
      </w:r>
      <w:r>
        <w:t xml:space="preserve"> fr</w:t>
      </w:r>
      <w:r w:rsidR="00F50050">
        <w:t xml:space="preserve">om 18–25 October 2013, </w:t>
      </w:r>
      <w:r>
        <w:t>to identify any key points that had been missed. Only comments reflecting key discussion points at the Forum were incorporated</w:t>
      </w:r>
      <w:r w:rsidR="001A3B99">
        <w:t xml:space="preserve"> in</w:t>
      </w:r>
      <w:r w:rsidR="007C2577">
        <w:t>to</w:t>
      </w:r>
      <w:r w:rsidR="001A3B99">
        <w:t xml:space="preserve"> </w:t>
      </w:r>
      <w:r w:rsidR="007C2577">
        <w:t>the Forum S</w:t>
      </w:r>
      <w:r w:rsidR="001A3B99" w:rsidRPr="007C2577">
        <w:t>ummary</w:t>
      </w:r>
      <w:r w:rsidR="00A92C8B">
        <w:t xml:space="preserve">. </w:t>
      </w:r>
      <w:r w:rsidRPr="001F45E9">
        <w:t>The Forum Summary was published on the</w:t>
      </w:r>
      <w:r>
        <w:t xml:space="preserve"> Medicines Review </w:t>
      </w:r>
      <w:r w:rsidRPr="0028026D">
        <w:t>public consultation website</w:t>
      </w:r>
      <w:r w:rsidR="007C2577">
        <w:t xml:space="preserve"> on 9 May 2014</w:t>
      </w:r>
      <w:r w:rsidRPr="001F45E9">
        <w:t>. A summary of key issues raised by stakeholders is in</w:t>
      </w:r>
      <w:r w:rsidR="007C2577">
        <w:t xml:space="preserve"> </w:t>
      </w:r>
      <w:hyperlink w:anchor="_3.1.2__Stakeholder_1" w:history="1">
        <w:r w:rsidR="007C2577" w:rsidRPr="006E1080">
          <w:rPr>
            <w:rStyle w:val="Hyperlink"/>
          </w:rPr>
          <w:t>Part 3.1.2</w:t>
        </w:r>
      </w:hyperlink>
      <w:r w:rsidRPr="001F45E9">
        <w:t>.</w:t>
      </w:r>
    </w:p>
    <w:p w:rsidR="009C6838" w:rsidRPr="001F45E9" w:rsidRDefault="002D7524" w:rsidP="00492694">
      <w:pPr>
        <w:pStyle w:val="Heading3"/>
      </w:pPr>
      <w:r>
        <w:t>1.3</w:t>
      </w:r>
      <w:r w:rsidR="009B045E">
        <w:t>.3</w:t>
      </w:r>
      <w:r w:rsidR="007A2968">
        <w:t xml:space="preserve">  </w:t>
      </w:r>
      <w:r w:rsidR="009C6838" w:rsidRPr="001F45E9">
        <w:t>Internal Working Group</w:t>
      </w:r>
    </w:p>
    <w:p w:rsidR="009C6838" w:rsidRPr="001F45E9" w:rsidRDefault="009C6838" w:rsidP="00492694">
      <w:pPr>
        <w:pStyle w:val="BodyText1"/>
      </w:pPr>
      <w:r w:rsidRPr="001F45E9">
        <w:t>An Internal Working Group consisting of key government agencies and relevant divisions of the Departme</w:t>
      </w:r>
      <w:r w:rsidR="007C2577">
        <w:t xml:space="preserve">nt was formed to </w:t>
      </w:r>
      <w:r w:rsidR="00D052C9">
        <w:t xml:space="preserve">facilitate </w:t>
      </w:r>
      <w:r w:rsidRPr="001F45E9">
        <w:t>discuss</w:t>
      </w:r>
      <w:r w:rsidR="00D052C9">
        <w:t>ion of</w:t>
      </w:r>
      <w:r w:rsidRPr="001F45E9">
        <w:t xml:space="preserve"> potential interactions </w:t>
      </w:r>
      <w:r w:rsidR="00D052C9">
        <w:t xml:space="preserve">between the Review and </w:t>
      </w:r>
      <w:r w:rsidRPr="001F45E9">
        <w:t>other Government programmes and p</w:t>
      </w:r>
      <w:r w:rsidR="00D052C9">
        <w:t xml:space="preserve">riorities. </w:t>
      </w:r>
      <w:r w:rsidRPr="001F45E9">
        <w:t>The Working Group has assisted in steering the Review and worked in parallel to the Refe</w:t>
      </w:r>
      <w:r w:rsidR="00D052C9">
        <w:t xml:space="preserve">rence Group. The Group convened </w:t>
      </w:r>
      <w:r w:rsidR="00646887">
        <w:t>three times</w:t>
      </w:r>
      <w:r w:rsidRPr="001F45E9">
        <w:t xml:space="preserve"> </w:t>
      </w:r>
      <w:r>
        <w:t xml:space="preserve">to consider the Medicines Review </w:t>
      </w:r>
      <w:r w:rsidRPr="001F45E9">
        <w:t>on</w:t>
      </w:r>
      <w:r w:rsidR="00646887">
        <w:t xml:space="preserve"> 23 </w:t>
      </w:r>
      <w:r w:rsidRPr="00646887">
        <w:t>October 2012, 10 April 2013, and 10 October 2013</w:t>
      </w:r>
      <w:r w:rsidR="00646887">
        <w:t>; and provided out-of-session comments of the draft Report</w:t>
      </w:r>
      <w:r w:rsidRPr="001F45E9">
        <w:t>.</w:t>
      </w:r>
    </w:p>
    <w:p w:rsidR="009C6838" w:rsidRDefault="009C6838" w:rsidP="00492694">
      <w:pPr>
        <w:pStyle w:val="BodyText1"/>
      </w:pPr>
      <w:r w:rsidRPr="001F45E9">
        <w:t xml:space="preserve">A summary of key issues raised by </w:t>
      </w:r>
      <w:r>
        <w:t xml:space="preserve">Working Group members </w:t>
      </w:r>
      <w:r w:rsidRPr="001F45E9">
        <w:t xml:space="preserve">is in </w:t>
      </w:r>
      <w:hyperlink w:anchor="_3.2_Internal_Working" w:history="1">
        <w:r w:rsidR="00F97EAC" w:rsidRPr="006E1080">
          <w:rPr>
            <w:rStyle w:val="Hyperlink"/>
          </w:rPr>
          <w:t>Part 3.2</w:t>
        </w:r>
      </w:hyperlink>
      <w:r w:rsidRPr="001F45E9">
        <w:t>.</w:t>
      </w:r>
    </w:p>
    <w:p w:rsidR="009C6838" w:rsidRPr="001F45E9" w:rsidRDefault="002D7524" w:rsidP="00492694">
      <w:pPr>
        <w:pStyle w:val="Heading3"/>
      </w:pPr>
      <w:bookmarkStart w:id="152" w:name="_1.3.4__Reference"/>
      <w:bookmarkEnd w:id="152"/>
      <w:r>
        <w:t>1.3.</w:t>
      </w:r>
      <w:r w:rsidR="009B045E">
        <w:t>4</w:t>
      </w:r>
      <w:r w:rsidR="00A52777">
        <w:t xml:space="preserve">  </w:t>
      </w:r>
      <w:r w:rsidR="009C6838" w:rsidRPr="001F45E9">
        <w:t>Reference Group</w:t>
      </w:r>
    </w:p>
    <w:p w:rsidR="009C6838" w:rsidRDefault="009C6838" w:rsidP="00492694">
      <w:pPr>
        <w:pStyle w:val="BodyText1"/>
      </w:pPr>
      <w:r w:rsidRPr="001F45E9">
        <w:t xml:space="preserve">A Reference Group was formed to provide </w:t>
      </w:r>
      <w:r w:rsidR="00D052C9">
        <w:t>expert advice on issues raised during</w:t>
      </w:r>
      <w:r w:rsidRPr="001F45E9">
        <w:t xml:space="preserve"> the Diabetes Revi</w:t>
      </w:r>
      <w:r w:rsidR="00D052C9">
        <w:t>ew. The Reference Group included</w:t>
      </w:r>
      <w:r w:rsidRPr="001F45E9">
        <w:t xml:space="preserve"> experts from a range of fields including endocrinology, diabetes education, general practice, consumer advocacy, clinical epidemiology, pharmacy, health economics, nutrition, and psychology. </w:t>
      </w:r>
      <w:r>
        <w:t>The full Reference Group membership</w:t>
      </w:r>
      <w:r w:rsidR="00060162">
        <w:t xml:space="preserve"> will be published on the </w:t>
      </w:r>
      <w:r w:rsidR="00060162" w:rsidRPr="0028026D">
        <w:t>Diabetes Review website</w:t>
      </w:r>
      <w:r w:rsidR="00060162">
        <w:t>, once all stages of the Review have been finalised</w:t>
      </w:r>
      <w:r>
        <w:t>.</w:t>
      </w:r>
    </w:p>
    <w:p w:rsidR="009C6838" w:rsidRDefault="009C6838" w:rsidP="00492694">
      <w:pPr>
        <w:pStyle w:val="BodyText1"/>
      </w:pPr>
      <w:r w:rsidRPr="001F45E9">
        <w:t xml:space="preserve">Reference Group advice has been used to guide the development of the </w:t>
      </w:r>
      <w:r>
        <w:t xml:space="preserve">Medicines </w:t>
      </w:r>
      <w:r w:rsidRPr="001F45E9">
        <w:t xml:space="preserve">Review and this Report. Reference Group meetings at which the </w:t>
      </w:r>
      <w:r>
        <w:t xml:space="preserve">Medicines </w:t>
      </w:r>
      <w:r w:rsidRPr="001F45E9">
        <w:t>Review was discussed, were held on: 17 July 2013</w:t>
      </w:r>
      <w:r w:rsidR="00977781">
        <w:t xml:space="preserve">, </w:t>
      </w:r>
      <w:r w:rsidR="00B02648">
        <w:t xml:space="preserve">24 May 2014 </w:t>
      </w:r>
      <w:r w:rsidRPr="001F45E9">
        <w:t>and</w:t>
      </w:r>
      <w:r>
        <w:t xml:space="preserve"> </w:t>
      </w:r>
      <w:r w:rsidR="00646887">
        <w:t>20 August 2014</w:t>
      </w:r>
      <w:r w:rsidRPr="001F45E9">
        <w:t>.</w:t>
      </w:r>
    </w:p>
    <w:p w:rsidR="009C6838" w:rsidRDefault="009C6838" w:rsidP="00492694">
      <w:pPr>
        <w:pStyle w:val="BodyText1"/>
      </w:pPr>
      <w:r w:rsidRPr="001F45E9">
        <w:t xml:space="preserve">A summary of key issues raised by </w:t>
      </w:r>
      <w:r>
        <w:t xml:space="preserve">the Reference Group </w:t>
      </w:r>
      <w:r w:rsidRPr="001F45E9">
        <w:t xml:space="preserve">is in </w:t>
      </w:r>
      <w:hyperlink w:anchor="_3.3_Reference_Group_1" w:history="1">
        <w:r w:rsidR="0099487E" w:rsidRPr="006E1080">
          <w:rPr>
            <w:rStyle w:val="Hyperlink"/>
          </w:rPr>
          <w:t>Part 3.3</w:t>
        </w:r>
      </w:hyperlink>
      <w:r>
        <w:t xml:space="preserve">, while </w:t>
      </w:r>
      <w:r w:rsidR="00840C82">
        <w:t xml:space="preserve">the </w:t>
      </w:r>
      <w:r w:rsidR="00840C82" w:rsidRPr="0028026D">
        <w:t>Executive Summary</w:t>
      </w:r>
      <w:r w:rsidR="00840C82">
        <w:t xml:space="preserve"> </w:t>
      </w:r>
      <w:r>
        <w:t>contains the Reference Group’s c</w:t>
      </w:r>
      <w:r w:rsidR="00840C82">
        <w:t>onsideration of the evidence and stakeholder input</w:t>
      </w:r>
      <w:r>
        <w:t>.</w:t>
      </w:r>
    </w:p>
    <w:p w:rsidR="009C6838" w:rsidRPr="001F45E9" w:rsidRDefault="002D7524" w:rsidP="00492694">
      <w:pPr>
        <w:pStyle w:val="Heading3"/>
      </w:pPr>
      <w:r>
        <w:lastRenderedPageBreak/>
        <w:t>1.</w:t>
      </w:r>
      <w:r w:rsidR="009B045E">
        <w:t>3.5</w:t>
      </w:r>
      <w:r w:rsidR="00A52777">
        <w:t xml:space="preserve">  </w:t>
      </w:r>
      <w:r w:rsidR="009B045E">
        <w:t xml:space="preserve">Utilisation reviews and </w:t>
      </w:r>
      <w:r w:rsidR="009C6838">
        <w:t>DUSC</w:t>
      </w:r>
      <w:r w:rsidR="009B045E">
        <w:t xml:space="preserve"> consideration (ToR 1 &amp; 2)</w:t>
      </w:r>
    </w:p>
    <w:p w:rsidR="00A22C96" w:rsidRDefault="00DF4210" w:rsidP="00492694">
      <w:pPr>
        <w:pStyle w:val="BodyText1"/>
      </w:pPr>
      <w:r>
        <w:t>T</w:t>
      </w:r>
      <w:r w:rsidR="006C33E6" w:rsidRPr="00215138">
        <w:t xml:space="preserve">wo utilisation reviews </w:t>
      </w:r>
      <w:r>
        <w:t xml:space="preserve">were </w:t>
      </w:r>
      <w:r w:rsidR="006C33E6" w:rsidRPr="00215138">
        <w:t>conducted into the use of type 2 diabetes medicines. The first review was conducted by the Adelaide Health Technology Assessment, School of Population Health and Clinical Practice, University of Adelaide</w:t>
      </w:r>
      <w:r w:rsidR="00A92C8B">
        <w:t>,</w:t>
      </w:r>
      <w:r w:rsidR="003E7981" w:rsidRPr="00215138">
        <w:t xml:space="preserve"> and analysed </w:t>
      </w:r>
      <w:r w:rsidR="00A22C96">
        <w:t xml:space="preserve">overall utilisation of diabetes medicines and </w:t>
      </w:r>
      <w:r w:rsidR="003E7981" w:rsidRPr="00215138">
        <w:t xml:space="preserve">the patterns of use of type 2 diabetes medicines when patients initiate pharmacotherapy. </w:t>
      </w:r>
      <w:r w:rsidR="00A22C96">
        <w:t>The analysis of overall utilisation of diabetes medicines was updated by the Department’s PBS Information Management Section in 2014, to provide more current data.</w:t>
      </w:r>
    </w:p>
    <w:p w:rsidR="006C33E6" w:rsidRDefault="003E7981" w:rsidP="00492694">
      <w:pPr>
        <w:pStyle w:val="BodyText1"/>
      </w:pPr>
      <w:r w:rsidRPr="00215138">
        <w:t xml:space="preserve">The Department’s DUSC Secretariat undertook the second review which analysed </w:t>
      </w:r>
      <w:r w:rsidR="00A92C8B">
        <w:t xml:space="preserve">the </w:t>
      </w:r>
      <w:r w:rsidRPr="00215138">
        <w:t xml:space="preserve">patterns of </w:t>
      </w:r>
      <w:r w:rsidR="00A92C8B">
        <w:t xml:space="preserve">use of </w:t>
      </w:r>
      <w:r w:rsidRPr="00215138">
        <w:t>type 2 diabetes</w:t>
      </w:r>
      <w:r w:rsidR="00A92C8B">
        <w:t xml:space="preserve"> medicines</w:t>
      </w:r>
      <w:r w:rsidRPr="00215138">
        <w:t xml:space="preserve"> after initiation, including use of diabetes medicines prior to initiating a third line agent (a </w:t>
      </w:r>
      <w:r w:rsidR="002772EC">
        <w:t>DPP-4 inhibitor</w:t>
      </w:r>
      <w:r w:rsidRPr="00215138">
        <w:t xml:space="preserve">, </w:t>
      </w:r>
      <w:r w:rsidR="006820B1">
        <w:t>TZD</w:t>
      </w:r>
      <w:r w:rsidRPr="00215138">
        <w:t xml:space="preserve"> or exenatide), and patterns of diabetes medicines co-administration. A summary of these analyses are included in </w:t>
      </w:r>
      <w:hyperlink w:anchor="_Part_4_–_1" w:history="1">
        <w:r w:rsidRPr="006E1080">
          <w:rPr>
            <w:rStyle w:val="Hyperlink"/>
          </w:rPr>
          <w:t>Part 4</w:t>
        </w:r>
      </w:hyperlink>
      <w:r w:rsidRPr="00215138">
        <w:t>.</w:t>
      </w:r>
      <w:r w:rsidR="006C33E6">
        <w:t xml:space="preserve">  </w:t>
      </w:r>
    </w:p>
    <w:p w:rsidR="009C6838" w:rsidRDefault="00C13620" w:rsidP="00492694">
      <w:pPr>
        <w:pStyle w:val="BodyText1"/>
      </w:pPr>
      <w:r>
        <w:t xml:space="preserve">The utilisation reports on type 2 diabetes medicines were discussed by the DUSC at </w:t>
      </w:r>
      <w:r w:rsidR="009C6838">
        <w:t xml:space="preserve">the October </w:t>
      </w:r>
      <w:r>
        <w:t>2012 and February 2013 meetings</w:t>
      </w:r>
      <w:r w:rsidR="009C6838">
        <w:t xml:space="preserve">. The </w:t>
      </w:r>
      <w:r w:rsidR="009C6838" w:rsidRPr="0028026D">
        <w:t>public summaries</w:t>
      </w:r>
      <w:r w:rsidR="009C6838">
        <w:t xml:space="preserve"> were made available</w:t>
      </w:r>
      <w:r>
        <w:t xml:space="preserve"> online</w:t>
      </w:r>
      <w:r w:rsidR="009C6838">
        <w:t>.</w:t>
      </w:r>
    </w:p>
    <w:p w:rsidR="009B045E" w:rsidRDefault="009B045E" w:rsidP="00492694">
      <w:pPr>
        <w:pStyle w:val="Heading3"/>
      </w:pPr>
      <w:r>
        <w:t>1.3.6  Review of PBS listings of type 2 diabetes medicines (ToR 3)</w:t>
      </w:r>
    </w:p>
    <w:p w:rsidR="009B045E" w:rsidRPr="009B045E" w:rsidRDefault="00B51684" w:rsidP="00492694">
      <w:pPr>
        <w:pStyle w:val="BodyText1"/>
      </w:pPr>
      <w:r>
        <w:t>The Department engaged the</w:t>
      </w:r>
      <w:r w:rsidR="00197914">
        <w:t xml:space="preserve"> Newcastle Evaluation Group, School of Medicine and Public Health, </w:t>
      </w:r>
      <w:r>
        <w:t>University of Newcastle</w:t>
      </w:r>
      <w:r w:rsidR="00197914">
        <w:t>,</w:t>
      </w:r>
      <w:r>
        <w:t xml:space="preserve"> to prepare a report consolidating the clinical trial evidence used to support PBS listings of type 2 diabetes medicines for submissions between 2002 and </w:t>
      </w:r>
      <w:r w:rsidR="00215138">
        <w:t xml:space="preserve">January </w:t>
      </w:r>
      <w:r w:rsidR="006A0B29" w:rsidRPr="00215138">
        <w:t>2014</w:t>
      </w:r>
      <w:r>
        <w:t>.</w:t>
      </w:r>
      <w:r w:rsidR="00197914">
        <w:t xml:space="preserve"> A summary of the report is included in </w:t>
      </w:r>
      <w:hyperlink w:anchor="_Part_5_–" w:history="1">
        <w:r w:rsidR="00197914" w:rsidRPr="006E1080">
          <w:rPr>
            <w:rStyle w:val="Hyperlink"/>
          </w:rPr>
          <w:t>Part 5</w:t>
        </w:r>
      </w:hyperlink>
      <w:r w:rsidR="00197914">
        <w:t>.</w:t>
      </w:r>
    </w:p>
    <w:p w:rsidR="009B045E" w:rsidRDefault="009B045E" w:rsidP="00492694">
      <w:pPr>
        <w:pStyle w:val="Heading3"/>
        <w:rPr>
          <w:rFonts w:eastAsia="Calibri"/>
        </w:rPr>
      </w:pPr>
      <w:r>
        <w:rPr>
          <w:rFonts w:eastAsia="Calibri"/>
        </w:rPr>
        <w:t>1.3.7  Literature reviews (ToR 4)</w:t>
      </w:r>
    </w:p>
    <w:p w:rsidR="009B045E" w:rsidRDefault="00197914" w:rsidP="00492694">
      <w:pPr>
        <w:pStyle w:val="BodyText1"/>
        <w:rPr>
          <w:rFonts w:eastAsia="Calibri"/>
        </w:rPr>
      </w:pPr>
      <w:r>
        <w:rPr>
          <w:rFonts w:eastAsia="Calibri"/>
        </w:rPr>
        <w:t>The Department engaged the Centre for Applied Health Economics, Griffith University, to prepare a report including:</w:t>
      </w:r>
    </w:p>
    <w:p w:rsidR="00197914" w:rsidRDefault="00197914" w:rsidP="00780C3E">
      <w:pPr>
        <w:pStyle w:val="BodyText1"/>
        <w:numPr>
          <w:ilvl w:val="0"/>
          <w:numId w:val="13"/>
        </w:numPr>
        <w:rPr>
          <w:rFonts w:eastAsia="Calibri"/>
        </w:rPr>
      </w:pPr>
      <w:r>
        <w:rPr>
          <w:rFonts w:eastAsia="Calibri"/>
        </w:rPr>
        <w:t xml:space="preserve"> A review of the current Australian and international guidelines for the management of type 2 diabetes, focussing on pharmacotherapy algorithms. A summary of this </w:t>
      </w:r>
      <w:r w:rsidR="00C011AB">
        <w:rPr>
          <w:rFonts w:eastAsia="Calibri"/>
        </w:rPr>
        <w:t xml:space="preserve">part of the report is included in </w:t>
      </w:r>
      <w:hyperlink w:anchor="_2.7_Pharmacotherapy_and_1" w:history="1">
        <w:r w:rsidR="00C011AB" w:rsidRPr="006E1080">
          <w:rPr>
            <w:rStyle w:val="Hyperlink"/>
            <w:rFonts w:eastAsia="Calibri"/>
          </w:rPr>
          <w:t>Part 2.7</w:t>
        </w:r>
      </w:hyperlink>
      <w:r w:rsidR="00C011AB">
        <w:rPr>
          <w:rFonts w:eastAsia="Calibri"/>
        </w:rPr>
        <w:t>.</w:t>
      </w:r>
    </w:p>
    <w:p w:rsidR="00C011AB" w:rsidRPr="00C011AB" w:rsidRDefault="00C011AB" w:rsidP="00780C3E">
      <w:pPr>
        <w:pStyle w:val="BodyText1"/>
        <w:numPr>
          <w:ilvl w:val="0"/>
          <w:numId w:val="13"/>
        </w:numPr>
        <w:rPr>
          <w:rFonts w:eastAsia="Calibri"/>
        </w:rPr>
      </w:pPr>
      <w:r>
        <w:rPr>
          <w:rFonts w:eastAsia="Calibri"/>
        </w:rPr>
        <w:t>A literature review and meta-analysis of the comp</w:t>
      </w:r>
      <w:r w:rsidR="00A92C8B">
        <w:rPr>
          <w:rFonts w:eastAsia="Calibri"/>
        </w:rPr>
        <w:t>arative safety and efficacy</w:t>
      </w:r>
      <w:r>
        <w:rPr>
          <w:rFonts w:eastAsia="Calibri"/>
        </w:rPr>
        <w:t xml:space="preserve"> of PBS listed </w:t>
      </w:r>
      <w:r w:rsidR="006964CE">
        <w:rPr>
          <w:rFonts w:eastAsia="Calibri"/>
        </w:rPr>
        <w:t xml:space="preserve">type 2 diabetes </w:t>
      </w:r>
      <w:r>
        <w:rPr>
          <w:rFonts w:eastAsia="Calibri"/>
        </w:rPr>
        <w:t xml:space="preserve">medicines, including trial evidence published between 2002 and 2013 (inclusive). A summary of this part of the report is included in </w:t>
      </w:r>
      <w:hyperlink w:anchor="_Part_6_–_1" w:history="1">
        <w:r w:rsidRPr="006E1080">
          <w:rPr>
            <w:rStyle w:val="Hyperlink"/>
            <w:rFonts w:eastAsia="Calibri"/>
          </w:rPr>
          <w:t>Part 6</w:t>
        </w:r>
      </w:hyperlink>
      <w:r>
        <w:rPr>
          <w:rFonts w:eastAsia="Calibri"/>
        </w:rPr>
        <w:t>.</w:t>
      </w:r>
    </w:p>
    <w:p w:rsidR="009C6838" w:rsidRDefault="002D7524" w:rsidP="00492694">
      <w:pPr>
        <w:pStyle w:val="Heading3"/>
        <w:rPr>
          <w:rFonts w:eastAsia="Calibri"/>
        </w:rPr>
      </w:pPr>
      <w:bookmarkStart w:id="153" w:name="_1.2.4.6__Public"/>
      <w:bookmarkEnd w:id="153"/>
      <w:r>
        <w:rPr>
          <w:rFonts w:eastAsia="Calibri"/>
        </w:rPr>
        <w:t>1.</w:t>
      </w:r>
      <w:r w:rsidR="009B045E">
        <w:rPr>
          <w:rFonts w:eastAsia="Calibri"/>
        </w:rPr>
        <w:t>3.8</w:t>
      </w:r>
      <w:r w:rsidR="00A52777">
        <w:rPr>
          <w:rFonts w:eastAsia="Calibri"/>
        </w:rPr>
        <w:t xml:space="preserve">  </w:t>
      </w:r>
      <w:r w:rsidR="009C6838">
        <w:rPr>
          <w:rFonts w:eastAsia="Calibri"/>
        </w:rPr>
        <w:t>Public consultation on the draft Report</w:t>
      </w:r>
    </w:p>
    <w:p w:rsidR="009C6838" w:rsidRDefault="009C6838" w:rsidP="00492694">
      <w:pPr>
        <w:pStyle w:val="BodyText1"/>
        <w:rPr>
          <w:rFonts w:eastAsia="Calibri"/>
        </w:rPr>
      </w:pPr>
      <w:r>
        <w:rPr>
          <w:rFonts w:eastAsia="Calibri"/>
        </w:rPr>
        <w:t>P</w:t>
      </w:r>
      <w:r w:rsidRPr="001F45E9">
        <w:rPr>
          <w:rFonts w:eastAsia="Calibri"/>
        </w:rPr>
        <w:t>ublic consultation on the draft</w:t>
      </w:r>
      <w:r>
        <w:rPr>
          <w:rFonts w:eastAsia="Calibri"/>
        </w:rPr>
        <w:t xml:space="preserve"> Medicines Review</w:t>
      </w:r>
      <w:r w:rsidRPr="001F45E9">
        <w:rPr>
          <w:rFonts w:eastAsia="Calibri"/>
        </w:rPr>
        <w:t xml:space="preserve"> Report </w:t>
      </w:r>
      <w:r w:rsidR="0093424D">
        <w:rPr>
          <w:rFonts w:eastAsia="Calibri"/>
        </w:rPr>
        <w:t>will be</w:t>
      </w:r>
      <w:r>
        <w:rPr>
          <w:rFonts w:eastAsia="Calibri"/>
        </w:rPr>
        <w:t xml:space="preserve"> open for two weeks </w:t>
      </w:r>
      <w:r w:rsidR="0093424D">
        <w:rPr>
          <w:rFonts w:eastAsia="Calibri"/>
        </w:rPr>
        <w:t xml:space="preserve">in early October </w:t>
      </w:r>
      <w:r w:rsidRPr="0093424D">
        <w:rPr>
          <w:rFonts w:eastAsia="Calibri"/>
        </w:rPr>
        <w:t>2014</w:t>
      </w:r>
      <w:r w:rsidR="00AE4D3A">
        <w:rPr>
          <w:rFonts w:eastAsia="Calibri"/>
        </w:rPr>
        <w:t xml:space="preserve">. </w:t>
      </w:r>
      <w:r w:rsidR="0093424D">
        <w:rPr>
          <w:rFonts w:eastAsia="Calibri"/>
        </w:rPr>
        <w:t>Public submissions will be provided to the PBAC.</w:t>
      </w:r>
    </w:p>
    <w:p w:rsidR="009C6838" w:rsidRDefault="009C6838" w:rsidP="00492694">
      <w:pPr>
        <w:pStyle w:val="BodyText1"/>
      </w:pPr>
    </w:p>
    <w:bookmarkEnd w:id="141"/>
    <w:p w:rsidR="007112A3" w:rsidRPr="00A53E3C" w:rsidRDefault="007112A3" w:rsidP="00492694"/>
    <w:p w:rsidR="000E65B5" w:rsidRPr="00A53E3C" w:rsidRDefault="001F45E9" w:rsidP="00492694">
      <w:pPr>
        <w:pStyle w:val="Heading1"/>
      </w:pPr>
      <w:r>
        <w:br w:type="page"/>
      </w:r>
      <w:bookmarkStart w:id="154" w:name="_Toc382906709"/>
      <w:bookmarkStart w:id="155" w:name="_Toc397947698"/>
      <w:bookmarkStart w:id="156" w:name="_Toc403399539"/>
      <w:r w:rsidR="00382C99">
        <w:lastRenderedPageBreak/>
        <w:t xml:space="preserve">Part </w:t>
      </w:r>
      <w:r w:rsidR="00134808" w:rsidRPr="00A53E3C">
        <w:t>2</w:t>
      </w:r>
      <w:r w:rsidR="00382C99">
        <w:t xml:space="preserve"> – </w:t>
      </w:r>
      <w:r w:rsidR="00D91D1B">
        <w:t xml:space="preserve">Type 2 </w:t>
      </w:r>
      <w:r w:rsidR="00232874" w:rsidRPr="00A53E3C">
        <w:t>Diabetes</w:t>
      </w:r>
      <w:r w:rsidR="00E819F9" w:rsidRPr="00A53E3C">
        <w:t xml:space="preserve"> Mellitus</w:t>
      </w:r>
      <w:bookmarkEnd w:id="154"/>
      <w:bookmarkEnd w:id="155"/>
      <w:bookmarkEnd w:id="156"/>
      <w:r w:rsidR="00E819F9" w:rsidRPr="00A53E3C">
        <w:t xml:space="preserve"> </w:t>
      </w:r>
    </w:p>
    <w:p w:rsidR="000E65B5" w:rsidRPr="00DF5874" w:rsidRDefault="00134808" w:rsidP="00492694">
      <w:pPr>
        <w:pStyle w:val="Heading2"/>
      </w:pPr>
      <w:bookmarkStart w:id="157" w:name="_Toc397947699"/>
      <w:bookmarkStart w:id="158" w:name="_Toc403399540"/>
      <w:bookmarkStart w:id="159" w:name="_Toc382906710"/>
      <w:r w:rsidRPr="00DF5874">
        <w:t>2</w:t>
      </w:r>
      <w:r w:rsidR="00075815">
        <w:t>.1</w:t>
      </w:r>
      <w:r w:rsidR="00075815">
        <w:tab/>
      </w:r>
      <w:r w:rsidR="000E65B5" w:rsidRPr="00DF5874">
        <w:t>D</w:t>
      </w:r>
      <w:r w:rsidR="00232874" w:rsidRPr="00DF5874">
        <w:t>iabetes</w:t>
      </w:r>
      <w:r w:rsidR="00382C99">
        <w:t xml:space="preserve"> m</w:t>
      </w:r>
      <w:r w:rsidR="00E819F9" w:rsidRPr="00DF5874">
        <w:t>ellitus</w:t>
      </w:r>
      <w:bookmarkEnd w:id="157"/>
      <w:bookmarkEnd w:id="158"/>
      <w:r w:rsidR="00E819F9" w:rsidRPr="00DF5874">
        <w:t xml:space="preserve"> </w:t>
      </w:r>
      <w:bookmarkEnd w:id="159"/>
    </w:p>
    <w:p w:rsidR="00593641" w:rsidRDefault="000E492C" w:rsidP="00492694">
      <w:pPr>
        <w:pStyle w:val="BodyText1"/>
      </w:pPr>
      <w:r w:rsidRPr="00A53E3C">
        <w:t xml:space="preserve">Blood </w:t>
      </w:r>
      <w:r w:rsidR="0094715E" w:rsidRPr="00A53E3C">
        <w:t>glucose</w:t>
      </w:r>
      <w:r w:rsidRPr="00A53E3C">
        <w:t xml:space="preserve"> levels are controlled by insulin, a hormone produced by the pancreas. </w:t>
      </w:r>
      <w:r w:rsidR="001D621D">
        <w:t>In general, i</w:t>
      </w:r>
      <w:r w:rsidR="00593641">
        <w:t xml:space="preserve">nsulin </w:t>
      </w:r>
      <w:r w:rsidR="001D621D">
        <w:t xml:space="preserve">is secreted proportionately to the amount of excess glucose in the blood. It </w:t>
      </w:r>
      <w:r w:rsidR="00593641">
        <w:t xml:space="preserve">inhibits the use of fat as an energy source and causes </w:t>
      </w:r>
      <w:r w:rsidR="001D621D">
        <w:t xml:space="preserve">fat and skeletal muscle </w:t>
      </w:r>
      <w:r w:rsidR="00593641">
        <w:t>cells to absorb glucose from the blood</w:t>
      </w:r>
      <w:r w:rsidR="001D621D">
        <w:t>, lowering blood glucose levels</w:t>
      </w:r>
      <w:r w:rsidR="00593641">
        <w:t>.</w:t>
      </w:r>
      <w:r w:rsidR="0093455B" w:rsidRPr="001E0DCC">
        <w:rPr>
          <w:vertAlign w:val="superscript"/>
        </w:rPr>
        <w:t>7</w:t>
      </w:r>
      <w:r w:rsidR="00593641">
        <w:t xml:space="preserve"> </w:t>
      </w:r>
    </w:p>
    <w:p w:rsidR="00433F2F" w:rsidRPr="00CD1DE6" w:rsidRDefault="001D621D" w:rsidP="00492694">
      <w:pPr>
        <w:pStyle w:val="BodyText1"/>
      </w:pPr>
      <w:r w:rsidRPr="00A53E3C">
        <w:t>Diabetes</w:t>
      </w:r>
      <w:r>
        <w:t xml:space="preserve"> m</w:t>
      </w:r>
      <w:r w:rsidRPr="00A53E3C">
        <w:t>ellitus (diabetes) is a chronic disease characterised by high levels of glucose in the blood</w:t>
      </w:r>
      <w:r>
        <w:t xml:space="preserve"> (hyperglycaemia)</w:t>
      </w:r>
      <w:r w:rsidRPr="00A53E3C">
        <w:t xml:space="preserve">. </w:t>
      </w:r>
      <w:r w:rsidR="000E492C" w:rsidRPr="00A53E3C">
        <w:t>Diabetes occurs when the pancreas is unable to produce enough insulin, or the body becomes resistant to insulin, or both</w:t>
      </w:r>
      <w:r w:rsidR="002E0C22" w:rsidRPr="00A53E3C">
        <w:t xml:space="preserve">. </w:t>
      </w:r>
      <w:r w:rsidR="00CD1DE6">
        <w:t xml:space="preserve">Hyperglycaemia </w:t>
      </w:r>
      <w:r w:rsidR="00CD1DE6" w:rsidRPr="00A53E3C">
        <w:t>can result in a number of complications, including serious damage to the nerves and blood vessels.</w:t>
      </w:r>
      <w:r w:rsidR="00CD1DE6">
        <w:t xml:space="preserve"> </w:t>
      </w:r>
      <w:r w:rsidR="00CD1DE6" w:rsidRPr="00CD1DE6">
        <w:t>There are three main types of diabetes: type 1 diabetes, type 2 diabetes, and gestational diabetes.</w:t>
      </w:r>
      <w:r w:rsidR="0093455B" w:rsidRPr="001E0DCC">
        <w:rPr>
          <w:vertAlign w:val="superscript"/>
        </w:rPr>
        <w:t>7</w:t>
      </w:r>
      <w:r w:rsidR="004754EF">
        <w:t xml:space="preserve"> This report focuses on medicines for the treatment of type 2 diabetes.</w:t>
      </w:r>
    </w:p>
    <w:p w:rsidR="000E492C" w:rsidRDefault="000E492C" w:rsidP="00492694">
      <w:pPr>
        <w:pStyle w:val="BodyText1"/>
      </w:pPr>
      <w:r w:rsidRPr="00A53E3C">
        <w:t>Diabetes was endorsed as a National Health Priority Area</w:t>
      </w:r>
      <w:r w:rsidR="00433F2F" w:rsidRPr="00A53E3C">
        <w:t xml:space="preserve"> </w:t>
      </w:r>
      <w:r w:rsidRPr="00A53E3C">
        <w:t>at the Australian Health Minister's Conference in 1996 in recognition of the high prevalence of the disease in Australia, its impact on morbidity and mortality, and its potential for health improvements through prevention and treatment program</w:t>
      </w:r>
      <w:r w:rsidR="00000278">
        <w:t>me</w:t>
      </w:r>
      <w:r w:rsidRPr="00A53E3C">
        <w:t>s.</w:t>
      </w:r>
    </w:p>
    <w:p w:rsidR="00CD1DE6" w:rsidRPr="005A3DA8" w:rsidRDefault="00786E87" w:rsidP="00492694">
      <w:pPr>
        <w:pStyle w:val="Heading3"/>
      </w:pPr>
      <w:bookmarkStart w:id="160" w:name="_Toc373130825"/>
      <w:bookmarkStart w:id="161" w:name="_Toc374445785"/>
      <w:bookmarkStart w:id="162" w:name="_Toc382906711"/>
      <w:r>
        <w:t xml:space="preserve">2.1.1  </w:t>
      </w:r>
      <w:r w:rsidR="00CD1DE6" w:rsidRPr="005A3DA8">
        <w:t>Type 1 diabetes</w:t>
      </w:r>
      <w:bookmarkEnd w:id="160"/>
      <w:bookmarkEnd w:id="161"/>
      <w:bookmarkEnd w:id="162"/>
    </w:p>
    <w:p w:rsidR="00CD1DE6" w:rsidRPr="005A3DA8" w:rsidRDefault="00CD1DE6" w:rsidP="00492694">
      <w:pPr>
        <w:pStyle w:val="BodyText1"/>
      </w:pPr>
      <w:r w:rsidRPr="005A3DA8">
        <w:t>Type 1 diabetes is an autoimmune disease characterised by the progressive destruction of the insulin producing beta-cells of the pancreas. People with type 1 diabetes cannot produce insulin and require lifelong insulin i</w:t>
      </w:r>
      <w:r w:rsidR="00533A15">
        <w:t>njections for survival</w:t>
      </w:r>
      <w:r w:rsidRPr="005A3DA8">
        <w:t>.</w:t>
      </w:r>
      <w:r w:rsidR="0093455B" w:rsidRPr="001E0DCC">
        <w:rPr>
          <w:vertAlign w:val="superscript"/>
        </w:rPr>
        <w:t>7</w:t>
      </w:r>
      <w:r w:rsidRPr="005A3DA8">
        <w:t xml:space="preserve"> </w:t>
      </w:r>
      <w:r w:rsidR="006D7DA6">
        <w:t>Type 1 diabetes</w:t>
      </w:r>
      <w:r w:rsidR="006D7DA6" w:rsidRPr="00A53E3C">
        <w:t xml:space="preserve"> can occur at any age, </w:t>
      </w:r>
      <w:r w:rsidR="006D7DA6">
        <w:t xml:space="preserve">but predominantly </w:t>
      </w:r>
      <w:r w:rsidR="006D7DA6" w:rsidRPr="00A53E3C">
        <w:t>occur</w:t>
      </w:r>
      <w:r w:rsidR="006D7DA6">
        <w:t xml:space="preserve">s in children and young adults and </w:t>
      </w:r>
      <w:r w:rsidRPr="005A3DA8">
        <w:t>is sometimes referred to as juv</w:t>
      </w:r>
      <w:r w:rsidR="006D7DA6">
        <w:t>enile onset diabetes or insulin-</w:t>
      </w:r>
      <w:r w:rsidRPr="005A3DA8">
        <w:t xml:space="preserve">dependent diabetes. Type 1 diabetes affects </w:t>
      </w:r>
      <w:r>
        <w:t>about 10%</w:t>
      </w:r>
      <w:r w:rsidRPr="005A3DA8">
        <w:t xml:space="preserve"> of people with diabetes.</w:t>
      </w:r>
      <w:r w:rsidR="0093455B" w:rsidRPr="001E0DCC">
        <w:rPr>
          <w:vertAlign w:val="superscript"/>
        </w:rPr>
        <w:t>8</w:t>
      </w:r>
      <w:r w:rsidRPr="005A3DA8">
        <w:t xml:space="preserve"> The cause o</w:t>
      </w:r>
      <w:r w:rsidR="00533A15">
        <w:t xml:space="preserve">f type 1 diabetes is not known </w:t>
      </w:r>
      <w:r w:rsidRPr="005A3DA8">
        <w:t>and it is not preventable with current knowledge.</w:t>
      </w:r>
      <w:r w:rsidR="0093455B" w:rsidRPr="001E0DCC">
        <w:rPr>
          <w:vertAlign w:val="superscript"/>
        </w:rPr>
        <w:t>7</w:t>
      </w:r>
    </w:p>
    <w:p w:rsidR="00CD1DE6" w:rsidRPr="005A3DA8" w:rsidRDefault="00786E87" w:rsidP="00492694">
      <w:pPr>
        <w:pStyle w:val="Heading3"/>
      </w:pPr>
      <w:bookmarkStart w:id="163" w:name="_Toc373130826"/>
      <w:bookmarkStart w:id="164" w:name="_Toc374445786"/>
      <w:bookmarkStart w:id="165" w:name="_Toc382906712"/>
      <w:r>
        <w:t xml:space="preserve">2.1.2  </w:t>
      </w:r>
      <w:r w:rsidR="00CD1DE6" w:rsidRPr="005A3DA8">
        <w:t>Type 2 diabetes</w:t>
      </w:r>
      <w:bookmarkEnd w:id="163"/>
      <w:bookmarkEnd w:id="164"/>
      <w:bookmarkEnd w:id="165"/>
    </w:p>
    <w:p w:rsidR="00DF54F5" w:rsidRDefault="00533A15" w:rsidP="00492694">
      <w:pPr>
        <w:pStyle w:val="BodyText1"/>
      </w:pPr>
      <w:r>
        <w:t>Type 2 diabetes</w:t>
      </w:r>
      <w:r w:rsidR="00CD1DE6" w:rsidRPr="005A3DA8">
        <w:t xml:space="preserve"> is </w:t>
      </w:r>
      <w:r w:rsidR="00155BC2">
        <w:t xml:space="preserve">a metabolic disorder </w:t>
      </w:r>
      <w:r w:rsidR="00CD1DE6" w:rsidRPr="005A3DA8">
        <w:t>associated with hereditary factors and lifestyle risk factors, including poor diet, insufficient physical activity and being overweight or obese.</w:t>
      </w:r>
      <w:r w:rsidR="0093455B" w:rsidRPr="001E0DCC">
        <w:rPr>
          <w:vertAlign w:val="superscript"/>
        </w:rPr>
        <w:t>9</w:t>
      </w:r>
      <w:r w:rsidR="00CD1DE6" w:rsidRPr="005A3DA8">
        <w:t xml:space="preserve"> </w:t>
      </w:r>
      <w:r w:rsidR="00650FE6">
        <w:t>People with t</w:t>
      </w:r>
      <w:r w:rsidR="00650FE6" w:rsidRPr="005A3DA8">
        <w:t>ype 2 diabetes</w:t>
      </w:r>
      <w:r w:rsidR="00650FE6">
        <w:t xml:space="preserve"> produce insulin, but may not produce enough</w:t>
      </w:r>
      <w:r w:rsidR="00650FE6" w:rsidRPr="00DF54F5">
        <w:t xml:space="preserve"> </w:t>
      </w:r>
      <w:r w:rsidR="00650FE6">
        <w:t>of it (insulin deficiency caused by beta cell dysfunction) or cannot use it effectively</w:t>
      </w:r>
      <w:r w:rsidR="00650FE6" w:rsidRPr="005A3DA8">
        <w:t xml:space="preserve"> (insulin resistance)</w:t>
      </w:r>
      <w:r w:rsidR="00650FE6">
        <w:t xml:space="preserve">. Insulin acts in the liver to suppress the release of glucose into the blood. Insulin resistance causes the liver to inappropriately release glucose, causing hyperglycaemia. </w:t>
      </w:r>
      <w:r w:rsidR="00CD1DE6" w:rsidRPr="005A3DA8">
        <w:t>Some people with type 2 diabetes may be able to manage their condition through lifestyle changes, others may require diabetes medications or insulin injections t</w:t>
      </w:r>
      <w:r w:rsidR="00650FE6">
        <w:t>o control blood glucose levels.</w:t>
      </w:r>
      <w:r w:rsidR="0093455B" w:rsidRPr="001E0DCC">
        <w:rPr>
          <w:vertAlign w:val="superscript"/>
        </w:rPr>
        <w:t>7</w:t>
      </w:r>
    </w:p>
    <w:p w:rsidR="00CD1DE6" w:rsidRPr="005A3DA8" w:rsidRDefault="00786E87" w:rsidP="00492694">
      <w:pPr>
        <w:pStyle w:val="Heading3"/>
        <w:rPr>
          <w:rFonts w:eastAsia="Calibri"/>
        </w:rPr>
      </w:pPr>
      <w:bookmarkStart w:id="166" w:name="_Toc373130827"/>
      <w:bookmarkStart w:id="167" w:name="_Toc374445787"/>
      <w:bookmarkStart w:id="168" w:name="_Toc382906713"/>
      <w:r>
        <w:rPr>
          <w:rFonts w:eastAsia="Calibri"/>
        </w:rPr>
        <w:lastRenderedPageBreak/>
        <w:t xml:space="preserve">2.1.3  </w:t>
      </w:r>
      <w:r w:rsidR="00CD1DE6" w:rsidRPr="005A3DA8">
        <w:rPr>
          <w:rFonts w:eastAsia="Calibri"/>
        </w:rPr>
        <w:t>Gestational diabetes</w:t>
      </w:r>
      <w:bookmarkEnd w:id="166"/>
      <w:bookmarkEnd w:id="167"/>
      <w:bookmarkEnd w:id="168"/>
    </w:p>
    <w:p w:rsidR="00CD1DE6" w:rsidRPr="005A3DA8" w:rsidRDefault="00CD1DE6" w:rsidP="00492694">
      <w:pPr>
        <w:pStyle w:val="BodyText1"/>
      </w:pPr>
      <w:r w:rsidRPr="005A3DA8">
        <w:t>Gestational diabetes occurs during pregnancy and usually resolves after birth. However, a history of gestational diabetes increases a woman's risk of developing type 2 diabetes later in life. It is estimated that gestational diabetes affec</w:t>
      </w:r>
      <w:r w:rsidR="006D7DA6">
        <w:t>ts women in about 3–</w:t>
      </w:r>
      <w:r w:rsidRPr="005A3DA8">
        <w:t>8% of pregnancies</w:t>
      </w:r>
      <w:r w:rsidR="006D7DA6">
        <w:t>, usually between the 24</w:t>
      </w:r>
      <w:r w:rsidR="006D7DA6" w:rsidRPr="006D7DA6">
        <w:rPr>
          <w:vertAlign w:val="superscript"/>
        </w:rPr>
        <w:t>th</w:t>
      </w:r>
      <w:r w:rsidR="006D7DA6">
        <w:t xml:space="preserve"> and 28</w:t>
      </w:r>
      <w:r w:rsidR="006D7DA6" w:rsidRPr="006D7DA6">
        <w:rPr>
          <w:vertAlign w:val="superscript"/>
        </w:rPr>
        <w:t>th</w:t>
      </w:r>
      <w:r w:rsidR="006D7DA6">
        <w:t xml:space="preserve"> week of pregnancy</w:t>
      </w:r>
      <w:r w:rsidRPr="005A3DA8">
        <w:t>. Additionally, certain populations including Aboriginal or Torres Strait Islander, Indian, Vietnamese, Chinese, Middle Eastern and Polynesian</w:t>
      </w:r>
      <w:r w:rsidR="006D2448">
        <w:t xml:space="preserve"> populations</w:t>
      </w:r>
      <w:r w:rsidRPr="005A3DA8">
        <w:t>, are at increased risk of gestational diabetes.</w:t>
      </w:r>
      <w:r w:rsidR="0093455B" w:rsidRPr="001E0DCC">
        <w:rPr>
          <w:vertAlign w:val="superscript"/>
        </w:rPr>
        <w:t>10</w:t>
      </w:r>
      <w:r w:rsidRPr="005A3DA8">
        <w:t xml:space="preserve"> </w:t>
      </w:r>
    </w:p>
    <w:p w:rsidR="00A82B0B" w:rsidRDefault="00075815" w:rsidP="00492694">
      <w:pPr>
        <w:pStyle w:val="Heading2"/>
      </w:pPr>
      <w:bookmarkStart w:id="169" w:name="_Toc382906714"/>
      <w:bookmarkStart w:id="170" w:name="_Toc397947700"/>
      <w:bookmarkStart w:id="171" w:name="_Toc403399541"/>
      <w:bookmarkStart w:id="172" w:name="_Toc373130831"/>
      <w:bookmarkStart w:id="173" w:name="_Toc374445792"/>
      <w:r>
        <w:t>2.2</w:t>
      </w:r>
      <w:r>
        <w:tab/>
      </w:r>
      <w:r w:rsidR="00A82B0B">
        <w:t>Prevention</w:t>
      </w:r>
      <w:bookmarkEnd w:id="169"/>
      <w:bookmarkEnd w:id="170"/>
      <w:bookmarkEnd w:id="171"/>
    </w:p>
    <w:p w:rsidR="00A13270" w:rsidRDefault="005B3EE4" w:rsidP="00492694">
      <w:pPr>
        <w:pStyle w:val="BodyText1"/>
      </w:pPr>
      <w:r>
        <w:t>Following a healthy lifestyle can prevent or delay the onset of type 2 diabetes. It is estimated that up to 60</w:t>
      </w:r>
      <w:r w:rsidR="00693F65">
        <w:t>–80</w:t>
      </w:r>
      <w:r>
        <w:t>% of cases are preventable.</w:t>
      </w:r>
      <w:r w:rsidR="0093455B" w:rsidRPr="001E0DCC">
        <w:rPr>
          <w:vertAlign w:val="superscript"/>
        </w:rPr>
        <w:t>11</w:t>
      </w:r>
      <w:r w:rsidR="001E0DCC" w:rsidRPr="001E0DCC">
        <w:rPr>
          <w:vertAlign w:val="superscript"/>
        </w:rPr>
        <w:t xml:space="preserve">; </w:t>
      </w:r>
      <w:r w:rsidR="0093455B" w:rsidRPr="001E0DCC">
        <w:rPr>
          <w:vertAlign w:val="superscript"/>
        </w:rPr>
        <w:t>12</w:t>
      </w:r>
      <w:r>
        <w:t xml:space="preserve"> </w:t>
      </w:r>
      <w:r w:rsidR="005F70AC">
        <w:t>P</w:t>
      </w:r>
      <w:r w:rsidR="008468F6">
        <w:t xml:space="preserve">eople at high risk of developing diabetes </w:t>
      </w:r>
      <w:r w:rsidR="005F70AC">
        <w:t xml:space="preserve">may </w:t>
      </w:r>
      <w:r w:rsidR="008468F6">
        <w:t xml:space="preserve">be identified through the use of risk assessment tools, such as the Australian </w:t>
      </w:r>
      <w:r w:rsidR="00D26F04">
        <w:t>type 2 diabetes r</w:t>
      </w:r>
      <w:r w:rsidR="008468F6">
        <w:t xml:space="preserve">isk </w:t>
      </w:r>
      <w:r w:rsidR="00D26F04">
        <w:t>a</w:t>
      </w:r>
      <w:r w:rsidR="008468F6">
        <w:t xml:space="preserve">ssessment </w:t>
      </w:r>
      <w:r w:rsidR="00D26F04">
        <w:t>t</w:t>
      </w:r>
      <w:r w:rsidR="008468F6">
        <w:t>ool (</w:t>
      </w:r>
      <w:r w:rsidR="008468F6" w:rsidRPr="0028026D">
        <w:t>AUSDRISK</w:t>
      </w:r>
      <w:r w:rsidR="008468F6">
        <w:t xml:space="preserve">). </w:t>
      </w:r>
      <w:r w:rsidR="00313789">
        <w:t xml:space="preserve">The </w:t>
      </w:r>
      <w:r w:rsidR="00313789" w:rsidRPr="00313789">
        <w:rPr>
          <w:i/>
        </w:rPr>
        <w:t>National Evidence B</w:t>
      </w:r>
      <w:r w:rsidR="00313789">
        <w:rPr>
          <w:i/>
        </w:rPr>
        <w:t>ased Guideline for the Primary P</w:t>
      </w:r>
      <w:r w:rsidR="00313789" w:rsidRPr="00313789">
        <w:rPr>
          <w:i/>
        </w:rPr>
        <w:t>revention of Type 2 Diabetes</w:t>
      </w:r>
      <w:r w:rsidR="00313789">
        <w:t>, endorsed by the National Health and Medica</w:t>
      </w:r>
      <w:r w:rsidR="00A17B8D">
        <w:t>l Research Council (NHMRC) recommend</w:t>
      </w:r>
      <w:r w:rsidR="00313789">
        <w:t>s that</w:t>
      </w:r>
      <w:r w:rsidR="00A17B8D">
        <w:t xml:space="preserve"> risk assessment should begin at age 40 or age 18 for Aboriginal and Torres Strait Islander peoples, and be repeated every three years. T</w:t>
      </w:r>
      <w:r w:rsidR="008468F6">
        <w:t xml:space="preserve">hose at high risk </w:t>
      </w:r>
      <w:r w:rsidR="00A17B8D">
        <w:t>of developing type </w:t>
      </w:r>
      <w:r w:rsidR="00313789">
        <w:t xml:space="preserve">2 diabetes </w:t>
      </w:r>
      <w:r w:rsidR="008468F6">
        <w:t>should be offered lifestyle modifications focussing on increased physical activity, dietary change</w:t>
      </w:r>
      <w:r w:rsidR="00155BC2">
        <w:t>,</w:t>
      </w:r>
      <w:r w:rsidR="008468F6">
        <w:t xml:space="preserve"> and weight loss, through routine clinical practice.</w:t>
      </w:r>
      <w:r w:rsidR="00504EDA">
        <w:t xml:space="preserve"> </w:t>
      </w:r>
      <w:r w:rsidR="00A13270">
        <w:t>Pharmacological interventions may be considered in some people at high risk of developing diabetes, but the potential benefits and harms (e.g. side-effects) should be considered before commencing pharmacotherapy for prevention. Bariatric surgery may be considered in those who are morbidly obese.</w:t>
      </w:r>
      <w:r w:rsidR="0093455B" w:rsidRPr="001E0DCC">
        <w:rPr>
          <w:vertAlign w:val="superscript"/>
        </w:rPr>
        <w:t>11</w:t>
      </w:r>
      <w:r w:rsidR="00A13270">
        <w:t xml:space="preserve"> </w:t>
      </w:r>
    </w:p>
    <w:p w:rsidR="00B309AB" w:rsidRDefault="00504EDA" w:rsidP="00492694">
      <w:pPr>
        <w:pStyle w:val="BodyText1"/>
      </w:pPr>
      <w:r>
        <w:t xml:space="preserve">Lifestyle intervention programmes have been shown to </w:t>
      </w:r>
      <w:r w:rsidR="00DD2CEB">
        <w:t>decrease the incidence of type 2 diabetes developing in those at high risk,</w:t>
      </w:r>
      <w:r w:rsidR="0093455B" w:rsidRPr="001E0DCC">
        <w:rPr>
          <w:vertAlign w:val="superscript"/>
        </w:rPr>
        <w:t>13</w:t>
      </w:r>
      <w:r w:rsidR="00DD2CEB">
        <w:t xml:space="preserve"> and </w:t>
      </w:r>
      <w:r w:rsidR="00A00488" w:rsidRPr="0001060A">
        <w:t>are</w:t>
      </w:r>
      <w:r w:rsidR="00A00488">
        <w:t xml:space="preserve"> </w:t>
      </w:r>
      <w:r w:rsidR="009F3362">
        <w:t>at least as effective as pharmacological interventions.</w:t>
      </w:r>
      <w:r w:rsidR="0093455B" w:rsidRPr="001E0DCC">
        <w:rPr>
          <w:vertAlign w:val="superscript"/>
        </w:rPr>
        <w:t>14</w:t>
      </w:r>
      <w:r w:rsidR="009F3362">
        <w:t xml:space="preserve"> </w:t>
      </w:r>
      <w:r w:rsidR="00BF67BE">
        <w:t>One large</w:t>
      </w:r>
      <w:r w:rsidR="00B309AB">
        <w:t xml:space="preserve"> </w:t>
      </w:r>
      <w:r w:rsidR="00BF67BE">
        <w:t>randomised controlled trial</w:t>
      </w:r>
      <w:r w:rsidR="0001060A">
        <w:t xml:space="preserve"> (</w:t>
      </w:r>
      <w:r w:rsidR="00BF67BE">
        <w:t>RCT</w:t>
      </w:r>
      <w:r w:rsidR="0001060A">
        <w:t>)</w:t>
      </w:r>
      <w:r w:rsidR="00B309AB">
        <w:t>, the Diabetes Prevention Program</w:t>
      </w:r>
      <w:r w:rsidR="0001060A">
        <w:t>,</w:t>
      </w:r>
      <w:r w:rsidR="00B309AB">
        <w:t xml:space="preserve"> </w:t>
      </w:r>
      <w:r w:rsidR="0001060A">
        <w:t xml:space="preserve">which followed </w:t>
      </w:r>
      <w:r w:rsidR="00B309AB">
        <w:t xml:space="preserve">3200 </w:t>
      </w:r>
      <w:r w:rsidR="0001060A">
        <w:t xml:space="preserve">high risk </w:t>
      </w:r>
      <w:r w:rsidR="00B309AB">
        <w:t>people for an av</w:t>
      </w:r>
      <w:r w:rsidR="0001060A">
        <w:t xml:space="preserve">erage of 2.8 years, </w:t>
      </w:r>
      <w:r w:rsidR="00BD7A8C">
        <w:t>showed a</w:t>
      </w:r>
      <w:r w:rsidR="00B309AB">
        <w:t xml:space="preserve"> </w:t>
      </w:r>
      <w:r w:rsidR="00BD7A8C">
        <w:t xml:space="preserve">lifestyle intervention programme to be significantly more effective than metformin in delaying the development </w:t>
      </w:r>
      <w:r w:rsidR="00E14A63">
        <w:t xml:space="preserve">of type 2 diabetes, reducing the risk by </w:t>
      </w:r>
      <w:r w:rsidR="006D2448">
        <w:t xml:space="preserve">39% </w:t>
      </w:r>
      <w:r w:rsidR="00E14A63">
        <w:t>(95% CI: 24, 51</w:t>
      </w:r>
      <w:r w:rsidR="00B309AB">
        <w:t>)</w:t>
      </w:r>
      <w:r w:rsidR="00BD7A8C">
        <w:t>.</w:t>
      </w:r>
      <w:r w:rsidR="0093455B" w:rsidRPr="001E0DCC">
        <w:rPr>
          <w:vertAlign w:val="superscript"/>
        </w:rPr>
        <w:t>15</w:t>
      </w:r>
      <w:r w:rsidR="00BD7A8C">
        <w:t xml:space="preserve"> </w:t>
      </w:r>
    </w:p>
    <w:p w:rsidR="00BF361A" w:rsidRDefault="005A67E6" w:rsidP="00492694">
      <w:pPr>
        <w:pStyle w:val="BodyText1"/>
      </w:pPr>
      <w:r>
        <w:t>A Cochrane systematic review found</w:t>
      </w:r>
      <w:r w:rsidR="0012155F">
        <w:t xml:space="preserve"> that exercise plus diet interventions significantly reduced the risk of diabetes compared with standard recommendatio</w:t>
      </w:r>
      <w:r w:rsidR="00E14A63">
        <w:t xml:space="preserve">ns in high risk groups (RR 0.63; 95% CI: 0.49, </w:t>
      </w:r>
      <w:r w:rsidR="0012155F">
        <w:t>0.79).</w:t>
      </w:r>
      <w:r w:rsidR="0093455B" w:rsidRPr="001E0DCC">
        <w:rPr>
          <w:vertAlign w:val="superscript"/>
        </w:rPr>
        <w:t>16</w:t>
      </w:r>
      <w:r w:rsidR="0012155F">
        <w:t xml:space="preserve"> </w:t>
      </w:r>
      <w:r w:rsidR="00BD7A8C">
        <w:t>Another Cochrane review assessing the effect of counselling or education to modify cardiovascular risk factors, showed a reduced risk of total mortality and combined fatal and non-fatal cardiovascular events in diabetes patients</w:t>
      </w:r>
      <w:r w:rsidR="00E14A63">
        <w:t xml:space="preserve"> with the intervention (OR 0.71;</w:t>
      </w:r>
      <w:r w:rsidR="00BD7A8C">
        <w:t xml:space="preserve"> 95% CI</w:t>
      </w:r>
      <w:r w:rsidR="00E14A63">
        <w:t xml:space="preserve">: 0.61, </w:t>
      </w:r>
      <w:r w:rsidR="00BD7A8C">
        <w:t>0.83).</w:t>
      </w:r>
      <w:r w:rsidR="0093455B" w:rsidRPr="001E0DCC">
        <w:rPr>
          <w:vertAlign w:val="superscript"/>
        </w:rPr>
        <w:t>17</w:t>
      </w:r>
      <w:r w:rsidR="00BD7A8C">
        <w:t xml:space="preserve"> </w:t>
      </w:r>
      <w:r w:rsidR="009F3362">
        <w:t>Long term follow</w:t>
      </w:r>
      <w:r w:rsidR="00A13270">
        <w:t>-up studies of people who have undertaken a lifestyle intervention programme indicate that the effects on risk factors and development of type 2 diabetes can be long lasting.</w:t>
      </w:r>
      <w:r w:rsidR="0093455B" w:rsidRPr="001E0DCC">
        <w:rPr>
          <w:vertAlign w:val="superscript"/>
        </w:rPr>
        <w:t>12</w:t>
      </w:r>
      <w:r w:rsidR="001E0DCC" w:rsidRPr="001E0DCC">
        <w:rPr>
          <w:vertAlign w:val="superscript"/>
        </w:rPr>
        <w:t xml:space="preserve">; </w:t>
      </w:r>
      <w:r w:rsidR="0093455B" w:rsidRPr="001E0DCC">
        <w:rPr>
          <w:vertAlign w:val="superscript"/>
        </w:rPr>
        <w:t>18</w:t>
      </w:r>
      <w:r w:rsidR="00A13270">
        <w:t xml:space="preserve"> </w:t>
      </w:r>
    </w:p>
    <w:p w:rsidR="008468F6" w:rsidRDefault="00BF361A" w:rsidP="00492694">
      <w:pPr>
        <w:pStyle w:val="BodyText1"/>
      </w:pPr>
      <w:r>
        <w:t xml:space="preserve">A </w:t>
      </w:r>
      <w:r w:rsidR="00D842DF">
        <w:t xml:space="preserve">systematic review of the literature on the cost-effectiveness of diabetes interventions recommended by the American Diabetes Association (ADA), identified intensive </w:t>
      </w:r>
      <w:r w:rsidR="00D842DF">
        <w:lastRenderedPageBreak/>
        <w:t xml:space="preserve">lifestyle interventions in people with impaired glucose tolerance to be very cost-effective compared to standard lifestyle </w:t>
      </w:r>
      <w:r>
        <w:t>recommendations or no intervention</w:t>
      </w:r>
      <w:r w:rsidR="00D842DF">
        <w:t xml:space="preserve">. </w:t>
      </w:r>
      <w:r>
        <w:t xml:space="preserve">The intervention </w:t>
      </w:r>
      <w:r w:rsidR="00124A79">
        <w:t>had</w:t>
      </w:r>
      <w:r>
        <w:t xml:space="preserve"> a median cost-effectiveness ratio of USD $1500 per Quality Adjusted Life Year (QALY) in 2007</w:t>
      </w:r>
      <w:r w:rsidR="00124A79">
        <w:t xml:space="preserve"> based on eight studies</w:t>
      </w:r>
      <w:r>
        <w:t>.</w:t>
      </w:r>
      <w:r w:rsidR="0093455B" w:rsidRPr="001E0DCC">
        <w:rPr>
          <w:vertAlign w:val="superscript"/>
        </w:rPr>
        <w:t>19</w:t>
      </w:r>
      <w:r>
        <w:t xml:space="preserve"> </w:t>
      </w:r>
      <w:r w:rsidR="005A67E6">
        <w:t>The</w:t>
      </w:r>
      <w:r w:rsidR="000A29A6">
        <w:t xml:space="preserve"> </w:t>
      </w:r>
      <w:r w:rsidR="005A67E6">
        <w:t>effectiveness and cost-effectiveness of intensive lifestyle interventions in those at high risk of developing type 2 diabetes</w:t>
      </w:r>
      <w:r w:rsidR="00831485">
        <w:t>,</w:t>
      </w:r>
      <w:r w:rsidR="005A67E6">
        <w:t xml:space="preserve"> </w:t>
      </w:r>
      <w:r w:rsidR="00831485">
        <w:t>has led many countries to implement</w:t>
      </w:r>
      <w:r w:rsidR="000A29A6">
        <w:t xml:space="preserve"> population-based diabetes prevention programmes</w:t>
      </w:r>
      <w:r w:rsidR="00C9538C">
        <w:t>.</w:t>
      </w:r>
      <w:r w:rsidR="00080217">
        <w:t xml:space="preserve"> </w:t>
      </w:r>
    </w:p>
    <w:p w:rsidR="00000E94" w:rsidRDefault="00000E94" w:rsidP="00492694">
      <w:pPr>
        <w:pStyle w:val="Heading3"/>
      </w:pPr>
      <w:bookmarkStart w:id="174" w:name="_Toc382906715"/>
      <w:r>
        <w:t>2.2.1</w:t>
      </w:r>
      <w:r>
        <w:tab/>
        <w:t>Australian Government prevention programmes</w:t>
      </w:r>
      <w:bookmarkEnd w:id="174"/>
    </w:p>
    <w:p w:rsidR="007A0710" w:rsidRPr="001A1A72" w:rsidRDefault="00905C71" w:rsidP="007A0710">
      <w:pPr>
        <w:pStyle w:val="BodyText1"/>
      </w:pPr>
      <w:r>
        <w:t>The Australian Government recognises that chronic disease is a long term public health problem that requires investment in sustained preventive health activities.  As such, the Australian Government is focused on activities targeted to address specific needs in the population, including research and the development and promotion of national evidence-based guidelines for physical activity, nutrition and obesity.</w:t>
      </w:r>
      <w:r w:rsidR="007A0710">
        <w:t xml:space="preserve"> A list of Australian Government funded activities to promote healthy living are available at </w:t>
      </w:r>
      <w:hyperlink w:anchor="_Appendix_B:_Reference" w:history="1">
        <w:r w:rsidR="002E2392" w:rsidRPr="006E1080">
          <w:rPr>
            <w:rStyle w:val="Hyperlink"/>
          </w:rPr>
          <w:t>Appendix C</w:t>
        </w:r>
      </w:hyperlink>
      <w:r w:rsidR="002E2392">
        <w:t xml:space="preserve">. </w:t>
      </w:r>
    </w:p>
    <w:p w:rsidR="00905C71" w:rsidRDefault="00905C71" w:rsidP="00905C71">
      <w:pPr>
        <w:pStyle w:val="BodyText1"/>
      </w:pPr>
      <w:r>
        <w:t xml:space="preserve">Prevention initiatives include programmes and resources to educate children in schools about the benefits of healthy eating and regular participation in physical activity through the provision of evidence-based guidelines and initiatives such as the </w:t>
      </w:r>
      <w:r>
        <w:rPr>
          <w:i/>
        </w:rPr>
        <w:t>Sporting Schools Initiative</w:t>
      </w:r>
      <w:r>
        <w:t>. The Government has also committed to developing a new National Diabetes Strategy to prioritise the national response to diabetes within the broader context of prevention and primary health care.</w:t>
      </w:r>
    </w:p>
    <w:p w:rsidR="00000E94" w:rsidRDefault="00DB7C02" w:rsidP="00492694">
      <w:pPr>
        <w:pStyle w:val="BodyText1"/>
      </w:pPr>
      <w:r>
        <w:t>The new Indigenous Australians’ Health Programme commenced on 1 July 2014 and includes support for healthy lifestyles and reducing tobacco use. The Government is committed to continuing efforts to address the burden of chronic disease in Indigenous people and is undertaking a review of activities under the Tackling Indigenous Smoking and Healthy Lifestyle programme in 2014 to ensure they are informed by the best available evidence.</w:t>
      </w:r>
      <w:r w:rsidRPr="006244CF">
        <w:t xml:space="preserve"> </w:t>
      </w:r>
    </w:p>
    <w:p w:rsidR="006D0AD6" w:rsidRPr="003E3BEE" w:rsidRDefault="00000E94" w:rsidP="00492694">
      <w:pPr>
        <w:pStyle w:val="Heading3"/>
      </w:pPr>
      <w:bookmarkStart w:id="175" w:name="_Toc382906716"/>
      <w:r>
        <w:t>2.2.2</w:t>
      </w:r>
      <w:r w:rsidR="003E3BEE">
        <w:tab/>
        <w:t>State and territory government prevention programmes</w:t>
      </w:r>
      <w:bookmarkEnd w:id="175"/>
    </w:p>
    <w:p w:rsidR="003E3BEE" w:rsidRDefault="0009073F" w:rsidP="00492694">
      <w:pPr>
        <w:pStyle w:val="BodyText1"/>
      </w:pPr>
      <w:r>
        <w:t>States and territories have</w:t>
      </w:r>
      <w:r w:rsidR="00905C71">
        <w:t xml:space="preserve"> a range of initiatives to promote healthy living throughout the community</w:t>
      </w:r>
      <w:r w:rsidR="00071FDE">
        <w:t xml:space="preserve">. </w:t>
      </w:r>
      <w:r w:rsidR="003E3BEE" w:rsidRPr="003E3BEE">
        <w:t>The Victorian</w:t>
      </w:r>
      <w:r w:rsidR="003E3BEE">
        <w:t xml:space="preserve"> Government funded </w:t>
      </w:r>
      <w:r w:rsidR="00F01FFD">
        <w:t>‘</w:t>
      </w:r>
      <w:r w:rsidR="003E3BEE" w:rsidRPr="0028026D">
        <w:t>Life!</w:t>
      </w:r>
      <w:r w:rsidR="00F01FFD">
        <w:rPr>
          <w:i/>
        </w:rPr>
        <w:t>’</w:t>
      </w:r>
      <w:r w:rsidR="003E3BEE">
        <w:t xml:space="preserve"> </w:t>
      </w:r>
      <w:r w:rsidR="00BB6AE3">
        <w:t>p</w:t>
      </w:r>
      <w:r w:rsidR="003E3BEE">
        <w:t xml:space="preserve">rogramme </w:t>
      </w:r>
      <w:r w:rsidR="00F761E3">
        <w:t xml:space="preserve">is an intensive community based </w:t>
      </w:r>
      <w:r w:rsidR="003E3BEE">
        <w:t>lifestyle behaviour change programme</w:t>
      </w:r>
      <w:r w:rsidR="00504EDA">
        <w:t xml:space="preserve"> managed by Diabetes Australia – Victoria</w:t>
      </w:r>
      <w:r w:rsidR="00F761E3">
        <w:t xml:space="preserve">. It is </w:t>
      </w:r>
      <w:r w:rsidR="003E3BEE">
        <w:t>based on the Finnish Prevention Program</w:t>
      </w:r>
      <w:r w:rsidR="0093455B" w:rsidRPr="001E0DCC">
        <w:rPr>
          <w:vertAlign w:val="superscript"/>
        </w:rPr>
        <w:t>20</w:t>
      </w:r>
      <w:r w:rsidR="003E3BEE">
        <w:t xml:space="preserve"> and the Greater Green Triangle Diabetes Prevention Program</w:t>
      </w:r>
      <w:r w:rsidR="0093455B" w:rsidRPr="001E0DCC">
        <w:rPr>
          <w:vertAlign w:val="superscript"/>
        </w:rPr>
        <w:t>21</w:t>
      </w:r>
      <w:r w:rsidR="00F761E3">
        <w:t xml:space="preserve"> and </w:t>
      </w:r>
      <w:r w:rsidR="003055F9">
        <w:t>aims to help participants</w:t>
      </w:r>
      <w:r w:rsidR="00124EE5">
        <w:t xml:space="preserve"> improve their diet, increase physical activity and achieve weight loss.</w:t>
      </w:r>
      <w:r w:rsidR="00BB6AE3">
        <w:t xml:space="preserve"> Participants receive access to group and individual coaching and </w:t>
      </w:r>
      <w:r w:rsidR="00F761E3">
        <w:t>help developing a</w:t>
      </w:r>
      <w:r w:rsidR="00BB6AE3">
        <w:t xml:space="preserve"> tailored eating and exercise plan.</w:t>
      </w:r>
      <w:r w:rsidR="0093455B" w:rsidRPr="001E0DCC">
        <w:rPr>
          <w:vertAlign w:val="superscript"/>
        </w:rPr>
        <w:t>22</w:t>
      </w:r>
    </w:p>
    <w:p w:rsidR="00B2034D" w:rsidRPr="003E3BEE" w:rsidRDefault="008E7298" w:rsidP="00492694">
      <w:pPr>
        <w:pStyle w:val="BodyText1"/>
      </w:pPr>
      <w:r>
        <w:t>Under the</w:t>
      </w:r>
      <w:r w:rsidR="00B2034D">
        <w:t xml:space="preserve"> ‘</w:t>
      </w:r>
      <w:hyperlink r:id="rId11" w:history="1">
        <w:r w:rsidR="00B2034D" w:rsidRPr="00C03D18">
          <w:rPr>
            <w:rStyle w:val="Hyperlink"/>
          </w:rPr>
          <w:t>Pharmacy Health Checks: Know Your Numbers</w:t>
        </w:r>
        <w:r w:rsidR="00C03D18" w:rsidRPr="00C03D18">
          <w:rPr>
            <w:rStyle w:val="Hyperlink"/>
          </w:rPr>
          <w:t>®</w:t>
        </w:r>
      </w:hyperlink>
      <w:r w:rsidR="00B2034D">
        <w:t>’ programme, people receive a f</w:t>
      </w:r>
      <w:r w:rsidR="006F7932">
        <w:t>ree blood pressure</w:t>
      </w:r>
      <w:r w:rsidR="00B2034D">
        <w:t xml:space="preserve"> test and are assisted by a pharmacist to complete the </w:t>
      </w:r>
      <w:r w:rsidR="00D26F04">
        <w:t>Australian type 2 diabetes risk assessment tool (</w:t>
      </w:r>
      <w:r w:rsidR="00B2034D">
        <w:t>AUSDRISK</w:t>
      </w:r>
      <w:r w:rsidR="00D26F04">
        <w:t>)</w:t>
      </w:r>
      <w:r w:rsidR="00B2034D">
        <w:t xml:space="preserve">. Those at high risk of developing type 2 diabetes are provided with lifestyle advice by the pharmacist and </w:t>
      </w:r>
      <w:r w:rsidR="00B2034D">
        <w:lastRenderedPageBreak/>
        <w:t xml:space="preserve">referred to a </w:t>
      </w:r>
      <w:r w:rsidR="00107B60">
        <w:t xml:space="preserve">general practitioner </w:t>
      </w:r>
      <w:r w:rsidR="00B2034D">
        <w:t>or lifestyle modification programme.</w:t>
      </w:r>
      <w:r>
        <w:t xml:space="preserve"> The programme was first piloted in Victoria and is currently running in Queensland and New South Wales.</w:t>
      </w:r>
    </w:p>
    <w:p w:rsidR="003E3BEE" w:rsidRDefault="00000E94" w:rsidP="00492694">
      <w:pPr>
        <w:pStyle w:val="Heading3"/>
      </w:pPr>
      <w:bookmarkStart w:id="176" w:name="_Toc382906717"/>
      <w:r w:rsidRPr="00000E94">
        <w:t>2.</w:t>
      </w:r>
      <w:r w:rsidR="00786E87">
        <w:t xml:space="preserve">2.3  </w:t>
      </w:r>
      <w:r w:rsidRPr="00000E94">
        <w:t xml:space="preserve">Local council </w:t>
      </w:r>
      <w:r w:rsidR="00200EAB">
        <w:t xml:space="preserve">and not-for-profit </w:t>
      </w:r>
      <w:r w:rsidRPr="00000E94">
        <w:t>prevention programmes</w:t>
      </w:r>
      <w:bookmarkEnd w:id="176"/>
    </w:p>
    <w:p w:rsidR="00200EAB" w:rsidRDefault="0046462B" w:rsidP="00492694">
      <w:pPr>
        <w:pStyle w:val="BodyText1"/>
      </w:pPr>
      <w:r>
        <w:t xml:space="preserve">A number of </w:t>
      </w:r>
      <w:r w:rsidR="00432532">
        <w:t xml:space="preserve">not-for-profit organisations </w:t>
      </w:r>
      <w:r>
        <w:t>and local councils also provide</w:t>
      </w:r>
      <w:r w:rsidR="00432532">
        <w:t xml:space="preserve"> healthy lifestyle programmes.</w:t>
      </w:r>
      <w:r>
        <w:t xml:space="preserve"> Examples include</w:t>
      </w:r>
      <w:r w:rsidR="00200EAB">
        <w:t>:</w:t>
      </w:r>
    </w:p>
    <w:p w:rsidR="00000E94" w:rsidRDefault="00432532" w:rsidP="007156EB">
      <w:pPr>
        <w:pStyle w:val="BodyText1"/>
        <w:numPr>
          <w:ilvl w:val="0"/>
          <w:numId w:val="42"/>
        </w:numPr>
      </w:pPr>
      <w:r w:rsidRPr="00C03D18">
        <w:t>National Heart Foundation of Australia</w:t>
      </w:r>
      <w:r w:rsidR="0046462B" w:rsidRPr="00C03D18">
        <w:t>:</w:t>
      </w:r>
      <w:r w:rsidR="0082407C">
        <w:t xml:space="preserve"> </w:t>
      </w:r>
      <w:hyperlink r:id="rId12" w:history="1">
        <w:r w:rsidRPr="00C03D18">
          <w:rPr>
            <w:rStyle w:val="Hyperlink"/>
            <w:i/>
          </w:rPr>
          <w:t>Heart Foundation Walking</w:t>
        </w:r>
      </w:hyperlink>
      <w:r>
        <w:t>.</w:t>
      </w:r>
    </w:p>
    <w:p w:rsidR="00200EAB" w:rsidRDefault="00200EAB" w:rsidP="007156EB">
      <w:pPr>
        <w:pStyle w:val="BodyText1"/>
        <w:numPr>
          <w:ilvl w:val="0"/>
          <w:numId w:val="42"/>
        </w:numPr>
      </w:pPr>
      <w:r w:rsidRPr="00C03D18">
        <w:t>Australian Diabetes Council</w:t>
      </w:r>
      <w:r w:rsidR="0046462B" w:rsidRPr="00C03D18">
        <w:t>:</w:t>
      </w:r>
      <w:r w:rsidR="0082407C">
        <w:rPr>
          <w:i/>
        </w:rPr>
        <w:t xml:space="preserve"> </w:t>
      </w:r>
      <w:hyperlink r:id="rId13" w:history="1">
        <w:r w:rsidR="0046462B" w:rsidRPr="00C03D18">
          <w:rPr>
            <w:rStyle w:val="Hyperlink"/>
            <w:i/>
          </w:rPr>
          <w:t>BEAT IT</w:t>
        </w:r>
        <w:r w:rsidRPr="00C03D18">
          <w:rPr>
            <w:rStyle w:val="Hyperlink"/>
            <w:i/>
          </w:rPr>
          <w:t xml:space="preserve"> Physical Activity and Lifestyle</w:t>
        </w:r>
        <w:r w:rsidR="00B411F8" w:rsidRPr="00C03D18">
          <w:rPr>
            <w:rStyle w:val="Hyperlink"/>
            <w:i/>
          </w:rPr>
          <w:t xml:space="preserve"> Program</w:t>
        </w:r>
      </w:hyperlink>
      <w:r w:rsidR="0082407C">
        <w:t>.</w:t>
      </w:r>
    </w:p>
    <w:p w:rsidR="0082407C" w:rsidRDefault="0082407C" w:rsidP="007156EB">
      <w:pPr>
        <w:pStyle w:val="BodyText1"/>
        <w:numPr>
          <w:ilvl w:val="0"/>
          <w:numId w:val="42"/>
        </w:numPr>
      </w:pPr>
      <w:r>
        <w:t>Fitness Australia (with Bake</w:t>
      </w:r>
      <w:r w:rsidR="009D5150">
        <w:t>r</w:t>
      </w:r>
      <w:r>
        <w:t xml:space="preserve"> ID</w:t>
      </w:r>
      <w:r w:rsidR="0046462B">
        <w:t>I Heart and Diabetes Institute):</w:t>
      </w:r>
      <w:r>
        <w:t xml:space="preserve"> </w:t>
      </w:r>
      <w:hyperlink r:id="rId14" w:history="1">
        <w:r w:rsidRPr="00C03D18">
          <w:rPr>
            <w:rStyle w:val="Hyperlink"/>
            <w:i/>
          </w:rPr>
          <w:t>Lift for Life</w:t>
        </w:r>
      </w:hyperlink>
      <w:r w:rsidR="009D5150">
        <w:t>.</w:t>
      </w:r>
    </w:p>
    <w:p w:rsidR="009D5150" w:rsidRDefault="009D5150" w:rsidP="007156EB">
      <w:pPr>
        <w:pStyle w:val="BodyText1"/>
        <w:numPr>
          <w:ilvl w:val="0"/>
          <w:numId w:val="42"/>
        </w:numPr>
      </w:pPr>
      <w:r>
        <w:t>Cycling Australi</w:t>
      </w:r>
      <w:r w:rsidR="0046462B">
        <w:t>a (with Amy Gillett Foundation):</w:t>
      </w:r>
      <w:r>
        <w:t xml:space="preserve"> </w:t>
      </w:r>
      <w:hyperlink r:id="rId15" w:history="1">
        <w:r w:rsidRPr="00C03D18">
          <w:rPr>
            <w:rStyle w:val="Hyperlink"/>
            <w:i/>
          </w:rPr>
          <w:t>AustCycle</w:t>
        </w:r>
      </w:hyperlink>
      <w:r>
        <w:t>.</w:t>
      </w:r>
    </w:p>
    <w:p w:rsidR="00492C08" w:rsidRDefault="00B411F8" w:rsidP="007156EB">
      <w:pPr>
        <w:pStyle w:val="BodyText1"/>
        <w:numPr>
          <w:ilvl w:val="0"/>
          <w:numId w:val="42"/>
        </w:numPr>
      </w:pPr>
      <w:r>
        <w:t>South Western Sydney Medicare Local Ltd. and Exercise and Sports Science Australia</w:t>
      </w:r>
      <w:r w:rsidR="0046462B">
        <w:t>:</w:t>
      </w:r>
      <w:r w:rsidR="00492C08">
        <w:t xml:space="preserve"> </w:t>
      </w:r>
      <w:hyperlink r:id="rId16" w:history="1">
        <w:r w:rsidR="00492C08" w:rsidRPr="00C03D18">
          <w:rPr>
            <w:rStyle w:val="Hyperlink"/>
            <w:i/>
          </w:rPr>
          <w:t>Healthy Eating, Activity and Lifestyle (HEAL) Program</w:t>
        </w:r>
      </w:hyperlink>
      <w:r w:rsidR="00F16848">
        <w:t>.</w:t>
      </w:r>
    </w:p>
    <w:p w:rsidR="0046462B" w:rsidRDefault="00F16848" w:rsidP="007156EB">
      <w:pPr>
        <w:pStyle w:val="BodyText1"/>
        <w:numPr>
          <w:ilvl w:val="0"/>
          <w:numId w:val="42"/>
        </w:numPr>
      </w:pPr>
      <w:r w:rsidRPr="00C03D18">
        <w:t>National Heart Foundat</w:t>
      </w:r>
      <w:r w:rsidR="0046462B" w:rsidRPr="00C03D18">
        <w:t>ion of Australia (NSW Division):</w:t>
      </w:r>
      <w:r w:rsidRPr="00C03D18">
        <w:t xml:space="preserve"> </w:t>
      </w:r>
      <w:hyperlink r:id="rId17" w:history="1">
        <w:r w:rsidRPr="00C03D18">
          <w:rPr>
            <w:rStyle w:val="Hyperlink"/>
            <w:i/>
          </w:rPr>
          <w:t>Heartmoves</w:t>
        </w:r>
      </w:hyperlink>
      <w:r>
        <w:t>.</w:t>
      </w:r>
      <w:bookmarkStart w:id="177" w:name="_Toc382906718"/>
    </w:p>
    <w:p w:rsidR="0046462B" w:rsidRDefault="0046462B" w:rsidP="0046462B">
      <w:pPr>
        <w:pStyle w:val="BodyText1"/>
        <w:ind w:left="720"/>
      </w:pPr>
    </w:p>
    <w:p w:rsidR="006D7DA6" w:rsidRPr="004754EF" w:rsidRDefault="0046462B" w:rsidP="0046462B">
      <w:pPr>
        <w:pStyle w:val="Heading2"/>
      </w:pPr>
      <w:r>
        <w:t xml:space="preserve"> </w:t>
      </w:r>
      <w:bookmarkStart w:id="178" w:name="_Toc397947701"/>
      <w:bookmarkStart w:id="179" w:name="_Toc403399542"/>
      <w:r w:rsidR="00FD0121">
        <w:t>2.3</w:t>
      </w:r>
      <w:r w:rsidR="006D7DA6" w:rsidRPr="004754EF">
        <w:t xml:space="preserve"> </w:t>
      </w:r>
      <w:r w:rsidR="006D7DA6" w:rsidRPr="004754EF">
        <w:tab/>
        <w:t>Diagnosis</w:t>
      </w:r>
      <w:bookmarkEnd w:id="172"/>
      <w:bookmarkEnd w:id="173"/>
      <w:bookmarkEnd w:id="177"/>
      <w:bookmarkEnd w:id="178"/>
      <w:bookmarkEnd w:id="179"/>
    </w:p>
    <w:p w:rsidR="006D7DA6" w:rsidRPr="005A3DA8" w:rsidRDefault="00107B60" w:rsidP="00492694">
      <w:pPr>
        <w:pStyle w:val="BodyText1"/>
      </w:pPr>
      <w:r>
        <w:t>The current World Health O</w:t>
      </w:r>
      <w:r w:rsidR="004754EF">
        <w:t xml:space="preserve">rganization (WHO) </w:t>
      </w:r>
      <w:r w:rsidR="006D7DA6" w:rsidRPr="005A3DA8">
        <w:t xml:space="preserve">diagnostic criteria for diabetes include: </w:t>
      </w:r>
    </w:p>
    <w:p w:rsidR="006D7DA6" w:rsidRPr="005A3DA8" w:rsidRDefault="004754EF" w:rsidP="00492694">
      <w:pPr>
        <w:pStyle w:val="BodyText1"/>
        <w:numPr>
          <w:ilvl w:val="0"/>
          <w:numId w:val="8"/>
        </w:numPr>
      </w:pPr>
      <w:r>
        <w:t>f</w:t>
      </w:r>
      <w:r w:rsidR="006D7DA6" w:rsidRPr="005A3DA8">
        <w:t xml:space="preserve">asting plasma glucose ≥ 7.0mmol/l (126mg/dl); or </w:t>
      </w:r>
    </w:p>
    <w:p w:rsidR="00AB130B" w:rsidRDefault="006D7DA6" w:rsidP="00492694">
      <w:pPr>
        <w:pStyle w:val="BodyText1"/>
        <w:numPr>
          <w:ilvl w:val="0"/>
          <w:numId w:val="8"/>
        </w:numPr>
      </w:pPr>
      <w:r w:rsidRPr="005A3DA8">
        <w:t>2–h</w:t>
      </w:r>
      <w:r>
        <w:t>our</w:t>
      </w:r>
      <w:r w:rsidRPr="005A3DA8">
        <w:t xml:space="preserve"> plasma glucose ≥ 11.1mmol/l (200mg/dl)</w:t>
      </w:r>
      <w:r w:rsidR="00AB130B">
        <w:t>; or</w:t>
      </w:r>
    </w:p>
    <w:p w:rsidR="006D7DA6" w:rsidRPr="005A3DA8" w:rsidRDefault="00AB130B" w:rsidP="00492694">
      <w:pPr>
        <w:pStyle w:val="BodyText1"/>
        <w:numPr>
          <w:ilvl w:val="0"/>
          <w:numId w:val="8"/>
        </w:numPr>
      </w:pPr>
      <w:r>
        <w:t>HbA</w:t>
      </w:r>
      <w:r w:rsidRPr="00011121">
        <w:rPr>
          <w:vertAlign w:val="subscript"/>
        </w:rPr>
        <w:t>1c</w:t>
      </w:r>
      <w:r>
        <w:t xml:space="preserve"> (glycated haemoglobin) ≥ 6.5% (48 mmol/mol)</w:t>
      </w:r>
      <w:r w:rsidR="006D7DA6" w:rsidRPr="005A3DA8">
        <w:t>.</w:t>
      </w:r>
      <w:r w:rsidR="0093455B" w:rsidRPr="001E0DCC">
        <w:rPr>
          <w:vertAlign w:val="superscript"/>
        </w:rPr>
        <w:t>23</w:t>
      </w:r>
      <w:r w:rsidR="001E0DCC" w:rsidRPr="001E0DCC">
        <w:rPr>
          <w:vertAlign w:val="superscript"/>
        </w:rPr>
        <w:t xml:space="preserve">; </w:t>
      </w:r>
      <w:r w:rsidR="0093455B" w:rsidRPr="001E0DCC">
        <w:rPr>
          <w:vertAlign w:val="superscript"/>
        </w:rPr>
        <w:t>24</w:t>
      </w:r>
    </w:p>
    <w:p w:rsidR="00011121" w:rsidRDefault="00011121" w:rsidP="00492694">
      <w:pPr>
        <w:pStyle w:val="BodyText1"/>
      </w:pPr>
      <w:r>
        <w:t>HbA</w:t>
      </w:r>
      <w:r w:rsidRPr="00FF3078">
        <w:rPr>
          <w:vertAlign w:val="subscript"/>
        </w:rPr>
        <w:t>1c</w:t>
      </w:r>
      <w:r>
        <w:t xml:space="preserve"> is able to show a person’s</w:t>
      </w:r>
      <w:r w:rsidRPr="004754EF">
        <w:t xml:space="preserve"> average level of blood glucose over </w:t>
      </w:r>
      <w:r>
        <w:t xml:space="preserve">the previous three months. </w:t>
      </w:r>
      <w:r w:rsidR="00FF3078">
        <w:t>L</w:t>
      </w:r>
      <w:r w:rsidR="0007479B">
        <w:t>aboratory test</w:t>
      </w:r>
      <w:r w:rsidR="00FF3078">
        <w:t>ing of</w:t>
      </w:r>
      <w:r w:rsidR="0007479B">
        <w:t xml:space="preserve"> </w:t>
      </w:r>
      <w:r w:rsidR="006D7DA6" w:rsidRPr="004754EF">
        <w:t>HbA</w:t>
      </w:r>
      <w:r w:rsidR="006D7DA6" w:rsidRPr="00FF3078">
        <w:rPr>
          <w:vertAlign w:val="subscript"/>
        </w:rPr>
        <w:t>1c</w:t>
      </w:r>
      <w:r w:rsidR="006D7DA6" w:rsidRPr="004754EF">
        <w:t xml:space="preserve"> </w:t>
      </w:r>
      <w:r w:rsidR="00AB130B">
        <w:t>wa</w:t>
      </w:r>
      <w:r w:rsidR="0007479B" w:rsidRPr="004754EF">
        <w:t xml:space="preserve">s accepted </w:t>
      </w:r>
      <w:r w:rsidR="00AB130B">
        <w:t xml:space="preserve">by the WHO in 2011 </w:t>
      </w:r>
      <w:r w:rsidR="0007479B" w:rsidRPr="004754EF">
        <w:t>as an addit</w:t>
      </w:r>
      <w:r w:rsidR="00AB130B">
        <w:t>ional test to diagnose diabetes</w:t>
      </w:r>
      <w:r w:rsidR="0007479B">
        <w:t xml:space="preserve">. </w:t>
      </w:r>
      <w:r w:rsidR="008961F4">
        <w:t>In</w:t>
      </w:r>
      <w:r>
        <w:t xml:space="preserve"> Australia</w:t>
      </w:r>
      <w:r w:rsidR="008961F4">
        <w:t xml:space="preserve">, the Medical Services Advisory Committee (MSAC) </w:t>
      </w:r>
      <w:r>
        <w:t xml:space="preserve">recommended in April 2014, the </w:t>
      </w:r>
      <w:r w:rsidR="008961F4">
        <w:t>public funding of a new Medical Benefits Scheme (MBS) item for quantitation of HbA</w:t>
      </w:r>
      <w:r w:rsidR="008961F4" w:rsidRPr="005572FF">
        <w:rPr>
          <w:vertAlign w:val="subscript"/>
        </w:rPr>
        <w:t>1c</w:t>
      </w:r>
      <w:r w:rsidR="008961F4">
        <w:t xml:space="preserve"> for the diagnosis of diabetes in asymptomatic patients.</w:t>
      </w:r>
      <w:r w:rsidR="0093455B" w:rsidRPr="001E0DCC">
        <w:rPr>
          <w:vertAlign w:val="superscript"/>
        </w:rPr>
        <w:t>25</w:t>
      </w:r>
      <w:r w:rsidR="008961F4">
        <w:t xml:space="preserve"> </w:t>
      </w:r>
    </w:p>
    <w:p w:rsidR="005572FF" w:rsidRDefault="00011121" w:rsidP="00492694">
      <w:pPr>
        <w:pStyle w:val="BodyText1"/>
      </w:pPr>
      <w:r>
        <w:t xml:space="preserve">Australian </w:t>
      </w:r>
      <w:r w:rsidR="008961F4">
        <w:t xml:space="preserve">clinical </w:t>
      </w:r>
      <w:r w:rsidR="00390503">
        <w:t xml:space="preserve">guidelines recommend that individuals identified at high risk of developing type 2 diabetes (e.g. through the use of </w:t>
      </w:r>
      <w:r w:rsidR="00D26F04">
        <w:t xml:space="preserve">the </w:t>
      </w:r>
      <w:r w:rsidR="00390503">
        <w:t>AUSDRISK</w:t>
      </w:r>
      <w:r w:rsidR="00D26F04">
        <w:t xml:space="preserve"> Tool</w:t>
      </w:r>
      <w:r w:rsidR="00390503">
        <w:t>)</w:t>
      </w:r>
      <w:r w:rsidR="00705220">
        <w:t xml:space="preserve"> should have a fasting plasma</w:t>
      </w:r>
      <w:r w:rsidR="00390503">
        <w:t xml:space="preserve"> glucose test every three years.</w:t>
      </w:r>
      <w:r w:rsidR="0093455B" w:rsidRPr="001E0DCC">
        <w:rPr>
          <w:vertAlign w:val="superscript"/>
        </w:rPr>
        <w:t>26</w:t>
      </w:r>
      <w:r w:rsidR="00705220">
        <w:t xml:space="preserve"> T</w:t>
      </w:r>
      <w:r w:rsidR="008E4D2D">
        <w:t xml:space="preserve">he oral glucose tolerance test </w:t>
      </w:r>
      <w:r w:rsidR="00705220">
        <w:t>is also</w:t>
      </w:r>
      <w:r w:rsidR="008E4D2D">
        <w:t xml:space="preserve"> routinely used for the diagnosis of diabetes</w:t>
      </w:r>
      <w:r w:rsidR="00705220">
        <w:t xml:space="preserve"> in Australia</w:t>
      </w:r>
      <w:r w:rsidR="00390503">
        <w:t xml:space="preserve">. </w:t>
      </w:r>
    </w:p>
    <w:p w:rsidR="00011121" w:rsidRDefault="00011121" w:rsidP="00011121"/>
    <w:p w:rsidR="00B61049" w:rsidRPr="00A53E3C" w:rsidRDefault="00B61049" w:rsidP="00492694">
      <w:pPr>
        <w:pStyle w:val="Heading2"/>
      </w:pPr>
      <w:bookmarkStart w:id="180" w:name="_Toc382906719"/>
      <w:bookmarkStart w:id="181" w:name="_Toc397947702"/>
      <w:bookmarkStart w:id="182" w:name="_Toc403399543"/>
      <w:bookmarkStart w:id="183" w:name="_Toc373130832"/>
      <w:bookmarkStart w:id="184" w:name="_Toc374445793"/>
      <w:r w:rsidRPr="00A53E3C">
        <w:t>2</w:t>
      </w:r>
      <w:r w:rsidR="00FD0121">
        <w:t>.4</w:t>
      </w:r>
      <w:r w:rsidRPr="00A53E3C">
        <w:t xml:space="preserve"> </w:t>
      </w:r>
      <w:r w:rsidRPr="00A53E3C">
        <w:tab/>
        <w:t>Prevalence in Australia</w:t>
      </w:r>
      <w:bookmarkEnd w:id="180"/>
      <w:bookmarkEnd w:id="181"/>
      <w:bookmarkEnd w:id="182"/>
    </w:p>
    <w:p w:rsidR="00535CC1" w:rsidRDefault="00EC3FBF" w:rsidP="00492694">
      <w:pPr>
        <w:pStyle w:val="BodyText1"/>
      </w:pPr>
      <w:r>
        <w:t>T</w:t>
      </w:r>
      <w:r w:rsidR="00B61049" w:rsidRPr="00A53E3C">
        <w:t xml:space="preserve">he </w:t>
      </w:r>
      <w:r w:rsidR="00B61049" w:rsidRPr="00BC0DE6">
        <w:rPr>
          <w:i/>
        </w:rPr>
        <w:t>Australian Health Survey</w:t>
      </w:r>
      <w:r w:rsidR="009D57F9" w:rsidRPr="00BC0DE6">
        <w:rPr>
          <w:i/>
        </w:rPr>
        <w:t>: Updated Results</w:t>
      </w:r>
      <w:r w:rsidR="00B61049" w:rsidRPr="00BC0DE6">
        <w:rPr>
          <w:i/>
        </w:rPr>
        <w:t xml:space="preserve"> (2011–12)</w:t>
      </w:r>
      <w:r>
        <w:t xml:space="preserve"> indicates that </w:t>
      </w:r>
      <w:r w:rsidR="00B61049" w:rsidRPr="00A53E3C">
        <w:t xml:space="preserve">the total number of people in Australia </w:t>
      </w:r>
      <w:r w:rsidR="00B61049">
        <w:t xml:space="preserve">aged over two years </w:t>
      </w:r>
      <w:r w:rsidR="00B61049" w:rsidRPr="00A53E3C">
        <w:t xml:space="preserve">that have been diagnosed with diabetes </w:t>
      </w:r>
      <w:r w:rsidR="00B61049">
        <w:lastRenderedPageBreak/>
        <w:t>(excluding gestational diabetes) is 999</w:t>
      </w:r>
      <w:r w:rsidR="00A664AC">
        <w:t>,0</w:t>
      </w:r>
      <w:r w:rsidR="00B61049" w:rsidRPr="00A53E3C">
        <w:t>00</w:t>
      </w:r>
      <w:r w:rsidR="00B61049">
        <w:t>, or around 4.6% of the population</w:t>
      </w:r>
      <w:r w:rsidR="00B61049" w:rsidRPr="00A53E3C">
        <w:t>. This figure has i</w:t>
      </w:r>
      <w:r w:rsidR="00B61049">
        <w:t>ncreased by 9.8% since the 2007–</w:t>
      </w:r>
      <w:r w:rsidR="000E54CE">
        <w:t>08 survey</w:t>
      </w:r>
      <w:r w:rsidR="00A664AC">
        <w:t>, but has remained stable relative to the population (4.5% in 2007–08)</w:t>
      </w:r>
      <w:r w:rsidR="00B61049" w:rsidRPr="00A53E3C">
        <w:t>.</w:t>
      </w:r>
      <w:r w:rsidR="0093455B" w:rsidRPr="001E0DCC">
        <w:rPr>
          <w:vertAlign w:val="superscript"/>
        </w:rPr>
        <w:t>27</w:t>
      </w:r>
      <w:r w:rsidR="00B61049" w:rsidRPr="00A53E3C">
        <w:t xml:space="preserve"> </w:t>
      </w:r>
      <w:r w:rsidR="007748D6">
        <w:t>However, the true prevalence of diabetes in Australia is likely to be</w:t>
      </w:r>
      <w:r w:rsidR="004723E8">
        <w:t xml:space="preserve"> higher</w:t>
      </w:r>
      <w:r w:rsidR="007748D6">
        <w:t xml:space="preserve">, as the biomedical results from the </w:t>
      </w:r>
      <w:r w:rsidR="00107B60">
        <w:t>2011–</w:t>
      </w:r>
      <w:r>
        <w:t xml:space="preserve">12 </w:t>
      </w:r>
      <w:r w:rsidR="007748D6">
        <w:t xml:space="preserve">survey </w:t>
      </w:r>
      <w:r w:rsidR="000B79BF">
        <w:t xml:space="preserve">identified </w:t>
      </w:r>
      <w:r w:rsidR="007748D6">
        <w:t>around one new case of diabetes for every four diagnosed cases.</w:t>
      </w:r>
      <w:r w:rsidR="0093455B" w:rsidRPr="001E0DCC">
        <w:rPr>
          <w:vertAlign w:val="superscript"/>
        </w:rPr>
        <w:t>28</w:t>
      </w:r>
      <w:r w:rsidR="007748D6">
        <w:t xml:space="preserve"> </w:t>
      </w:r>
    </w:p>
    <w:p w:rsidR="00B61049" w:rsidRPr="00A53E3C" w:rsidRDefault="00A664AC" w:rsidP="00492694">
      <w:pPr>
        <w:pStyle w:val="BodyText1"/>
      </w:pPr>
      <w:r w:rsidRPr="004723E8">
        <w:t xml:space="preserve">The </w:t>
      </w:r>
      <w:r w:rsidR="007748D6" w:rsidRPr="004723E8">
        <w:t>Australian Health Survey</w:t>
      </w:r>
      <w:r w:rsidR="00FF3078" w:rsidRPr="004723E8">
        <w:t xml:space="preserve"> </w:t>
      </w:r>
      <w:r w:rsidR="007748D6" w:rsidRPr="004723E8">
        <w:t xml:space="preserve">(2011–12) </w:t>
      </w:r>
      <w:r w:rsidR="00B61049" w:rsidRPr="004723E8">
        <w:t xml:space="preserve">showed that, of persons who reported having diabetes, </w:t>
      </w:r>
      <w:r w:rsidR="009D57F9" w:rsidRPr="004723E8">
        <w:t>84.8</w:t>
      </w:r>
      <w:r w:rsidRPr="004723E8">
        <w:t xml:space="preserve">% </w:t>
      </w:r>
      <w:r w:rsidR="00B61049" w:rsidRPr="004723E8">
        <w:t>had type 2 diabetes</w:t>
      </w:r>
      <w:r w:rsidRPr="004723E8">
        <w:t xml:space="preserve">, </w:t>
      </w:r>
      <w:r w:rsidR="009D57F9" w:rsidRPr="004723E8">
        <w:t>11.8</w:t>
      </w:r>
      <w:r w:rsidR="00B61049" w:rsidRPr="004723E8">
        <w:t xml:space="preserve">% had type 1 diabetes and </w:t>
      </w:r>
      <w:r w:rsidR="009D57F9" w:rsidRPr="004723E8">
        <w:t>3.4</w:t>
      </w:r>
      <w:r w:rsidRPr="004723E8">
        <w:t xml:space="preserve">% </w:t>
      </w:r>
      <w:r w:rsidR="00B61049" w:rsidRPr="004723E8">
        <w:t>had</w:t>
      </w:r>
      <w:r w:rsidR="00B61049" w:rsidRPr="00A53E3C">
        <w:t xml:space="preserve"> an unspecified type of diabetes. More men reported</w:t>
      </w:r>
      <w:r>
        <w:t xml:space="preserve"> having diabetes than women (5.1% of all men compared with 4.2</w:t>
      </w:r>
      <w:r w:rsidR="00B61049" w:rsidRPr="00A53E3C">
        <w:t>% of all women) and the rate of diabetes increased with age</w:t>
      </w:r>
      <w:r>
        <w:t xml:space="preserve"> and </w:t>
      </w:r>
      <w:r w:rsidR="007748D6">
        <w:t>level of disa</w:t>
      </w:r>
      <w:r>
        <w:t>dvantage</w:t>
      </w:r>
      <w:r w:rsidR="00B61049" w:rsidRPr="00A53E3C">
        <w:t xml:space="preserve">. People aged </w:t>
      </w:r>
      <w:r>
        <w:t xml:space="preserve">75–84 </w:t>
      </w:r>
      <w:r w:rsidR="00B61049" w:rsidRPr="00A53E3C">
        <w:t>years had</w:t>
      </w:r>
      <w:r>
        <w:t xml:space="preserve"> the highest rate of diabetes (17</w:t>
      </w:r>
      <w:r w:rsidR="00B61049" w:rsidRPr="00A53E3C">
        <w:t>.0%)</w:t>
      </w:r>
      <w:r w:rsidR="00D36E39">
        <w:t>, while people living in areas of most disadvantage were more than twice as likely to report that they had diabetes than people living in areas of least disadvantage (6.8 % versus 3.1%).</w:t>
      </w:r>
      <w:r w:rsidR="0093455B" w:rsidRPr="001E0DCC">
        <w:rPr>
          <w:vertAlign w:val="superscript"/>
        </w:rPr>
        <w:t>27</w:t>
      </w:r>
      <w:r w:rsidR="000B79BF">
        <w:t xml:space="preserve"> Other ri</w:t>
      </w:r>
      <w:r w:rsidR="00FD0121">
        <w:t>sk factors identified were obesity</w:t>
      </w:r>
      <w:r w:rsidR="000B79BF">
        <w:t>/overweight and family history.</w:t>
      </w:r>
      <w:r w:rsidR="0093455B" w:rsidRPr="001E0DCC">
        <w:rPr>
          <w:vertAlign w:val="superscript"/>
        </w:rPr>
        <w:t>28</w:t>
      </w:r>
      <w:r w:rsidR="00510576">
        <w:t xml:space="preserve"> </w:t>
      </w:r>
      <w:r w:rsidR="00C113DC">
        <w:t>The prevalence of type 2 diabetes is</w:t>
      </w:r>
      <w:r w:rsidR="00D53D2B" w:rsidRPr="00FF3078">
        <w:t xml:space="preserve"> rising in youth globally</w:t>
      </w:r>
      <w:r w:rsidR="00530397">
        <w:t xml:space="preserve">; </w:t>
      </w:r>
      <w:r w:rsidR="00D53D2B" w:rsidRPr="00FF3078">
        <w:t xml:space="preserve">however, </w:t>
      </w:r>
      <w:r w:rsidR="00C113DC">
        <w:t xml:space="preserve">the rate of new cases of </w:t>
      </w:r>
      <w:r w:rsidR="00C113DC" w:rsidRPr="00FF3078">
        <w:t xml:space="preserve">type 2 diabetes </w:t>
      </w:r>
      <w:r w:rsidR="00FF3078">
        <w:t xml:space="preserve">in </w:t>
      </w:r>
      <w:r w:rsidR="00C113DC">
        <w:t xml:space="preserve">people </w:t>
      </w:r>
      <w:r w:rsidR="00107B60">
        <w:t>aged 10–</w:t>
      </w:r>
      <w:r w:rsidR="004723E8">
        <w:t xml:space="preserve">39 </w:t>
      </w:r>
      <w:r w:rsidR="00C113DC">
        <w:t xml:space="preserve">in </w:t>
      </w:r>
      <w:r w:rsidR="00FF3078">
        <w:t>Australia</w:t>
      </w:r>
      <w:r w:rsidR="004723E8">
        <w:t xml:space="preserve"> </w:t>
      </w:r>
      <w:r w:rsidR="00C113DC">
        <w:t>remained relatively stable</w:t>
      </w:r>
      <w:r w:rsidR="004723E8" w:rsidRPr="004723E8">
        <w:t xml:space="preserve"> </w:t>
      </w:r>
      <w:r w:rsidR="00107B60">
        <w:t>between 2002–03 and 2011–</w:t>
      </w:r>
      <w:r w:rsidR="004723E8">
        <w:t>12</w:t>
      </w:r>
      <w:r w:rsidR="00FF3078">
        <w:t>.</w:t>
      </w:r>
      <w:r w:rsidR="004723E8">
        <w:t xml:space="preserve"> At June 2012, there was an </w:t>
      </w:r>
      <w:r w:rsidR="00107B60">
        <w:t>estimated 31,000 people aged 10–</w:t>
      </w:r>
      <w:r w:rsidR="004723E8">
        <w:t>39 in Australia with type 2 diabetes (0.3% of this age group).</w:t>
      </w:r>
      <w:r w:rsidR="0093455B" w:rsidRPr="001E0DCC">
        <w:rPr>
          <w:vertAlign w:val="superscript"/>
        </w:rPr>
        <w:t>29</w:t>
      </w:r>
      <w:r w:rsidR="00FF3078">
        <w:t xml:space="preserve"> </w:t>
      </w:r>
    </w:p>
    <w:p w:rsidR="00B61049" w:rsidRPr="00A53E3C" w:rsidRDefault="00B61049" w:rsidP="00492694">
      <w:pPr>
        <w:pStyle w:val="BodyText1"/>
      </w:pPr>
      <w:r>
        <w:t>Type 2 diabetes</w:t>
      </w:r>
      <w:r w:rsidRPr="00A53E3C">
        <w:t xml:space="preserve"> is over-represented among </w:t>
      </w:r>
      <w:r>
        <w:t>people of Aboriginal and/or Torres Strait Island</w:t>
      </w:r>
      <w:r w:rsidR="004723E8">
        <w:t>er</w:t>
      </w:r>
      <w:r>
        <w:t xml:space="preserve"> descent </w:t>
      </w:r>
      <w:r w:rsidRPr="00A53E3C">
        <w:t xml:space="preserve">and a number of other populations including </w:t>
      </w:r>
      <w:r>
        <w:t xml:space="preserve">people of </w:t>
      </w:r>
      <w:r w:rsidRPr="00A53E3C">
        <w:t>Chinese, Vietnamese, Indian, and Maltese heritage.</w:t>
      </w:r>
      <w:r w:rsidR="0093455B" w:rsidRPr="001E0DCC">
        <w:rPr>
          <w:vertAlign w:val="superscript"/>
        </w:rPr>
        <w:t>30</w:t>
      </w:r>
      <w:r w:rsidRPr="00A53E3C">
        <w:t xml:space="preserve"> In the </w:t>
      </w:r>
      <w:r w:rsidR="00D36E39">
        <w:t xml:space="preserve">2012–13 </w:t>
      </w:r>
      <w:r w:rsidRPr="00A53E3C">
        <w:t xml:space="preserve">Australian Aboriginal and Torres Strait Islander Health Survey, the self-reported prevalence of diabetes </w:t>
      </w:r>
      <w:r w:rsidR="00FC2E9C">
        <w:t xml:space="preserve">and/or high glucose levels in blood or urine </w:t>
      </w:r>
      <w:r w:rsidR="00D36E39">
        <w:t>was 8</w:t>
      </w:r>
      <w:r w:rsidRPr="00A53E3C">
        <w:t>%</w:t>
      </w:r>
      <w:r w:rsidR="00D36E39">
        <w:t>, or around one in twelve</w:t>
      </w:r>
      <w:r w:rsidR="00FC2E9C">
        <w:t xml:space="preserve"> people</w:t>
      </w:r>
      <w:r w:rsidRPr="00A53E3C">
        <w:t xml:space="preserve">. </w:t>
      </w:r>
      <w:r w:rsidR="00FC2E9C">
        <w:t xml:space="preserve">Aboriginal and Torres Strait Islander females were more likely than males to report diabetes/high sugar levels (10% versus 7%), and those living in very remote areas were more likely to report diabetes/high sugar levels than those living in major cities (12% versus 7%). </w:t>
      </w:r>
      <w:r w:rsidRPr="00A53E3C">
        <w:t xml:space="preserve">After adjusting for differences in age structure, Aboriginal and Torres Strait Islander </w:t>
      </w:r>
      <w:r w:rsidR="00FC2E9C">
        <w:t>people were more than three</w:t>
      </w:r>
      <w:r w:rsidRPr="00A53E3C">
        <w:t xml:space="preserve"> times as likely as other Australians to report diabetes</w:t>
      </w:r>
      <w:r w:rsidR="00FC2E9C">
        <w:t>/high sugar levels</w:t>
      </w:r>
      <w:r w:rsidRPr="00A53E3C">
        <w:t>.</w:t>
      </w:r>
      <w:r w:rsidR="0093455B" w:rsidRPr="001E0DCC">
        <w:rPr>
          <w:vertAlign w:val="superscript"/>
        </w:rPr>
        <w:t>31</w:t>
      </w:r>
      <w:r w:rsidRPr="00A53E3C">
        <w:t xml:space="preserve"> </w:t>
      </w:r>
    </w:p>
    <w:p w:rsidR="00B61049" w:rsidRDefault="004B3EAE" w:rsidP="00492694">
      <w:pPr>
        <w:pStyle w:val="BodyText1"/>
      </w:pPr>
      <w:r>
        <w:t>Th</w:t>
      </w:r>
      <w:r w:rsidR="00535CC1">
        <w:t>ere are also a significant number of Australians at high risk of developing type 2 diabetes. The biomedical results from the Australian Health Survey (2011–12) found that there were three people at high risk of diabetes for every diagnosed case, or around 15% of the population.</w:t>
      </w:r>
      <w:r w:rsidR="0093455B" w:rsidRPr="001E0DCC">
        <w:rPr>
          <w:vertAlign w:val="superscript"/>
        </w:rPr>
        <w:t>28</w:t>
      </w:r>
      <w:r w:rsidR="00535CC1">
        <w:t xml:space="preserve"> The WorkHealth programme in Victoria has </w:t>
      </w:r>
      <w:r w:rsidR="000E54CE">
        <w:t xml:space="preserve">screened 500,000 workers using </w:t>
      </w:r>
      <w:r w:rsidR="00D26F04">
        <w:t>the Australian type 2 diabetes risk assessment tool (</w:t>
      </w:r>
      <w:r w:rsidR="00535CC1">
        <w:t>AUSDRISK</w:t>
      </w:r>
      <w:r w:rsidR="00D26F04">
        <w:t>)</w:t>
      </w:r>
      <w:r w:rsidR="00535CC1">
        <w:t xml:space="preserve"> </w:t>
      </w:r>
      <w:r w:rsidR="00861BF0">
        <w:t>and identified that 24</w:t>
      </w:r>
      <w:r w:rsidR="00535CC1">
        <w:t xml:space="preserve">% of workers were at high risk of developing type 2 diabetes (score ≥12). </w:t>
      </w:r>
      <w:r w:rsidR="00861BF0">
        <w:t>While this survey had disproportionate representation of workers in white collar industries, blue collar workers were more likely to have a high risk of developing type 2 diabetes.</w:t>
      </w:r>
      <w:r w:rsidR="0093455B" w:rsidRPr="001E0DCC">
        <w:rPr>
          <w:vertAlign w:val="superscript"/>
        </w:rPr>
        <w:t>32</w:t>
      </w:r>
      <w:r w:rsidR="000E54CE">
        <w:t xml:space="preserve"> </w:t>
      </w:r>
    </w:p>
    <w:p w:rsidR="00861BF0" w:rsidRDefault="00861BF0" w:rsidP="00861BF0">
      <w:bookmarkStart w:id="185" w:name="_Toc382906720"/>
    </w:p>
    <w:p w:rsidR="00EC3FBF" w:rsidRPr="00A53E3C" w:rsidRDefault="00EC3FBF" w:rsidP="00492694">
      <w:pPr>
        <w:pStyle w:val="Heading2"/>
      </w:pPr>
      <w:bookmarkStart w:id="186" w:name="_Toc397947703"/>
      <w:bookmarkStart w:id="187" w:name="_Toc403399544"/>
      <w:r w:rsidRPr="00A53E3C">
        <w:lastRenderedPageBreak/>
        <w:t xml:space="preserve">2.5 </w:t>
      </w:r>
      <w:r w:rsidRPr="00A53E3C">
        <w:tab/>
      </w:r>
      <w:r>
        <w:t xml:space="preserve">Complications and </w:t>
      </w:r>
      <w:r w:rsidRPr="00A53E3C">
        <w:t>Impact of Diabetes in Australia</w:t>
      </w:r>
      <w:bookmarkEnd w:id="185"/>
      <w:bookmarkEnd w:id="186"/>
      <w:bookmarkEnd w:id="187"/>
    </w:p>
    <w:p w:rsidR="00EC3FBF" w:rsidRDefault="00574B8F" w:rsidP="00492694">
      <w:pPr>
        <w:pStyle w:val="BodyText1"/>
      </w:pPr>
      <w:r w:rsidRPr="00A53E3C">
        <w:t>Diabetes significantly affects the health of many Australians and can result in a range of complications. Untreated or poorly managed dia</w:t>
      </w:r>
      <w:r w:rsidR="00C700AB">
        <w:t>betes can lead to complications</w:t>
      </w:r>
      <w:r w:rsidR="00DF54F5">
        <w:t xml:space="preserve"> including</w:t>
      </w:r>
      <w:r w:rsidRPr="00A53E3C">
        <w:t xml:space="preserve"> coronary heart disease, stroke, kid</w:t>
      </w:r>
      <w:r w:rsidR="00C700AB">
        <w:t>ney failure, limb amputations and</w:t>
      </w:r>
      <w:r w:rsidRPr="00A53E3C">
        <w:t xml:space="preserve"> blindness</w:t>
      </w:r>
      <w:r w:rsidR="00782393">
        <w:t xml:space="preserve">. </w:t>
      </w:r>
      <w:r w:rsidR="00EC3FBF">
        <w:t>In 2011, diabetes was the sixth lead</w:t>
      </w:r>
      <w:r>
        <w:t>ing cause of death in Australia</w:t>
      </w:r>
      <w:r w:rsidR="00155BC2">
        <w:t>.</w:t>
      </w:r>
      <w:r w:rsidR="0093455B" w:rsidRPr="001E0DCC">
        <w:rPr>
          <w:vertAlign w:val="superscript"/>
        </w:rPr>
        <w:t>33</w:t>
      </w:r>
      <w:r w:rsidR="00790C0A">
        <w:rPr>
          <w:b/>
        </w:rPr>
        <w:t xml:space="preserve"> </w:t>
      </w:r>
      <w:r w:rsidR="00EC3FBF" w:rsidRPr="00A53E3C">
        <w:t>Cardiovascular disease is the major cause of death in people with diabetes, accounting for approximately 50% of all fatalities.</w:t>
      </w:r>
      <w:r w:rsidR="0093455B" w:rsidRPr="001E0DCC">
        <w:rPr>
          <w:vertAlign w:val="superscript"/>
        </w:rPr>
        <w:t>34</w:t>
      </w:r>
      <w:r w:rsidR="00790C0A">
        <w:t xml:space="preserve"> </w:t>
      </w:r>
      <w:r w:rsidR="00C3199D">
        <w:t>H</w:t>
      </w:r>
      <w:r w:rsidR="00EC3FBF">
        <w:t>ypertensive and cerebrovascular diseases</w:t>
      </w:r>
      <w:r w:rsidR="00C3199D">
        <w:t xml:space="preserve"> </w:t>
      </w:r>
      <w:r w:rsidR="00C700AB">
        <w:t>(e.g. stroke)</w:t>
      </w:r>
      <w:r w:rsidR="004644A0">
        <w:t xml:space="preserve">, </w:t>
      </w:r>
      <w:r w:rsidR="00D26F04">
        <w:t>and kidney failure</w:t>
      </w:r>
      <w:r w:rsidR="004644A0">
        <w:t>,</w:t>
      </w:r>
      <w:r w:rsidR="00C700AB">
        <w:t xml:space="preserve"> </w:t>
      </w:r>
      <w:r w:rsidR="00C3199D">
        <w:t>are also common causes of death</w:t>
      </w:r>
      <w:r w:rsidR="00EC3FBF" w:rsidRPr="0003239C">
        <w:t>.</w:t>
      </w:r>
      <w:r w:rsidR="0093455B" w:rsidRPr="001E0DCC">
        <w:rPr>
          <w:vertAlign w:val="superscript"/>
        </w:rPr>
        <w:t>35</w:t>
      </w:r>
    </w:p>
    <w:p w:rsidR="00782393" w:rsidRPr="00161B1B" w:rsidRDefault="00782393" w:rsidP="00492694">
      <w:r w:rsidRPr="00161B1B">
        <w:t>As the disease progresses, diabetes macrovascular and microvascular complications can damage the heart, blood vessels, eyes, kidneys and nerves, as well as diminishing quality of life. Diabetes increases the risk of:</w:t>
      </w:r>
    </w:p>
    <w:p w:rsidR="00782393" w:rsidRPr="00161B1B" w:rsidRDefault="00C700AB" w:rsidP="00780C3E">
      <w:pPr>
        <w:pStyle w:val="ListParagraph"/>
        <w:numPr>
          <w:ilvl w:val="0"/>
          <w:numId w:val="17"/>
        </w:numPr>
      </w:pPr>
      <w:r>
        <w:t>heart disease and stroke</w:t>
      </w:r>
      <w:r w:rsidR="00782393" w:rsidRPr="00161B1B">
        <w:t xml:space="preserve"> </w:t>
      </w:r>
    </w:p>
    <w:p w:rsidR="00782393" w:rsidRPr="00161B1B" w:rsidRDefault="00782393" w:rsidP="00780C3E">
      <w:pPr>
        <w:pStyle w:val="ListParagraph"/>
        <w:numPr>
          <w:ilvl w:val="0"/>
          <w:numId w:val="17"/>
        </w:numPr>
      </w:pPr>
      <w:r w:rsidRPr="00161B1B">
        <w:t>diabetic neuropathy (nerve damage), and reduced blood flow and blood vessel damage, resulting in foot ulcer</w:t>
      </w:r>
      <w:r w:rsidR="00C700AB">
        <w:t>s and limb amputation</w:t>
      </w:r>
    </w:p>
    <w:p w:rsidR="00782393" w:rsidRPr="00161B1B" w:rsidRDefault="00782393" w:rsidP="00780C3E">
      <w:pPr>
        <w:pStyle w:val="ListParagraph"/>
        <w:numPr>
          <w:ilvl w:val="0"/>
          <w:numId w:val="17"/>
        </w:numPr>
      </w:pPr>
      <w:r w:rsidRPr="00161B1B">
        <w:t>diabetic retinopathy, which can caus</w:t>
      </w:r>
      <w:r w:rsidR="00A26D2D">
        <w:t xml:space="preserve">e blindness resulting from long </w:t>
      </w:r>
      <w:r w:rsidRPr="00161B1B">
        <w:t>term accumulated damage to the small blood vessels</w:t>
      </w:r>
      <w:r w:rsidR="00C700AB">
        <w:t xml:space="preserve"> in the retina (microaneurysms)</w:t>
      </w:r>
    </w:p>
    <w:p w:rsidR="00782393" w:rsidRPr="00161B1B" w:rsidRDefault="00782393" w:rsidP="00780C3E">
      <w:pPr>
        <w:pStyle w:val="ListParagraph"/>
        <w:numPr>
          <w:ilvl w:val="0"/>
          <w:numId w:val="17"/>
        </w:numPr>
      </w:pPr>
      <w:r w:rsidRPr="00161B1B">
        <w:t>nephropathy (kidney disease), which</w:t>
      </w:r>
      <w:r w:rsidR="00C700AB">
        <w:t xml:space="preserve"> can lead to kidney failure</w:t>
      </w:r>
      <w:r w:rsidRPr="00161B1B">
        <w:t xml:space="preserve"> </w:t>
      </w:r>
    </w:p>
    <w:p w:rsidR="00782393" w:rsidRPr="00161B1B" w:rsidRDefault="00782393" w:rsidP="00780C3E">
      <w:pPr>
        <w:pStyle w:val="ListParagraph"/>
        <w:numPr>
          <w:ilvl w:val="0"/>
          <w:numId w:val="17"/>
        </w:numPr>
      </w:pPr>
      <w:r w:rsidRPr="00161B1B">
        <w:t>death.</w:t>
      </w:r>
      <w:r w:rsidR="0093455B" w:rsidRPr="001E0DCC">
        <w:rPr>
          <w:vertAlign w:val="superscript"/>
        </w:rPr>
        <w:t>7</w:t>
      </w:r>
    </w:p>
    <w:p w:rsidR="00782393" w:rsidRPr="00161B1B" w:rsidRDefault="00782393" w:rsidP="00492694">
      <w:pPr>
        <w:rPr>
          <w:rFonts w:cs="Cambria"/>
          <w:lang w:eastAsia="en-AU"/>
        </w:rPr>
      </w:pPr>
      <w:r w:rsidRPr="00161B1B">
        <w:t>After 15 years of having the disease, approximately 2% of people become blind and 10% develop severe visual impairment. Diabetes is one of the leading causes of kidney failure and this condition is the c</w:t>
      </w:r>
      <w:r w:rsidR="00C700AB">
        <w:t>ause of death in 10–</w:t>
      </w:r>
      <w:r w:rsidRPr="00161B1B">
        <w:t>20% of people with diabetes. Diabetic neuropathy affects up to 50% of people with diabetes with common symptoms including tingling, pain, numbness, or weakness in the feet and hands.</w:t>
      </w:r>
      <w:r w:rsidR="0093455B" w:rsidRPr="001E0DCC">
        <w:rPr>
          <w:vertAlign w:val="superscript"/>
        </w:rPr>
        <w:t>7</w:t>
      </w:r>
    </w:p>
    <w:p w:rsidR="00A27D64" w:rsidRDefault="000D74C7" w:rsidP="00492694">
      <w:pPr>
        <w:pStyle w:val="BodyText1"/>
      </w:pPr>
      <w:r>
        <w:t xml:space="preserve">There were </w:t>
      </w:r>
      <w:r w:rsidR="00DF4210">
        <w:t>8.4</w:t>
      </w:r>
      <w:r w:rsidR="00EC3FBF" w:rsidRPr="004342DC">
        <w:t xml:space="preserve"> million </w:t>
      </w:r>
      <w:r w:rsidR="003E2647" w:rsidRPr="004342DC">
        <w:t>PBS and RPBS</w:t>
      </w:r>
      <w:r w:rsidR="00EC3FBF" w:rsidRPr="004342DC">
        <w:t xml:space="preserve"> prescriptions </w:t>
      </w:r>
      <w:r w:rsidR="00DF4210">
        <w:t xml:space="preserve">supplied </w:t>
      </w:r>
      <w:r w:rsidRPr="004342DC">
        <w:t>for diabetes medicines in 2013</w:t>
      </w:r>
      <w:r w:rsidR="00D10A6C" w:rsidRPr="004342DC">
        <w:t>,</w:t>
      </w:r>
      <w:r w:rsidR="003E2647" w:rsidRPr="004342DC">
        <w:t xml:space="preserve"> at a cost to government of </w:t>
      </w:r>
      <w:r w:rsidR="00DF4210">
        <w:t>$501</w:t>
      </w:r>
      <w:r w:rsidR="003E6823" w:rsidRPr="004342DC">
        <w:t xml:space="preserve"> m</w:t>
      </w:r>
      <w:r w:rsidR="004342DC">
        <w:t>illion</w:t>
      </w:r>
      <w:r w:rsidR="00DF4210">
        <w:t xml:space="preserve"> (refer to </w:t>
      </w:r>
      <w:hyperlink w:anchor="_4.3.1__Overall" w:history="1">
        <w:r w:rsidR="00DF4210" w:rsidRPr="006E1080">
          <w:rPr>
            <w:rStyle w:val="Hyperlink"/>
          </w:rPr>
          <w:t>Part 4.3.1</w:t>
        </w:r>
      </w:hyperlink>
      <w:r w:rsidR="00DF4210">
        <w:t>)</w:t>
      </w:r>
      <w:r w:rsidR="00EC3FBF" w:rsidRPr="004342DC">
        <w:t>.</w:t>
      </w:r>
      <w:r w:rsidR="00EC3FBF" w:rsidRPr="00A53E3C">
        <w:t xml:space="preserve"> </w:t>
      </w:r>
      <w:r w:rsidR="00A27D64" w:rsidRPr="00CC4297">
        <w:t xml:space="preserve">In </w:t>
      </w:r>
      <w:r w:rsidR="00790C0A" w:rsidRPr="00CC4297">
        <w:t>2008-</w:t>
      </w:r>
      <w:r w:rsidR="00A27D64" w:rsidRPr="00CC4297">
        <w:t>09</w:t>
      </w:r>
      <w:r w:rsidR="00790C0A" w:rsidRPr="00CC4297">
        <w:t>,</w:t>
      </w:r>
      <w:r w:rsidR="00A27D64" w:rsidRPr="00CC4297">
        <w:t xml:space="preserve"> the </w:t>
      </w:r>
      <w:r w:rsidR="004342DC" w:rsidRPr="00CC4297">
        <w:t>Australian Government spent $1.66</w:t>
      </w:r>
      <w:r w:rsidR="00A27D64" w:rsidRPr="00CC4297">
        <w:t xml:space="preserve"> billion on all diabetes treatment, including hospital </w:t>
      </w:r>
      <w:r w:rsidR="00CC4297" w:rsidRPr="00CC4297">
        <w:t xml:space="preserve">admissions, </w:t>
      </w:r>
      <w:r w:rsidR="00A27D64" w:rsidRPr="00CC4297">
        <w:t>pharmaceutical prescriptions</w:t>
      </w:r>
      <w:r w:rsidR="00CC4297" w:rsidRPr="00CC4297">
        <w:t xml:space="preserve"> and items supplied through the National Diabetes Services Scheme</w:t>
      </w:r>
      <w:r w:rsidR="00232E41" w:rsidRPr="00CC4297">
        <w:t>.</w:t>
      </w:r>
      <w:r w:rsidR="0093455B" w:rsidRPr="00DF4210">
        <w:rPr>
          <w:vertAlign w:val="superscript"/>
        </w:rPr>
        <w:t>36</w:t>
      </w:r>
      <w:r w:rsidR="00232E41">
        <w:t xml:space="preserve"> </w:t>
      </w:r>
    </w:p>
    <w:p w:rsidR="00DC4C50" w:rsidRPr="00161B1B" w:rsidRDefault="00EC3FBF" w:rsidP="00492694">
      <w:pPr>
        <w:pStyle w:val="BodyText1"/>
        <w:rPr>
          <w:color w:val="4F6228"/>
        </w:rPr>
      </w:pPr>
      <w:r w:rsidRPr="00A53E3C">
        <w:t xml:space="preserve"> </w:t>
      </w:r>
      <w:bookmarkStart w:id="188" w:name="_Toc382906723"/>
      <w:r w:rsidR="00DC4C50" w:rsidRPr="00161B1B">
        <w:t xml:space="preserve"> </w:t>
      </w:r>
    </w:p>
    <w:p w:rsidR="006D7DA6" w:rsidRPr="003B32F5" w:rsidRDefault="00786E87" w:rsidP="00492694">
      <w:pPr>
        <w:pStyle w:val="Heading2"/>
      </w:pPr>
      <w:bookmarkStart w:id="189" w:name="_Toc397947704"/>
      <w:bookmarkStart w:id="190" w:name="_Toc403399545"/>
      <w:r>
        <w:t>2</w:t>
      </w:r>
      <w:r w:rsidR="00572EAA">
        <w:t>.6</w:t>
      </w:r>
      <w:r w:rsidR="006D7DA6">
        <w:t xml:space="preserve"> </w:t>
      </w:r>
      <w:r w:rsidR="006D7DA6">
        <w:tab/>
      </w:r>
      <w:r w:rsidR="00F35545">
        <w:t>M</w:t>
      </w:r>
      <w:r w:rsidR="00C01ACC">
        <w:t>onitoring Glycaemic C</w:t>
      </w:r>
      <w:r w:rsidR="006D7DA6" w:rsidRPr="003B32F5">
        <w:t>ontrol</w:t>
      </w:r>
      <w:bookmarkEnd w:id="183"/>
      <w:bookmarkEnd w:id="184"/>
      <w:bookmarkEnd w:id="188"/>
      <w:bookmarkEnd w:id="189"/>
      <w:bookmarkEnd w:id="190"/>
    </w:p>
    <w:p w:rsidR="006D7DA6" w:rsidRPr="003B32F5" w:rsidRDefault="006D7DA6" w:rsidP="00492694">
      <w:pPr>
        <w:pStyle w:val="Heading3"/>
        <w:rPr>
          <w:rFonts w:eastAsia="Calibri"/>
        </w:rPr>
      </w:pPr>
      <w:bookmarkStart w:id="191" w:name="_Toc373130834"/>
      <w:bookmarkStart w:id="192" w:name="_Toc374445795"/>
      <w:bookmarkStart w:id="193" w:name="_Toc382906725"/>
      <w:r w:rsidRPr="003B32F5">
        <w:rPr>
          <w:rFonts w:eastAsia="Calibri"/>
        </w:rPr>
        <w:t>2.</w:t>
      </w:r>
      <w:r w:rsidR="00572EAA">
        <w:rPr>
          <w:rFonts w:eastAsia="Calibri"/>
        </w:rPr>
        <w:t>6</w:t>
      </w:r>
      <w:r w:rsidR="00DC4C50">
        <w:rPr>
          <w:rFonts w:eastAsia="Calibri"/>
        </w:rPr>
        <w:t>.1</w:t>
      </w:r>
      <w:r w:rsidRPr="003B32F5">
        <w:rPr>
          <w:rFonts w:eastAsia="Calibri"/>
        </w:rPr>
        <w:tab/>
        <w:t>HbA</w:t>
      </w:r>
      <w:bookmarkEnd w:id="191"/>
      <w:r w:rsidRPr="00A1364F">
        <w:rPr>
          <w:rFonts w:eastAsia="Calibri"/>
          <w:vertAlign w:val="subscript"/>
        </w:rPr>
        <w:t>1c</w:t>
      </w:r>
      <w:bookmarkEnd w:id="192"/>
      <w:bookmarkEnd w:id="193"/>
    </w:p>
    <w:p w:rsidR="00205503" w:rsidRDefault="006D7DA6" w:rsidP="00492694">
      <w:pPr>
        <w:pStyle w:val="BodyText1"/>
      </w:pPr>
      <w:r w:rsidRPr="003B32F5">
        <w:t>In addition to its use as a diagnostic tool, HbA</w:t>
      </w:r>
      <w:r w:rsidRPr="00A1364F">
        <w:rPr>
          <w:vertAlign w:val="subscript"/>
        </w:rPr>
        <w:t>1c</w:t>
      </w:r>
      <w:r w:rsidRPr="003B32F5">
        <w:t xml:space="preserve"> testing is also used to provide an indication of how well a patient’s diabetes is being controlled. High levels of HbA</w:t>
      </w:r>
      <w:r w:rsidRPr="00A1364F">
        <w:rPr>
          <w:vertAlign w:val="subscript"/>
        </w:rPr>
        <w:t>1c</w:t>
      </w:r>
      <w:r w:rsidRPr="003B32F5">
        <w:t xml:space="preserve"> indicate poor glycaemic control. The UK Prospec</w:t>
      </w:r>
      <w:r w:rsidR="00E1456B">
        <w:t xml:space="preserve">tive Diabetes Study (UKPDS) in type 2 </w:t>
      </w:r>
      <w:r w:rsidR="000E2F91">
        <w:t xml:space="preserve">diabetes </w:t>
      </w:r>
      <w:r w:rsidR="00C700AB">
        <w:t xml:space="preserve">patients </w:t>
      </w:r>
      <w:r w:rsidR="00E1456B">
        <w:t>showed that</w:t>
      </w:r>
      <w:r w:rsidRPr="003B32F5">
        <w:t xml:space="preserve"> </w:t>
      </w:r>
      <w:r w:rsidR="00E1456B">
        <w:t>intensive glucose control</w:t>
      </w:r>
      <w:r w:rsidR="00A47730">
        <w:t xml:space="preserve"> (with a sulfonylurea or insulin)</w:t>
      </w:r>
      <w:r w:rsidR="00E1456B">
        <w:t xml:space="preserve"> reduced and delayed progression of </w:t>
      </w:r>
      <w:r w:rsidRPr="003B32F5">
        <w:t>microvascular complications of diabetes</w:t>
      </w:r>
      <w:r w:rsidR="00762AA8">
        <w:t>, such as retinopathy, nephropathy and neuropathy</w:t>
      </w:r>
      <w:r w:rsidR="00A47730">
        <w:t>, compared to conventional treatment. Over 10 years, the conventional treatment group had a median HbA</w:t>
      </w:r>
      <w:r w:rsidR="00A47730" w:rsidRPr="00A47730">
        <w:rPr>
          <w:vertAlign w:val="subscript"/>
        </w:rPr>
        <w:t>1c</w:t>
      </w:r>
      <w:r w:rsidR="00A47730">
        <w:t xml:space="preserve"> of 7.8%, while the </w:t>
      </w:r>
      <w:r w:rsidR="00A47730">
        <w:lastRenderedPageBreak/>
        <w:t>intensive treatment group had a median HbA</w:t>
      </w:r>
      <w:r w:rsidR="00A47730" w:rsidRPr="00A47730">
        <w:rPr>
          <w:vertAlign w:val="subscript"/>
        </w:rPr>
        <w:t>1c</w:t>
      </w:r>
      <w:r w:rsidR="00A47730">
        <w:t xml:space="preserve"> of 7.0%, and a 25% risk reduction in microvascular endpoints. </w:t>
      </w:r>
      <w:r w:rsidR="00761F76">
        <w:t xml:space="preserve">However, improving glycaemic control has not been shown to have an independent impact on the development </w:t>
      </w:r>
      <w:r w:rsidR="00C700AB">
        <w:t>of macrovascular complications.</w:t>
      </w:r>
      <w:r w:rsidR="0093455B" w:rsidRPr="00DF4210">
        <w:rPr>
          <w:vertAlign w:val="superscript"/>
        </w:rPr>
        <w:t>37</w:t>
      </w:r>
      <w:r w:rsidRPr="003B32F5">
        <w:t xml:space="preserve"> </w:t>
      </w:r>
    </w:p>
    <w:p w:rsidR="006D7DA6" w:rsidRPr="003B32F5" w:rsidRDefault="00762AA8" w:rsidP="00492694">
      <w:pPr>
        <w:pStyle w:val="BodyText1"/>
      </w:pPr>
      <w:r w:rsidRPr="003B32F5">
        <w:t>HbA</w:t>
      </w:r>
      <w:r w:rsidRPr="00A1364F">
        <w:rPr>
          <w:vertAlign w:val="subscript"/>
        </w:rPr>
        <w:t>1c</w:t>
      </w:r>
      <w:r w:rsidRPr="003B32F5">
        <w:t xml:space="preserve"> tes</w:t>
      </w:r>
      <w:r w:rsidR="00C700AB">
        <w:t xml:space="preserve">ting provides clinicians with an </w:t>
      </w:r>
      <w:r w:rsidRPr="003B32F5">
        <w:t>indication that therapy is working and the r</w:t>
      </w:r>
      <w:r w:rsidR="000F280D">
        <w:t xml:space="preserve">isk of </w:t>
      </w:r>
      <w:r w:rsidR="00A26D2D">
        <w:t>long term</w:t>
      </w:r>
      <w:r w:rsidR="000F280D">
        <w:t xml:space="preserve"> complications </w:t>
      </w:r>
      <w:r w:rsidRPr="003B32F5">
        <w:t>is</w:t>
      </w:r>
      <w:r>
        <w:t xml:space="preserve"> reduced.</w:t>
      </w:r>
      <w:r w:rsidR="0093455B" w:rsidRPr="00DF4210">
        <w:rPr>
          <w:vertAlign w:val="superscript"/>
        </w:rPr>
        <w:t>38</w:t>
      </w:r>
      <w:r w:rsidR="00365983">
        <w:t xml:space="preserve"> </w:t>
      </w:r>
      <w:r w:rsidR="005C67EC" w:rsidRPr="00F35545">
        <w:t xml:space="preserve">The guidelines produced by Diabetes Australia and the </w:t>
      </w:r>
      <w:r w:rsidR="00A02028">
        <w:t>Royal Australian College of General Practitioners (</w:t>
      </w:r>
      <w:r w:rsidR="005C67EC" w:rsidRPr="00F35545">
        <w:t>RACGP</w:t>
      </w:r>
      <w:r w:rsidR="00A02028">
        <w:t>)</w:t>
      </w:r>
      <w:r w:rsidR="005C67EC" w:rsidRPr="00F35545">
        <w:t xml:space="preserve"> recommend</w:t>
      </w:r>
      <w:r w:rsidR="00365983">
        <w:t xml:space="preserve"> that patients with type 2 diabetes receive </w:t>
      </w:r>
      <w:r w:rsidR="000F280D">
        <w:t xml:space="preserve">a </w:t>
      </w:r>
      <w:r w:rsidR="00365983" w:rsidRPr="003B32F5">
        <w:t>HbA</w:t>
      </w:r>
      <w:r w:rsidR="00365983" w:rsidRPr="00A1364F">
        <w:rPr>
          <w:vertAlign w:val="subscript"/>
        </w:rPr>
        <w:t>1c</w:t>
      </w:r>
      <w:r w:rsidR="000F280D">
        <w:t xml:space="preserve"> test </w:t>
      </w:r>
      <w:r w:rsidR="00F35545">
        <w:t xml:space="preserve">as needed on an individual basis, but not more than once every three </w:t>
      </w:r>
      <w:r w:rsidR="000F280D">
        <w:t>months.</w:t>
      </w:r>
      <w:r w:rsidR="0093455B" w:rsidRPr="001E0DCC">
        <w:rPr>
          <w:vertAlign w:val="superscript"/>
        </w:rPr>
        <w:t>26</w:t>
      </w:r>
      <w:r w:rsidR="00205503">
        <w:t xml:space="preserve"> </w:t>
      </w:r>
    </w:p>
    <w:p w:rsidR="006D7DA6" w:rsidRPr="003B32F5" w:rsidRDefault="007079DC" w:rsidP="00492694">
      <w:pPr>
        <w:pStyle w:val="BodyText1"/>
      </w:pPr>
      <w:r>
        <w:t xml:space="preserve">Australian guidelines </w:t>
      </w:r>
      <w:r w:rsidR="00E1456B">
        <w:t>recommend</w:t>
      </w:r>
      <w:r w:rsidR="006D7DA6" w:rsidRPr="003B32F5">
        <w:t xml:space="preserve"> a general target HbA</w:t>
      </w:r>
      <w:r w:rsidR="006D7DA6" w:rsidRPr="00A1364F">
        <w:rPr>
          <w:vertAlign w:val="subscript"/>
        </w:rPr>
        <w:t>1c</w:t>
      </w:r>
      <w:r w:rsidR="006D7DA6" w:rsidRPr="003B32F5">
        <w:t xml:space="preserve"> of ≤</w:t>
      </w:r>
      <w:r w:rsidR="00CC4297">
        <w:t>53 mmol/mol (</w:t>
      </w:r>
      <w:r w:rsidR="006D7DA6" w:rsidRPr="003B32F5">
        <w:t>7.0%</w:t>
      </w:r>
      <w:r w:rsidR="00CC4297">
        <w:t>)</w:t>
      </w:r>
      <w:r w:rsidR="006D7DA6" w:rsidRPr="003B32F5">
        <w:t xml:space="preserve"> for most patients.</w:t>
      </w:r>
      <w:r w:rsidR="0093455B" w:rsidRPr="00DF4210">
        <w:rPr>
          <w:vertAlign w:val="superscript"/>
        </w:rPr>
        <w:t>6</w:t>
      </w:r>
      <w:r w:rsidR="00DF4210" w:rsidRPr="00DF4210">
        <w:rPr>
          <w:vertAlign w:val="superscript"/>
        </w:rPr>
        <w:t xml:space="preserve">; </w:t>
      </w:r>
      <w:r w:rsidR="0093455B" w:rsidRPr="00DF4210">
        <w:rPr>
          <w:vertAlign w:val="superscript"/>
        </w:rPr>
        <w:t>26</w:t>
      </w:r>
      <w:r w:rsidR="00DF4210" w:rsidRPr="00DF4210">
        <w:rPr>
          <w:vertAlign w:val="superscript"/>
        </w:rPr>
        <w:t xml:space="preserve">; </w:t>
      </w:r>
      <w:r w:rsidR="0093455B" w:rsidRPr="00DF4210">
        <w:rPr>
          <w:vertAlign w:val="superscript"/>
        </w:rPr>
        <w:t>39</w:t>
      </w:r>
      <w:r w:rsidR="006D7DA6" w:rsidRPr="003B32F5">
        <w:t xml:space="preserve"> However, </w:t>
      </w:r>
      <w:r w:rsidR="00C700AB">
        <w:t xml:space="preserve">the guidelines also note that </w:t>
      </w:r>
      <w:r w:rsidR="006D7DA6" w:rsidRPr="003B32F5">
        <w:t>HbA</w:t>
      </w:r>
      <w:r w:rsidR="006D7DA6" w:rsidRPr="00A1364F">
        <w:rPr>
          <w:vertAlign w:val="subscript"/>
        </w:rPr>
        <w:t>1c</w:t>
      </w:r>
      <w:r w:rsidR="006D7DA6" w:rsidRPr="003B32F5">
        <w:t xml:space="preserve"> targets should be individualised </w:t>
      </w:r>
      <w:r w:rsidR="00762AA8">
        <w:t>based on patient-specific factors, including</w:t>
      </w:r>
      <w:r w:rsidR="003652E9">
        <w:t>:</w:t>
      </w:r>
      <w:r w:rsidR="00762AA8">
        <w:t xml:space="preserve"> </w:t>
      </w:r>
      <w:r w:rsidR="003652E9">
        <w:t xml:space="preserve">patient attitude, risks associated with hypoglycaemia, disease duration, life expectancy, </w:t>
      </w:r>
      <w:r w:rsidR="00762AA8">
        <w:t>comorbidities,</w:t>
      </w:r>
      <w:r w:rsidR="003652E9">
        <w:t xml:space="preserve"> vascular complications and</w:t>
      </w:r>
      <w:r w:rsidR="00C700AB">
        <w:t>,</w:t>
      </w:r>
      <w:r w:rsidR="003652E9">
        <w:t xml:space="preserve"> resources and support systems available</w:t>
      </w:r>
      <w:r w:rsidR="00E74DBF">
        <w:t xml:space="preserve">. </w:t>
      </w:r>
      <w:r w:rsidR="00E74DBF" w:rsidRPr="003B32F5">
        <w:t>HbA</w:t>
      </w:r>
      <w:r w:rsidR="00E74DBF" w:rsidRPr="00A1364F">
        <w:rPr>
          <w:vertAlign w:val="subscript"/>
        </w:rPr>
        <w:t>1c</w:t>
      </w:r>
      <w:r w:rsidR="00E74DBF" w:rsidRPr="003B32F5">
        <w:t xml:space="preserve"> targets </w:t>
      </w:r>
      <w:r w:rsidR="00E74DBF">
        <w:t>may be lower for t</w:t>
      </w:r>
      <w:r>
        <w:t>hose who are recently diagnosed with long life expectancy,</w:t>
      </w:r>
      <w:r w:rsidR="00E74DBF">
        <w:t xml:space="preserve"> </w:t>
      </w:r>
      <w:r w:rsidR="006D7DA6" w:rsidRPr="003B32F5">
        <w:t>and may be higher for</w:t>
      </w:r>
      <w:r w:rsidR="00E74DBF">
        <w:t xml:space="preserve"> those with </w:t>
      </w:r>
      <w:r w:rsidR="00365983">
        <w:t xml:space="preserve">limited life expectancy or who have </w:t>
      </w:r>
      <w:r w:rsidR="003652E9">
        <w:t xml:space="preserve">a history of severe hypoglycaemia </w:t>
      </w:r>
      <w:r w:rsidR="00365983">
        <w:t>(e.g. ≤</w:t>
      </w:r>
      <w:r w:rsidR="00CC4297">
        <w:t xml:space="preserve">64 mmol/mol, </w:t>
      </w:r>
      <w:r w:rsidR="00365983">
        <w:t>8%)</w:t>
      </w:r>
      <w:r w:rsidR="006D7DA6">
        <w:t>.</w:t>
      </w:r>
      <w:r w:rsidR="0093455B" w:rsidRPr="001E0DCC">
        <w:rPr>
          <w:vertAlign w:val="superscript"/>
        </w:rPr>
        <w:t>26</w:t>
      </w:r>
      <w:r w:rsidR="00E1456B" w:rsidRPr="003B32F5">
        <w:t xml:space="preserve"> </w:t>
      </w:r>
      <w:r w:rsidR="00817FF4">
        <w:t>The PBS restrictions generally require a patient to have an HbA</w:t>
      </w:r>
      <w:r w:rsidR="00817FF4" w:rsidRPr="00817FF4">
        <w:rPr>
          <w:vertAlign w:val="subscript"/>
        </w:rPr>
        <w:t>1c</w:t>
      </w:r>
      <w:r w:rsidR="00817FF4">
        <w:t xml:space="preserve"> of </w:t>
      </w:r>
      <w:r w:rsidR="00CA1AC0">
        <w:t>&gt;</w:t>
      </w:r>
      <w:r w:rsidR="00817FF4">
        <w:t>53 mmol/mol (7%) before</w:t>
      </w:r>
      <w:r w:rsidR="00BF55FD">
        <w:t xml:space="preserve"> the more expensive oral agents and GLP-1 receptor agonists </w:t>
      </w:r>
      <w:r>
        <w:t xml:space="preserve">are </w:t>
      </w:r>
      <w:r w:rsidR="00CA1AC0">
        <w:t>added to their treatment regime</w:t>
      </w:r>
      <w:r w:rsidR="00E94085">
        <w:t>n</w:t>
      </w:r>
      <w:r w:rsidR="00817FF4">
        <w:t>.</w:t>
      </w:r>
    </w:p>
    <w:p w:rsidR="006D7DA6" w:rsidRDefault="006D7DA6" w:rsidP="00492694">
      <w:pPr>
        <w:pStyle w:val="BodyText1"/>
      </w:pPr>
      <w:r w:rsidRPr="003B32F5">
        <w:t xml:space="preserve">It should be noted that </w:t>
      </w:r>
      <w:r w:rsidR="00E94085">
        <w:t>i</w:t>
      </w:r>
      <w:r w:rsidRPr="003B32F5">
        <w:t>n people with conditions associated with altered erythrocyte survival (e.g. thalassaemia, portal hypertension, haemolytic anaemia), HbA</w:t>
      </w:r>
      <w:r w:rsidRPr="00A1364F">
        <w:rPr>
          <w:vertAlign w:val="subscript"/>
        </w:rPr>
        <w:t>1c</w:t>
      </w:r>
      <w:r w:rsidRPr="003B32F5">
        <w:t xml:space="preserve"> is less reliable and self-monitoring of blood glucose or fructosamine testing, which measures the glycation of all serum proteins, may be of more value.</w:t>
      </w:r>
      <w:r w:rsidR="0093455B" w:rsidRPr="00DF4210">
        <w:rPr>
          <w:vertAlign w:val="superscript"/>
        </w:rPr>
        <w:t>38</w:t>
      </w:r>
      <w:r w:rsidRPr="003B32F5">
        <w:t xml:space="preserve"> </w:t>
      </w:r>
    </w:p>
    <w:p w:rsidR="00F35545" w:rsidRDefault="00F35545" w:rsidP="00492694">
      <w:pPr>
        <w:pStyle w:val="Heading3"/>
      </w:pPr>
      <w:r>
        <w:t>2.6.2  Self-monitoring of blood glucose</w:t>
      </w:r>
    </w:p>
    <w:p w:rsidR="00F35545" w:rsidRPr="003B32F5" w:rsidRDefault="00CA1AC0" w:rsidP="00492694">
      <w:pPr>
        <w:pStyle w:val="BodyText1"/>
      </w:pPr>
      <w:r>
        <w:t xml:space="preserve">Self-monitoring of blood glucose is recommended for patients with type 2 diabetes who are using insulin where patients have been educated in appropriate alterations in insulin dose. </w:t>
      </w:r>
      <w:r w:rsidR="00BF14BC">
        <w:t xml:space="preserve">Self-monitoring is also normally recommended for patients who are pregnant, experiencing a concomitant illness, or are undergoing changes in treatment, including lifestyle changes. </w:t>
      </w:r>
      <w:r w:rsidR="00A97428">
        <w:t>R</w:t>
      </w:r>
      <w:r>
        <w:t>outine self-monitoring of blood glucose in low-risk patients using oral glucose-lowing medicines (with the exception of sulfonylureas) is not recommended. The frequency of testing should reflect individual circumstances and therapeutic aims.</w:t>
      </w:r>
      <w:r w:rsidR="0093455B" w:rsidRPr="001E0DCC">
        <w:rPr>
          <w:vertAlign w:val="superscript"/>
        </w:rPr>
        <w:t>26</w:t>
      </w:r>
      <w:r w:rsidR="008C22A0">
        <w:t xml:space="preserve"> </w:t>
      </w:r>
    </w:p>
    <w:p w:rsidR="007C42B5" w:rsidRDefault="007C42B5" w:rsidP="007C42B5">
      <w:bookmarkStart w:id="194" w:name="_2.7_Pharmacotherapy_and"/>
      <w:bookmarkEnd w:id="194"/>
    </w:p>
    <w:p w:rsidR="000437D6" w:rsidRPr="002846D4" w:rsidRDefault="000437D6" w:rsidP="00492694">
      <w:pPr>
        <w:pStyle w:val="Heading2"/>
      </w:pPr>
      <w:bookmarkStart w:id="195" w:name="_2.7_Pharmacotherapy_and_1"/>
      <w:bookmarkStart w:id="196" w:name="_Toc397947705"/>
      <w:bookmarkStart w:id="197" w:name="_Toc403399546"/>
      <w:bookmarkEnd w:id="195"/>
      <w:r>
        <w:t>2.7</w:t>
      </w:r>
      <w:r>
        <w:tab/>
        <w:t>Pharmacotherapy and Review of Clinical Guidelines</w:t>
      </w:r>
      <w:bookmarkEnd w:id="196"/>
      <w:bookmarkEnd w:id="197"/>
    </w:p>
    <w:p w:rsidR="00533FAB" w:rsidRDefault="00533FAB" w:rsidP="00492694">
      <w:pPr>
        <w:pStyle w:val="Heading3"/>
      </w:pPr>
      <w:r>
        <w:t>2.7.1  Summary</w:t>
      </w:r>
    </w:p>
    <w:p w:rsidR="00866182" w:rsidRDefault="00216D67" w:rsidP="00866182">
      <w:pPr>
        <w:pStyle w:val="BodyText1"/>
      </w:pPr>
      <w:r>
        <w:t xml:space="preserve">The Department contracted Griffith University to undertake a review of Australian and international clinical guidelines for the treatment of type 2 diabetes, with a focus on pharmacotherapy. </w:t>
      </w:r>
    </w:p>
    <w:p w:rsidR="000437D6" w:rsidRDefault="000437D6" w:rsidP="00492694">
      <w:pPr>
        <w:pStyle w:val="BodyText1"/>
      </w:pPr>
      <w:r>
        <w:lastRenderedPageBreak/>
        <w:t xml:space="preserve">Most Australian and international clinical guidelines recommend an individualised approach to the treatment of type 2 diabetes and the optimal </w:t>
      </w:r>
      <w:r w:rsidRPr="007707BC">
        <w:t>Hb</w:t>
      </w:r>
      <w:r>
        <w:t>A</w:t>
      </w:r>
      <w:r w:rsidRPr="00C53437">
        <w:rPr>
          <w:vertAlign w:val="subscript"/>
        </w:rPr>
        <w:t>1c</w:t>
      </w:r>
      <w:r>
        <w:t xml:space="preserve"> target. The balance is between optima</w:t>
      </w:r>
      <w:r w:rsidR="00533FAB">
        <w:t xml:space="preserve">l management of the disease, including </w:t>
      </w:r>
      <w:r>
        <w:t xml:space="preserve">the prevention of </w:t>
      </w:r>
      <w:r w:rsidR="00533FAB">
        <w:t xml:space="preserve">microvascular events, whilst reducing the risk of </w:t>
      </w:r>
      <w:r>
        <w:t>severe hypoglycaemia</w:t>
      </w:r>
      <w:r w:rsidR="0063336D">
        <w:t xml:space="preserve"> and adverse events</w:t>
      </w:r>
      <w:r>
        <w:t xml:space="preserve">. Other considerations are cost, efficacy, potential side effects, effects on body weight, comorbidities, </w:t>
      </w:r>
      <w:r w:rsidR="0063336D">
        <w:t xml:space="preserve">life expectancy, </w:t>
      </w:r>
      <w:r>
        <w:t>and patient preferences and abilities (e.</w:t>
      </w:r>
      <w:r w:rsidR="00C0412D">
        <w:t>g. oral or injectable medicine</w:t>
      </w:r>
      <w:r>
        <w:t xml:space="preserve">s). </w:t>
      </w:r>
    </w:p>
    <w:p w:rsidR="00A0465E" w:rsidRDefault="00866182" w:rsidP="00492694">
      <w:pPr>
        <w:pStyle w:val="BodyText1"/>
      </w:pPr>
      <w:r>
        <w:t>Across the guidelines reviewed,</w:t>
      </w:r>
      <w:r w:rsidR="00C0412D">
        <w:t xml:space="preserve"> metformin is considered the first line of pharmacotherapy unless the patient is contr</w:t>
      </w:r>
      <w:r w:rsidR="00DC0A34">
        <w:t xml:space="preserve">aindicated or intolerant. </w:t>
      </w:r>
      <w:r w:rsidR="00A0465E">
        <w:t xml:space="preserve">In this case, sulfonylureas are usually considered the most appropriate alternative to metformin. </w:t>
      </w:r>
      <w:r w:rsidR="00A0465E" w:rsidRPr="00082421">
        <w:t xml:space="preserve">The main arguments </w:t>
      </w:r>
      <w:r w:rsidR="00A0465E">
        <w:t xml:space="preserve">in favour of metformin </w:t>
      </w:r>
      <w:r>
        <w:t xml:space="preserve">as first line therapy </w:t>
      </w:r>
      <w:r w:rsidR="00A0465E">
        <w:t xml:space="preserve">are </w:t>
      </w:r>
      <w:r w:rsidR="00A26D2D">
        <w:t>long term</w:t>
      </w:r>
      <w:r w:rsidR="00A0465E">
        <w:t xml:space="preserve"> clinical experience with this agent and </w:t>
      </w:r>
      <w:r w:rsidR="00A0465E" w:rsidRPr="00082421">
        <w:t>low</w:t>
      </w:r>
      <w:r w:rsidR="00A0465E">
        <w:t xml:space="preserve"> cost compared to other medicine</w:t>
      </w:r>
      <w:r w:rsidR="00A0465E" w:rsidRPr="00082421">
        <w:t>s.</w:t>
      </w:r>
      <w:r w:rsidR="00A0465E">
        <w:t xml:space="preserve"> </w:t>
      </w:r>
    </w:p>
    <w:p w:rsidR="00C0412D" w:rsidRDefault="00C0412D" w:rsidP="00492694">
      <w:pPr>
        <w:pStyle w:val="BodyText1"/>
      </w:pPr>
      <w:r>
        <w:t xml:space="preserve">The guidelines advise that if treatment with monotherapy does not result in optimal blood glucose levels then dual therapy should be initiated. The recommended dual therapy combination is </w:t>
      </w:r>
      <w:r w:rsidR="00533FAB">
        <w:t xml:space="preserve">usually </w:t>
      </w:r>
      <w:r>
        <w:t>metformin + sulfonylurea, unless contraindicated for the individual patient.  In this scenario, other oral medications such as DPP-4 inhibitors</w:t>
      </w:r>
      <w:r w:rsidR="00533FAB">
        <w:t xml:space="preserve"> (gliptins)</w:t>
      </w:r>
      <w:r>
        <w:t xml:space="preserve"> and TZDs </w:t>
      </w:r>
      <w:r w:rsidR="00533FAB">
        <w:t xml:space="preserve">(glitazones) </w:t>
      </w:r>
      <w:r>
        <w:t>are generally recommended.</w:t>
      </w:r>
      <w:r w:rsidR="00A0465E">
        <w:t xml:space="preserve"> </w:t>
      </w:r>
      <w:r w:rsidR="00A0465E" w:rsidRPr="00082421">
        <w:t xml:space="preserve">The main arguments </w:t>
      </w:r>
      <w:r w:rsidR="00A0465E">
        <w:t xml:space="preserve">in favour of sulfonylureas </w:t>
      </w:r>
      <w:r w:rsidR="00A0465E" w:rsidRPr="00082421">
        <w:t>raise</w:t>
      </w:r>
      <w:r w:rsidR="00A0465E">
        <w:t xml:space="preserve">d in the different guidelines are </w:t>
      </w:r>
      <w:r w:rsidR="00A26D2D">
        <w:t>long term</w:t>
      </w:r>
      <w:r w:rsidR="00A0465E">
        <w:t xml:space="preserve"> clinical experience, </w:t>
      </w:r>
      <w:r w:rsidR="00A0465E" w:rsidRPr="00082421">
        <w:t>low</w:t>
      </w:r>
      <w:r w:rsidR="00A0465E">
        <w:t xml:space="preserve"> cost, and equal effectiveness with other agents in reducing HbA</w:t>
      </w:r>
      <w:r w:rsidR="00A0465E" w:rsidRPr="00A0465E">
        <w:rPr>
          <w:vertAlign w:val="subscript"/>
        </w:rPr>
        <w:t>1c</w:t>
      </w:r>
      <w:r w:rsidR="00A0465E" w:rsidRPr="00082421">
        <w:t>.</w:t>
      </w:r>
      <w:r w:rsidR="00A0465E">
        <w:t xml:space="preserve"> Some guidelines do not favour any specific second line medicine.</w:t>
      </w:r>
    </w:p>
    <w:p w:rsidR="00092598" w:rsidRDefault="00C0412D" w:rsidP="00492694">
      <w:pPr>
        <w:pStyle w:val="BodyText1"/>
      </w:pPr>
      <w:r>
        <w:t>If dual therapy is ineffective in controlling blood glucose, a third agent ca</w:t>
      </w:r>
      <w:r w:rsidR="00533FAB">
        <w:t>n be used to assist treatment. Guidelines commonly recommend i</w:t>
      </w:r>
      <w:r>
        <w:t xml:space="preserve">nsulin </w:t>
      </w:r>
      <w:r w:rsidR="00533FAB">
        <w:t xml:space="preserve">as </w:t>
      </w:r>
      <w:r>
        <w:t xml:space="preserve">the preferred </w:t>
      </w:r>
      <w:r w:rsidR="00533FAB">
        <w:t xml:space="preserve">third line </w:t>
      </w:r>
      <w:r>
        <w:t>option i</w:t>
      </w:r>
      <w:r w:rsidR="00533FAB">
        <w:t>n combination with metformin +</w:t>
      </w:r>
      <w:r>
        <w:t xml:space="preserve"> sulfonylurea. </w:t>
      </w:r>
      <w:r w:rsidR="00A0465E">
        <w:t xml:space="preserve">The </w:t>
      </w:r>
      <w:r w:rsidR="00092598">
        <w:t xml:space="preserve">evidence base and cost are important factors in this selection for most guidelines. </w:t>
      </w:r>
      <w:r>
        <w:t>Again, other treatments can be used if the preferred option is not suitable for the patient due to contraindications or intolerances, and it is generally recommended that the medicine selected</w:t>
      </w:r>
      <w:r w:rsidR="00533FAB">
        <w:t xml:space="preserve"> </w:t>
      </w:r>
      <w:r>
        <w:t>is tailored to the individual patient.</w:t>
      </w:r>
      <w:r w:rsidR="00092598">
        <w:t xml:space="preserve"> </w:t>
      </w:r>
      <w:r w:rsidR="00EC4E29">
        <w:t>More complex insulin regimens are usually recommended for those not controlled by initial triple therapy.</w:t>
      </w:r>
    </w:p>
    <w:p w:rsidR="00DF7EB6" w:rsidRDefault="00533FAB" w:rsidP="00492694">
      <w:pPr>
        <w:pStyle w:val="Heading3"/>
      </w:pPr>
      <w:r>
        <w:t>2.</w:t>
      </w:r>
      <w:r w:rsidR="00DF7EB6">
        <w:t>7.2  Australian Guidelines</w:t>
      </w:r>
    </w:p>
    <w:p w:rsidR="00DF7EB6" w:rsidRDefault="00DF7EB6" w:rsidP="00492694">
      <w:pPr>
        <w:pStyle w:val="BodyText1"/>
      </w:pPr>
      <w:r w:rsidRPr="00082421">
        <w:t xml:space="preserve">The </w:t>
      </w:r>
      <w:r w:rsidR="009D424C">
        <w:t>‘National Evidence Based Guideline for Blood Gluc</w:t>
      </w:r>
      <w:r w:rsidR="002B6D52">
        <w:t>ose Control in Type 2 Diabetes’</w:t>
      </w:r>
      <w:r w:rsidR="00AE563A">
        <w:t xml:space="preserve"> </w:t>
      </w:r>
      <w:r w:rsidR="00364240">
        <w:t xml:space="preserve">was </w:t>
      </w:r>
      <w:r w:rsidR="009D424C">
        <w:t xml:space="preserve">published by the </w:t>
      </w:r>
      <w:r w:rsidR="009D424C" w:rsidRPr="00082421">
        <w:t xml:space="preserve">National Health and Medical Research Council (NHMRC) </w:t>
      </w:r>
      <w:r w:rsidR="009D424C">
        <w:t xml:space="preserve">and Diabetes Australia </w:t>
      </w:r>
      <w:r w:rsidRPr="00082421">
        <w:t>in 2009</w:t>
      </w:r>
      <w:r w:rsidR="00AE563A">
        <w:t>.</w:t>
      </w:r>
      <w:r w:rsidR="0093455B" w:rsidRPr="001E0DCC">
        <w:rPr>
          <w:vertAlign w:val="superscript"/>
        </w:rPr>
        <w:t>6</w:t>
      </w:r>
      <w:r w:rsidR="00AE563A">
        <w:t xml:space="preserve"> </w:t>
      </w:r>
      <w:r w:rsidR="00364240">
        <w:t xml:space="preserve">The pharmacotherapy algorithm in this guideline was based partly on PBS subsidy arrangements and </w:t>
      </w:r>
      <w:r w:rsidR="00DC0A34">
        <w:t xml:space="preserve">it </w:t>
      </w:r>
      <w:r w:rsidR="00364240">
        <w:t xml:space="preserve">does not include SGLT2 inhibitors, </w:t>
      </w:r>
      <w:r w:rsidR="00DC0A34">
        <w:t xml:space="preserve">as they </w:t>
      </w:r>
      <w:r w:rsidR="00364240">
        <w:t xml:space="preserve">were not available at that time. Therefore, it is not discussed further in this report. </w:t>
      </w:r>
    </w:p>
    <w:p w:rsidR="00F71ED5" w:rsidRDefault="00285BFF" w:rsidP="00492694">
      <w:pPr>
        <w:pStyle w:val="BodyText1"/>
      </w:pPr>
      <w:r>
        <w:t xml:space="preserve">The Australian Diabetes Society is developing a new guideline on blood glucose management in type 2 diabetes. The draft pharmacotherapy algorithm was provided in-confidence for consideration by the expert Reference Group and the PBAC. </w:t>
      </w:r>
    </w:p>
    <w:p w:rsidR="004F0921" w:rsidRDefault="004F0921" w:rsidP="00492694">
      <w:pPr>
        <w:pStyle w:val="Heading4"/>
      </w:pPr>
      <w:r>
        <w:lastRenderedPageBreak/>
        <w:t>2.7.2.1  RACGP and Diabetes Australia</w:t>
      </w:r>
    </w:p>
    <w:p w:rsidR="00DB3EB2" w:rsidRDefault="004F0921" w:rsidP="00866182">
      <w:pPr>
        <w:pStyle w:val="BodyText1"/>
      </w:pPr>
      <w:r>
        <w:t>Figure 2.1</w:t>
      </w:r>
      <w:r w:rsidR="00364240" w:rsidRPr="00082421">
        <w:t xml:space="preserve"> presents the algorithm for pharmacotherapy </w:t>
      </w:r>
      <w:r w:rsidR="00655E33">
        <w:t xml:space="preserve">in </w:t>
      </w:r>
      <w:r w:rsidR="00364240" w:rsidRPr="00082421">
        <w:t xml:space="preserve">the management of type 2 diabetes in the </w:t>
      </w:r>
      <w:r w:rsidR="00364240">
        <w:t>‘G</w:t>
      </w:r>
      <w:r w:rsidR="00364240" w:rsidRPr="00082421">
        <w:t>eneral practice management of type 2 diabetes</w:t>
      </w:r>
      <w:r w:rsidR="00364240">
        <w:t xml:space="preserve"> – 2014-15’ guideline</w:t>
      </w:r>
      <w:r>
        <w:t xml:space="preserve"> published</w:t>
      </w:r>
      <w:r w:rsidR="0063336D">
        <w:t xml:space="preserve"> </w:t>
      </w:r>
      <w:r w:rsidRPr="00082421">
        <w:t xml:space="preserve">by the </w:t>
      </w:r>
      <w:r>
        <w:t>Royal Australian College of General Practitioners (</w:t>
      </w:r>
      <w:r w:rsidRPr="00082421">
        <w:t>RACGP</w:t>
      </w:r>
      <w:r>
        <w:t>)</w:t>
      </w:r>
      <w:r w:rsidRPr="00082421">
        <w:t xml:space="preserve"> and Diabetes Australia</w:t>
      </w:r>
      <w:r w:rsidR="00364240" w:rsidRPr="00082421">
        <w:t>.</w:t>
      </w:r>
      <w:r w:rsidR="0093455B" w:rsidRPr="001E0DCC">
        <w:rPr>
          <w:vertAlign w:val="superscript"/>
        </w:rPr>
        <w:t>26</w:t>
      </w:r>
      <w:r w:rsidR="00364240" w:rsidRPr="00082421">
        <w:t xml:space="preserve">  </w:t>
      </w:r>
    </w:p>
    <w:p w:rsidR="00866182" w:rsidRPr="00082421" w:rsidRDefault="00866182" w:rsidP="00866182">
      <w:pPr>
        <w:pStyle w:val="BodyText1"/>
      </w:pPr>
      <w:r w:rsidRPr="00082421">
        <w:t xml:space="preserve">The </w:t>
      </w:r>
      <w:r>
        <w:t>algorithm is</w:t>
      </w:r>
      <w:r w:rsidRPr="00082421">
        <w:t xml:space="preserve"> adapted from the Scottish Intercollegiate Guidelines Network</w:t>
      </w:r>
      <w:r>
        <w:t xml:space="preserve"> (SIGN)</w:t>
      </w:r>
      <w:r w:rsidRPr="00082421">
        <w:t xml:space="preserve">, </w:t>
      </w:r>
      <w:r>
        <w:t>‘</w:t>
      </w:r>
      <w:r w:rsidRPr="00082421">
        <w:t>Management of diabetes; A national clinical guideline: 2010</w:t>
      </w:r>
      <w:r>
        <w:t>’,</w:t>
      </w:r>
      <w:r w:rsidR="0093455B" w:rsidRPr="0093455B">
        <w:rPr>
          <w:vertAlign w:val="superscript"/>
        </w:rPr>
        <w:t>40</w:t>
      </w:r>
      <w:r>
        <w:t xml:space="preserve"> with </w:t>
      </w:r>
      <w:r w:rsidRPr="00082421">
        <w:t>additional advice and agents added, while some advice was removed.</w:t>
      </w:r>
      <w:r>
        <w:t xml:space="preserve"> </w:t>
      </w:r>
      <w:r w:rsidRPr="00082421">
        <w:t xml:space="preserve">The target for optimal management is to achieve </w:t>
      </w:r>
      <w:r>
        <w:t xml:space="preserve">an </w:t>
      </w:r>
      <w:r w:rsidRPr="00082421">
        <w:t>HbA</w:t>
      </w:r>
      <w:r w:rsidRPr="00082421">
        <w:rPr>
          <w:vertAlign w:val="subscript"/>
        </w:rPr>
        <w:t>1c</w:t>
      </w:r>
      <w:r w:rsidRPr="00082421">
        <w:t xml:space="preserve"> level of &lt;7% (&lt;53 mmol/mol) or individualised as agreed. </w:t>
      </w:r>
    </w:p>
    <w:p w:rsidR="00866182" w:rsidRDefault="00866182" w:rsidP="00866182">
      <w:pPr>
        <w:pStyle w:val="BodyText1"/>
      </w:pPr>
      <w:r w:rsidRPr="00082421">
        <w:t xml:space="preserve">In summary, </w:t>
      </w:r>
      <w:r>
        <w:t>i</w:t>
      </w:r>
      <w:r w:rsidRPr="00082421">
        <w:t xml:space="preserve">f lifestyle modification is not effective, metformin is the first </w:t>
      </w:r>
      <w:r>
        <w:t xml:space="preserve">line medicine </w:t>
      </w:r>
      <w:r w:rsidRPr="00082421">
        <w:t xml:space="preserve">unless contraindicated or not tolerated. Second </w:t>
      </w:r>
      <w:r>
        <w:t xml:space="preserve">and third line </w:t>
      </w:r>
      <w:r w:rsidRPr="00082421">
        <w:t xml:space="preserve">agents </w:t>
      </w:r>
      <w:r>
        <w:t>where necessary</w:t>
      </w:r>
      <w:r w:rsidRPr="00082421">
        <w:t xml:space="preserve"> (added to existing metformin)</w:t>
      </w:r>
      <w:r>
        <w:t xml:space="preserve">, </w:t>
      </w:r>
      <w:r w:rsidRPr="00082421">
        <w:t>should be chosen using an individualised approach, noting that agents work in different ways and are chosen to work synergistically.</w:t>
      </w:r>
      <w:r>
        <w:t xml:space="preserve"> While sulfonylureas are considered the standard second line option, all other classes of type 2 diabetes medicines are considered alternative choices.</w:t>
      </w:r>
    </w:p>
    <w:p w:rsidR="00866182" w:rsidRPr="00082421" w:rsidRDefault="00866182" w:rsidP="00285BFF"/>
    <w:p w:rsidR="00364240" w:rsidRPr="00BF7CF0" w:rsidRDefault="00364240" w:rsidP="00E7447E">
      <w:pPr>
        <w:pStyle w:val="BodyText1"/>
        <w:keepNext/>
        <w:keepLines/>
      </w:pPr>
      <w:bookmarkStart w:id="198" w:name="_Ref384988572"/>
      <w:r w:rsidRPr="00BF7CF0">
        <w:rPr>
          <w:b/>
        </w:rPr>
        <w:t>Figure</w:t>
      </w:r>
      <w:bookmarkEnd w:id="198"/>
      <w:r w:rsidR="00BF7CF0" w:rsidRPr="00BF7CF0">
        <w:rPr>
          <w:b/>
        </w:rPr>
        <w:t xml:space="preserve"> 2.1</w:t>
      </w:r>
      <w:r w:rsidR="00646887">
        <w:t>.</w:t>
      </w:r>
      <w:r w:rsidRPr="00BF7CF0">
        <w:t xml:space="preserve"> </w:t>
      </w:r>
      <w:hyperlink r:id="rId18" w:history="1">
        <w:r w:rsidRPr="006E1080">
          <w:rPr>
            <w:rStyle w:val="Hyperlink"/>
            <w:b/>
          </w:rPr>
          <w:t>Algorithm for lowering glucose in type 2 diabetes</w:t>
        </w:r>
        <w:r w:rsidR="0093455B" w:rsidRPr="006E1080">
          <w:rPr>
            <w:rStyle w:val="Hyperlink"/>
            <w:b/>
          </w:rPr>
          <w:t xml:space="preserve"> – RACGP and Diabetes Australia 2014</w:t>
        </w:r>
      </w:hyperlink>
      <w:r w:rsidR="002D47A9" w:rsidRPr="00646887">
        <w:rPr>
          <w:b/>
        </w:rPr>
        <w:t>.</w:t>
      </w:r>
      <w:r w:rsidR="0093455B" w:rsidRPr="001E0DCC">
        <w:rPr>
          <w:vertAlign w:val="superscript"/>
        </w:rPr>
        <w:t>26</w:t>
      </w:r>
    </w:p>
    <w:p w:rsidR="00B916CB" w:rsidRDefault="00B916CB" w:rsidP="00285BFF"/>
    <w:p w:rsidR="000437D6" w:rsidRDefault="00DF7EB6" w:rsidP="00492694">
      <w:pPr>
        <w:pStyle w:val="Heading3"/>
      </w:pPr>
      <w:r>
        <w:t xml:space="preserve">2.7.3  </w:t>
      </w:r>
      <w:r w:rsidR="00533FAB">
        <w:t>International Guidelines</w:t>
      </w:r>
    </w:p>
    <w:p w:rsidR="00AA435C" w:rsidRPr="00082421" w:rsidRDefault="00AA435C" w:rsidP="00285BFF">
      <w:pPr>
        <w:pStyle w:val="BodyText1"/>
      </w:pPr>
      <w:r>
        <w:t>The section focuse</w:t>
      </w:r>
      <w:r w:rsidRPr="00082421">
        <w:t xml:space="preserve">s on international </w:t>
      </w:r>
      <w:r>
        <w:t>guidelines used in countries with</w:t>
      </w:r>
      <w:r w:rsidRPr="00082421">
        <w:t xml:space="preserve"> similar health system</w:t>
      </w:r>
      <w:r>
        <w:t>s</w:t>
      </w:r>
      <w:r w:rsidRPr="00082421">
        <w:t xml:space="preserve"> to Australia, with specific consideration of reimbursement practices. A review is provided of guidelines from Canada, England and Wales, New Zealand and the</w:t>
      </w:r>
      <w:r>
        <w:t xml:space="preserve"> USA</w:t>
      </w:r>
      <w:r w:rsidRPr="00082421">
        <w:t>.</w:t>
      </w:r>
    </w:p>
    <w:p w:rsidR="000437D6" w:rsidRPr="009F7D10" w:rsidRDefault="00AA435C" w:rsidP="00285BFF">
      <w:pPr>
        <w:pStyle w:val="Heading4"/>
        <w:keepNext w:val="0"/>
      </w:pPr>
      <w:r w:rsidRPr="009F7D10">
        <w:t>2.7.3.1  Canada</w:t>
      </w:r>
    </w:p>
    <w:p w:rsidR="00AA435C" w:rsidRPr="00082421" w:rsidRDefault="00AA435C" w:rsidP="00285BFF">
      <w:pPr>
        <w:pStyle w:val="BodyText1"/>
      </w:pPr>
      <w:bookmarkStart w:id="199" w:name="_2.7__Treatment"/>
      <w:bookmarkStart w:id="200" w:name="_2.7__Treatment:"/>
      <w:bookmarkStart w:id="201" w:name="_Toc382906726"/>
      <w:bookmarkEnd w:id="199"/>
      <w:bookmarkEnd w:id="200"/>
      <w:r>
        <w:t>T</w:t>
      </w:r>
      <w:r w:rsidRPr="00082421">
        <w:t>he Canadian Agency for Drugs and Techno</w:t>
      </w:r>
      <w:r>
        <w:t xml:space="preserve">logies in Health (CADTH) </w:t>
      </w:r>
      <w:r w:rsidR="009176B7">
        <w:t xml:space="preserve">pharmacotherapy recommendations were published in 2013, based on </w:t>
      </w:r>
      <w:r w:rsidRPr="00082421">
        <w:t>a systematic literature review and meta-analyses of type 2 diabetes medic</w:t>
      </w:r>
      <w:r>
        <w:t>ines</w:t>
      </w:r>
      <w:r w:rsidRPr="00082421">
        <w:t xml:space="preserve"> when used as second</w:t>
      </w:r>
      <w:r>
        <w:t xml:space="preserve"> </w:t>
      </w:r>
      <w:r w:rsidRPr="00082421">
        <w:t xml:space="preserve">line </w:t>
      </w:r>
      <w:r w:rsidR="00466D81">
        <w:t>and</w:t>
      </w:r>
      <w:r w:rsidRPr="00082421">
        <w:t xml:space="preserve"> third</w:t>
      </w:r>
      <w:r>
        <w:t xml:space="preserve"> </w:t>
      </w:r>
      <w:r w:rsidRPr="00082421">
        <w:t>line therapy.</w:t>
      </w:r>
      <w:r w:rsidR="0093455B" w:rsidRPr="00DF4210">
        <w:rPr>
          <w:vertAlign w:val="superscript"/>
        </w:rPr>
        <w:t>41</w:t>
      </w:r>
      <w:r w:rsidRPr="00082421">
        <w:t xml:space="preserve"> The clinical outcomes considered were HbA</w:t>
      </w:r>
      <w:r w:rsidRPr="00082421">
        <w:rPr>
          <w:vertAlign w:val="subscript"/>
        </w:rPr>
        <w:t>1c</w:t>
      </w:r>
      <w:r w:rsidRPr="00082421">
        <w:t xml:space="preserve">, body weight and hypoglycaemia, as the evidence was </w:t>
      </w:r>
      <w:r>
        <w:t xml:space="preserve">considered </w:t>
      </w:r>
      <w:r w:rsidRPr="00082421">
        <w:t xml:space="preserve">insufficient for other clinical outcomes. </w:t>
      </w:r>
      <w:r w:rsidR="009176B7">
        <w:t xml:space="preserve">CADTH </w:t>
      </w:r>
      <w:r w:rsidRPr="00082421">
        <w:t>considered the cost-effectiveness of the diff</w:t>
      </w:r>
      <w:r w:rsidR="009176B7">
        <w:t>erent medicine</w:t>
      </w:r>
      <w:r w:rsidRPr="00082421">
        <w:t xml:space="preserve">s to determine the clinical treatment algorithm. </w:t>
      </w:r>
    </w:p>
    <w:p w:rsidR="00AA435C" w:rsidRPr="00082421" w:rsidRDefault="009176B7" w:rsidP="00285BFF">
      <w:pPr>
        <w:pStyle w:val="BodyText1"/>
        <w:rPr>
          <w:lang w:val="en-GB"/>
        </w:rPr>
      </w:pPr>
      <w:r>
        <w:t>CADTH recommends metformin f</w:t>
      </w:r>
      <w:r w:rsidR="00AA435C" w:rsidRPr="00082421">
        <w:t xml:space="preserve">or first line treatment, </w:t>
      </w:r>
      <w:r>
        <w:t xml:space="preserve">followed by the addition of </w:t>
      </w:r>
      <w:r w:rsidR="00AA435C" w:rsidRPr="00082421">
        <w:rPr>
          <w:lang w:val="en-GB"/>
        </w:rPr>
        <w:t>a sulfonylurea for most adults</w:t>
      </w:r>
      <w:r w:rsidR="00466D81">
        <w:rPr>
          <w:lang w:val="en-GB"/>
        </w:rPr>
        <w:t xml:space="preserve"> as second line therapy, and the addition of insulin NPH to Metformin + sulfonylurea as third line therapy</w:t>
      </w:r>
      <w:r w:rsidR="00AA435C" w:rsidRPr="00082421">
        <w:rPr>
          <w:lang w:val="en-GB"/>
        </w:rPr>
        <w:t>. The r</w:t>
      </w:r>
      <w:r w:rsidR="00466D81">
        <w:rPr>
          <w:lang w:val="en-GB"/>
        </w:rPr>
        <w:t>easons for these</w:t>
      </w:r>
      <w:r>
        <w:rPr>
          <w:lang w:val="en-GB"/>
        </w:rPr>
        <w:t xml:space="preserve"> recommendation</w:t>
      </w:r>
      <w:r w:rsidR="00466D81">
        <w:rPr>
          <w:lang w:val="en-GB"/>
        </w:rPr>
        <w:t>s</w:t>
      </w:r>
      <w:r>
        <w:rPr>
          <w:lang w:val="en-GB"/>
        </w:rPr>
        <w:t xml:space="preserve"> we</w:t>
      </w:r>
      <w:r w:rsidR="00AA435C" w:rsidRPr="00082421">
        <w:rPr>
          <w:lang w:val="en-GB"/>
        </w:rPr>
        <w:t xml:space="preserve">re: </w:t>
      </w:r>
    </w:p>
    <w:p w:rsidR="009176B7" w:rsidRDefault="00AA435C" w:rsidP="00285BFF">
      <w:pPr>
        <w:pStyle w:val="BodyText1"/>
        <w:widowControl w:val="0"/>
        <w:numPr>
          <w:ilvl w:val="0"/>
          <w:numId w:val="19"/>
        </w:numPr>
        <w:ind w:left="714" w:hanging="357"/>
        <w:rPr>
          <w:lang w:val="en-GB"/>
        </w:rPr>
      </w:pPr>
      <w:r w:rsidRPr="00082421">
        <w:rPr>
          <w:lang w:val="en-GB"/>
        </w:rPr>
        <w:t xml:space="preserve">All of the </w:t>
      </w:r>
      <w:r>
        <w:rPr>
          <w:lang w:val="en-GB"/>
        </w:rPr>
        <w:t>medicine</w:t>
      </w:r>
      <w:r w:rsidRPr="00082421">
        <w:rPr>
          <w:lang w:val="en-GB"/>
        </w:rPr>
        <w:t xml:space="preserve"> classes demonstrated similar improvements in </w:t>
      </w:r>
      <w:r w:rsidRPr="00082421">
        <w:t>HbA</w:t>
      </w:r>
      <w:r w:rsidRPr="00082421">
        <w:rPr>
          <w:vertAlign w:val="subscript"/>
        </w:rPr>
        <w:t>1c</w:t>
      </w:r>
      <w:r w:rsidR="00466D81">
        <w:rPr>
          <w:vertAlign w:val="subscript"/>
        </w:rPr>
        <w:t xml:space="preserve"> </w:t>
      </w:r>
      <w:r w:rsidR="00466D81">
        <w:t>in both the second and third line network meta-analyses (</w:t>
      </w:r>
      <w:r w:rsidR="00466D81" w:rsidRPr="00082421">
        <w:rPr>
          <w:lang w:val="en-GB"/>
        </w:rPr>
        <w:t>with the exception of alpha-</w:t>
      </w:r>
      <w:r w:rsidR="00466D81" w:rsidRPr="00082421">
        <w:rPr>
          <w:lang w:val="en-GB"/>
        </w:rPr>
        <w:lastRenderedPageBreak/>
        <w:t>glucosidase inhibitors and meglitinides</w:t>
      </w:r>
      <w:r w:rsidR="00466D81">
        <w:rPr>
          <w:lang w:val="en-GB"/>
        </w:rPr>
        <w:t xml:space="preserve"> in third line therapy)</w:t>
      </w:r>
      <w:r w:rsidR="009176B7">
        <w:rPr>
          <w:lang w:val="en-GB"/>
        </w:rPr>
        <w:t>.</w:t>
      </w:r>
    </w:p>
    <w:p w:rsidR="00AA435C" w:rsidRPr="00082421" w:rsidRDefault="00AA435C" w:rsidP="00285BFF">
      <w:pPr>
        <w:pStyle w:val="BodyText1"/>
        <w:widowControl w:val="0"/>
        <w:numPr>
          <w:ilvl w:val="0"/>
          <w:numId w:val="19"/>
        </w:numPr>
        <w:ind w:left="714" w:hanging="357"/>
        <w:rPr>
          <w:lang w:val="en-GB"/>
        </w:rPr>
      </w:pPr>
      <w:r w:rsidRPr="00082421">
        <w:rPr>
          <w:lang w:val="en-GB"/>
        </w:rPr>
        <w:t xml:space="preserve">Sulfonylureas </w:t>
      </w:r>
      <w:r w:rsidR="00466D81">
        <w:rPr>
          <w:lang w:val="en-GB"/>
        </w:rPr>
        <w:t xml:space="preserve">and insulin NPH </w:t>
      </w:r>
      <w:r w:rsidRPr="00082421">
        <w:rPr>
          <w:lang w:val="en-GB"/>
        </w:rPr>
        <w:t xml:space="preserve">were the most </w:t>
      </w:r>
      <w:r w:rsidR="009176B7">
        <w:rPr>
          <w:lang w:val="en-GB"/>
        </w:rPr>
        <w:t>cost-effective treatment option</w:t>
      </w:r>
      <w:r w:rsidR="00466D81">
        <w:rPr>
          <w:lang w:val="en-GB"/>
        </w:rPr>
        <w:t>s</w:t>
      </w:r>
      <w:r w:rsidRPr="00082421">
        <w:rPr>
          <w:lang w:val="en-GB"/>
        </w:rPr>
        <w:t xml:space="preserve">. </w:t>
      </w:r>
    </w:p>
    <w:p w:rsidR="00AA435C" w:rsidRPr="00082421" w:rsidRDefault="00AA435C" w:rsidP="00285BFF">
      <w:pPr>
        <w:pStyle w:val="BodyText1"/>
        <w:widowControl w:val="0"/>
        <w:numPr>
          <w:ilvl w:val="0"/>
          <w:numId w:val="19"/>
        </w:numPr>
        <w:ind w:left="714" w:hanging="357"/>
        <w:rPr>
          <w:lang w:val="en-GB"/>
        </w:rPr>
      </w:pPr>
      <w:r w:rsidRPr="00082421">
        <w:rPr>
          <w:lang w:val="en-GB"/>
        </w:rPr>
        <w:t xml:space="preserve">There are considerably more </w:t>
      </w:r>
      <w:r w:rsidR="00A26D2D">
        <w:rPr>
          <w:lang w:val="en-GB"/>
        </w:rPr>
        <w:t>long term</w:t>
      </w:r>
      <w:r w:rsidRPr="00082421">
        <w:rPr>
          <w:lang w:val="en-GB"/>
        </w:rPr>
        <w:t xml:space="preserve"> safety data for sulfonylureas</w:t>
      </w:r>
      <w:r w:rsidR="00466D81">
        <w:rPr>
          <w:lang w:val="en-GB"/>
        </w:rPr>
        <w:t xml:space="preserve"> and insulin NHP</w:t>
      </w:r>
      <w:r w:rsidRPr="00082421">
        <w:rPr>
          <w:lang w:val="en-GB"/>
        </w:rPr>
        <w:t xml:space="preserve"> compared to </w:t>
      </w:r>
      <w:r>
        <w:rPr>
          <w:lang w:val="en-GB"/>
        </w:rPr>
        <w:t>medicine</w:t>
      </w:r>
      <w:r w:rsidRPr="00082421">
        <w:rPr>
          <w:lang w:val="en-GB"/>
        </w:rPr>
        <w:t xml:space="preserve">s from the newer classes. </w:t>
      </w:r>
    </w:p>
    <w:p w:rsidR="00AA435C" w:rsidRPr="00082421" w:rsidRDefault="00466D81" w:rsidP="00285BFF">
      <w:pPr>
        <w:pStyle w:val="BodyText1"/>
        <w:rPr>
          <w:lang w:val="en-GB"/>
        </w:rPr>
      </w:pPr>
      <w:r>
        <w:rPr>
          <w:lang w:val="en-GB"/>
        </w:rPr>
        <w:t xml:space="preserve">Based on </w:t>
      </w:r>
      <w:r w:rsidRPr="00082421">
        <w:rPr>
          <w:lang w:val="en-GB"/>
        </w:rPr>
        <w:t>cost-effective</w:t>
      </w:r>
      <w:r>
        <w:rPr>
          <w:lang w:val="en-GB"/>
        </w:rPr>
        <w:t>ness,</w:t>
      </w:r>
      <w:r w:rsidRPr="00082421">
        <w:rPr>
          <w:lang w:val="en-GB"/>
        </w:rPr>
        <w:t xml:space="preserve"> </w:t>
      </w:r>
      <w:r w:rsidR="00AA435C" w:rsidRPr="00082421">
        <w:rPr>
          <w:lang w:val="en-GB"/>
        </w:rPr>
        <w:t xml:space="preserve">CADTH </w:t>
      </w:r>
      <w:r>
        <w:rPr>
          <w:lang w:val="en-GB"/>
        </w:rPr>
        <w:t xml:space="preserve">recommends </w:t>
      </w:r>
      <w:r w:rsidR="00AA435C" w:rsidRPr="00082421">
        <w:rPr>
          <w:lang w:val="en-GB"/>
        </w:rPr>
        <w:t>that if insulin is not a suitable third</w:t>
      </w:r>
      <w:r w:rsidR="00AA435C">
        <w:rPr>
          <w:lang w:val="en-GB"/>
        </w:rPr>
        <w:t xml:space="preserve"> </w:t>
      </w:r>
      <w:r w:rsidR="00AA435C" w:rsidRPr="00082421">
        <w:rPr>
          <w:lang w:val="en-GB"/>
        </w:rPr>
        <w:t>line option, DPP-4 inhibitors may be added to metf</w:t>
      </w:r>
      <w:r w:rsidR="009176B7">
        <w:rPr>
          <w:lang w:val="en-GB"/>
        </w:rPr>
        <w:t>ormin +</w:t>
      </w:r>
      <w:r>
        <w:rPr>
          <w:lang w:val="en-GB"/>
        </w:rPr>
        <w:t xml:space="preserve"> sulfonylurea therapy</w:t>
      </w:r>
      <w:r w:rsidR="00AA435C" w:rsidRPr="00082421">
        <w:rPr>
          <w:lang w:val="en-GB"/>
        </w:rPr>
        <w:t xml:space="preserve">. </w:t>
      </w:r>
      <w:r w:rsidR="009176B7">
        <w:rPr>
          <w:lang w:val="en-GB"/>
        </w:rPr>
        <w:t>C</w:t>
      </w:r>
      <w:r w:rsidR="00AA435C" w:rsidRPr="00082421">
        <w:rPr>
          <w:lang w:val="en-GB"/>
        </w:rPr>
        <w:t>ost</w:t>
      </w:r>
      <w:r w:rsidR="00AA435C">
        <w:rPr>
          <w:lang w:val="en-GB"/>
        </w:rPr>
        <w:t>-</w:t>
      </w:r>
      <w:r w:rsidR="00AA435C" w:rsidRPr="00082421">
        <w:rPr>
          <w:lang w:val="en-GB"/>
        </w:rPr>
        <w:t xml:space="preserve">effectiveness </w:t>
      </w:r>
      <w:r w:rsidR="000C37CA">
        <w:rPr>
          <w:lang w:val="en-GB"/>
        </w:rPr>
        <w:t xml:space="preserve">considerations </w:t>
      </w:r>
      <w:r w:rsidR="00AA435C" w:rsidRPr="00082421">
        <w:rPr>
          <w:lang w:val="en-GB"/>
        </w:rPr>
        <w:t>in the Canadian system may not be transferable t</w:t>
      </w:r>
      <w:r w:rsidR="009176B7">
        <w:rPr>
          <w:lang w:val="en-GB"/>
        </w:rPr>
        <w:t>o the Australian system due to d</w:t>
      </w:r>
      <w:r w:rsidR="00AA435C" w:rsidRPr="00082421">
        <w:rPr>
          <w:lang w:val="en-GB"/>
        </w:rPr>
        <w:t xml:space="preserve">ifferences in </w:t>
      </w:r>
      <w:r w:rsidR="009176B7">
        <w:rPr>
          <w:lang w:val="en-GB"/>
        </w:rPr>
        <w:t xml:space="preserve">medicine costs, </w:t>
      </w:r>
      <w:r w:rsidR="00AA435C" w:rsidRPr="00082421">
        <w:rPr>
          <w:lang w:val="en-GB"/>
        </w:rPr>
        <w:t xml:space="preserve">treatment practices </w:t>
      </w:r>
      <w:r w:rsidR="009176B7">
        <w:rPr>
          <w:lang w:val="en-GB"/>
        </w:rPr>
        <w:t xml:space="preserve">and costs associated with </w:t>
      </w:r>
      <w:r>
        <w:rPr>
          <w:lang w:val="en-GB"/>
        </w:rPr>
        <w:t>macrovascular</w:t>
      </w:r>
      <w:r w:rsidR="00AA435C" w:rsidRPr="00082421">
        <w:rPr>
          <w:lang w:val="en-GB"/>
        </w:rPr>
        <w:t xml:space="preserve"> and microvascular events. </w:t>
      </w:r>
    </w:p>
    <w:p w:rsidR="00AA435C" w:rsidRDefault="00497721" w:rsidP="00492694">
      <w:pPr>
        <w:pStyle w:val="Heading4"/>
      </w:pPr>
      <w:r>
        <w:t>2.7.3.2  England and Wales</w:t>
      </w:r>
    </w:p>
    <w:p w:rsidR="00497721" w:rsidRDefault="00497721" w:rsidP="00492694">
      <w:pPr>
        <w:pStyle w:val="BodyText1"/>
      </w:pPr>
      <w:r w:rsidRPr="00082421">
        <w:t>The National Institute for Healt</w:t>
      </w:r>
      <w:r w:rsidR="00F54D61">
        <w:t>h and Care Excellence (NICE)</w:t>
      </w:r>
      <w:r w:rsidRPr="00082421">
        <w:t xml:space="preserve"> published</w:t>
      </w:r>
      <w:r>
        <w:t xml:space="preserve"> a</w:t>
      </w:r>
      <w:r w:rsidRPr="00082421">
        <w:t xml:space="preserve"> guideline on the treatment of type 2 diabetes</w:t>
      </w:r>
      <w:r w:rsidR="00F54D61">
        <w:t xml:space="preserve"> in 2009</w:t>
      </w:r>
      <w:r w:rsidRPr="00082421">
        <w:t>.</w:t>
      </w:r>
      <w:r w:rsidR="0093455B" w:rsidRPr="00DF4210">
        <w:rPr>
          <w:vertAlign w:val="superscript"/>
        </w:rPr>
        <w:t>42</w:t>
      </w:r>
      <w:r w:rsidRPr="00082421">
        <w:t xml:space="preserve"> The </w:t>
      </w:r>
      <w:r w:rsidR="00F54D61">
        <w:t xml:space="preserve">guideline specifically considered the use of newer agents including </w:t>
      </w:r>
      <w:r w:rsidRPr="00082421">
        <w:t xml:space="preserve">DPP-4 inhibitors, </w:t>
      </w:r>
      <w:r>
        <w:t>TZD</w:t>
      </w:r>
      <w:r w:rsidRPr="00082421">
        <w:t xml:space="preserve">s, </w:t>
      </w:r>
      <w:r w:rsidR="00F36A55">
        <w:t>exenatide</w:t>
      </w:r>
      <w:r w:rsidRPr="00082421">
        <w:t xml:space="preserve"> and injectable long-acting insulin analogues (insulin detemir and insulin glargine).</w:t>
      </w:r>
      <w:r w:rsidR="00F36A55">
        <w:t xml:space="preserve"> </w:t>
      </w:r>
      <w:r w:rsidRPr="00082421">
        <w:t xml:space="preserve">The guideline </w:t>
      </w:r>
      <w:r>
        <w:t>is</w:t>
      </w:r>
      <w:r w:rsidRPr="00082421">
        <w:t xml:space="preserve"> based on clinical and cost-effectiveness</w:t>
      </w:r>
      <w:r>
        <w:t xml:space="preserve"> outcomes</w:t>
      </w:r>
      <w:r w:rsidRPr="00082421">
        <w:t xml:space="preserve">. The treatment targets </w:t>
      </w:r>
      <w:r>
        <w:t>for</w:t>
      </w:r>
      <w:r w:rsidRPr="00082421">
        <w:t xml:space="preserve"> HbA</w:t>
      </w:r>
      <w:r w:rsidRPr="00082421">
        <w:rPr>
          <w:vertAlign w:val="subscript"/>
        </w:rPr>
        <w:t>1c</w:t>
      </w:r>
      <w:r w:rsidRPr="00082421">
        <w:t xml:space="preserve"> are 6.5% </w:t>
      </w:r>
      <w:r>
        <w:t xml:space="preserve">(48 mmol/mol) </w:t>
      </w:r>
      <w:r w:rsidRPr="00082421">
        <w:t xml:space="preserve">for people on one glucose-lowering </w:t>
      </w:r>
      <w:r>
        <w:t>medicine</w:t>
      </w:r>
      <w:r w:rsidRPr="00082421">
        <w:t xml:space="preserve"> and 7.5% </w:t>
      </w:r>
      <w:r>
        <w:t xml:space="preserve">(53 mmol/mol) </w:t>
      </w:r>
      <w:r w:rsidRPr="00082421">
        <w:t xml:space="preserve">for people on two or more </w:t>
      </w:r>
      <w:r>
        <w:t>medicine</w:t>
      </w:r>
      <w:r w:rsidRPr="00082421">
        <w:t xml:space="preserve">s. </w:t>
      </w:r>
    </w:p>
    <w:p w:rsidR="00497721" w:rsidRPr="00082421" w:rsidRDefault="00497721" w:rsidP="00492694">
      <w:pPr>
        <w:pStyle w:val="BodyText1"/>
      </w:pPr>
      <w:r w:rsidRPr="00082421">
        <w:t>Metformin is the preferred first line treatment</w:t>
      </w:r>
      <w:r w:rsidR="00C82935">
        <w:t xml:space="preserve"> in this guideline</w:t>
      </w:r>
      <w:r w:rsidRPr="00082421">
        <w:t xml:space="preserve">, with sulfonylurea as an alternative if metformin is </w:t>
      </w:r>
      <w:r w:rsidR="00F36A55">
        <w:t xml:space="preserve">contraindicated or </w:t>
      </w:r>
      <w:r w:rsidRPr="00082421">
        <w:t>not tolerated, the patient is not overweight</w:t>
      </w:r>
      <w:r w:rsidR="00F36A55">
        <w:t>,</w:t>
      </w:r>
      <w:r w:rsidRPr="00082421">
        <w:t xml:space="preserve"> or a rapid therapeutic response is required due to hyperglycaemic symptoms. The preferred secon</w:t>
      </w:r>
      <w:r w:rsidR="00F36A55">
        <w:t>d line therapy is to add a</w:t>
      </w:r>
      <w:r w:rsidRPr="00082421">
        <w:t xml:space="preserve"> sulfonylurea. Alternative therapies are DPP-4 inhibitors</w:t>
      </w:r>
      <w:r w:rsidR="00F36A55">
        <w:t xml:space="preserve"> and TZDs if a sulfonylurea is contraindicated, not tolerated, or there is a significant ris</w:t>
      </w:r>
      <w:r w:rsidR="000C37CA">
        <w:t>k of hypoglycaemia or hypogylcaemic</w:t>
      </w:r>
      <w:r w:rsidR="00F36A55">
        <w:t xml:space="preserve"> consequences</w:t>
      </w:r>
      <w:r w:rsidRPr="00082421">
        <w:t xml:space="preserve">. </w:t>
      </w:r>
    </w:p>
    <w:p w:rsidR="00497721" w:rsidRPr="00082421" w:rsidRDefault="00497721" w:rsidP="00492694">
      <w:pPr>
        <w:pStyle w:val="BodyText1"/>
      </w:pPr>
      <w:r w:rsidRPr="00082421">
        <w:t xml:space="preserve">The preferred third line therapy </w:t>
      </w:r>
      <w:r w:rsidR="00C82935">
        <w:t xml:space="preserve">in the guideline </w:t>
      </w:r>
      <w:r w:rsidRPr="00082421">
        <w:t>is</w:t>
      </w:r>
      <w:r w:rsidR="001007D0">
        <w:t xml:space="preserve"> addition of</w:t>
      </w:r>
      <w:r w:rsidRPr="00082421">
        <w:t xml:space="preserve"> insulin</w:t>
      </w:r>
      <w:r w:rsidR="00F36A55">
        <w:t>. Alternative treatments</w:t>
      </w:r>
      <w:r w:rsidRPr="00082421">
        <w:t xml:space="preserve"> include </w:t>
      </w:r>
      <w:r w:rsidR="00F36A55">
        <w:t xml:space="preserve">triple therapy with </w:t>
      </w:r>
      <w:r w:rsidRPr="00082421">
        <w:t xml:space="preserve">metformin </w:t>
      </w:r>
      <w:r>
        <w:t>+</w:t>
      </w:r>
      <w:r w:rsidRPr="00082421">
        <w:t xml:space="preserve"> sulfonylurea </w:t>
      </w:r>
      <w:r>
        <w:t>+</w:t>
      </w:r>
      <w:r w:rsidRPr="00082421">
        <w:t xml:space="preserve"> DDP-4 inhibitor, </w:t>
      </w:r>
      <w:r>
        <w:t xml:space="preserve">TZD </w:t>
      </w:r>
      <w:r w:rsidRPr="00082421">
        <w:t xml:space="preserve">or GLP-1 receptor agonist. </w:t>
      </w:r>
      <w:r w:rsidR="001007D0">
        <w:t>Again, cost-effectiveness considerations may not be transferable to the Australian system.</w:t>
      </w:r>
    </w:p>
    <w:p w:rsidR="00497721" w:rsidRDefault="00F45C6B" w:rsidP="00492694">
      <w:pPr>
        <w:pStyle w:val="Heading4"/>
      </w:pPr>
      <w:r>
        <w:t>2.7.3.3  New Zealand</w:t>
      </w:r>
    </w:p>
    <w:p w:rsidR="00DC0A34" w:rsidRPr="00082421" w:rsidRDefault="00DC0A34" w:rsidP="00492694">
      <w:pPr>
        <w:pStyle w:val="BodyText1"/>
      </w:pPr>
      <w:r w:rsidRPr="00082421">
        <w:t xml:space="preserve">The New Zealand </w:t>
      </w:r>
      <w:r>
        <w:t>‘G</w:t>
      </w:r>
      <w:r w:rsidRPr="00082421">
        <w:t>uidance on the management of type 2 diabetes</w:t>
      </w:r>
      <w:r>
        <w:t>’</w:t>
      </w:r>
      <w:r w:rsidRPr="00082421">
        <w:t xml:space="preserve"> was published in 2011</w:t>
      </w:r>
      <w:r w:rsidR="00A556C4">
        <w:t>, and has since been incorporated into the ‘New Zealand Primary Care Handbook 2012’.</w:t>
      </w:r>
      <w:r w:rsidR="0093455B" w:rsidRPr="0093455B">
        <w:rPr>
          <w:vertAlign w:val="superscript"/>
        </w:rPr>
        <w:t>43</w:t>
      </w:r>
      <w:r w:rsidRPr="00DC0A34">
        <w:t xml:space="preserve"> </w:t>
      </w:r>
      <w:r w:rsidRPr="00082421">
        <w:t>The guid</w:t>
      </w:r>
      <w:r>
        <w:t>eline</w:t>
      </w:r>
      <w:r w:rsidR="009F7D10">
        <w:t xml:space="preserve"> draws</w:t>
      </w:r>
      <w:r w:rsidRPr="00082421">
        <w:t xml:space="preserve"> on the </w:t>
      </w:r>
      <w:r w:rsidR="00A556C4">
        <w:t>SIGN</w:t>
      </w:r>
      <w:r w:rsidR="009F7D10">
        <w:t xml:space="preserve"> guideline</w:t>
      </w:r>
      <w:r w:rsidR="00A556C4">
        <w:t>,</w:t>
      </w:r>
      <w:r w:rsidR="0093455B" w:rsidRPr="0093455B">
        <w:rPr>
          <w:vertAlign w:val="superscript"/>
        </w:rPr>
        <w:t>40</w:t>
      </w:r>
      <w:r w:rsidR="00A556C4">
        <w:t xml:space="preserve"> </w:t>
      </w:r>
      <w:r w:rsidRPr="00082421">
        <w:t xml:space="preserve">which was assessed as being of appropriate quality and relevance to New Zealand. The </w:t>
      </w:r>
      <w:r w:rsidR="00A556C4">
        <w:t xml:space="preserve">guideline recommends that </w:t>
      </w:r>
      <w:r w:rsidRPr="00082421">
        <w:t>treatment target</w:t>
      </w:r>
      <w:r w:rsidR="00A556C4">
        <w:t>s s</w:t>
      </w:r>
      <w:r w:rsidRPr="00082421">
        <w:t>hould be appropr</w:t>
      </w:r>
      <w:r w:rsidR="009F7D10">
        <w:t xml:space="preserve">iate </w:t>
      </w:r>
      <w:r w:rsidR="00A556C4">
        <w:t xml:space="preserve">for the individual patient, with a </w:t>
      </w:r>
      <w:r w:rsidRPr="00082421">
        <w:t>HbA</w:t>
      </w:r>
      <w:r w:rsidR="00A556C4">
        <w:rPr>
          <w:vertAlign w:val="subscript"/>
        </w:rPr>
        <w:t>1c</w:t>
      </w:r>
      <w:r w:rsidRPr="00082421">
        <w:t xml:space="preserve"> </w:t>
      </w:r>
      <w:r w:rsidR="00A556C4">
        <w:t xml:space="preserve">target </w:t>
      </w:r>
      <w:r w:rsidRPr="00082421">
        <w:t>of 50 - 55 mmo</w:t>
      </w:r>
      <w:r w:rsidR="00A556C4">
        <w:t>l/mol or as individually agreed. Blood pressure and lipid targets are also provided.</w:t>
      </w:r>
    </w:p>
    <w:p w:rsidR="00DC0A34" w:rsidRDefault="00A556C4" w:rsidP="00492694">
      <w:pPr>
        <w:pStyle w:val="BodyText1"/>
      </w:pPr>
      <w:r w:rsidRPr="00082421">
        <w:t xml:space="preserve">The </w:t>
      </w:r>
      <w:r>
        <w:t xml:space="preserve">guideline </w:t>
      </w:r>
      <w:r w:rsidRPr="00082421">
        <w:t xml:space="preserve">emphasises the value of using </w:t>
      </w:r>
      <w:r w:rsidR="009F7D10">
        <w:t xml:space="preserve">medicines </w:t>
      </w:r>
      <w:r w:rsidR="00587CA8">
        <w:t xml:space="preserve">with </w:t>
      </w:r>
      <w:r w:rsidR="001007D0">
        <w:t xml:space="preserve">clincial </w:t>
      </w:r>
      <w:r w:rsidR="00C21D5B">
        <w:t xml:space="preserve">data on </w:t>
      </w:r>
      <w:r w:rsidR="00A26D2D">
        <w:t>long term</w:t>
      </w:r>
      <w:r w:rsidR="00587CA8">
        <w:t xml:space="preserve"> safety</w:t>
      </w:r>
      <w:r w:rsidR="00C21D5B">
        <w:t xml:space="preserve"> and effectiveness, including macrovascular and microvascular outcomes</w:t>
      </w:r>
      <w:r w:rsidRPr="00082421">
        <w:t xml:space="preserve">, such as </w:t>
      </w:r>
      <w:r w:rsidRPr="00082421">
        <w:lastRenderedPageBreak/>
        <w:t>metformin</w:t>
      </w:r>
      <w:r>
        <w:t xml:space="preserve">, </w:t>
      </w:r>
      <w:r w:rsidRPr="00082421">
        <w:t xml:space="preserve">sulfonylureas and insulin. </w:t>
      </w:r>
      <w:r w:rsidR="00C05C41">
        <w:t xml:space="preserve">First line pharmacotherapy is metformin, or </w:t>
      </w:r>
      <w:r w:rsidR="00C21D5B">
        <w:t xml:space="preserve">a </w:t>
      </w:r>
      <w:r w:rsidR="00C05C41">
        <w:t>sulfonylurea if metformin is contraindicated or not tolerated. Second line therapy involves</w:t>
      </w:r>
      <w:r w:rsidR="00587CA8">
        <w:t xml:space="preserve"> the addition of a sulfon</w:t>
      </w:r>
      <w:r w:rsidR="001007D0">
        <w:t>ylurea, and third line therapy, the addition of</w:t>
      </w:r>
      <w:r w:rsidR="00587CA8">
        <w:t xml:space="preserve"> insulin. DPP-4 inhibitors may be used as an alternative second or third line therapy, and GLP-1 receptor agonists may be used as an alternative third line treatment, but neither</w:t>
      </w:r>
      <w:r w:rsidR="00C21D5B">
        <w:t xml:space="preserve"> </w:t>
      </w:r>
      <w:r w:rsidR="00587CA8">
        <w:t>of these are funded by the New Zealand Pharmaceutical Management Agency (PHARMAC).</w:t>
      </w:r>
      <w:r w:rsidR="00C21D5B">
        <w:t xml:space="preserve"> </w:t>
      </w:r>
    </w:p>
    <w:p w:rsidR="00F45C6B" w:rsidRPr="00497721" w:rsidRDefault="00F45C6B" w:rsidP="00492694">
      <w:pPr>
        <w:pStyle w:val="Heading4"/>
      </w:pPr>
      <w:r>
        <w:t>2.7.3.4  USA</w:t>
      </w:r>
    </w:p>
    <w:p w:rsidR="00673365" w:rsidRDefault="00316BD9" w:rsidP="00492694">
      <w:pPr>
        <w:pStyle w:val="Heading5"/>
      </w:pPr>
      <w:r>
        <w:t>American College of Physicians</w:t>
      </w:r>
      <w:r w:rsidR="00D321D6">
        <w:t xml:space="preserve"> – 2012</w:t>
      </w:r>
    </w:p>
    <w:p w:rsidR="00D321D6" w:rsidRPr="00082421" w:rsidRDefault="00D321D6" w:rsidP="00492694">
      <w:pPr>
        <w:pStyle w:val="BodyText1"/>
        <w:rPr>
          <w:lang w:val="en-GB"/>
        </w:rPr>
      </w:pPr>
      <w:r w:rsidRPr="00082421">
        <w:rPr>
          <w:lang w:val="en-GB"/>
        </w:rPr>
        <w:t>The American College of Physicians</w:t>
      </w:r>
      <w:r w:rsidR="00205FD7">
        <w:rPr>
          <w:lang w:val="en-GB"/>
        </w:rPr>
        <w:t>’</w:t>
      </w:r>
      <w:r w:rsidRPr="00082421">
        <w:rPr>
          <w:lang w:val="en-GB"/>
        </w:rPr>
        <w:t xml:space="preserve"> </w:t>
      </w:r>
      <w:r w:rsidR="00205FD7">
        <w:rPr>
          <w:lang w:val="en-GB"/>
        </w:rPr>
        <w:t xml:space="preserve">guideline recommends </w:t>
      </w:r>
      <w:r w:rsidR="00205FD7" w:rsidRPr="00082421">
        <w:rPr>
          <w:lang w:val="en-GB"/>
        </w:rPr>
        <w:t>metformin monotherapy</w:t>
      </w:r>
      <w:r w:rsidR="00205FD7">
        <w:rPr>
          <w:lang w:val="en-GB"/>
        </w:rPr>
        <w:t xml:space="preserve"> as </w:t>
      </w:r>
      <w:r w:rsidR="00205FD7" w:rsidRPr="00082421">
        <w:rPr>
          <w:lang w:val="en-GB"/>
        </w:rPr>
        <w:t xml:space="preserve">first line </w:t>
      </w:r>
      <w:r w:rsidR="00205FD7">
        <w:rPr>
          <w:lang w:val="en-GB"/>
        </w:rPr>
        <w:t xml:space="preserve">pharmacotherapy </w:t>
      </w:r>
      <w:r w:rsidR="00205FD7" w:rsidRPr="00082421">
        <w:rPr>
          <w:lang w:val="en-GB"/>
        </w:rPr>
        <w:t>when lifestyle modifications are not effective in improving hyperglycaemia</w:t>
      </w:r>
      <w:r>
        <w:rPr>
          <w:lang w:val="en-GB"/>
        </w:rPr>
        <w:t>.</w:t>
      </w:r>
      <w:r w:rsidR="0093455B" w:rsidRPr="0093455B">
        <w:rPr>
          <w:vertAlign w:val="superscript"/>
          <w:lang w:val="en-GB"/>
        </w:rPr>
        <w:t>44</w:t>
      </w:r>
      <w:r w:rsidR="00205FD7">
        <w:rPr>
          <w:lang w:val="en-GB"/>
        </w:rPr>
        <w:t xml:space="preserve"> The guideline does not recommend</w:t>
      </w:r>
      <w:r w:rsidRPr="00082421">
        <w:rPr>
          <w:lang w:val="en-GB"/>
        </w:rPr>
        <w:t xml:space="preserve"> </w:t>
      </w:r>
      <w:r w:rsidR="00205FD7">
        <w:rPr>
          <w:lang w:val="en-GB"/>
        </w:rPr>
        <w:t xml:space="preserve">a </w:t>
      </w:r>
      <w:r w:rsidRPr="00082421">
        <w:rPr>
          <w:lang w:val="en-GB"/>
        </w:rPr>
        <w:t>preferred second line therapy</w:t>
      </w:r>
      <w:r w:rsidR="00205FD7">
        <w:rPr>
          <w:lang w:val="en-GB"/>
        </w:rPr>
        <w:t xml:space="preserve"> to add to metformin</w:t>
      </w:r>
      <w:r w:rsidRPr="00082421">
        <w:rPr>
          <w:lang w:val="en-GB"/>
        </w:rPr>
        <w:t xml:space="preserve">, </w:t>
      </w:r>
      <w:r w:rsidR="00205FD7">
        <w:rPr>
          <w:lang w:val="en-GB"/>
        </w:rPr>
        <w:t xml:space="preserve">due to a lack of </w:t>
      </w:r>
      <w:r w:rsidR="00BA4D2C">
        <w:rPr>
          <w:lang w:val="en-GB"/>
        </w:rPr>
        <w:t xml:space="preserve">strong </w:t>
      </w:r>
      <w:r w:rsidRPr="00082421">
        <w:rPr>
          <w:lang w:val="en-GB"/>
        </w:rPr>
        <w:t xml:space="preserve">evidence to support one therapy over another. </w:t>
      </w:r>
      <w:r w:rsidR="00205FD7">
        <w:rPr>
          <w:lang w:val="en-GB"/>
        </w:rPr>
        <w:t>G</w:t>
      </w:r>
      <w:r w:rsidRPr="00082421">
        <w:rPr>
          <w:lang w:val="en-GB"/>
        </w:rPr>
        <w:t xml:space="preserve">eneric sulfonylureas are </w:t>
      </w:r>
      <w:r w:rsidR="00205FD7">
        <w:rPr>
          <w:lang w:val="en-GB"/>
        </w:rPr>
        <w:t xml:space="preserve">considered </w:t>
      </w:r>
      <w:r w:rsidRPr="00082421">
        <w:rPr>
          <w:lang w:val="en-GB"/>
        </w:rPr>
        <w:t>the cheapest second</w:t>
      </w:r>
      <w:r>
        <w:rPr>
          <w:lang w:val="en-GB"/>
        </w:rPr>
        <w:t xml:space="preserve"> </w:t>
      </w:r>
      <w:r w:rsidRPr="00082421">
        <w:rPr>
          <w:lang w:val="en-GB"/>
        </w:rPr>
        <w:t xml:space="preserve">line therapy; however, </w:t>
      </w:r>
      <w:r w:rsidR="00C46038">
        <w:rPr>
          <w:lang w:val="en-GB"/>
        </w:rPr>
        <w:t xml:space="preserve">the guideline states that </w:t>
      </w:r>
      <w:r w:rsidRPr="00082421">
        <w:rPr>
          <w:lang w:val="en-GB"/>
        </w:rPr>
        <w:t xml:space="preserve">adverse effects are generally worse with combination therapies that include a sulfonylurea. </w:t>
      </w:r>
      <w:r w:rsidR="00C46038">
        <w:rPr>
          <w:lang w:val="en-GB"/>
        </w:rPr>
        <w:t>This guideline considers only oral agents.</w:t>
      </w:r>
    </w:p>
    <w:p w:rsidR="00D321D6" w:rsidRDefault="00D321D6" w:rsidP="001007D0">
      <w:pPr>
        <w:pStyle w:val="Heading5"/>
        <w:keepNext/>
        <w:keepLines/>
      </w:pPr>
      <w:r>
        <w:t>American Diabetes Association – 2014</w:t>
      </w:r>
    </w:p>
    <w:p w:rsidR="000832E9" w:rsidRPr="000832E9" w:rsidRDefault="00D321D6" w:rsidP="001007D0">
      <w:pPr>
        <w:pStyle w:val="BodyText1"/>
        <w:keepNext/>
        <w:keepLines/>
      </w:pPr>
      <w:r w:rsidRPr="00082421">
        <w:rPr>
          <w:lang w:val="en-GB"/>
        </w:rPr>
        <w:t xml:space="preserve">The </w:t>
      </w:r>
      <w:r w:rsidR="001007D0">
        <w:rPr>
          <w:lang w:val="en-GB"/>
        </w:rPr>
        <w:t>American Diabetes Association’s guideline recommends</w:t>
      </w:r>
      <w:r w:rsidR="00C46038" w:rsidRPr="00082421">
        <w:rPr>
          <w:lang w:val="en-GB"/>
        </w:rPr>
        <w:t xml:space="preserve"> </w:t>
      </w:r>
      <w:r w:rsidR="00C46038">
        <w:rPr>
          <w:lang w:val="en-GB"/>
        </w:rPr>
        <w:t xml:space="preserve">a </w:t>
      </w:r>
      <w:r w:rsidR="00C46038" w:rsidRPr="00082421">
        <w:rPr>
          <w:lang w:val="en-GB"/>
        </w:rPr>
        <w:t xml:space="preserve">target </w:t>
      </w:r>
      <w:r w:rsidR="00C46038" w:rsidRPr="00082421">
        <w:t>HbA</w:t>
      </w:r>
      <w:r w:rsidR="00C46038" w:rsidRPr="00082421">
        <w:rPr>
          <w:vertAlign w:val="subscript"/>
        </w:rPr>
        <w:t>1c</w:t>
      </w:r>
      <w:r w:rsidR="00C46038">
        <w:rPr>
          <w:lang w:val="en-GB"/>
        </w:rPr>
        <w:t xml:space="preserve"> of</w:t>
      </w:r>
      <w:r w:rsidR="00C46038" w:rsidRPr="00082421">
        <w:rPr>
          <w:lang w:val="en-GB"/>
        </w:rPr>
        <w:t xml:space="preserve"> &lt;7</w:t>
      </w:r>
      <w:r w:rsidR="00C46038">
        <w:rPr>
          <w:lang w:val="en-GB"/>
        </w:rPr>
        <w:t xml:space="preserve">% (53 mmol/mol) for most patients, with more stringent goals </w:t>
      </w:r>
      <w:r w:rsidR="00C46038" w:rsidRPr="00082421">
        <w:rPr>
          <w:lang w:val="en-GB"/>
        </w:rPr>
        <w:t>(such as &lt;6.5%</w:t>
      </w:r>
      <w:r w:rsidR="00C46038">
        <w:rPr>
          <w:lang w:val="en-GB"/>
        </w:rPr>
        <w:t>, 48 mmol/mol</w:t>
      </w:r>
      <w:r w:rsidR="00C46038" w:rsidRPr="00082421">
        <w:rPr>
          <w:lang w:val="en-GB"/>
        </w:rPr>
        <w:t>) for selected patients</w:t>
      </w:r>
      <w:r w:rsidR="00C46038">
        <w:rPr>
          <w:lang w:val="en-GB"/>
        </w:rPr>
        <w:t>.</w:t>
      </w:r>
      <w:r w:rsidR="0093455B" w:rsidRPr="0093455B">
        <w:rPr>
          <w:vertAlign w:val="superscript"/>
          <w:lang w:val="en-GB"/>
        </w:rPr>
        <w:t>45</w:t>
      </w:r>
      <w:r w:rsidRPr="00D321D6">
        <w:rPr>
          <w:lang w:val="en-GB"/>
        </w:rPr>
        <w:t xml:space="preserve"> </w:t>
      </w:r>
      <w:r w:rsidR="00C46038">
        <w:rPr>
          <w:lang w:val="en-GB"/>
        </w:rPr>
        <w:t>The guideline indicates that l</w:t>
      </w:r>
      <w:r w:rsidRPr="00082421">
        <w:rPr>
          <w:lang w:val="en-GB"/>
        </w:rPr>
        <w:t>ess stringent goals (e.g. &lt;8%</w:t>
      </w:r>
      <w:r>
        <w:rPr>
          <w:lang w:val="en-GB"/>
        </w:rPr>
        <w:t>, 64 mmol/mol</w:t>
      </w:r>
      <w:r w:rsidRPr="00082421">
        <w:rPr>
          <w:lang w:val="en-GB"/>
        </w:rPr>
        <w:t>) may be appropriate for patients with a history of severe hypoglycaemia, limited life expectancy, or other complications.</w:t>
      </w:r>
      <w:r>
        <w:rPr>
          <w:lang w:val="en-GB"/>
        </w:rPr>
        <w:t xml:space="preserve"> </w:t>
      </w:r>
      <w:r w:rsidR="000832E9" w:rsidRPr="00082421">
        <w:rPr>
          <w:lang w:val="en-GB"/>
        </w:rPr>
        <w:t xml:space="preserve">A patient-centred approach </w:t>
      </w:r>
      <w:r w:rsidR="000832E9">
        <w:rPr>
          <w:lang w:val="en-GB"/>
        </w:rPr>
        <w:t xml:space="preserve">is recommended to </w:t>
      </w:r>
      <w:r w:rsidR="000832E9" w:rsidRPr="00082421">
        <w:rPr>
          <w:lang w:val="en-GB"/>
        </w:rPr>
        <w:t xml:space="preserve">guide choice of pharmacological agents. Considerations include </w:t>
      </w:r>
      <w:r w:rsidR="000832E9" w:rsidRPr="000832E9">
        <w:t xml:space="preserve">efficacy, cost, potential side effects, effects on weight, comorbidities, hypoglycaemia risk, and patient preferences. </w:t>
      </w:r>
    </w:p>
    <w:p w:rsidR="00D321D6" w:rsidRPr="001D7947" w:rsidRDefault="00D321D6" w:rsidP="00492694">
      <w:pPr>
        <w:pStyle w:val="BodyText1"/>
        <w:rPr>
          <w:lang w:val="en-GB"/>
        </w:rPr>
      </w:pPr>
      <w:r>
        <w:rPr>
          <w:lang w:val="en-GB"/>
        </w:rPr>
        <w:t>Figure 2.</w:t>
      </w:r>
      <w:r w:rsidR="00C77036">
        <w:rPr>
          <w:lang w:val="en-GB"/>
        </w:rPr>
        <w:t>2</w:t>
      </w:r>
      <w:r>
        <w:rPr>
          <w:lang w:val="en-GB"/>
        </w:rPr>
        <w:t xml:space="preserve"> </w:t>
      </w:r>
      <w:r w:rsidRPr="00082421">
        <w:rPr>
          <w:lang w:val="en-GB"/>
        </w:rPr>
        <w:t xml:space="preserve">presents the treatment algorithm </w:t>
      </w:r>
      <w:r w:rsidR="000832E9">
        <w:rPr>
          <w:lang w:val="en-GB"/>
        </w:rPr>
        <w:t xml:space="preserve">developed </w:t>
      </w:r>
      <w:r w:rsidRPr="00082421">
        <w:rPr>
          <w:lang w:val="en-GB"/>
        </w:rPr>
        <w:t>by the American Diabetes Association. Metformin</w:t>
      </w:r>
      <w:r w:rsidR="000832E9">
        <w:rPr>
          <w:lang w:val="en-GB"/>
        </w:rPr>
        <w:t xml:space="preserve">, if not contraindicated and </w:t>
      </w:r>
      <w:r w:rsidRPr="00082421">
        <w:rPr>
          <w:lang w:val="en-GB"/>
        </w:rPr>
        <w:t xml:space="preserve">tolerated, is the preferred initial pharmacological agent. In newly diagnosed type 2 diabetic patients with markedly symptomatic and/or elevated blood glucose levels or </w:t>
      </w:r>
      <w:r w:rsidRPr="00082421">
        <w:t>HbA</w:t>
      </w:r>
      <w:r w:rsidRPr="00082421">
        <w:rPr>
          <w:vertAlign w:val="subscript"/>
        </w:rPr>
        <w:t>1c</w:t>
      </w:r>
      <w:r w:rsidRPr="00082421">
        <w:rPr>
          <w:lang w:val="en-GB"/>
        </w:rPr>
        <w:t>, insulin, with or without additional agents,</w:t>
      </w:r>
      <w:r w:rsidR="000832E9">
        <w:rPr>
          <w:lang w:val="en-GB"/>
        </w:rPr>
        <w:t xml:space="preserve"> should be considered as initial therapy</w:t>
      </w:r>
      <w:r w:rsidRPr="00082421">
        <w:rPr>
          <w:lang w:val="en-GB"/>
        </w:rPr>
        <w:t xml:space="preserve">. </w:t>
      </w:r>
      <w:r w:rsidR="001D7947">
        <w:rPr>
          <w:lang w:val="en-GB"/>
        </w:rPr>
        <w:t>The guideline suggests that d</w:t>
      </w:r>
      <w:r w:rsidRPr="00082421">
        <w:rPr>
          <w:lang w:val="en-GB"/>
        </w:rPr>
        <w:t xml:space="preserve">ue to the progressive nature of type 2 diabetes, insulin therapy is eventually indicated for many patients. </w:t>
      </w:r>
    </w:p>
    <w:p w:rsidR="00D321D6" w:rsidRPr="00082421" w:rsidRDefault="00D321D6" w:rsidP="00492694">
      <w:pPr>
        <w:pStyle w:val="BodyText1"/>
        <w:rPr>
          <w:lang w:val="en-GB"/>
        </w:rPr>
      </w:pPr>
    </w:p>
    <w:p w:rsidR="00D321D6" w:rsidRPr="00D321D6" w:rsidRDefault="00C77036" w:rsidP="00646887">
      <w:pPr>
        <w:pStyle w:val="BodyText1"/>
        <w:keepNext/>
        <w:keepLines/>
      </w:pPr>
      <w:r>
        <w:rPr>
          <w:b/>
        </w:rPr>
        <w:t>Figure 2.2</w:t>
      </w:r>
      <w:r w:rsidR="00646887">
        <w:rPr>
          <w:b/>
        </w:rPr>
        <w:t>.</w:t>
      </w:r>
      <w:r w:rsidR="00D321D6" w:rsidRPr="00646887">
        <w:rPr>
          <w:b/>
        </w:rPr>
        <w:t xml:space="preserve"> </w:t>
      </w:r>
      <w:hyperlink r:id="rId19" w:history="1">
        <w:r w:rsidR="00D321D6" w:rsidRPr="006E1080">
          <w:rPr>
            <w:rStyle w:val="Hyperlink"/>
            <w:b/>
          </w:rPr>
          <w:t>Antihyperglycaemic therapy in type 2 diabetes – American Diabetes Association 2014</w:t>
        </w:r>
      </w:hyperlink>
      <w:r w:rsidR="00D321D6" w:rsidRPr="00646887">
        <w:rPr>
          <w:b/>
        </w:rPr>
        <w:t>.</w:t>
      </w:r>
      <w:r w:rsidR="0093455B" w:rsidRPr="0093455B">
        <w:rPr>
          <w:vertAlign w:val="superscript"/>
        </w:rPr>
        <w:t>45</w:t>
      </w:r>
    </w:p>
    <w:p w:rsidR="00205FD7" w:rsidRPr="00D321D6" w:rsidRDefault="00205FD7" w:rsidP="00492694"/>
    <w:p w:rsidR="00232874" w:rsidRPr="00A53E3C" w:rsidRDefault="00134808" w:rsidP="00492694">
      <w:pPr>
        <w:pStyle w:val="Heading2"/>
      </w:pPr>
      <w:bookmarkStart w:id="202" w:name="_2.8__PBS"/>
      <w:bookmarkStart w:id="203" w:name="_Toc397947706"/>
      <w:bookmarkStart w:id="204" w:name="_Toc403399547"/>
      <w:bookmarkEnd w:id="202"/>
      <w:r w:rsidRPr="00A53E3C">
        <w:lastRenderedPageBreak/>
        <w:t>2</w:t>
      </w:r>
      <w:r w:rsidR="000437D6">
        <w:t>.8</w:t>
      </w:r>
      <w:r w:rsidR="000E65B5" w:rsidRPr="00A53E3C">
        <w:t xml:space="preserve"> </w:t>
      </w:r>
      <w:r w:rsidR="00A14409" w:rsidRPr="00A53E3C">
        <w:tab/>
      </w:r>
      <w:bookmarkEnd w:id="201"/>
      <w:r w:rsidR="000437D6">
        <w:t>PBS Restrictions</w:t>
      </w:r>
      <w:bookmarkEnd w:id="203"/>
      <w:bookmarkEnd w:id="204"/>
    </w:p>
    <w:p w:rsidR="005E7973" w:rsidRPr="005E7973" w:rsidRDefault="00D91D1B" w:rsidP="00492694">
      <w:pPr>
        <w:pStyle w:val="BodyText1"/>
      </w:pPr>
      <w:r>
        <w:t>This section summarises the current PBS restrictions on type 2 diabetes medicines</w:t>
      </w:r>
      <w:r w:rsidR="005E7973">
        <w:t xml:space="preserve"> </w:t>
      </w:r>
      <w:r w:rsidR="005E7973" w:rsidRPr="000A4C18">
        <w:t xml:space="preserve">(refer to </w:t>
      </w:r>
      <w:hyperlink w:anchor="_1.2.3_Scope" w:history="1">
        <w:r w:rsidR="005E7973" w:rsidRPr="006E1080">
          <w:rPr>
            <w:rStyle w:val="Hyperlink"/>
          </w:rPr>
          <w:t>Table 1.1</w:t>
        </w:r>
      </w:hyperlink>
      <w:r w:rsidR="005E7973" w:rsidRPr="00BB633D">
        <w:t xml:space="preserve"> </w:t>
      </w:r>
      <w:r w:rsidR="00BB16F0">
        <w:t xml:space="preserve">for a list of </w:t>
      </w:r>
      <w:r w:rsidR="005E7973" w:rsidRPr="00BB633D">
        <w:t>the medicines in scope of this Review</w:t>
      </w:r>
      <w:r w:rsidR="005E7973" w:rsidRPr="00817FF4">
        <w:t>)</w:t>
      </w:r>
      <w:r w:rsidR="005E7973">
        <w:t xml:space="preserve">. </w:t>
      </w:r>
      <w:r w:rsidR="00BB16F0">
        <w:t>Items listed on the PBS may have one of the following restrictions</w:t>
      </w:r>
      <w:r w:rsidR="005E7973" w:rsidRPr="005E7973">
        <w:t xml:space="preserve">: </w:t>
      </w:r>
    </w:p>
    <w:p w:rsidR="005E7973" w:rsidRPr="005E7973" w:rsidRDefault="005E7973" w:rsidP="00780C3E">
      <w:pPr>
        <w:pStyle w:val="BodyText1"/>
        <w:numPr>
          <w:ilvl w:val="0"/>
          <w:numId w:val="18"/>
        </w:numPr>
        <w:rPr>
          <w:lang w:eastAsia="en-AU"/>
        </w:rPr>
      </w:pPr>
      <w:r w:rsidRPr="005E7973">
        <w:rPr>
          <w:i/>
          <w:iCs/>
          <w:lang w:eastAsia="en-AU"/>
        </w:rPr>
        <w:t>Unrestricted</w:t>
      </w:r>
      <w:r w:rsidR="00BB16F0">
        <w:rPr>
          <w:lang w:eastAsia="en-AU"/>
        </w:rPr>
        <w:t>:</w:t>
      </w:r>
      <w:r w:rsidR="00280440">
        <w:rPr>
          <w:lang w:eastAsia="en-AU"/>
        </w:rPr>
        <w:t xml:space="preserve"> No restrictions on therapeutic uses for the purpose of subsidy and may be prescribed at the prescriber’s discretion</w:t>
      </w:r>
      <w:r w:rsidRPr="005E7973">
        <w:rPr>
          <w:lang w:eastAsia="en-AU"/>
        </w:rPr>
        <w:t xml:space="preserve">. </w:t>
      </w:r>
    </w:p>
    <w:p w:rsidR="005E7973" w:rsidRDefault="005E7973" w:rsidP="00780C3E">
      <w:pPr>
        <w:pStyle w:val="BodyText1"/>
        <w:numPr>
          <w:ilvl w:val="0"/>
          <w:numId w:val="18"/>
        </w:numPr>
        <w:rPr>
          <w:lang w:eastAsia="en-AU"/>
        </w:rPr>
      </w:pPr>
      <w:r w:rsidRPr="005E7973">
        <w:rPr>
          <w:i/>
          <w:iCs/>
          <w:lang w:eastAsia="en-AU"/>
        </w:rPr>
        <w:t>Restricted</w:t>
      </w:r>
      <w:r w:rsidR="00BB16F0">
        <w:rPr>
          <w:lang w:eastAsia="en-AU"/>
        </w:rPr>
        <w:t xml:space="preserve">: </w:t>
      </w:r>
      <w:r w:rsidR="00280440">
        <w:rPr>
          <w:lang w:eastAsia="en-AU"/>
        </w:rPr>
        <w:t xml:space="preserve">Can </w:t>
      </w:r>
      <w:r w:rsidRPr="005E7973">
        <w:rPr>
          <w:lang w:eastAsia="en-AU"/>
        </w:rPr>
        <w:t xml:space="preserve">only </w:t>
      </w:r>
      <w:r w:rsidR="00280440">
        <w:rPr>
          <w:lang w:eastAsia="en-AU"/>
        </w:rPr>
        <w:t xml:space="preserve">be </w:t>
      </w:r>
      <w:r w:rsidRPr="005E7973">
        <w:rPr>
          <w:lang w:eastAsia="en-AU"/>
        </w:rPr>
        <w:t xml:space="preserve">prescribed if </w:t>
      </w:r>
      <w:r w:rsidR="00BB16F0">
        <w:rPr>
          <w:lang w:eastAsia="en-AU"/>
        </w:rPr>
        <w:t xml:space="preserve">a patient’s </w:t>
      </w:r>
      <w:r w:rsidRPr="005E7973">
        <w:rPr>
          <w:lang w:eastAsia="en-AU"/>
        </w:rPr>
        <w:t>condition meets the stated restrictions</w:t>
      </w:r>
      <w:r w:rsidR="00280440">
        <w:rPr>
          <w:lang w:eastAsia="en-AU"/>
        </w:rPr>
        <w:t>, i.e. for a specific indication</w:t>
      </w:r>
      <w:r w:rsidR="00CE6D96">
        <w:rPr>
          <w:lang w:eastAsia="en-AU"/>
        </w:rPr>
        <w:t>.</w:t>
      </w:r>
    </w:p>
    <w:p w:rsidR="00CE6D96" w:rsidRPr="00CE6D96" w:rsidRDefault="00CE6D96" w:rsidP="00780C3E">
      <w:pPr>
        <w:pStyle w:val="BodyText1"/>
        <w:numPr>
          <w:ilvl w:val="0"/>
          <w:numId w:val="18"/>
        </w:numPr>
        <w:rPr>
          <w:lang w:eastAsia="en-AU"/>
        </w:rPr>
      </w:pPr>
      <w:r w:rsidRPr="005E7973">
        <w:rPr>
          <w:i/>
          <w:iCs/>
          <w:lang w:eastAsia="en-AU"/>
        </w:rPr>
        <w:t>Authority Required</w:t>
      </w:r>
      <w:r>
        <w:rPr>
          <w:lang w:eastAsia="en-AU"/>
        </w:rPr>
        <w:t>:  Can only be prescribed</w:t>
      </w:r>
      <w:r w:rsidRPr="005E7973">
        <w:rPr>
          <w:lang w:eastAsia="en-AU"/>
        </w:rPr>
        <w:t xml:space="preserve"> if prior approval is obtained from the Department of Human Services</w:t>
      </w:r>
      <w:r>
        <w:rPr>
          <w:lang w:eastAsia="en-AU"/>
        </w:rPr>
        <w:t xml:space="preserve"> (DHS)</w:t>
      </w:r>
      <w:r w:rsidRPr="005E7973">
        <w:rPr>
          <w:lang w:eastAsia="en-AU"/>
        </w:rPr>
        <w:t xml:space="preserve"> or the Department of Veterans' Affairs</w:t>
      </w:r>
      <w:r>
        <w:rPr>
          <w:lang w:eastAsia="en-AU"/>
        </w:rPr>
        <w:t xml:space="preserve"> (DVA) as appropriate, usually by phone call or online</w:t>
      </w:r>
      <w:r w:rsidRPr="005E7973">
        <w:rPr>
          <w:lang w:eastAsia="en-AU"/>
        </w:rPr>
        <w:t xml:space="preserve">. </w:t>
      </w:r>
    </w:p>
    <w:p w:rsidR="005E7973" w:rsidRPr="005E7973" w:rsidRDefault="005E7973" w:rsidP="00780C3E">
      <w:pPr>
        <w:pStyle w:val="BodyText1"/>
        <w:numPr>
          <w:ilvl w:val="0"/>
          <w:numId w:val="18"/>
        </w:numPr>
        <w:rPr>
          <w:lang w:eastAsia="en-AU"/>
        </w:rPr>
      </w:pPr>
      <w:r w:rsidRPr="005E7973">
        <w:rPr>
          <w:i/>
          <w:iCs/>
          <w:lang w:eastAsia="en-AU"/>
        </w:rPr>
        <w:t>Authority Required (STREAMLINED)</w:t>
      </w:r>
      <w:r w:rsidR="00CE6D96">
        <w:rPr>
          <w:lang w:eastAsia="en-AU"/>
        </w:rPr>
        <w:t xml:space="preserve">: Can only be prescribed </w:t>
      </w:r>
      <w:r w:rsidRPr="005E7973">
        <w:rPr>
          <w:lang w:eastAsia="en-AU"/>
        </w:rPr>
        <w:t>for specific conditions</w:t>
      </w:r>
      <w:r w:rsidR="00CE6D96">
        <w:rPr>
          <w:lang w:eastAsia="en-AU"/>
        </w:rPr>
        <w:t xml:space="preserve">, but </w:t>
      </w:r>
      <w:r w:rsidRPr="005E7973">
        <w:rPr>
          <w:lang w:eastAsia="en-AU"/>
        </w:rPr>
        <w:t xml:space="preserve">do not need prior approval from the </w:t>
      </w:r>
      <w:r w:rsidR="00CE6D96">
        <w:rPr>
          <w:lang w:eastAsia="en-AU"/>
        </w:rPr>
        <w:t xml:space="preserve">DHS </w:t>
      </w:r>
      <w:r w:rsidRPr="005E7973">
        <w:rPr>
          <w:lang w:eastAsia="en-AU"/>
        </w:rPr>
        <w:t>or</w:t>
      </w:r>
      <w:r w:rsidR="00CE6D96">
        <w:rPr>
          <w:lang w:eastAsia="en-AU"/>
        </w:rPr>
        <w:t xml:space="preserve"> DVA</w:t>
      </w:r>
      <w:r w:rsidRPr="005E7973">
        <w:rPr>
          <w:lang w:eastAsia="en-AU"/>
        </w:rPr>
        <w:t xml:space="preserve">. Instead the process is streamlined by </w:t>
      </w:r>
      <w:r w:rsidR="00CE6D96">
        <w:rPr>
          <w:lang w:eastAsia="en-AU"/>
        </w:rPr>
        <w:t xml:space="preserve">the prescriber including </w:t>
      </w:r>
      <w:r w:rsidRPr="005E7973">
        <w:rPr>
          <w:lang w:eastAsia="en-AU"/>
        </w:rPr>
        <w:t>a four digit streamlined authority code</w:t>
      </w:r>
      <w:r w:rsidR="00CE6D96">
        <w:rPr>
          <w:lang w:eastAsia="en-AU"/>
        </w:rPr>
        <w:t xml:space="preserve"> on the prescription</w:t>
      </w:r>
      <w:r w:rsidRPr="005E7973">
        <w:rPr>
          <w:lang w:eastAsia="en-AU"/>
        </w:rPr>
        <w:t xml:space="preserve">. </w:t>
      </w:r>
    </w:p>
    <w:p w:rsidR="00147DCC" w:rsidRDefault="002B78B5" w:rsidP="00492694">
      <w:pPr>
        <w:pStyle w:val="BodyText1"/>
      </w:pPr>
      <w:r>
        <w:t>M</w:t>
      </w:r>
      <w:r w:rsidR="00686695" w:rsidRPr="002B78B5">
        <w:t>etformin,</w:t>
      </w:r>
      <w:r w:rsidR="00D363DD" w:rsidRPr="002B78B5">
        <w:t xml:space="preserve"> sulfonylureas</w:t>
      </w:r>
      <w:r w:rsidR="00FA438F" w:rsidRPr="002B78B5">
        <w:t xml:space="preserve"> and</w:t>
      </w:r>
      <w:r>
        <w:t xml:space="preserve"> acarbose a</w:t>
      </w:r>
      <w:r w:rsidR="00D363DD" w:rsidRPr="002B78B5">
        <w:t>re unrestricted on the</w:t>
      </w:r>
      <w:r w:rsidR="00686695" w:rsidRPr="002B78B5">
        <w:t xml:space="preserve"> PBS</w:t>
      </w:r>
      <w:r w:rsidR="00EF29F7">
        <w:t xml:space="preserve"> and may be used in mono</w:t>
      </w:r>
      <w:r w:rsidR="002B158E">
        <w:t>,</w:t>
      </w:r>
      <w:r w:rsidR="00EF29F7">
        <w:t xml:space="preserve"> dual or triple therapy and in combination with insulin</w:t>
      </w:r>
      <w:r w:rsidR="00686695" w:rsidRPr="002B78B5">
        <w:t xml:space="preserve">. </w:t>
      </w:r>
      <w:r w:rsidR="00147DCC">
        <w:t>The PBS restrictions for the newer diabetes medicines include detailed criteria regarding initiation rules, switching rules and permitted co-administered therapies. In general, initiation of newer diabetes medicines requires the patient to have, or have had, an HbA</w:t>
      </w:r>
      <w:r w:rsidR="00147DCC" w:rsidRPr="00147DCC">
        <w:rPr>
          <w:vertAlign w:val="subscript"/>
        </w:rPr>
        <w:t>1c</w:t>
      </w:r>
      <w:r w:rsidR="00147DCC">
        <w:t xml:space="preserve"> &gt;7% (53 mmol/mol), usually despite treatment with either metformin and/or a sulfonylurea. Appropriate blood glucose levels are provided as an alternative assessment in patients where HbA</w:t>
      </w:r>
      <w:r w:rsidR="00147DCC" w:rsidRPr="00147DCC">
        <w:rPr>
          <w:vertAlign w:val="subscript"/>
        </w:rPr>
        <w:t>1c</w:t>
      </w:r>
      <w:r w:rsidR="00147DCC">
        <w:t xml:space="preserve"> measurements are inappropriate. Most restrictions also contain a</w:t>
      </w:r>
      <w:r w:rsidR="00F33F80">
        <w:t xml:space="preserve"> note on</w:t>
      </w:r>
      <w:r w:rsidR="00147DCC">
        <w:t xml:space="preserve"> the specific </w:t>
      </w:r>
      <w:r w:rsidR="00147DCC" w:rsidRPr="00414A57">
        <w:t>combinations that are not PBS-subsidised</w:t>
      </w:r>
      <w:r w:rsidR="00147DCC">
        <w:t xml:space="preserve">. </w:t>
      </w:r>
    </w:p>
    <w:p w:rsidR="00786555" w:rsidRDefault="00FD0DD7" w:rsidP="00492694">
      <w:pPr>
        <w:pStyle w:val="BodyText1"/>
      </w:pPr>
      <w:r>
        <w:t>As at 1 July</w:t>
      </w:r>
      <w:r w:rsidR="00786555">
        <w:t xml:space="preserve"> 2014, </w:t>
      </w:r>
      <w:r w:rsidR="006820B1">
        <w:t>TZDs</w:t>
      </w:r>
      <w:r w:rsidR="00786555" w:rsidRPr="003A1AEC">
        <w:t xml:space="preserve">, </w:t>
      </w:r>
      <w:r w:rsidR="002772EC">
        <w:t>DPP-4 inhibitors</w:t>
      </w:r>
      <w:r w:rsidR="00786555">
        <w:t>, SGLT2 inhibitors and GLP-1 receptor agonists</w:t>
      </w:r>
      <w:r w:rsidR="00786555" w:rsidRPr="003A1AEC">
        <w:t xml:space="preserve"> may be used in dual combination therapy with metformin or a sulfonylurea in </w:t>
      </w:r>
      <w:r w:rsidR="00786555">
        <w:t>type 2 diabetes</w:t>
      </w:r>
      <w:r w:rsidR="00786555" w:rsidRPr="003A1AEC">
        <w:t xml:space="preserve"> patients meeting certain c</w:t>
      </w:r>
      <w:r w:rsidR="00786555">
        <w:t>riteria. Only pioglitazone and</w:t>
      </w:r>
      <w:r w:rsidR="00786555" w:rsidRPr="003A1AEC">
        <w:t xml:space="preserve"> exenatide</w:t>
      </w:r>
      <w:r w:rsidR="00786555">
        <w:t xml:space="preserve"> </w:t>
      </w:r>
      <w:r w:rsidR="00786555" w:rsidRPr="003A1AEC">
        <w:t>are PBS-listed for use</w:t>
      </w:r>
      <w:r w:rsidR="00786555">
        <w:t xml:space="preserve"> in triple combination therapy,</w:t>
      </w:r>
      <w:r w:rsidR="00786555" w:rsidRPr="003A1AEC">
        <w:t xml:space="preserve"> and only </w:t>
      </w:r>
      <w:r w:rsidR="00786555">
        <w:t xml:space="preserve">pioglitazone </w:t>
      </w:r>
      <w:r w:rsidR="00786555" w:rsidRPr="003A1AEC">
        <w:t>is PBS-listed for use in combination with insulin. Pioglita</w:t>
      </w:r>
      <w:r w:rsidR="00786555">
        <w:t>zone has the widest PBS-listing</w:t>
      </w:r>
      <w:r w:rsidR="00786555" w:rsidRPr="003A1AEC">
        <w:t xml:space="preserve"> and can be used in dual therapy, triple therapy and in combination with insulin.</w:t>
      </w:r>
    </w:p>
    <w:p w:rsidR="00786555" w:rsidRPr="00471B97" w:rsidRDefault="00786555" w:rsidP="00492694">
      <w:pPr>
        <w:pStyle w:val="BodyText1"/>
      </w:pPr>
      <w:r w:rsidRPr="00EC7EB1">
        <w:t xml:space="preserve">Table </w:t>
      </w:r>
      <w:r w:rsidR="00471B97" w:rsidRPr="00EC7EB1">
        <w:t>2.1</w:t>
      </w:r>
      <w:r w:rsidRPr="003A1AEC">
        <w:t xml:space="preserve"> summarises the possible PBS-subsidised combinations</w:t>
      </w:r>
      <w:r>
        <w:t xml:space="preserve"> of diabetes medicines</w:t>
      </w:r>
      <w:r w:rsidRPr="003A1AEC">
        <w:t xml:space="preserve">, where all </w:t>
      </w:r>
      <w:r>
        <w:t>medicines</w:t>
      </w:r>
      <w:r w:rsidRPr="003A1AEC">
        <w:t xml:space="preserve"> are subsidised by the PBS.</w:t>
      </w:r>
      <w:r w:rsidR="00471B97">
        <w:t xml:space="preserve"> </w:t>
      </w:r>
      <w:r w:rsidR="00646887">
        <w:rPr>
          <w:u w:val="single"/>
        </w:rPr>
        <w:t>Figure 2.4</w:t>
      </w:r>
      <w:r w:rsidR="00471B97" w:rsidRPr="00471B97">
        <w:t xml:space="preserve"> provides a flow chart of pharmacotherapy options for type 2 diabetes based on the PBS restrictions.</w:t>
      </w:r>
    </w:p>
    <w:p w:rsidR="00786555" w:rsidRPr="00646887" w:rsidRDefault="00471B97" w:rsidP="00646887">
      <w:pPr>
        <w:pStyle w:val="BodyText1"/>
        <w:keepNext/>
        <w:keepLines/>
        <w:rPr>
          <w:b/>
        </w:rPr>
      </w:pPr>
      <w:r w:rsidRPr="00471B97">
        <w:rPr>
          <w:b/>
        </w:rPr>
        <w:lastRenderedPageBreak/>
        <w:t>Table 2.1</w:t>
      </w:r>
      <w:r w:rsidR="00646887">
        <w:t>.</w:t>
      </w:r>
      <w:r w:rsidR="00786555" w:rsidRPr="00B05C21">
        <w:t xml:space="preserve"> </w:t>
      </w:r>
      <w:r w:rsidR="00786555" w:rsidRPr="00646887">
        <w:rPr>
          <w:b/>
        </w:rPr>
        <w:t>Possible PBS-subsidised combinations of diabetes medicines</w:t>
      </w:r>
      <w:r w:rsidRPr="00646887">
        <w:rPr>
          <w:b/>
        </w:rPr>
        <w:t xml:space="preserve"> (at 1 July 2014).</w:t>
      </w:r>
    </w:p>
    <w:tbl>
      <w:tblPr>
        <w:tblW w:w="538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617"/>
        <w:gridCol w:w="3118"/>
        <w:gridCol w:w="5103"/>
      </w:tblGrid>
      <w:tr w:rsidR="00786555" w:rsidRPr="00422AD1" w:rsidTr="00434A11">
        <w:trPr>
          <w:cantSplit/>
          <w:tblHeader/>
        </w:trPr>
        <w:tc>
          <w:tcPr>
            <w:tcW w:w="1617" w:type="dxa"/>
            <w:shd w:val="clear" w:color="auto" w:fill="D9D9D9" w:themeFill="background1" w:themeFillShade="D9"/>
            <w:vAlign w:val="center"/>
          </w:tcPr>
          <w:p w:rsidR="00786555" w:rsidRPr="00646887" w:rsidRDefault="00786555" w:rsidP="00646887">
            <w:pPr>
              <w:pStyle w:val="BodyText1"/>
              <w:keepNext/>
              <w:keepLines/>
              <w:rPr>
                <w:sz w:val="22"/>
                <w:szCs w:val="22"/>
              </w:rPr>
            </w:pPr>
            <w:r w:rsidRPr="00646887">
              <w:rPr>
                <w:sz w:val="22"/>
                <w:szCs w:val="22"/>
              </w:rPr>
              <w:t>Use</w:t>
            </w:r>
          </w:p>
        </w:tc>
        <w:tc>
          <w:tcPr>
            <w:tcW w:w="3118" w:type="dxa"/>
            <w:shd w:val="clear" w:color="auto" w:fill="D9D9D9" w:themeFill="background1" w:themeFillShade="D9"/>
            <w:vAlign w:val="center"/>
          </w:tcPr>
          <w:p w:rsidR="00786555" w:rsidRPr="00646887" w:rsidRDefault="00786555" w:rsidP="00646887">
            <w:pPr>
              <w:pStyle w:val="BodyText1"/>
              <w:keepNext/>
              <w:keepLines/>
              <w:rPr>
                <w:sz w:val="22"/>
                <w:szCs w:val="22"/>
              </w:rPr>
            </w:pPr>
            <w:r w:rsidRPr="00646887">
              <w:rPr>
                <w:sz w:val="22"/>
                <w:szCs w:val="22"/>
              </w:rPr>
              <w:t>Oral only</w:t>
            </w:r>
          </w:p>
        </w:tc>
        <w:tc>
          <w:tcPr>
            <w:tcW w:w="5103" w:type="dxa"/>
            <w:shd w:val="clear" w:color="auto" w:fill="D9D9D9" w:themeFill="background1" w:themeFillShade="D9"/>
            <w:vAlign w:val="center"/>
          </w:tcPr>
          <w:p w:rsidR="00786555" w:rsidRPr="00646887" w:rsidRDefault="00786555" w:rsidP="00646887">
            <w:pPr>
              <w:pStyle w:val="BodyText1"/>
              <w:keepNext/>
              <w:keepLines/>
              <w:rPr>
                <w:sz w:val="22"/>
                <w:szCs w:val="22"/>
              </w:rPr>
            </w:pPr>
            <w:r w:rsidRPr="00646887">
              <w:rPr>
                <w:sz w:val="22"/>
                <w:szCs w:val="22"/>
              </w:rPr>
              <w:t>Injections ± oral</w:t>
            </w:r>
          </w:p>
        </w:tc>
      </w:tr>
      <w:tr w:rsidR="00786555" w:rsidRPr="00422AD1" w:rsidTr="00434A11">
        <w:trPr>
          <w:cantSplit/>
        </w:trPr>
        <w:tc>
          <w:tcPr>
            <w:tcW w:w="1617" w:type="dxa"/>
            <w:vAlign w:val="center"/>
          </w:tcPr>
          <w:p w:rsidR="00786555" w:rsidRPr="00646887" w:rsidRDefault="00786555" w:rsidP="00646887">
            <w:pPr>
              <w:pStyle w:val="BodyText1"/>
              <w:keepNext/>
              <w:keepLines/>
              <w:rPr>
                <w:sz w:val="22"/>
                <w:szCs w:val="22"/>
              </w:rPr>
            </w:pPr>
            <w:r w:rsidRPr="00646887">
              <w:rPr>
                <w:sz w:val="22"/>
                <w:szCs w:val="22"/>
              </w:rPr>
              <w:t>Monotherapy</w:t>
            </w:r>
          </w:p>
        </w:tc>
        <w:tc>
          <w:tcPr>
            <w:tcW w:w="3118" w:type="dxa"/>
            <w:vAlign w:val="center"/>
          </w:tcPr>
          <w:p w:rsidR="00786555" w:rsidRPr="00646887" w:rsidRDefault="00786555" w:rsidP="00646887">
            <w:pPr>
              <w:pStyle w:val="BodyText1"/>
              <w:keepNext/>
              <w:keepLines/>
              <w:rPr>
                <w:sz w:val="22"/>
                <w:szCs w:val="22"/>
              </w:rPr>
            </w:pPr>
            <w:r w:rsidRPr="00646887">
              <w:rPr>
                <w:sz w:val="22"/>
                <w:szCs w:val="22"/>
              </w:rPr>
              <w:t>Metformin</w:t>
            </w:r>
          </w:p>
          <w:p w:rsidR="00786555" w:rsidRPr="00646887" w:rsidRDefault="00786555" w:rsidP="00646887">
            <w:pPr>
              <w:pStyle w:val="BodyText1"/>
              <w:keepNext/>
              <w:keepLines/>
              <w:rPr>
                <w:sz w:val="22"/>
                <w:szCs w:val="22"/>
              </w:rPr>
            </w:pPr>
            <w:r w:rsidRPr="00646887">
              <w:rPr>
                <w:sz w:val="22"/>
                <w:szCs w:val="22"/>
              </w:rPr>
              <w:t>SU</w:t>
            </w:r>
          </w:p>
          <w:p w:rsidR="00786555" w:rsidRPr="00646887" w:rsidRDefault="00786555" w:rsidP="00646887">
            <w:pPr>
              <w:pStyle w:val="BodyText1"/>
              <w:keepNext/>
              <w:keepLines/>
              <w:rPr>
                <w:sz w:val="22"/>
                <w:szCs w:val="22"/>
              </w:rPr>
            </w:pPr>
            <w:r w:rsidRPr="00646887">
              <w:rPr>
                <w:sz w:val="22"/>
                <w:szCs w:val="22"/>
              </w:rPr>
              <w:t>Acarbose</w:t>
            </w:r>
          </w:p>
        </w:tc>
        <w:tc>
          <w:tcPr>
            <w:tcW w:w="5103" w:type="dxa"/>
            <w:vAlign w:val="center"/>
          </w:tcPr>
          <w:p w:rsidR="00786555" w:rsidRPr="00646887" w:rsidRDefault="00786555" w:rsidP="00646887">
            <w:pPr>
              <w:pStyle w:val="BodyText1"/>
              <w:keepNext/>
              <w:keepLines/>
              <w:rPr>
                <w:sz w:val="22"/>
                <w:szCs w:val="22"/>
              </w:rPr>
            </w:pPr>
            <w:r w:rsidRPr="00646887">
              <w:rPr>
                <w:sz w:val="22"/>
                <w:szCs w:val="22"/>
              </w:rPr>
              <w:t>Insulin</w:t>
            </w:r>
          </w:p>
        </w:tc>
      </w:tr>
      <w:tr w:rsidR="00786555" w:rsidRPr="00422AD1" w:rsidTr="00434A11">
        <w:trPr>
          <w:cantSplit/>
        </w:trPr>
        <w:tc>
          <w:tcPr>
            <w:tcW w:w="1617" w:type="dxa"/>
            <w:vAlign w:val="center"/>
          </w:tcPr>
          <w:p w:rsidR="00786555" w:rsidRPr="00646887" w:rsidRDefault="00786555" w:rsidP="00646887">
            <w:pPr>
              <w:pStyle w:val="BodyText1"/>
              <w:keepNext/>
              <w:keepLines/>
              <w:rPr>
                <w:sz w:val="22"/>
                <w:szCs w:val="22"/>
              </w:rPr>
            </w:pPr>
            <w:r w:rsidRPr="00646887">
              <w:rPr>
                <w:sz w:val="22"/>
                <w:szCs w:val="22"/>
              </w:rPr>
              <w:t>Dual combination therapy</w:t>
            </w:r>
          </w:p>
        </w:tc>
        <w:tc>
          <w:tcPr>
            <w:tcW w:w="3118" w:type="dxa"/>
            <w:vAlign w:val="center"/>
          </w:tcPr>
          <w:p w:rsidR="00786555" w:rsidRPr="00646887" w:rsidRDefault="00786555" w:rsidP="00646887">
            <w:pPr>
              <w:pStyle w:val="BodyText1"/>
              <w:keepNext/>
              <w:keepLines/>
              <w:rPr>
                <w:sz w:val="22"/>
                <w:szCs w:val="22"/>
              </w:rPr>
            </w:pPr>
            <w:r w:rsidRPr="00646887">
              <w:rPr>
                <w:sz w:val="22"/>
                <w:szCs w:val="22"/>
              </w:rPr>
              <w:t>Metformin</w:t>
            </w:r>
            <w:r w:rsidR="00434A11">
              <w:rPr>
                <w:sz w:val="22"/>
                <w:szCs w:val="22"/>
              </w:rPr>
              <w:t xml:space="preserve"> </w:t>
            </w:r>
            <w:r w:rsidRPr="00646887">
              <w:rPr>
                <w:sz w:val="22"/>
                <w:szCs w:val="22"/>
              </w:rPr>
              <w:t>+</w:t>
            </w:r>
            <w:r w:rsidR="00434A11">
              <w:rPr>
                <w:sz w:val="22"/>
                <w:szCs w:val="22"/>
              </w:rPr>
              <w:t xml:space="preserve"> </w:t>
            </w:r>
            <w:r w:rsidRPr="00646887">
              <w:rPr>
                <w:sz w:val="22"/>
                <w:szCs w:val="22"/>
              </w:rPr>
              <w:t>SU</w:t>
            </w:r>
          </w:p>
          <w:p w:rsidR="00786555" w:rsidRPr="00646887" w:rsidRDefault="00786555" w:rsidP="00646887">
            <w:pPr>
              <w:pStyle w:val="BodyText1"/>
              <w:keepNext/>
              <w:keepLines/>
              <w:rPr>
                <w:sz w:val="22"/>
                <w:szCs w:val="22"/>
              </w:rPr>
            </w:pPr>
            <w:r w:rsidRPr="00646887">
              <w:rPr>
                <w:sz w:val="22"/>
                <w:szCs w:val="22"/>
              </w:rPr>
              <w:t>Metformin</w:t>
            </w:r>
            <w:r w:rsidR="00434A11">
              <w:rPr>
                <w:sz w:val="22"/>
                <w:szCs w:val="22"/>
              </w:rPr>
              <w:t xml:space="preserve"> </w:t>
            </w:r>
            <w:r w:rsidRPr="00646887">
              <w:rPr>
                <w:sz w:val="22"/>
                <w:szCs w:val="22"/>
              </w:rPr>
              <w:t>+</w:t>
            </w:r>
            <w:r w:rsidR="00434A11">
              <w:rPr>
                <w:sz w:val="22"/>
                <w:szCs w:val="22"/>
              </w:rPr>
              <w:t xml:space="preserve"> </w:t>
            </w:r>
            <w:r w:rsidRPr="00646887">
              <w:rPr>
                <w:sz w:val="22"/>
                <w:szCs w:val="22"/>
              </w:rPr>
              <w:t>acarbose</w:t>
            </w:r>
          </w:p>
          <w:p w:rsidR="00786555" w:rsidRPr="00646887" w:rsidRDefault="00786555" w:rsidP="00646887">
            <w:pPr>
              <w:pStyle w:val="BodyText1"/>
              <w:keepNext/>
              <w:keepLines/>
              <w:rPr>
                <w:sz w:val="22"/>
                <w:szCs w:val="22"/>
              </w:rPr>
            </w:pPr>
            <w:r w:rsidRPr="00646887">
              <w:rPr>
                <w:sz w:val="22"/>
                <w:szCs w:val="22"/>
              </w:rPr>
              <w:t>SU</w:t>
            </w:r>
            <w:r w:rsidR="00434A11">
              <w:rPr>
                <w:sz w:val="22"/>
                <w:szCs w:val="22"/>
              </w:rPr>
              <w:t xml:space="preserve"> </w:t>
            </w:r>
            <w:r w:rsidRPr="00646887">
              <w:rPr>
                <w:sz w:val="22"/>
                <w:szCs w:val="22"/>
              </w:rPr>
              <w:t>+</w:t>
            </w:r>
            <w:r w:rsidR="00434A11">
              <w:rPr>
                <w:sz w:val="22"/>
                <w:szCs w:val="22"/>
              </w:rPr>
              <w:t xml:space="preserve"> </w:t>
            </w:r>
            <w:r w:rsidRPr="00646887">
              <w:rPr>
                <w:sz w:val="22"/>
                <w:szCs w:val="22"/>
              </w:rPr>
              <w:t>acarbose</w:t>
            </w:r>
          </w:p>
          <w:p w:rsidR="00786555" w:rsidRPr="00434A11" w:rsidRDefault="00434A11" w:rsidP="00646887">
            <w:pPr>
              <w:pStyle w:val="BodyText1"/>
              <w:keepNext/>
              <w:keepLines/>
              <w:rPr>
                <w:sz w:val="22"/>
                <w:szCs w:val="22"/>
              </w:rPr>
            </w:pPr>
            <w:r w:rsidRPr="00434A11">
              <w:rPr>
                <w:b/>
                <w:sz w:val="22"/>
                <w:szCs w:val="22"/>
              </w:rPr>
              <w:t xml:space="preserve">DPP-4 </w:t>
            </w:r>
            <w:r w:rsidR="00786555" w:rsidRPr="00434A11">
              <w:rPr>
                <w:sz w:val="22"/>
                <w:szCs w:val="22"/>
              </w:rPr>
              <w:t>+</w:t>
            </w:r>
            <w:r>
              <w:rPr>
                <w:sz w:val="22"/>
                <w:szCs w:val="22"/>
              </w:rPr>
              <w:t xml:space="preserve"> </w:t>
            </w:r>
            <w:r w:rsidR="00786555" w:rsidRPr="00434A11">
              <w:rPr>
                <w:sz w:val="22"/>
                <w:szCs w:val="22"/>
              </w:rPr>
              <w:t>metformin</w:t>
            </w:r>
          </w:p>
          <w:p w:rsidR="00786555" w:rsidRPr="00434A11" w:rsidRDefault="00434A11" w:rsidP="00646887">
            <w:pPr>
              <w:pStyle w:val="BodyText1"/>
              <w:keepNext/>
              <w:keepLines/>
              <w:rPr>
                <w:sz w:val="22"/>
                <w:szCs w:val="22"/>
              </w:rPr>
            </w:pPr>
            <w:r w:rsidRPr="00434A11">
              <w:rPr>
                <w:b/>
                <w:sz w:val="22"/>
                <w:szCs w:val="22"/>
              </w:rPr>
              <w:t xml:space="preserve">TZD </w:t>
            </w:r>
            <w:r w:rsidR="00786555" w:rsidRPr="00434A11">
              <w:rPr>
                <w:sz w:val="22"/>
                <w:szCs w:val="22"/>
              </w:rPr>
              <w:t>+</w:t>
            </w:r>
            <w:r>
              <w:rPr>
                <w:sz w:val="22"/>
                <w:szCs w:val="22"/>
              </w:rPr>
              <w:t xml:space="preserve"> </w:t>
            </w:r>
            <w:r w:rsidR="00786555" w:rsidRPr="00434A11">
              <w:rPr>
                <w:sz w:val="22"/>
                <w:szCs w:val="22"/>
              </w:rPr>
              <w:t>metformin</w:t>
            </w:r>
          </w:p>
          <w:p w:rsidR="00786555" w:rsidRPr="00434A11" w:rsidRDefault="00434A11" w:rsidP="00646887">
            <w:pPr>
              <w:pStyle w:val="BodyText1"/>
              <w:keepNext/>
              <w:keepLines/>
              <w:rPr>
                <w:sz w:val="22"/>
                <w:szCs w:val="22"/>
              </w:rPr>
            </w:pPr>
            <w:r w:rsidRPr="00434A11">
              <w:rPr>
                <w:b/>
                <w:sz w:val="22"/>
                <w:szCs w:val="22"/>
              </w:rPr>
              <w:t>SGLT2</w:t>
            </w:r>
            <w:r>
              <w:rPr>
                <w:sz w:val="22"/>
                <w:szCs w:val="22"/>
              </w:rPr>
              <w:t xml:space="preserve"> </w:t>
            </w:r>
            <w:r w:rsidR="00786555" w:rsidRPr="00434A11">
              <w:rPr>
                <w:sz w:val="22"/>
                <w:szCs w:val="22"/>
              </w:rPr>
              <w:t>+</w:t>
            </w:r>
            <w:r>
              <w:rPr>
                <w:sz w:val="22"/>
                <w:szCs w:val="22"/>
              </w:rPr>
              <w:t xml:space="preserve"> </w:t>
            </w:r>
            <w:r w:rsidR="00786555" w:rsidRPr="00434A11">
              <w:rPr>
                <w:sz w:val="22"/>
                <w:szCs w:val="22"/>
              </w:rPr>
              <w:t>metformin</w:t>
            </w:r>
          </w:p>
          <w:p w:rsidR="00786555" w:rsidRPr="00646887" w:rsidRDefault="00434A11" w:rsidP="00646887">
            <w:pPr>
              <w:pStyle w:val="BodyText1"/>
              <w:keepNext/>
              <w:keepLines/>
              <w:rPr>
                <w:sz w:val="22"/>
                <w:szCs w:val="22"/>
              </w:rPr>
            </w:pPr>
            <w:r w:rsidRPr="00B650E6">
              <w:rPr>
                <w:b/>
                <w:sz w:val="22"/>
                <w:szCs w:val="22"/>
              </w:rPr>
              <w:t>DPP-4</w:t>
            </w:r>
            <w:r>
              <w:rPr>
                <w:sz w:val="22"/>
                <w:szCs w:val="22"/>
              </w:rPr>
              <w:t xml:space="preserve"> </w:t>
            </w:r>
            <w:r w:rsidR="00786555" w:rsidRPr="00646887">
              <w:rPr>
                <w:sz w:val="22"/>
                <w:szCs w:val="22"/>
              </w:rPr>
              <w:t>+</w:t>
            </w:r>
            <w:r>
              <w:rPr>
                <w:sz w:val="22"/>
                <w:szCs w:val="22"/>
              </w:rPr>
              <w:t xml:space="preserve"> </w:t>
            </w:r>
            <w:r w:rsidR="00786555" w:rsidRPr="00646887">
              <w:rPr>
                <w:sz w:val="22"/>
                <w:szCs w:val="22"/>
              </w:rPr>
              <w:t>SU</w:t>
            </w:r>
          </w:p>
          <w:p w:rsidR="00786555" w:rsidRPr="00646887" w:rsidRDefault="00434A11" w:rsidP="00646887">
            <w:pPr>
              <w:pStyle w:val="BodyText1"/>
              <w:keepNext/>
              <w:keepLines/>
              <w:rPr>
                <w:sz w:val="22"/>
                <w:szCs w:val="22"/>
              </w:rPr>
            </w:pPr>
            <w:r w:rsidRPr="00B650E6">
              <w:rPr>
                <w:b/>
                <w:sz w:val="22"/>
                <w:szCs w:val="22"/>
              </w:rPr>
              <w:t>TZD</w:t>
            </w:r>
            <w:r>
              <w:rPr>
                <w:sz w:val="22"/>
                <w:szCs w:val="22"/>
              </w:rPr>
              <w:t xml:space="preserve"> </w:t>
            </w:r>
            <w:r w:rsidR="00786555" w:rsidRPr="00646887">
              <w:rPr>
                <w:sz w:val="22"/>
                <w:szCs w:val="22"/>
              </w:rPr>
              <w:t>+</w:t>
            </w:r>
            <w:r>
              <w:rPr>
                <w:sz w:val="22"/>
                <w:szCs w:val="22"/>
              </w:rPr>
              <w:t xml:space="preserve"> </w:t>
            </w:r>
            <w:r w:rsidR="00786555" w:rsidRPr="00646887">
              <w:rPr>
                <w:sz w:val="22"/>
                <w:szCs w:val="22"/>
              </w:rPr>
              <w:t>SU</w:t>
            </w:r>
          </w:p>
          <w:p w:rsidR="00786555" w:rsidRPr="00646887" w:rsidRDefault="00434A11" w:rsidP="00646887">
            <w:pPr>
              <w:pStyle w:val="BodyText1"/>
              <w:keepNext/>
              <w:keepLines/>
              <w:rPr>
                <w:sz w:val="22"/>
                <w:szCs w:val="22"/>
              </w:rPr>
            </w:pPr>
            <w:r w:rsidRPr="00B650E6">
              <w:rPr>
                <w:b/>
                <w:sz w:val="22"/>
                <w:szCs w:val="22"/>
              </w:rPr>
              <w:t>SGLT2</w:t>
            </w:r>
            <w:r>
              <w:rPr>
                <w:sz w:val="22"/>
                <w:szCs w:val="22"/>
              </w:rPr>
              <w:t xml:space="preserve"> </w:t>
            </w:r>
            <w:r w:rsidR="00786555" w:rsidRPr="00646887">
              <w:rPr>
                <w:sz w:val="22"/>
                <w:szCs w:val="22"/>
              </w:rPr>
              <w:t>+</w:t>
            </w:r>
            <w:r>
              <w:rPr>
                <w:sz w:val="22"/>
                <w:szCs w:val="22"/>
              </w:rPr>
              <w:t xml:space="preserve"> </w:t>
            </w:r>
            <w:r w:rsidR="00786555" w:rsidRPr="00646887">
              <w:rPr>
                <w:sz w:val="22"/>
                <w:szCs w:val="22"/>
              </w:rPr>
              <w:t>SU</w:t>
            </w:r>
          </w:p>
        </w:tc>
        <w:tc>
          <w:tcPr>
            <w:tcW w:w="5103" w:type="dxa"/>
            <w:vAlign w:val="center"/>
          </w:tcPr>
          <w:p w:rsidR="00786555" w:rsidRPr="00646887" w:rsidRDefault="00786555" w:rsidP="00646887">
            <w:pPr>
              <w:pStyle w:val="BodyText1"/>
              <w:keepNext/>
              <w:keepLines/>
              <w:rPr>
                <w:sz w:val="22"/>
                <w:szCs w:val="22"/>
              </w:rPr>
            </w:pPr>
            <w:r w:rsidRPr="00646887">
              <w:rPr>
                <w:sz w:val="22"/>
                <w:szCs w:val="22"/>
              </w:rPr>
              <w:t>Metformin</w:t>
            </w:r>
            <w:r w:rsidR="00434A11">
              <w:rPr>
                <w:sz w:val="22"/>
                <w:szCs w:val="22"/>
              </w:rPr>
              <w:t xml:space="preserve"> </w:t>
            </w:r>
            <w:r w:rsidRPr="00646887">
              <w:rPr>
                <w:sz w:val="22"/>
                <w:szCs w:val="22"/>
              </w:rPr>
              <w:t>+</w:t>
            </w:r>
            <w:r w:rsidR="00434A11">
              <w:rPr>
                <w:sz w:val="22"/>
                <w:szCs w:val="22"/>
              </w:rPr>
              <w:t xml:space="preserve"> </w:t>
            </w:r>
            <w:r w:rsidRPr="00646887">
              <w:rPr>
                <w:sz w:val="22"/>
                <w:szCs w:val="22"/>
              </w:rPr>
              <w:t>insulin</w:t>
            </w:r>
          </w:p>
          <w:p w:rsidR="00786555" w:rsidRPr="00646887" w:rsidRDefault="00786555" w:rsidP="00646887">
            <w:pPr>
              <w:pStyle w:val="BodyText1"/>
              <w:keepNext/>
              <w:keepLines/>
              <w:rPr>
                <w:sz w:val="22"/>
                <w:szCs w:val="22"/>
              </w:rPr>
            </w:pPr>
            <w:r w:rsidRPr="00646887">
              <w:rPr>
                <w:sz w:val="22"/>
                <w:szCs w:val="22"/>
              </w:rPr>
              <w:t>SU</w:t>
            </w:r>
            <w:r w:rsidR="00434A11">
              <w:rPr>
                <w:sz w:val="22"/>
                <w:szCs w:val="22"/>
              </w:rPr>
              <w:t xml:space="preserve"> </w:t>
            </w:r>
            <w:r w:rsidRPr="00646887">
              <w:rPr>
                <w:sz w:val="22"/>
                <w:szCs w:val="22"/>
              </w:rPr>
              <w:t>+</w:t>
            </w:r>
            <w:r w:rsidR="00434A11">
              <w:rPr>
                <w:sz w:val="22"/>
                <w:szCs w:val="22"/>
              </w:rPr>
              <w:t xml:space="preserve"> </w:t>
            </w:r>
            <w:r w:rsidRPr="00646887">
              <w:rPr>
                <w:sz w:val="22"/>
                <w:szCs w:val="22"/>
              </w:rPr>
              <w:t>insulin</w:t>
            </w:r>
          </w:p>
          <w:p w:rsidR="00786555" w:rsidRPr="00646887" w:rsidRDefault="00786555" w:rsidP="00646887">
            <w:pPr>
              <w:pStyle w:val="BodyText1"/>
              <w:keepNext/>
              <w:keepLines/>
              <w:rPr>
                <w:sz w:val="22"/>
                <w:szCs w:val="22"/>
              </w:rPr>
            </w:pPr>
            <w:r w:rsidRPr="00646887">
              <w:rPr>
                <w:sz w:val="22"/>
                <w:szCs w:val="22"/>
              </w:rPr>
              <w:t>Acarbose</w:t>
            </w:r>
            <w:r w:rsidR="00434A11">
              <w:rPr>
                <w:sz w:val="22"/>
                <w:szCs w:val="22"/>
              </w:rPr>
              <w:t xml:space="preserve"> </w:t>
            </w:r>
            <w:r w:rsidRPr="00646887">
              <w:rPr>
                <w:sz w:val="22"/>
                <w:szCs w:val="22"/>
              </w:rPr>
              <w:t>+</w:t>
            </w:r>
            <w:r w:rsidR="00434A11">
              <w:rPr>
                <w:sz w:val="22"/>
                <w:szCs w:val="22"/>
              </w:rPr>
              <w:t xml:space="preserve"> </w:t>
            </w:r>
            <w:r w:rsidRPr="00646887">
              <w:rPr>
                <w:sz w:val="22"/>
                <w:szCs w:val="22"/>
              </w:rPr>
              <w:t>insulin</w:t>
            </w:r>
          </w:p>
          <w:p w:rsidR="00786555" w:rsidRPr="00646887" w:rsidRDefault="00786555" w:rsidP="00646887">
            <w:pPr>
              <w:pStyle w:val="BodyText1"/>
              <w:keepNext/>
              <w:keepLines/>
              <w:rPr>
                <w:sz w:val="22"/>
                <w:szCs w:val="22"/>
              </w:rPr>
            </w:pPr>
            <w:r w:rsidRPr="00B650E6">
              <w:rPr>
                <w:b/>
                <w:sz w:val="22"/>
                <w:szCs w:val="22"/>
              </w:rPr>
              <w:t>Pioglitazone</w:t>
            </w:r>
            <w:r w:rsidR="00434A11">
              <w:rPr>
                <w:sz w:val="22"/>
                <w:szCs w:val="22"/>
              </w:rPr>
              <w:t xml:space="preserve"> </w:t>
            </w:r>
            <w:r w:rsidRPr="00646887">
              <w:rPr>
                <w:sz w:val="22"/>
                <w:szCs w:val="22"/>
              </w:rPr>
              <w:t>+</w:t>
            </w:r>
            <w:r w:rsidR="00434A11">
              <w:rPr>
                <w:sz w:val="22"/>
                <w:szCs w:val="22"/>
              </w:rPr>
              <w:t xml:space="preserve"> </w:t>
            </w:r>
            <w:r w:rsidRPr="00646887">
              <w:rPr>
                <w:sz w:val="22"/>
                <w:szCs w:val="22"/>
              </w:rPr>
              <w:t>insulin</w:t>
            </w:r>
          </w:p>
          <w:p w:rsidR="00786555" w:rsidRPr="00646887" w:rsidRDefault="00786555" w:rsidP="00646887">
            <w:pPr>
              <w:pStyle w:val="BodyText1"/>
              <w:keepNext/>
              <w:keepLines/>
              <w:rPr>
                <w:sz w:val="22"/>
                <w:szCs w:val="22"/>
              </w:rPr>
            </w:pPr>
            <w:r w:rsidRPr="00434A11">
              <w:rPr>
                <w:b/>
                <w:sz w:val="22"/>
                <w:szCs w:val="22"/>
              </w:rPr>
              <w:t>Exenatide</w:t>
            </w:r>
            <w:r w:rsidR="00434A11">
              <w:rPr>
                <w:sz w:val="22"/>
                <w:szCs w:val="22"/>
              </w:rPr>
              <w:t xml:space="preserve"> </w:t>
            </w:r>
            <w:r w:rsidRPr="00434A11">
              <w:rPr>
                <w:sz w:val="22"/>
                <w:szCs w:val="22"/>
              </w:rPr>
              <w:t>+</w:t>
            </w:r>
            <w:r w:rsidR="00434A11">
              <w:rPr>
                <w:sz w:val="22"/>
                <w:szCs w:val="22"/>
              </w:rPr>
              <w:t xml:space="preserve"> </w:t>
            </w:r>
            <w:r w:rsidRPr="00646887">
              <w:rPr>
                <w:sz w:val="22"/>
                <w:szCs w:val="22"/>
              </w:rPr>
              <w:t>metformin</w:t>
            </w:r>
          </w:p>
          <w:p w:rsidR="00786555" w:rsidRPr="00646887" w:rsidRDefault="00786555" w:rsidP="00646887">
            <w:pPr>
              <w:pStyle w:val="BodyText1"/>
              <w:keepNext/>
              <w:keepLines/>
              <w:rPr>
                <w:sz w:val="22"/>
                <w:szCs w:val="22"/>
              </w:rPr>
            </w:pPr>
            <w:r w:rsidRPr="00B650E6">
              <w:rPr>
                <w:b/>
                <w:sz w:val="22"/>
                <w:szCs w:val="22"/>
              </w:rPr>
              <w:t>Exenatide</w:t>
            </w:r>
            <w:r w:rsidR="00434A11">
              <w:rPr>
                <w:sz w:val="22"/>
                <w:szCs w:val="22"/>
              </w:rPr>
              <w:t xml:space="preserve"> </w:t>
            </w:r>
            <w:r w:rsidRPr="00646887">
              <w:rPr>
                <w:sz w:val="22"/>
                <w:szCs w:val="22"/>
              </w:rPr>
              <w:t>+</w:t>
            </w:r>
            <w:r w:rsidR="00434A11">
              <w:rPr>
                <w:sz w:val="22"/>
                <w:szCs w:val="22"/>
              </w:rPr>
              <w:t xml:space="preserve"> </w:t>
            </w:r>
            <w:r w:rsidRPr="00646887">
              <w:rPr>
                <w:sz w:val="22"/>
                <w:szCs w:val="22"/>
              </w:rPr>
              <w:t>SU</w:t>
            </w:r>
          </w:p>
        </w:tc>
      </w:tr>
      <w:tr w:rsidR="00786555" w:rsidRPr="00422AD1" w:rsidTr="00434A11">
        <w:trPr>
          <w:cantSplit/>
        </w:trPr>
        <w:tc>
          <w:tcPr>
            <w:tcW w:w="1617" w:type="dxa"/>
            <w:vAlign w:val="center"/>
          </w:tcPr>
          <w:p w:rsidR="00786555" w:rsidRPr="00646887" w:rsidRDefault="00786555" w:rsidP="00646887">
            <w:pPr>
              <w:pStyle w:val="BodyText1"/>
              <w:keepNext/>
              <w:keepLines/>
              <w:rPr>
                <w:sz w:val="22"/>
                <w:szCs w:val="22"/>
              </w:rPr>
            </w:pPr>
            <w:r w:rsidRPr="00646887">
              <w:rPr>
                <w:sz w:val="22"/>
                <w:szCs w:val="22"/>
              </w:rPr>
              <w:t>Triple combination therapy</w:t>
            </w:r>
          </w:p>
        </w:tc>
        <w:tc>
          <w:tcPr>
            <w:tcW w:w="3118" w:type="dxa"/>
            <w:vAlign w:val="center"/>
          </w:tcPr>
          <w:p w:rsidR="00786555" w:rsidRPr="00434A11" w:rsidRDefault="00786555" w:rsidP="00646887">
            <w:pPr>
              <w:pStyle w:val="BodyText1"/>
              <w:keepNext/>
              <w:keepLines/>
              <w:rPr>
                <w:sz w:val="22"/>
                <w:szCs w:val="22"/>
              </w:rPr>
            </w:pPr>
            <w:r w:rsidRPr="00434A11">
              <w:rPr>
                <w:sz w:val="22"/>
                <w:szCs w:val="22"/>
              </w:rPr>
              <w:t>Metformin</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acarbose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SU</w:t>
            </w:r>
          </w:p>
          <w:p w:rsidR="00786555" w:rsidRPr="00434A11" w:rsidRDefault="00786555" w:rsidP="00646887">
            <w:pPr>
              <w:pStyle w:val="BodyText1"/>
              <w:keepNext/>
              <w:keepLines/>
              <w:rPr>
                <w:sz w:val="22"/>
                <w:szCs w:val="22"/>
              </w:rPr>
            </w:pPr>
            <w:r w:rsidRPr="00434A11">
              <w:rPr>
                <w:b/>
                <w:sz w:val="22"/>
                <w:szCs w:val="22"/>
              </w:rPr>
              <w:t>Pioglitazone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metformin</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SU</w:t>
            </w:r>
          </w:p>
        </w:tc>
        <w:tc>
          <w:tcPr>
            <w:tcW w:w="5103" w:type="dxa"/>
            <w:vAlign w:val="center"/>
          </w:tcPr>
          <w:p w:rsidR="00786555" w:rsidRPr="00434A11" w:rsidRDefault="00786555" w:rsidP="00646887">
            <w:pPr>
              <w:pStyle w:val="BodyText1"/>
              <w:keepNext/>
              <w:keepLines/>
              <w:rPr>
                <w:sz w:val="22"/>
                <w:szCs w:val="22"/>
              </w:rPr>
            </w:pPr>
            <w:r w:rsidRPr="00434A11">
              <w:rPr>
                <w:sz w:val="22"/>
                <w:szCs w:val="22"/>
              </w:rPr>
              <w:t>Metformin</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SU</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insulin</w:t>
            </w:r>
          </w:p>
          <w:p w:rsidR="00786555" w:rsidRPr="00434A11" w:rsidRDefault="00786555" w:rsidP="00646887">
            <w:pPr>
              <w:pStyle w:val="BodyText1"/>
              <w:keepNext/>
              <w:keepLines/>
              <w:rPr>
                <w:sz w:val="22"/>
                <w:szCs w:val="22"/>
              </w:rPr>
            </w:pPr>
            <w:r w:rsidRPr="00434A11">
              <w:rPr>
                <w:sz w:val="22"/>
                <w:szCs w:val="22"/>
              </w:rPr>
              <w:t>Metformin</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acarbose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insulin</w:t>
            </w:r>
          </w:p>
          <w:p w:rsidR="00786555" w:rsidRPr="00434A11" w:rsidRDefault="00786555" w:rsidP="00646887">
            <w:pPr>
              <w:pStyle w:val="BodyText1"/>
              <w:keepNext/>
              <w:keepLines/>
              <w:rPr>
                <w:sz w:val="22"/>
                <w:szCs w:val="22"/>
              </w:rPr>
            </w:pPr>
            <w:r w:rsidRPr="00434A11">
              <w:rPr>
                <w:sz w:val="22"/>
                <w:szCs w:val="22"/>
              </w:rPr>
              <w:t>SU</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acarbose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insulin</w:t>
            </w:r>
          </w:p>
          <w:p w:rsidR="00786555" w:rsidRPr="00434A11" w:rsidRDefault="00786555" w:rsidP="00646887">
            <w:pPr>
              <w:pStyle w:val="BodyText1"/>
              <w:keepNext/>
              <w:keepLines/>
              <w:rPr>
                <w:sz w:val="22"/>
                <w:szCs w:val="22"/>
              </w:rPr>
            </w:pPr>
            <w:r w:rsidRPr="00434A11">
              <w:rPr>
                <w:b/>
                <w:sz w:val="22"/>
                <w:szCs w:val="22"/>
              </w:rPr>
              <w:t>Exenatide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metformin</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SU</w:t>
            </w:r>
          </w:p>
          <w:p w:rsidR="00786555" w:rsidRPr="00434A11" w:rsidRDefault="00786555" w:rsidP="00646887">
            <w:pPr>
              <w:pStyle w:val="BodyText1"/>
              <w:keepNext/>
              <w:keepLines/>
              <w:rPr>
                <w:sz w:val="22"/>
                <w:szCs w:val="22"/>
              </w:rPr>
            </w:pPr>
            <w:r w:rsidRPr="00434A11">
              <w:rPr>
                <w:b/>
                <w:sz w:val="22"/>
                <w:szCs w:val="22"/>
              </w:rPr>
              <w:t>Pioglitazone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metformin</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insulin</w:t>
            </w:r>
          </w:p>
          <w:p w:rsidR="00786555" w:rsidRPr="00434A11" w:rsidRDefault="00786555" w:rsidP="00646887">
            <w:pPr>
              <w:pStyle w:val="BodyText1"/>
              <w:keepNext/>
              <w:keepLines/>
              <w:rPr>
                <w:sz w:val="22"/>
                <w:szCs w:val="22"/>
              </w:rPr>
            </w:pPr>
            <w:r w:rsidRPr="00B650E6">
              <w:rPr>
                <w:b/>
                <w:sz w:val="22"/>
                <w:szCs w:val="22"/>
              </w:rPr>
              <w:t>Pioglitazone</w:t>
            </w:r>
            <w:r w:rsidR="00434A11" w:rsidRPr="00B650E6">
              <w:rPr>
                <w:b/>
                <w:sz w:val="22"/>
                <w:szCs w:val="22"/>
              </w:rPr>
              <w:t xml:space="preserve"> </w:t>
            </w:r>
            <w:r w:rsidRPr="00434A11">
              <w:rPr>
                <w:sz w:val="22"/>
                <w:szCs w:val="22"/>
              </w:rPr>
              <w:t>+</w:t>
            </w:r>
            <w:r w:rsidR="00434A11">
              <w:rPr>
                <w:sz w:val="22"/>
                <w:szCs w:val="22"/>
              </w:rPr>
              <w:t xml:space="preserve"> </w:t>
            </w:r>
            <w:r w:rsidRPr="00434A11">
              <w:rPr>
                <w:sz w:val="22"/>
                <w:szCs w:val="22"/>
              </w:rPr>
              <w:t>SU</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insulin</w:t>
            </w:r>
          </w:p>
          <w:p w:rsidR="00786555" w:rsidRPr="00434A11" w:rsidRDefault="00786555" w:rsidP="00646887">
            <w:pPr>
              <w:pStyle w:val="BodyText1"/>
              <w:keepNext/>
              <w:keepLines/>
              <w:rPr>
                <w:sz w:val="22"/>
                <w:szCs w:val="22"/>
              </w:rPr>
            </w:pPr>
            <w:r w:rsidRPr="00434A11">
              <w:rPr>
                <w:b/>
                <w:sz w:val="22"/>
                <w:szCs w:val="22"/>
              </w:rPr>
              <w:t>Pioglitazone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acarbose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insulin</w:t>
            </w:r>
          </w:p>
        </w:tc>
      </w:tr>
      <w:tr w:rsidR="00786555" w:rsidRPr="00422AD1" w:rsidTr="00434A11">
        <w:trPr>
          <w:cantSplit/>
        </w:trPr>
        <w:tc>
          <w:tcPr>
            <w:tcW w:w="1617" w:type="dxa"/>
            <w:vAlign w:val="center"/>
          </w:tcPr>
          <w:p w:rsidR="00786555" w:rsidRPr="00646887" w:rsidRDefault="00786555" w:rsidP="00646887">
            <w:pPr>
              <w:pStyle w:val="BodyText1"/>
              <w:keepNext/>
              <w:keepLines/>
              <w:rPr>
                <w:sz w:val="22"/>
                <w:szCs w:val="22"/>
              </w:rPr>
            </w:pPr>
            <w:r w:rsidRPr="00646887">
              <w:rPr>
                <w:sz w:val="22"/>
                <w:szCs w:val="22"/>
              </w:rPr>
              <w:t>Other combinations</w:t>
            </w:r>
          </w:p>
        </w:tc>
        <w:tc>
          <w:tcPr>
            <w:tcW w:w="3118" w:type="dxa"/>
            <w:vAlign w:val="center"/>
          </w:tcPr>
          <w:p w:rsidR="00786555" w:rsidRPr="00646887" w:rsidRDefault="00786555" w:rsidP="00646887">
            <w:pPr>
              <w:pStyle w:val="BodyText1"/>
              <w:keepNext/>
              <w:keepLines/>
              <w:rPr>
                <w:sz w:val="22"/>
                <w:szCs w:val="22"/>
              </w:rPr>
            </w:pPr>
            <w:r w:rsidRPr="00646887">
              <w:rPr>
                <w:sz w:val="22"/>
                <w:szCs w:val="22"/>
              </w:rPr>
              <w:t>-</w:t>
            </w:r>
          </w:p>
        </w:tc>
        <w:tc>
          <w:tcPr>
            <w:tcW w:w="5103" w:type="dxa"/>
            <w:vAlign w:val="center"/>
          </w:tcPr>
          <w:p w:rsidR="00786555" w:rsidRPr="00434A11" w:rsidRDefault="00786555" w:rsidP="00646887">
            <w:pPr>
              <w:pStyle w:val="BodyText1"/>
              <w:keepNext/>
              <w:keepLines/>
              <w:rPr>
                <w:sz w:val="22"/>
                <w:szCs w:val="22"/>
              </w:rPr>
            </w:pPr>
            <w:r w:rsidRPr="00434A11">
              <w:rPr>
                <w:sz w:val="22"/>
                <w:szCs w:val="22"/>
              </w:rPr>
              <w:t>Metformin</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acarbose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SU</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insulin</w:t>
            </w:r>
          </w:p>
          <w:p w:rsidR="00786555" w:rsidRPr="00434A11" w:rsidRDefault="00786555" w:rsidP="00646887">
            <w:pPr>
              <w:pStyle w:val="BodyText1"/>
              <w:keepNext/>
              <w:keepLines/>
              <w:rPr>
                <w:sz w:val="22"/>
                <w:szCs w:val="22"/>
              </w:rPr>
            </w:pPr>
            <w:r w:rsidRPr="00434A11">
              <w:rPr>
                <w:b/>
                <w:sz w:val="22"/>
                <w:szCs w:val="22"/>
              </w:rPr>
              <w:t>Pioglitazone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metformin</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SU</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insulin</w:t>
            </w:r>
          </w:p>
          <w:p w:rsidR="00786555" w:rsidRPr="00434A11" w:rsidRDefault="00786555" w:rsidP="00646887">
            <w:pPr>
              <w:pStyle w:val="BodyText1"/>
              <w:keepNext/>
              <w:keepLines/>
              <w:rPr>
                <w:sz w:val="22"/>
                <w:szCs w:val="22"/>
              </w:rPr>
            </w:pPr>
            <w:r w:rsidRPr="00434A11">
              <w:rPr>
                <w:b/>
                <w:sz w:val="22"/>
                <w:szCs w:val="22"/>
              </w:rPr>
              <w:t>Pioglitazone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metformin</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acarbose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insulin</w:t>
            </w:r>
          </w:p>
          <w:p w:rsidR="00786555" w:rsidRPr="00434A11" w:rsidRDefault="00786555" w:rsidP="00646887">
            <w:pPr>
              <w:pStyle w:val="BodyText1"/>
              <w:keepNext/>
              <w:keepLines/>
              <w:rPr>
                <w:sz w:val="22"/>
                <w:szCs w:val="22"/>
              </w:rPr>
            </w:pPr>
            <w:r w:rsidRPr="00434A11">
              <w:rPr>
                <w:b/>
                <w:sz w:val="22"/>
                <w:szCs w:val="22"/>
              </w:rPr>
              <w:t>Pioglitazone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SU</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acarbose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insulin</w:t>
            </w:r>
          </w:p>
          <w:p w:rsidR="00786555" w:rsidRPr="00646887" w:rsidRDefault="00786555" w:rsidP="00646887">
            <w:pPr>
              <w:pStyle w:val="BodyText1"/>
              <w:keepNext/>
              <w:keepLines/>
              <w:rPr>
                <w:sz w:val="22"/>
                <w:szCs w:val="22"/>
              </w:rPr>
            </w:pPr>
            <w:r w:rsidRPr="00434A11">
              <w:rPr>
                <w:b/>
                <w:sz w:val="22"/>
                <w:szCs w:val="22"/>
              </w:rPr>
              <w:t>Pioglitazone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metformin</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SU</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acarbose</w:t>
            </w:r>
            <w:r w:rsidR="00434A11">
              <w:rPr>
                <w:sz w:val="22"/>
                <w:szCs w:val="22"/>
              </w:rPr>
              <w:t xml:space="preserve"> </w:t>
            </w:r>
            <w:r w:rsidRPr="00434A11">
              <w:rPr>
                <w:sz w:val="22"/>
                <w:szCs w:val="22"/>
              </w:rPr>
              <w:t>+</w:t>
            </w:r>
            <w:r w:rsidR="00434A11">
              <w:rPr>
                <w:sz w:val="22"/>
                <w:szCs w:val="22"/>
              </w:rPr>
              <w:t xml:space="preserve"> </w:t>
            </w:r>
            <w:r w:rsidRPr="00434A11">
              <w:rPr>
                <w:sz w:val="22"/>
                <w:szCs w:val="22"/>
              </w:rPr>
              <w:t>insulin</w:t>
            </w:r>
          </w:p>
        </w:tc>
      </w:tr>
    </w:tbl>
    <w:p w:rsidR="00786555" w:rsidRPr="00B05C21" w:rsidRDefault="00F33F80" w:rsidP="00646887">
      <w:pPr>
        <w:pStyle w:val="Notes"/>
        <w:keepNext/>
        <w:keepLines/>
      </w:pPr>
      <w:r w:rsidRPr="00B07F08">
        <w:rPr>
          <w:u w:val="single"/>
        </w:rPr>
        <w:t>Abbreviations</w:t>
      </w:r>
      <w:r>
        <w:t xml:space="preserve">: </w:t>
      </w:r>
      <w:r w:rsidR="00434A11">
        <w:t xml:space="preserve">DPP-4 = DPP-4 inhibitor; SGLT2 = SGLT2 inhibitor; and </w:t>
      </w:r>
      <w:r>
        <w:t>SU =</w:t>
      </w:r>
      <w:r w:rsidR="00786555" w:rsidRPr="00B05C21">
        <w:t xml:space="preserve"> sulfonylurea</w:t>
      </w:r>
      <w:r w:rsidR="00434A11">
        <w:t>.</w:t>
      </w:r>
    </w:p>
    <w:p w:rsidR="00786555" w:rsidRPr="00B05C21" w:rsidRDefault="00786555" w:rsidP="00646887">
      <w:pPr>
        <w:pStyle w:val="Notes"/>
        <w:keepNext/>
        <w:keepLines/>
      </w:pPr>
      <w:r w:rsidRPr="00B07F08">
        <w:rPr>
          <w:u w:val="single"/>
        </w:rPr>
        <w:t>Note</w:t>
      </w:r>
      <w:r w:rsidR="00B07F08" w:rsidRPr="00B07F08">
        <w:rPr>
          <w:u w:val="single"/>
        </w:rPr>
        <w:t>s</w:t>
      </w:r>
      <w:r w:rsidRPr="00B05C21">
        <w:t xml:space="preserve">: </w:t>
      </w:r>
      <w:r w:rsidRPr="00434A11">
        <w:rPr>
          <w:b/>
        </w:rPr>
        <w:t>Bolded</w:t>
      </w:r>
      <w:r w:rsidRPr="00B05C21">
        <w:t xml:space="preserve"> medications represent the newer agents with restrictions. </w:t>
      </w:r>
      <w:r w:rsidR="00434A11">
        <w:t xml:space="preserve">TZDs </w:t>
      </w:r>
      <w:r w:rsidRPr="00B05C21">
        <w:t xml:space="preserve">include pioglitazone and rosiglitazone. </w:t>
      </w:r>
      <w:r w:rsidR="00434A11">
        <w:t>DPP-4 inhibitor</w:t>
      </w:r>
      <w:r w:rsidRPr="00B05C21">
        <w:t xml:space="preserve">s include linagliptin, saxagliptin, sitagliptin, vildagliptin and alogliptin. </w:t>
      </w:r>
      <w:r w:rsidR="00434A11">
        <w:t>SGLT2 inhibitor</w:t>
      </w:r>
      <w:r w:rsidRPr="00B05C21">
        <w:t xml:space="preserve">s include canagliflozin and dapagliflozin. </w:t>
      </w:r>
    </w:p>
    <w:p w:rsidR="00786555" w:rsidRPr="00B05C21" w:rsidRDefault="00786555" w:rsidP="00646887">
      <w:pPr>
        <w:pStyle w:val="Notes"/>
        <w:keepNext/>
        <w:keepLines/>
      </w:pPr>
      <w:r w:rsidRPr="00B05C21">
        <w:t xml:space="preserve">It is assumed that unrestricted PBS medications can be used in possible combinations which reflect clinical practice/individual physician therapeutic decisions; the PBS neither explicitly restricts nor mandates such combination use. Some of these possible combinations may not reflect best practice or likely combinations seen in practice. </w:t>
      </w:r>
    </w:p>
    <w:p w:rsidR="00786555" w:rsidRPr="00147DCC" w:rsidRDefault="00786555" w:rsidP="00492694">
      <w:pPr>
        <w:pStyle w:val="BodyText1"/>
      </w:pPr>
    </w:p>
    <w:p w:rsidR="006477A2" w:rsidRPr="00646887" w:rsidRDefault="006477A2" w:rsidP="00492694">
      <w:pPr>
        <w:rPr>
          <w:b/>
        </w:rPr>
      </w:pPr>
      <w:r w:rsidRPr="002B78B5">
        <w:rPr>
          <w:b/>
        </w:rPr>
        <w:lastRenderedPageBreak/>
        <w:t xml:space="preserve">Figure </w:t>
      </w:r>
      <w:r w:rsidR="00F32E28" w:rsidRPr="002B78B5">
        <w:rPr>
          <w:b/>
        </w:rPr>
        <w:t>2.</w:t>
      </w:r>
      <w:r w:rsidR="00646887">
        <w:rPr>
          <w:b/>
        </w:rPr>
        <w:t>4.</w:t>
      </w:r>
      <w:r w:rsidRPr="002B78B5">
        <w:rPr>
          <w:b/>
        </w:rPr>
        <w:t xml:space="preserve"> </w:t>
      </w:r>
      <w:r w:rsidRPr="00646887">
        <w:rPr>
          <w:b/>
        </w:rPr>
        <w:t xml:space="preserve">Flow chart of </w:t>
      </w:r>
      <w:r w:rsidR="00840C82">
        <w:rPr>
          <w:b/>
        </w:rPr>
        <w:t xml:space="preserve">pharmacotherapy </w:t>
      </w:r>
      <w:r w:rsidRPr="00646887">
        <w:rPr>
          <w:b/>
        </w:rPr>
        <w:t xml:space="preserve">treatment options for type 2 diabetes based on </w:t>
      </w:r>
      <w:r w:rsidR="00120D61" w:rsidRPr="00646887">
        <w:rPr>
          <w:b/>
        </w:rPr>
        <w:t>PBS restrictions</w:t>
      </w:r>
      <w:r w:rsidR="00471B97" w:rsidRPr="00646887">
        <w:rPr>
          <w:b/>
        </w:rPr>
        <w:t xml:space="preserve"> (at 1 July 2014).</w:t>
      </w:r>
    </w:p>
    <w:p w:rsidR="00950E61" w:rsidRDefault="00BE7456" w:rsidP="00492694">
      <w:pPr>
        <w:pStyle w:val="BodyText1"/>
      </w:pPr>
      <w:r>
        <w:rPr>
          <w:lang w:eastAsia="en-AU"/>
        </w:rPr>
        <w:drawing>
          <wp:inline distT="0" distB="0" distL="0" distR="0" wp14:anchorId="3684BDB6" wp14:editId="1D6EB926">
            <wp:extent cx="6031899" cy="3151761"/>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039729" cy="3155852"/>
                    </a:xfrm>
                    <a:prstGeom prst="rect">
                      <a:avLst/>
                    </a:prstGeom>
                    <a:noFill/>
                  </pic:spPr>
                </pic:pic>
              </a:graphicData>
            </a:graphic>
          </wp:inline>
        </w:drawing>
      </w:r>
    </w:p>
    <w:p w:rsidR="000E5260" w:rsidRDefault="001F5FF8" w:rsidP="00F75D7C">
      <w:pPr>
        <w:widowControl w:val="0"/>
        <w:spacing w:after="0"/>
        <w:rPr>
          <w:sz w:val="20"/>
          <w:szCs w:val="20"/>
        </w:rPr>
      </w:pPr>
      <w:r w:rsidRPr="000E5260">
        <w:rPr>
          <w:sz w:val="20"/>
          <w:szCs w:val="20"/>
          <w:u w:val="single"/>
        </w:rPr>
        <w:t>Notes</w:t>
      </w:r>
      <w:r w:rsidRPr="001F5FF8">
        <w:rPr>
          <w:sz w:val="20"/>
          <w:szCs w:val="20"/>
        </w:rPr>
        <w:t xml:space="preserve">: </w:t>
      </w:r>
    </w:p>
    <w:p w:rsidR="001F5FF8" w:rsidRPr="001F5FF8" w:rsidRDefault="001F5FF8" w:rsidP="00F75D7C">
      <w:pPr>
        <w:widowControl w:val="0"/>
        <w:spacing w:after="0"/>
        <w:rPr>
          <w:sz w:val="20"/>
          <w:szCs w:val="20"/>
        </w:rPr>
      </w:pPr>
      <w:r w:rsidRPr="001F5FF8">
        <w:rPr>
          <w:sz w:val="20"/>
          <w:szCs w:val="20"/>
        </w:rPr>
        <w:t>Acarbose has an unrestricted listing and can be used</w:t>
      </w:r>
      <w:r w:rsidR="00F75D7C">
        <w:rPr>
          <w:sz w:val="20"/>
          <w:szCs w:val="20"/>
        </w:rPr>
        <w:t xml:space="preserve"> in any combination with MET, SU and Insulin</w:t>
      </w:r>
      <w:r w:rsidRPr="001F5FF8">
        <w:rPr>
          <w:sz w:val="20"/>
          <w:szCs w:val="20"/>
        </w:rPr>
        <w:t xml:space="preserve">. </w:t>
      </w:r>
    </w:p>
    <w:p w:rsidR="001F5FF8" w:rsidRDefault="001F5FF8" w:rsidP="00F75D7C">
      <w:pPr>
        <w:widowControl w:val="0"/>
        <w:spacing w:after="0"/>
        <w:rPr>
          <w:sz w:val="20"/>
          <w:szCs w:val="20"/>
        </w:rPr>
      </w:pPr>
      <w:r w:rsidRPr="001F5FF8">
        <w:rPr>
          <w:sz w:val="20"/>
          <w:szCs w:val="20"/>
        </w:rPr>
        <w:t>Green = monotherapy;  yellow = dual therapy; red = triple therapy; white = mono or combination therapy.</w:t>
      </w:r>
    </w:p>
    <w:p w:rsidR="000E5260" w:rsidRDefault="000E5260" w:rsidP="00F75D7C">
      <w:pPr>
        <w:widowControl w:val="0"/>
        <w:spacing w:after="0"/>
        <w:rPr>
          <w:sz w:val="20"/>
          <w:szCs w:val="20"/>
        </w:rPr>
      </w:pPr>
      <w:r w:rsidRPr="000E5260">
        <w:rPr>
          <w:sz w:val="20"/>
          <w:szCs w:val="20"/>
          <w:vertAlign w:val="superscript"/>
        </w:rPr>
        <w:t>a</w:t>
      </w:r>
      <w:r>
        <w:rPr>
          <w:sz w:val="20"/>
          <w:szCs w:val="20"/>
        </w:rPr>
        <w:t xml:space="preserve"> Switching allowed between MET + SU and MET/SU + DPP-4-i.</w:t>
      </w:r>
    </w:p>
    <w:p w:rsidR="000E5260" w:rsidRPr="001F5FF8" w:rsidRDefault="000E5260" w:rsidP="00F75D7C">
      <w:pPr>
        <w:widowControl w:val="0"/>
        <w:spacing w:after="0"/>
        <w:rPr>
          <w:sz w:val="20"/>
          <w:szCs w:val="20"/>
        </w:rPr>
      </w:pPr>
      <w:r w:rsidRPr="000E5260">
        <w:rPr>
          <w:sz w:val="20"/>
          <w:szCs w:val="20"/>
          <w:vertAlign w:val="superscript"/>
        </w:rPr>
        <w:t>b</w:t>
      </w:r>
      <w:r>
        <w:rPr>
          <w:sz w:val="20"/>
          <w:szCs w:val="20"/>
        </w:rPr>
        <w:t xml:space="preserve"> Switching allowed between MET + SU + Exen and MET + SU + Pio.</w:t>
      </w:r>
    </w:p>
    <w:p w:rsidR="001F5FF8" w:rsidRPr="001F5FF8" w:rsidRDefault="000E5260" w:rsidP="00F75D7C">
      <w:pPr>
        <w:widowControl w:val="0"/>
        <w:spacing w:after="0"/>
        <w:rPr>
          <w:sz w:val="20"/>
          <w:szCs w:val="20"/>
        </w:rPr>
      </w:pPr>
      <w:r w:rsidRPr="000E5260">
        <w:rPr>
          <w:sz w:val="20"/>
          <w:szCs w:val="20"/>
          <w:u w:val="single"/>
        </w:rPr>
        <w:t>Abbreviations</w:t>
      </w:r>
      <w:r>
        <w:rPr>
          <w:sz w:val="20"/>
          <w:szCs w:val="20"/>
        </w:rPr>
        <w:t xml:space="preserve">: </w:t>
      </w:r>
      <w:r w:rsidR="001F5FF8" w:rsidRPr="001F5FF8">
        <w:rPr>
          <w:sz w:val="20"/>
          <w:szCs w:val="20"/>
        </w:rPr>
        <w:t>DPP-4-I = DPP-4 inhibitor (gliptin);  Exen = exenatide; Glit = glitazone; MET = metformin; Pio = pioglitazone; SGLT2 = SGLT2 inhibitor (gliflozin); SU = sulfonylurea.</w:t>
      </w:r>
    </w:p>
    <w:p w:rsidR="001F5FF8" w:rsidRDefault="001F5FF8" w:rsidP="001F5FF8">
      <w:pPr>
        <w:widowControl w:val="0"/>
        <w:rPr>
          <w:sz w:val="20"/>
          <w:szCs w:val="20"/>
        </w:rPr>
      </w:pPr>
      <w:r>
        <w:t> </w:t>
      </w:r>
    </w:p>
    <w:p w:rsidR="00DD68C3" w:rsidRPr="00A53E3C" w:rsidRDefault="00AC2C5F" w:rsidP="00492694">
      <w:pPr>
        <w:pStyle w:val="Heading2"/>
      </w:pPr>
      <w:bookmarkStart w:id="205" w:name="_2.8.2__Comparison"/>
      <w:bookmarkStart w:id="206" w:name="_2.7.4_Review_of"/>
      <w:bookmarkStart w:id="207" w:name="_Toc382906727"/>
      <w:bookmarkStart w:id="208" w:name="_Toc397947707"/>
      <w:bookmarkStart w:id="209" w:name="_Toc403399548"/>
      <w:bookmarkEnd w:id="205"/>
      <w:bookmarkEnd w:id="206"/>
      <w:r>
        <w:t>2</w:t>
      </w:r>
      <w:r w:rsidR="000437D6">
        <w:t>.9</w:t>
      </w:r>
      <w:r w:rsidR="00DD68C3" w:rsidRPr="00A53E3C">
        <w:tab/>
      </w:r>
      <w:r w:rsidR="00A97428">
        <w:t xml:space="preserve">Australian Government Management </w:t>
      </w:r>
      <w:r w:rsidR="00DD68C3" w:rsidRPr="00A53E3C">
        <w:t>Program</w:t>
      </w:r>
      <w:r w:rsidR="00000278">
        <w:t>me</w:t>
      </w:r>
      <w:r w:rsidR="00DD68C3" w:rsidRPr="00A53E3C">
        <w:t>s and Publications</w:t>
      </w:r>
      <w:bookmarkEnd w:id="207"/>
      <w:bookmarkEnd w:id="208"/>
      <w:bookmarkEnd w:id="209"/>
    </w:p>
    <w:p w:rsidR="002E2392" w:rsidRDefault="002E2392" w:rsidP="002E2392">
      <w:bookmarkStart w:id="210" w:name="_Toc382906728"/>
      <w:r>
        <w:t xml:space="preserve">This section provides information on a number of Australian Government programmes that support diabetes management, with further programmes provided at </w:t>
      </w:r>
      <w:hyperlink w:anchor="_Appendix_B:_Reference" w:history="1">
        <w:r w:rsidRPr="006E1080">
          <w:rPr>
            <w:rStyle w:val="Hyperlink"/>
          </w:rPr>
          <w:t>Appendix C</w:t>
        </w:r>
      </w:hyperlink>
      <w:r>
        <w:t>.</w:t>
      </w:r>
    </w:p>
    <w:p w:rsidR="009F0FA2" w:rsidRPr="00A53E3C" w:rsidRDefault="000437D6" w:rsidP="00492694">
      <w:pPr>
        <w:pStyle w:val="Heading3"/>
      </w:pPr>
      <w:r>
        <w:t>2.9</w:t>
      </w:r>
      <w:r w:rsidR="009F0FA2" w:rsidRPr="00A53E3C">
        <w:t>.1</w:t>
      </w:r>
      <w:r w:rsidR="009F0FA2" w:rsidRPr="00A53E3C">
        <w:tab/>
      </w:r>
      <w:r w:rsidR="00A97428">
        <w:t>NPS Med</w:t>
      </w:r>
      <w:r w:rsidR="00A60FA8">
        <w:t>i</w:t>
      </w:r>
      <w:r w:rsidR="00A97428">
        <w:t xml:space="preserve">cineWise </w:t>
      </w:r>
      <w:r w:rsidR="009F0FA2" w:rsidRPr="00DF2BA1">
        <w:t>Program</w:t>
      </w:r>
      <w:r w:rsidR="00000278" w:rsidRPr="00DF2BA1">
        <w:t>me</w:t>
      </w:r>
      <w:r w:rsidR="009F0FA2" w:rsidRPr="00DF2BA1">
        <w:t>s</w:t>
      </w:r>
      <w:bookmarkEnd w:id="210"/>
      <w:r w:rsidR="009F0FA2" w:rsidRPr="00A53E3C">
        <w:t xml:space="preserve"> </w:t>
      </w:r>
    </w:p>
    <w:p w:rsidR="009F0FA2" w:rsidRPr="00A53E3C" w:rsidRDefault="00A97428" w:rsidP="00492694">
      <w:pPr>
        <w:pStyle w:val="BodyText1"/>
      </w:pPr>
      <w:r>
        <w:t xml:space="preserve">NPS </w:t>
      </w:r>
      <w:r w:rsidR="009F3296">
        <w:t xml:space="preserve">MedicineWise is an independent </w:t>
      </w:r>
      <w:r>
        <w:t xml:space="preserve">organisation </w:t>
      </w:r>
      <w:r w:rsidR="009F3296">
        <w:t>funded by the Australian Government to provide evidence-based information to support quality use of medicines and improve the way medic</w:t>
      </w:r>
      <w:r w:rsidR="00AD5BD0">
        <w:t>i</w:t>
      </w:r>
      <w:r w:rsidR="009F3296">
        <w:t xml:space="preserve">nes and medical tests are prescribed and used. </w:t>
      </w:r>
      <w:r w:rsidR="0029754C" w:rsidRPr="00A53E3C">
        <w:t>NPS MedicineWise</w:t>
      </w:r>
      <w:r w:rsidR="009F0FA2" w:rsidRPr="00A53E3C">
        <w:t xml:space="preserve"> has developed and implemented four </w:t>
      </w:r>
      <w:r w:rsidR="000A134A">
        <w:t>educational (</w:t>
      </w:r>
      <w:r w:rsidR="009F0FA2" w:rsidRPr="00A53E3C">
        <w:t>academic detailing</w:t>
      </w:r>
      <w:r w:rsidR="000A134A">
        <w:t>)</w:t>
      </w:r>
      <w:r w:rsidR="009F0FA2" w:rsidRPr="00A53E3C">
        <w:t xml:space="preserve"> program</w:t>
      </w:r>
      <w:r w:rsidR="00000278">
        <w:t>me</w:t>
      </w:r>
      <w:r w:rsidR="009F0FA2" w:rsidRPr="00A53E3C">
        <w:t xml:space="preserve">s </w:t>
      </w:r>
      <w:r w:rsidR="000A134A">
        <w:t xml:space="preserve">for health professionals </w:t>
      </w:r>
      <w:r w:rsidR="009F0FA2" w:rsidRPr="00A53E3C">
        <w:t xml:space="preserve">focusing on </w:t>
      </w:r>
      <w:r w:rsidR="00BD203E">
        <w:t>type 2 diabetes</w:t>
      </w:r>
      <w:r w:rsidR="00DF2BA1">
        <w:t xml:space="preserve"> </w:t>
      </w:r>
      <w:r w:rsidR="009F0FA2" w:rsidRPr="00A53E3C">
        <w:t xml:space="preserve">since its conception in 1998. </w:t>
      </w:r>
      <w:r w:rsidR="00DF2BA1">
        <w:t xml:space="preserve">The most recent programme, </w:t>
      </w:r>
      <w:r w:rsidR="00DF2BA1" w:rsidRPr="00DF2BA1">
        <w:rPr>
          <w:i/>
        </w:rPr>
        <w:t>Type 2 Diabetes: Priorities and targets (2012)</w:t>
      </w:r>
      <w:r w:rsidR="00DF2BA1">
        <w:t>,</w:t>
      </w:r>
      <w:r w:rsidR="00DF2BA1">
        <w:rPr>
          <w:i/>
        </w:rPr>
        <w:t xml:space="preserve"> </w:t>
      </w:r>
      <w:r w:rsidR="00DF2BA1">
        <w:t xml:space="preserve">resulted in the engagement of </w:t>
      </w:r>
      <w:r w:rsidR="009F0FA2" w:rsidRPr="00A53E3C">
        <w:t xml:space="preserve">a </w:t>
      </w:r>
      <w:r w:rsidR="009F0FA2" w:rsidRPr="00207077">
        <w:t xml:space="preserve">total of </w:t>
      </w:r>
      <w:r w:rsidR="00A60FA8">
        <w:t>17,448 unique</w:t>
      </w:r>
      <w:r w:rsidR="009F0FA2" w:rsidRPr="00A53E3C">
        <w:t xml:space="preserve"> health professio</w:t>
      </w:r>
      <w:r w:rsidR="009D7E91">
        <w:t xml:space="preserve">nals, including </w:t>
      </w:r>
      <w:r w:rsidR="00A60FA8">
        <w:t>11,362</w:t>
      </w:r>
      <w:r w:rsidR="00926C6C">
        <w:t xml:space="preserve"> general practitioners (GPs)</w:t>
      </w:r>
      <w:r w:rsidR="009F0FA2" w:rsidRPr="00A53E3C">
        <w:t>.</w:t>
      </w:r>
    </w:p>
    <w:p w:rsidR="009F0FA2" w:rsidRPr="00A53E3C" w:rsidRDefault="009F0FA2" w:rsidP="00492694">
      <w:pPr>
        <w:pStyle w:val="BodyText1"/>
      </w:pPr>
      <w:r w:rsidRPr="00A53E3C">
        <w:t>Key messages of the program</w:t>
      </w:r>
      <w:r w:rsidR="00000278">
        <w:t>me</w:t>
      </w:r>
      <w:r w:rsidR="00877AEE">
        <w:t xml:space="preserve"> were</w:t>
      </w:r>
      <w:r w:rsidRPr="00A53E3C">
        <w:t>:</w:t>
      </w:r>
    </w:p>
    <w:p w:rsidR="009F0FA2" w:rsidRPr="00A53E3C" w:rsidRDefault="009F0FA2" w:rsidP="00492694">
      <w:pPr>
        <w:pStyle w:val="ListBullet1"/>
        <w:numPr>
          <w:ilvl w:val="0"/>
          <w:numId w:val="3"/>
        </w:numPr>
      </w:pPr>
      <w:r w:rsidRPr="00A53E3C">
        <w:lastRenderedPageBreak/>
        <w:t>Address blood pressure (BP) and lipids as a priority</w:t>
      </w:r>
      <w:r w:rsidR="00DF2BA1">
        <w:t>.</w:t>
      </w:r>
    </w:p>
    <w:p w:rsidR="009F0FA2" w:rsidRPr="00A53E3C" w:rsidRDefault="009F0FA2" w:rsidP="00492694">
      <w:pPr>
        <w:pStyle w:val="ListBullet1"/>
        <w:numPr>
          <w:ilvl w:val="0"/>
          <w:numId w:val="3"/>
        </w:numPr>
      </w:pPr>
      <w:r w:rsidRPr="00A53E3C">
        <w:t>Treat according to cardiovascular risk</w:t>
      </w:r>
      <w:r w:rsidR="00DF2BA1">
        <w:t>.</w:t>
      </w:r>
    </w:p>
    <w:p w:rsidR="009F0FA2" w:rsidRPr="00A53E3C" w:rsidRDefault="009F0FA2" w:rsidP="00492694">
      <w:pPr>
        <w:pStyle w:val="ListBullet1"/>
        <w:numPr>
          <w:ilvl w:val="0"/>
          <w:numId w:val="3"/>
        </w:numPr>
      </w:pPr>
      <w:r w:rsidRPr="00A53E3C">
        <w:t xml:space="preserve">Controlling BP and lipids appears more effective in reducing </w:t>
      </w:r>
      <w:r w:rsidR="009D7E91">
        <w:t xml:space="preserve">cardiovascular disease </w:t>
      </w:r>
      <w:r w:rsidRPr="00A53E3C">
        <w:t>than tightening blood glucose levels</w:t>
      </w:r>
      <w:r w:rsidR="00DF2BA1">
        <w:t>.</w:t>
      </w:r>
    </w:p>
    <w:p w:rsidR="009F0FA2" w:rsidRPr="00A53E3C" w:rsidRDefault="009F0FA2" w:rsidP="00492694">
      <w:pPr>
        <w:pStyle w:val="ListBullet1"/>
        <w:numPr>
          <w:ilvl w:val="0"/>
          <w:numId w:val="3"/>
        </w:numPr>
      </w:pPr>
      <w:r w:rsidRPr="00A53E3C">
        <w:t>Individualise blood glucose targets based on patient factors and duration of disease</w:t>
      </w:r>
      <w:r w:rsidR="00DF2BA1">
        <w:t>.</w:t>
      </w:r>
    </w:p>
    <w:p w:rsidR="009F0FA2" w:rsidRPr="00A53E3C" w:rsidRDefault="009F0FA2" w:rsidP="00492694">
      <w:pPr>
        <w:pStyle w:val="ListBullet1"/>
        <w:numPr>
          <w:ilvl w:val="0"/>
          <w:numId w:val="3"/>
        </w:numPr>
      </w:pPr>
      <w:r w:rsidRPr="00A53E3C">
        <w:t>Lowering blood glucose levels reduces microvascular complications</w:t>
      </w:r>
      <w:r w:rsidR="00DF2BA1">
        <w:t>.</w:t>
      </w:r>
    </w:p>
    <w:p w:rsidR="009F0FA2" w:rsidRPr="00A53E3C" w:rsidRDefault="009F0FA2" w:rsidP="00492694">
      <w:pPr>
        <w:pStyle w:val="ListBullet1"/>
        <w:numPr>
          <w:ilvl w:val="0"/>
          <w:numId w:val="3"/>
        </w:numPr>
      </w:pPr>
      <w:r w:rsidRPr="00A53E3C">
        <w:t xml:space="preserve">Use </w:t>
      </w:r>
      <w:r w:rsidR="009D7E91">
        <w:t xml:space="preserve">the </w:t>
      </w:r>
      <w:r w:rsidR="002E048B">
        <w:t xml:space="preserve">ADS </w:t>
      </w:r>
      <w:r w:rsidRPr="00A53E3C">
        <w:t xml:space="preserve">position statement to individualise </w:t>
      </w:r>
      <w:r w:rsidR="000F4388">
        <w:t>HbA</w:t>
      </w:r>
      <w:r w:rsidR="00877AEE">
        <w:rPr>
          <w:vertAlign w:val="subscript"/>
        </w:rPr>
        <w:t>1c</w:t>
      </w:r>
      <w:r w:rsidRPr="00A53E3C">
        <w:t xml:space="preserve"> targets</w:t>
      </w:r>
      <w:r w:rsidR="009D7E91">
        <w:t>.</w:t>
      </w:r>
    </w:p>
    <w:p w:rsidR="00D86CBF" w:rsidRDefault="00D86CBF" w:rsidP="00A304F0">
      <w:pPr>
        <w:pStyle w:val="ListBullet1"/>
        <w:numPr>
          <w:ilvl w:val="0"/>
          <w:numId w:val="0"/>
        </w:numPr>
        <w:ind w:left="360" w:hanging="360"/>
      </w:pPr>
    </w:p>
    <w:p w:rsidR="00877AEE" w:rsidRPr="00A53E3C" w:rsidRDefault="00877AEE" w:rsidP="00A304F0">
      <w:pPr>
        <w:pStyle w:val="ListBullet1"/>
        <w:numPr>
          <w:ilvl w:val="0"/>
          <w:numId w:val="0"/>
        </w:numPr>
        <w:ind w:left="360"/>
      </w:pPr>
      <w:r>
        <w:t>Key messages of previous programmes were:</w:t>
      </w:r>
    </w:p>
    <w:p w:rsidR="009F0FA2" w:rsidRPr="00A53E3C" w:rsidRDefault="00877AEE" w:rsidP="00492694">
      <w:pPr>
        <w:pStyle w:val="ListBullet1"/>
        <w:numPr>
          <w:ilvl w:val="0"/>
          <w:numId w:val="4"/>
        </w:numPr>
      </w:pPr>
      <w:r w:rsidRPr="00A53E3C">
        <w:t>Encourage intensive lifestyle change to slow progression to diabetes and prevent complications</w:t>
      </w:r>
      <w:r>
        <w:t xml:space="preserve">, and encourage </w:t>
      </w:r>
      <w:r w:rsidR="009F0FA2" w:rsidRPr="00A53E3C">
        <w:t xml:space="preserve">continuing lifestyle interventions </w:t>
      </w:r>
      <w:r>
        <w:t xml:space="preserve">to </w:t>
      </w:r>
      <w:r w:rsidR="009F0FA2" w:rsidRPr="00A53E3C">
        <w:t>decrease disease progression</w:t>
      </w:r>
      <w:r>
        <w:t>.</w:t>
      </w:r>
    </w:p>
    <w:p w:rsidR="009F0FA2" w:rsidRPr="00A53E3C" w:rsidRDefault="009F0FA2" w:rsidP="00492694">
      <w:pPr>
        <w:pStyle w:val="ListBullet1"/>
        <w:numPr>
          <w:ilvl w:val="0"/>
          <w:numId w:val="4"/>
        </w:numPr>
      </w:pPr>
      <w:r w:rsidRPr="00A53E3C">
        <w:t xml:space="preserve">Initiate insulin early by adding night-time basal insulin to oral </w:t>
      </w:r>
      <w:r w:rsidR="00330A49">
        <w:t>diabetes medicines</w:t>
      </w:r>
      <w:r w:rsidR="00877AEE">
        <w:t>.</w:t>
      </w:r>
    </w:p>
    <w:p w:rsidR="009F0FA2" w:rsidRPr="00A53E3C" w:rsidRDefault="009F0FA2" w:rsidP="00492694">
      <w:pPr>
        <w:pStyle w:val="ListBullet1"/>
        <w:numPr>
          <w:ilvl w:val="0"/>
          <w:numId w:val="4"/>
        </w:numPr>
      </w:pPr>
      <w:r w:rsidRPr="00A53E3C">
        <w:t>Ensure metformin is part of ongoing therapy</w:t>
      </w:r>
      <w:r w:rsidR="00877AEE">
        <w:t xml:space="preserve">. </w:t>
      </w:r>
      <w:r w:rsidR="00877AEE" w:rsidRPr="00A53E3C">
        <w:t>Metformin is the preferred initial drug therapy unless contraindicated</w:t>
      </w:r>
      <w:r w:rsidR="00877AEE">
        <w:t>.</w:t>
      </w:r>
    </w:p>
    <w:p w:rsidR="009F0FA2" w:rsidRPr="00A53E3C" w:rsidRDefault="009F0FA2" w:rsidP="00492694">
      <w:pPr>
        <w:pStyle w:val="ListBullet1"/>
        <w:numPr>
          <w:ilvl w:val="0"/>
          <w:numId w:val="4"/>
        </w:numPr>
      </w:pPr>
      <w:r w:rsidRPr="00A53E3C">
        <w:t xml:space="preserve">Review use of </w:t>
      </w:r>
      <w:r w:rsidR="005D1A5F">
        <w:t xml:space="preserve">TZDs </w:t>
      </w:r>
      <w:r w:rsidRPr="00A53E3C">
        <w:t>in heart failure and ischaemic heart disease</w:t>
      </w:r>
      <w:r w:rsidR="009D7E91">
        <w:t>.</w:t>
      </w:r>
    </w:p>
    <w:p w:rsidR="009F0FA2" w:rsidRDefault="009F0FA2" w:rsidP="00492694">
      <w:pPr>
        <w:pStyle w:val="ListBullet1"/>
        <w:numPr>
          <w:ilvl w:val="0"/>
          <w:numId w:val="5"/>
        </w:numPr>
      </w:pPr>
      <w:r w:rsidRPr="00A53E3C">
        <w:t>Individualise lifestyle interventions, targets, monitoring and drug therapy</w:t>
      </w:r>
      <w:r w:rsidR="005B21B9">
        <w:t>.</w:t>
      </w:r>
    </w:p>
    <w:p w:rsidR="005D1A5F" w:rsidRDefault="005D1A5F" w:rsidP="00492694">
      <w:pPr>
        <w:pStyle w:val="BodyText1"/>
      </w:pPr>
      <w:r>
        <w:t xml:space="preserve">The 2005 and 2008 diabetes management programmes reached 12,464 GPs (51% of all GPs) and participation was associated with a relative increase in the prescribing of metformin. The 2008 programme </w:t>
      </w:r>
      <w:r w:rsidR="00660584">
        <w:t xml:space="preserve">also </w:t>
      </w:r>
      <w:r>
        <w:t>re</w:t>
      </w:r>
      <w:r w:rsidR="001808F7">
        <w:t>sulted in increased rates of insulin presc</w:t>
      </w:r>
      <w:r w:rsidR="008D3BDA">
        <w:t>ription and relative decreas</w:t>
      </w:r>
      <w:r w:rsidR="001808F7">
        <w:t xml:space="preserve">es in the rates of </w:t>
      </w:r>
      <w:r w:rsidR="006820B1">
        <w:t>TZD</w:t>
      </w:r>
      <w:r w:rsidR="001808F7">
        <w:t xml:space="preserve"> prescriptions.</w:t>
      </w:r>
      <w:r w:rsidR="0093455B" w:rsidRPr="00DF4210">
        <w:rPr>
          <w:vertAlign w:val="superscript"/>
        </w:rPr>
        <w:t>46</w:t>
      </w:r>
    </w:p>
    <w:p w:rsidR="00F431AD" w:rsidRDefault="00F431AD" w:rsidP="00492694">
      <w:pPr>
        <w:pStyle w:val="Heading3"/>
      </w:pPr>
      <w:bookmarkStart w:id="211" w:name="_Toc382906729"/>
      <w:r>
        <w:t>2.9</w:t>
      </w:r>
      <w:r w:rsidRPr="00A53E3C">
        <w:t>.2</w:t>
      </w:r>
      <w:r w:rsidRPr="00A53E3C">
        <w:tab/>
      </w:r>
      <w:r w:rsidR="00A97428">
        <w:t xml:space="preserve">NPS MedicineWise </w:t>
      </w:r>
      <w:r w:rsidRPr="00A53E3C">
        <w:t xml:space="preserve">Articles on </w:t>
      </w:r>
      <w:bookmarkEnd w:id="211"/>
      <w:r w:rsidR="00DF0569">
        <w:t xml:space="preserve">Pharmacological Management </w:t>
      </w:r>
    </w:p>
    <w:p w:rsidR="00DF0569" w:rsidRDefault="00F016A9" w:rsidP="00492694">
      <w:pPr>
        <w:pStyle w:val="BodyText1"/>
      </w:pPr>
      <w:r>
        <w:t>NPS MedicineWise also provides online training in the management of type 2 diabetes for a variety of health professionals, including Pharmacy Practice Reviews,</w:t>
      </w:r>
      <w:r w:rsidR="0093455B" w:rsidRPr="00DF4210">
        <w:rPr>
          <w:vertAlign w:val="superscript"/>
        </w:rPr>
        <w:t>47</w:t>
      </w:r>
      <w:r>
        <w:t xml:space="preserve"> </w:t>
      </w:r>
      <w:r w:rsidR="00E47298">
        <w:t>Curriculum modules for students,</w:t>
      </w:r>
      <w:r w:rsidR="0093455B" w:rsidRPr="00DF4210">
        <w:rPr>
          <w:vertAlign w:val="superscript"/>
        </w:rPr>
        <w:t>48</w:t>
      </w:r>
      <w:r w:rsidR="00DF4210" w:rsidRPr="00DF4210">
        <w:rPr>
          <w:vertAlign w:val="superscript"/>
        </w:rPr>
        <w:t xml:space="preserve">; </w:t>
      </w:r>
      <w:r w:rsidR="0093455B" w:rsidRPr="00DF4210">
        <w:rPr>
          <w:vertAlign w:val="superscript"/>
        </w:rPr>
        <w:t>49</w:t>
      </w:r>
      <w:r w:rsidR="00E47298">
        <w:t xml:space="preserve"> case studies,</w:t>
      </w:r>
      <w:r w:rsidR="0093455B" w:rsidRPr="00DF4210">
        <w:rPr>
          <w:vertAlign w:val="superscript"/>
        </w:rPr>
        <w:t>50</w:t>
      </w:r>
      <w:r w:rsidR="00E47298">
        <w:t xml:space="preserve"> and Clinical e-Audits for GPs</w:t>
      </w:r>
      <w:r>
        <w:t>.</w:t>
      </w:r>
      <w:r w:rsidR="0093455B" w:rsidRPr="00DF4210">
        <w:rPr>
          <w:vertAlign w:val="superscript"/>
        </w:rPr>
        <w:t>51</w:t>
      </w:r>
      <w:r w:rsidR="00DF0569">
        <w:t xml:space="preserve"> </w:t>
      </w:r>
      <w:r w:rsidR="00172597">
        <w:t xml:space="preserve">The </w:t>
      </w:r>
      <w:r w:rsidR="00F431AD">
        <w:t xml:space="preserve">key messages in the </w:t>
      </w:r>
      <w:r w:rsidR="00DF0569">
        <w:t xml:space="preserve">online </w:t>
      </w:r>
      <w:r w:rsidR="00F431AD">
        <w:t xml:space="preserve">articles on </w:t>
      </w:r>
      <w:r w:rsidR="000D772C">
        <w:t>p</w:t>
      </w:r>
      <w:r w:rsidR="00172597">
        <w:t>harmacological management of type 2 diabetes</w:t>
      </w:r>
      <w:r w:rsidR="000D772C">
        <w:t xml:space="preserve"> are:</w:t>
      </w:r>
    </w:p>
    <w:p w:rsidR="00DF0569" w:rsidRDefault="00DF0569" w:rsidP="00492694">
      <w:pPr>
        <w:pStyle w:val="ListParagraph"/>
        <w:numPr>
          <w:ilvl w:val="0"/>
          <w:numId w:val="5"/>
        </w:numPr>
      </w:pPr>
      <w:r>
        <w:t>Manage BP and cholesterol to reduce cardiovascular outcomes, using targets as guides.</w:t>
      </w:r>
    </w:p>
    <w:p w:rsidR="00DF0569" w:rsidRDefault="00DF0569" w:rsidP="00492694">
      <w:pPr>
        <w:pStyle w:val="ListParagraph"/>
        <w:numPr>
          <w:ilvl w:val="0"/>
          <w:numId w:val="5"/>
        </w:numPr>
      </w:pPr>
      <w:r>
        <w:t>Individualise glycaemic targets. Tight glycaemic control is desirable for people recently diagnosed (HbA</w:t>
      </w:r>
      <w:r w:rsidRPr="00492694">
        <w:rPr>
          <w:vertAlign w:val="subscript"/>
        </w:rPr>
        <w:t>1c</w:t>
      </w:r>
      <w:r>
        <w:t xml:space="preserve"> ≤ 48 mmol/mol, or 6.5%). Lower targets can be set for those using lifestyle interventions or metformin. For those with longer standing disease, cardiovascular disease or other comorbidities, the benefits of tight glycaemic control do not outweigh the risks of severe hypoglycaemia and a HbA</w:t>
      </w:r>
      <w:r w:rsidRPr="00492694">
        <w:rPr>
          <w:vertAlign w:val="subscript"/>
        </w:rPr>
        <w:t>1c</w:t>
      </w:r>
      <w:r>
        <w:t xml:space="preserve"> target of ≤ 53 mmol/mol or 7% is generally appropriate.</w:t>
      </w:r>
    </w:p>
    <w:p w:rsidR="00DF0569" w:rsidRDefault="00DF0569" w:rsidP="00492694">
      <w:pPr>
        <w:pStyle w:val="ListParagraph"/>
        <w:numPr>
          <w:ilvl w:val="0"/>
          <w:numId w:val="5"/>
        </w:numPr>
      </w:pPr>
      <w:r>
        <w:t xml:space="preserve">Metformin is the first medicine of choice. </w:t>
      </w:r>
    </w:p>
    <w:p w:rsidR="00DF0569" w:rsidRDefault="00DF0569" w:rsidP="00492694">
      <w:pPr>
        <w:pStyle w:val="ListParagraph"/>
        <w:numPr>
          <w:ilvl w:val="0"/>
          <w:numId w:val="5"/>
        </w:numPr>
      </w:pPr>
      <w:r>
        <w:t xml:space="preserve">Adding a sulfonylurea is the preferred second-line treatment option unless there are contraindications, or for use first-line if metformin is contraindicated. </w:t>
      </w:r>
      <w:r w:rsidRPr="00DF0569">
        <w:lastRenderedPageBreak/>
        <w:t>Sulfonylureas are as effective in reducing HbA</w:t>
      </w:r>
      <w:r w:rsidRPr="00492694">
        <w:rPr>
          <w:vertAlign w:val="subscript"/>
        </w:rPr>
        <w:t>1c</w:t>
      </w:r>
      <w:r w:rsidRPr="00DF0569">
        <w:t xml:space="preserve"> as newer medicines and have been shown to reduce microvascular complications. </w:t>
      </w:r>
    </w:p>
    <w:p w:rsidR="00DF0569" w:rsidRPr="00DF0569" w:rsidRDefault="00DF0569" w:rsidP="00492694">
      <w:pPr>
        <w:pStyle w:val="ListParagraph"/>
        <w:numPr>
          <w:ilvl w:val="0"/>
          <w:numId w:val="5"/>
        </w:numPr>
      </w:pPr>
      <w:r w:rsidRPr="00DF0569">
        <w:t>Insulin is the preferred medicine for people with inadequate glycaemic control despite taking maximally tolerated doses o</w:t>
      </w:r>
      <w:r w:rsidR="006072FE">
        <w:t>f metformin and a sulfonylurea, as it reduces microvascular outcomes and is highly effective at reducing HbA</w:t>
      </w:r>
      <w:r w:rsidR="006072FE" w:rsidRPr="00492694">
        <w:rPr>
          <w:vertAlign w:val="subscript"/>
        </w:rPr>
        <w:t>1c</w:t>
      </w:r>
      <w:r w:rsidR="006072FE">
        <w:t>.</w:t>
      </w:r>
    </w:p>
    <w:p w:rsidR="005D44EA" w:rsidRPr="00DF0569" w:rsidRDefault="00DF0569" w:rsidP="00492694">
      <w:pPr>
        <w:pStyle w:val="ListParagraph"/>
        <w:numPr>
          <w:ilvl w:val="0"/>
          <w:numId w:val="5"/>
        </w:numPr>
      </w:pPr>
      <w:r>
        <w:t>Newer medicines improve glycaemic control, but none have been shown to reduce microvascular or macrovascular complications. No combination is superior in lowering HbA</w:t>
      </w:r>
      <w:r w:rsidRPr="00492694">
        <w:rPr>
          <w:vertAlign w:val="subscript"/>
        </w:rPr>
        <w:t>1c</w:t>
      </w:r>
      <w:r>
        <w:t xml:space="preserve"> or safety.</w:t>
      </w:r>
      <w:r w:rsidR="0093455B" w:rsidRPr="00DF4210">
        <w:rPr>
          <w:vertAlign w:val="superscript"/>
        </w:rPr>
        <w:t>52</w:t>
      </w:r>
      <w:r w:rsidR="00DF4210" w:rsidRPr="00DF4210">
        <w:rPr>
          <w:vertAlign w:val="superscript"/>
        </w:rPr>
        <w:t xml:space="preserve">; </w:t>
      </w:r>
      <w:r w:rsidR="0093455B" w:rsidRPr="00DF4210">
        <w:rPr>
          <w:vertAlign w:val="superscript"/>
        </w:rPr>
        <w:t>53</w:t>
      </w:r>
      <w:r w:rsidR="00F431AD">
        <w:t xml:space="preserve"> </w:t>
      </w:r>
    </w:p>
    <w:p w:rsidR="009F3296" w:rsidRDefault="009F3296" w:rsidP="009F3296">
      <w:pPr>
        <w:pStyle w:val="Heading3"/>
      </w:pPr>
      <w:r w:rsidRPr="009F3296">
        <w:t>2.9.3</w:t>
      </w:r>
      <w:r>
        <w:t xml:space="preserve">  Diabetes Care Project</w:t>
      </w:r>
    </w:p>
    <w:p w:rsidR="009F3296" w:rsidRDefault="009F3296" w:rsidP="009F3296">
      <w:r>
        <w:t xml:space="preserve">The Diabetes Care Project is a three </w:t>
      </w:r>
      <w:r w:rsidR="00D26F04">
        <w:t xml:space="preserve">and a half </w:t>
      </w:r>
      <w:r>
        <w:t>year pilot (2011-12 to 201</w:t>
      </w:r>
      <w:r w:rsidR="00D26F04">
        <w:t>4</w:t>
      </w:r>
      <w:r>
        <w:t>-1</w:t>
      </w:r>
      <w:r w:rsidR="00D26F04">
        <w:t>5</w:t>
      </w:r>
      <w:r>
        <w:t xml:space="preserve">) </w:t>
      </w:r>
      <w:r w:rsidR="00D26F04">
        <w:t xml:space="preserve">testing new models of health care delivery  in the primary health care sector, </w:t>
      </w:r>
      <w:r>
        <w:t>designed to</w:t>
      </w:r>
      <w:r w:rsidR="00D26F04">
        <w:t xml:space="preserve"> improve care for adults with either type 1 or type 2 diabetes</w:t>
      </w:r>
      <w:r>
        <w:t>.  The pilot was implemented in three states (Queensland, South Australia and Victoria) across a mix of urban, regional and rural areas. The Australian Government is providing $31.4 million (GST ex</w:t>
      </w:r>
      <w:r w:rsidR="009C7C58">
        <w:t>clusive</w:t>
      </w:r>
      <w:r>
        <w:t xml:space="preserve">) over the three years for the Project. </w:t>
      </w:r>
      <w:r w:rsidRPr="0046168A">
        <w:t>The Victorian Government contributed an additional $2 million</w:t>
      </w:r>
      <w:r w:rsidR="00D26F04">
        <w:t>, bringing the total investment to $33.4 million (GST exclusive)</w:t>
      </w:r>
      <w:r w:rsidRPr="0046168A">
        <w:t>.</w:t>
      </w:r>
    </w:p>
    <w:p w:rsidR="009F3296" w:rsidRDefault="009F3296" w:rsidP="009F3296">
      <w:r>
        <w:t xml:space="preserve">The </w:t>
      </w:r>
      <w:r w:rsidRPr="0046168A">
        <w:t>evaluation of the</w:t>
      </w:r>
      <w:r w:rsidR="000C6FFF">
        <w:t xml:space="preserve"> pilot</w:t>
      </w:r>
      <w:r>
        <w:t xml:space="preserve">  will compare results between two intervention groups and a control group of general practices:</w:t>
      </w:r>
    </w:p>
    <w:p w:rsidR="009F3296" w:rsidRDefault="009F3296" w:rsidP="009F3296">
      <w:pPr>
        <w:pStyle w:val="ListParagraph"/>
        <w:numPr>
          <w:ilvl w:val="0"/>
          <w:numId w:val="5"/>
        </w:numPr>
      </w:pPr>
      <w:r>
        <w:t>Group 1 will pilot an IT system and an educa</w:t>
      </w:r>
      <w:r w:rsidR="00345053">
        <w:t>tion and training programme.</w:t>
      </w:r>
      <w:r>
        <w:t xml:space="preserve"> </w:t>
      </w:r>
    </w:p>
    <w:p w:rsidR="009F3296" w:rsidRDefault="009F3296" w:rsidP="009F3296">
      <w:pPr>
        <w:pStyle w:val="ListParagraph"/>
        <w:numPr>
          <w:ilvl w:val="0"/>
          <w:numId w:val="5"/>
        </w:numPr>
      </w:pPr>
      <w:r>
        <w:t>Grou</w:t>
      </w:r>
      <w:r w:rsidR="00345053">
        <w:t xml:space="preserve">p 2 will pilot an IT system, </w:t>
      </w:r>
      <w:r>
        <w:t>an education and training programme, a flexible funding model and a care facilitator role.</w:t>
      </w:r>
    </w:p>
    <w:p w:rsidR="009F3296" w:rsidRPr="0093424D" w:rsidRDefault="000C6FFF" w:rsidP="0093424D">
      <w:pPr>
        <w:tabs>
          <w:tab w:val="left" w:pos="0"/>
        </w:tabs>
        <w:rPr>
          <w:rFonts w:asciiTheme="majorHAnsi" w:hAnsiTheme="majorHAnsi" w:cs="Times New Roman"/>
          <w:noProof w:val="0"/>
          <w:lang w:eastAsia="en-AU"/>
        </w:rPr>
      </w:pPr>
      <w:r>
        <w:t>The e</w:t>
      </w:r>
      <w:r w:rsidR="009F3296">
        <w:t>valuation of the pilot will</w:t>
      </w:r>
      <w:r>
        <w:t xml:space="preserve"> also</w:t>
      </w:r>
      <w:r w:rsidR="009F3296">
        <w:t xml:space="preserve"> examine the </w:t>
      </w:r>
      <w:r w:rsidR="009F3296" w:rsidRPr="0046168A">
        <w:t>project's</w:t>
      </w:r>
      <w:r w:rsidR="009F3296">
        <w:rPr>
          <w:color w:val="FF0000"/>
        </w:rPr>
        <w:t xml:space="preserve"> </w:t>
      </w:r>
      <w:r w:rsidR="009F3296">
        <w:t>impact on patients’ health outcomes and other indicators such as patient well-being and experience.  Results will be used to inform future policy development regarding arrangements chronic disease</w:t>
      </w:r>
      <w:r w:rsidR="00345053">
        <w:t xml:space="preserve"> management</w:t>
      </w:r>
      <w:r w:rsidR="009F3296">
        <w:t>.</w:t>
      </w:r>
      <w:r w:rsidRPr="000C6FFF">
        <w:rPr>
          <w:rFonts w:asciiTheme="majorHAnsi" w:hAnsiTheme="majorHAnsi" w:cs="Times New Roman"/>
          <w:noProof w:val="0"/>
          <w:lang w:eastAsia="en-AU"/>
        </w:rPr>
        <w:t xml:space="preserve"> </w:t>
      </w:r>
      <w:r w:rsidRPr="0093424D">
        <w:rPr>
          <w:rFonts w:asciiTheme="majorHAnsi" w:hAnsiTheme="majorHAnsi" w:cs="Times New Roman"/>
          <w:noProof w:val="0"/>
          <w:lang w:eastAsia="en-AU"/>
        </w:rPr>
        <w:t xml:space="preserve">The final report on the evaluation will be provided to the Department </w:t>
      </w:r>
      <w:r>
        <w:rPr>
          <w:rFonts w:asciiTheme="majorHAnsi" w:hAnsiTheme="majorHAnsi" w:cs="Times New Roman"/>
          <w:noProof w:val="0"/>
          <w:lang w:eastAsia="en-AU"/>
        </w:rPr>
        <w:t>in September</w:t>
      </w:r>
      <w:r w:rsidRPr="0093424D">
        <w:rPr>
          <w:rFonts w:asciiTheme="majorHAnsi" w:hAnsiTheme="majorHAnsi" w:cs="Times New Roman"/>
          <w:noProof w:val="0"/>
          <w:lang w:eastAsia="en-AU"/>
        </w:rPr>
        <w:t xml:space="preserve"> 2014, and </w:t>
      </w:r>
      <w:r>
        <w:rPr>
          <w:rFonts w:asciiTheme="majorHAnsi" w:hAnsiTheme="majorHAnsi" w:cs="Times New Roman"/>
          <w:noProof w:val="0"/>
          <w:lang w:eastAsia="en-AU"/>
        </w:rPr>
        <w:t>the results will then be</w:t>
      </w:r>
      <w:r w:rsidRPr="0093424D">
        <w:rPr>
          <w:rFonts w:asciiTheme="majorHAnsi" w:hAnsiTheme="majorHAnsi" w:cs="Times New Roman"/>
          <w:noProof w:val="0"/>
          <w:lang w:eastAsia="en-AU"/>
        </w:rPr>
        <w:t xml:space="preserve"> </w:t>
      </w:r>
      <w:r>
        <w:rPr>
          <w:rFonts w:asciiTheme="majorHAnsi" w:hAnsiTheme="majorHAnsi" w:cs="Times New Roman"/>
          <w:noProof w:val="0"/>
          <w:lang w:eastAsia="en-AU"/>
        </w:rPr>
        <w:t xml:space="preserve">considered by the </w:t>
      </w:r>
      <w:r w:rsidRPr="0093424D">
        <w:rPr>
          <w:rFonts w:asciiTheme="majorHAnsi" w:hAnsiTheme="majorHAnsi" w:cs="Times New Roman"/>
          <w:noProof w:val="0"/>
          <w:lang w:eastAsia="en-AU"/>
        </w:rPr>
        <w:t xml:space="preserve">Government.  It is expected the results from the </w:t>
      </w:r>
      <w:r>
        <w:rPr>
          <w:rFonts w:asciiTheme="majorHAnsi" w:hAnsiTheme="majorHAnsi" w:cs="Times New Roman"/>
          <w:noProof w:val="0"/>
          <w:lang w:eastAsia="en-AU"/>
        </w:rPr>
        <w:t>pilot</w:t>
      </w:r>
      <w:r w:rsidRPr="0093424D">
        <w:rPr>
          <w:rFonts w:asciiTheme="majorHAnsi" w:hAnsiTheme="majorHAnsi" w:cs="Times New Roman"/>
          <w:noProof w:val="0"/>
          <w:lang w:eastAsia="en-AU"/>
        </w:rPr>
        <w:t xml:space="preserve"> will be used to inform future policy development regarding arrangements for the management of chronic disease, and may also inform elements of the new National Diabetes Strategy, expected to be developed by mid-2015.</w:t>
      </w:r>
    </w:p>
    <w:p w:rsidR="00AD5BD0" w:rsidRDefault="00AD5BD0" w:rsidP="00AD5BD0">
      <w:pPr>
        <w:pStyle w:val="Heading3"/>
      </w:pPr>
      <w:r>
        <w:t xml:space="preserve">2.9.4  </w:t>
      </w:r>
      <w:r w:rsidRPr="00083180">
        <w:t xml:space="preserve">Quality Assurance for the Aboriginal and Torres Strait Islander Medical Services (QAAMS) Pathology Programme </w:t>
      </w:r>
    </w:p>
    <w:p w:rsidR="00AD5BD0" w:rsidRDefault="00AD5BD0" w:rsidP="00AD5BD0">
      <w:r w:rsidRPr="00FA66B7">
        <w:t>The Australian Government has funded the Quality Assurance for Aboriginal and Torres Strait Islander Medical Services (QAAMS) pathology programme since 1999 to support the provision of culturally appropriate and clinically effective diabetes management in Aboriginal and Torres Strait Islander communities.</w:t>
      </w:r>
      <w:r>
        <w:t xml:space="preserve"> </w:t>
      </w:r>
      <w:r w:rsidRPr="00FA66B7">
        <w:t xml:space="preserve">The programme supports better management of diabetes by enabling participating Aboriginal Medical Services (AMS) and Aboriginal Community Controlled Health Services (ACCHS) to provide accurate diabetes-related pathology testing on site through ‘point of care testing’ </w:t>
      </w:r>
      <w:r w:rsidR="000C6FFF">
        <w:t xml:space="preserve">(PoCT) for </w:t>
      </w:r>
      <w:r w:rsidR="000C6FFF">
        <w:lastRenderedPageBreak/>
        <w:t>HbA</w:t>
      </w:r>
      <w:r w:rsidR="000C6FFF" w:rsidRPr="0093424D">
        <w:rPr>
          <w:vertAlign w:val="subscript"/>
        </w:rPr>
        <w:t>1c</w:t>
      </w:r>
      <w:r w:rsidR="000C6FFF">
        <w:t xml:space="preserve"> and ACR (urine albumin:creatine ratio) </w:t>
      </w:r>
      <w:r w:rsidRPr="00FA66B7">
        <w:t xml:space="preserve">at Indigenous health services enrolled in the programme. </w:t>
      </w:r>
    </w:p>
    <w:p w:rsidR="000C6FFF" w:rsidRPr="00AD5BD0" w:rsidRDefault="00AD5BD0" w:rsidP="000C6FFF">
      <w:r w:rsidRPr="00FA66B7">
        <w:t xml:space="preserve">The QAAMS programme is administered on behalf of the Department by the Flinders University Rural Clinical School and the </w:t>
      </w:r>
      <w:r w:rsidR="000C6FFF" w:rsidRPr="0093424D">
        <w:t>Royal College of Pathologists of Australasia (RCPA</w:t>
      </w:r>
      <w:r w:rsidRPr="00FA66B7">
        <w:t>) Qual</w:t>
      </w:r>
      <w:r>
        <w:t xml:space="preserve">ity Assurance Programs Pty Ltd. </w:t>
      </w:r>
      <w:r w:rsidRPr="00FA66B7">
        <w:rPr>
          <w:rFonts w:cs="Times New Roman"/>
          <w:color w:val="222222"/>
          <w:szCs w:val="20"/>
        </w:rPr>
        <w:t>The Australian Government is providing more than $4 million (GST exclusive) over four years to expand the number of sites enrolled in the QAAMS programme from 120 sites to 200 sites by June 2016.</w:t>
      </w:r>
      <w:r w:rsidR="000C6FFF">
        <w:rPr>
          <w:rFonts w:cs="Times New Roman"/>
          <w:color w:val="222222"/>
          <w:szCs w:val="20"/>
        </w:rPr>
        <w:t xml:space="preserve"> As at 30 June 2014, there were 188 enrolments in the QAAMS programme (exceeding the target of 180 sites).</w:t>
      </w:r>
    </w:p>
    <w:p w:rsidR="00AD5BD0" w:rsidRPr="00AD5BD0" w:rsidRDefault="00AD5BD0" w:rsidP="00AD5BD0"/>
    <w:p w:rsidR="000E65B5" w:rsidRPr="00A53E3C" w:rsidRDefault="005F25CA" w:rsidP="00AD5BD0">
      <w:pPr>
        <w:pStyle w:val="Heading1"/>
      </w:pPr>
      <w:r>
        <w:br w:type="page"/>
      </w:r>
      <w:r w:rsidR="009F45BB">
        <w:lastRenderedPageBreak/>
        <w:t xml:space="preserve"> </w:t>
      </w:r>
      <w:bookmarkStart w:id="212" w:name="_Toc382906730"/>
      <w:bookmarkStart w:id="213" w:name="_Toc397947708"/>
      <w:bookmarkStart w:id="214" w:name="_Toc403399549"/>
      <w:r w:rsidR="009F45BB">
        <w:t xml:space="preserve">Part </w:t>
      </w:r>
      <w:r w:rsidR="00D13F53" w:rsidRPr="00A53E3C">
        <w:t>3</w:t>
      </w:r>
      <w:r w:rsidR="009F45BB">
        <w:t xml:space="preserve"> – </w:t>
      </w:r>
      <w:r>
        <w:t>Stakeholder Consultation</w:t>
      </w:r>
      <w:bookmarkEnd w:id="212"/>
      <w:bookmarkEnd w:id="213"/>
      <w:bookmarkEnd w:id="214"/>
      <w:r w:rsidR="00745E6F" w:rsidRPr="00A53E3C">
        <w:t xml:space="preserve"> </w:t>
      </w:r>
    </w:p>
    <w:p w:rsidR="00B93158" w:rsidRDefault="00A479FD" w:rsidP="00492694">
      <w:pPr>
        <w:pStyle w:val="Heading2"/>
      </w:pPr>
      <w:bookmarkStart w:id="215" w:name="_Toc382906731"/>
      <w:bookmarkStart w:id="216" w:name="_Toc397947709"/>
      <w:bookmarkStart w:id="217" w:name="_Toc403399550"/>
      <w:r w:rsidRPr="00A53E3C">
        <w:t>3.</w:t>
      </w:r>
      <w:r w:rsidR="002D7524">
        <w:t>1</w:t>
      </w:r>
      <w:r w:rsidR="00D13F53" w:rsidRPr="00A53E3C">
        <w:tab/>
      </w:r>
      <w:r w:rsidR="003D461C" w:rsidRPr="00A53E3C">
        <w:t>Public Consultation P</w:t>
      </w:r>
      <w:r w:rsidR="00B93158" w:rsidRPr="00A53E3C">
        <w:t>rocess</w:t>
      </w:r>
      <w:bookmarkEnd w:id="215"/>
      <w:r w:rsidR="00833ACF">
        <w:t>es</w:t>
      </w:r>
      <w:bookmarkEnd w:id="216"/>
      <w:bookmarkEnd w:id="217"/>
    </w:p>
    <w:p w:rsidR="00AC5CBC" w:rsidRPr="00AC5CBC" w:rsidRDefault="00AC5CBC" w:rsidP="00AC5CBC">
      <w:pPr>
        <w:pStyle w:val="BodyText1"/>
        <w:rPr>
          <w:i/>
        </w:rPr>
      </w:pPr>
      <w:r w:rsidRPr="00AC5CBC">
        <w:rPr>
          <w:b/>
          <w:i/>
        </w:rPr>
        <w:t>Disclaimer:</w:t>
      </w:r>
      <w:r w:rsidRPr="00AC5CBC">
        <w:rPr>
          <w:i/>
        </w:rPr>
        <w:t xml:space="preserve"> Only information provided </w:t>
      </w:r>
      <w:r>
        <w:rPr>
          <w:i/>
        </w:rPr>
        <w:t xml:space="preserve">in submissions and </w:t>
      </w:r>
      <w:r w:rsidRPr="00AC5CBC">
        <w:rPr>
          <w:i/>
        </w:rPr>
        <w:t>at the Stakeholder Forum has been include</w:t>
      </w:r>
      <w:r>
        <w:rPr>
          <w:i/>
        </w:rPr>
        <w:t>d in the following summaries</w:t>
      </w:r>
      <w:r w:rsidRPr="00AC5CBC">
        <w:rPr>
          <w:i/>
        </w:rPr>
        <w:t>. No attempt was made to reach consensus and the views and opinions should not be considered as medical advice.</w:t>
      </w:r>
    </w:p>
    <w:p w:rsidR="007A4D33" w:rsidRPr="00A53E3C" w:rsidRDefault="002D7524" w:rsidP="00492694">
      <w:pPr>
        <w:pStyle w:val="Heading3"/>
      </w:pPr>
      <w:bookmarkStart w:id="218" w:name="_3.1.1__Submissions"/>
      <w:bookmarkStart w:id="219" w:name="_Toc382906732"/>
      <w:bookmarkEnd w:id="218"/>
      <w:r>
        <w:t xml:space="preserve">3.1.1  </w:t>
      </w:r>
      <w:r w:rsidR="003D461C" w:rsidRPr="00A53E3C">
        <w:t xml:space="preserve">Submissions </w:t>
      </w:r>
      <w:bookmarkEnd w:id="219"/>
      <w:r w:rsidR="007A2968">
        <w:t>addressing the ToR</w:t>
      </w:r>
      <w:r w:rsidR="00544538">
        <w:t xml:space="preserve"> </w:t>
      </w:r>
    </w:p>
    <w:p w:rsidR="00833ACF" w:rsidRDefault="005B7D49" w:rsidP="00492694">
      <w:pPr>
        <w:pStyle w:val="BodyText1"/>
      </w:pPr>
      <w:r w:rsidRPr="00A53E3C">
        <w:t xml:space="preserve">Submissions addressing the </w:t>
      </w:r>
      <w:r w:rsidR="007A2968">
        <w:t xml:space="preserve">ToR for </w:t>
      </w:r>
      <w:r w:rsidR="00833ACF">
        <w:t xml:space="preserve">the Medicines Review </w:t>
      </w:r>
      <w:r w:rsidRPr="00A53E3C">
        <w:t>were invited from interested organisations and individuals.</w:t>
      </w:r>
      <w:r w:rsidR="00833ACF">
        <w:t xml:space="preserve"> </w:t>
      </w:r>
      <w:r w:rsidR="007A2968">
        <w:t xml:space="preserve">For further information on the process refer to </w:t>
      </w:r>
      <w:hyperlink w:anchor="_1.2.4.1__Written" w:history="1">
        <w:r w:rsidR="0099487E" w:rsidRPr="006E1080">
          <w:rPr>
            <w:rStyle w:val="Hyperlink"/>
          </w:rPr>
          <w:t>Part 1</w:t>
        </w:r>
        <w:r w:rsidR="00232871" w:rsidRPr="006E1080">
          <w:rPr>
            <w:rStyle w:val="Hyperlink"/>
          </w:rPr>
          <w:t>.3.1</w:t>
        </w:r>
      </w:hyperlink>
      <w:r w:rsidR="0099487E">
        <w:t>.</w:t>
      </w:r>
      <w:r w:rsidR="0007731B">
        <w:t xml:space="preserve"> Where permission was provided, the submissions were published on the </w:t>
      </w:r>
      <w:r w:rsidR="0007731B" w:rsidRPr="0028026D">
        <w:t>Medicines Review Public Consultation</w:t>
      </w:r>
      <w:r w:rsidR="0007731B">
        <w:t xml:space="preserve"> website.</w:t>
      </w:r>
    </w:p>
    <w:p w:rsidR="005C3D52" w:rsidRDefault="005C3D52" w:rsidP="00492694">
      <w:pPr>
        <w:pStyle w:val="BodyText1"/>
      </w:pPr>
      <w:r w:rsidRPr="00A53E3C">
        <w:t xml:space="preserve">Key </w:t>
      </w:r>
      <w:r w:rsidR="00C514CE" w:rsidRPr="00A53E3C">
        <w:t>viewpoints expressed</w:t>
      </w:r>
      <w:r w:rsidRPr="00A53E3C">
        <w:t xml:space="preserve"> through the </w:t>
      </w:r>
      <w:r w:rsidR="00833ACF">
        <w:t xml:space="preserve">submissions </w:t>
      </w:r>
      <w:r w:rsidRPr="00A53E3C">
        <w:t xml:space="preserve">include: </w:t>
      </w:r>
    </w:p>
    <w:p w:rsidR="0007731B" w:rsidRPr="0007731B" w:rsidRDefault="0007731B" w:rsidP="00780C3E">
      <w:pPr>
        <w:pStyle w:val="BodyText1"/>
        <w:numPr>
          <w:ilvl w:val="0"/>
          <w:numId w:val="22"/>
        </w:numPr>
        <w:ind w:left="426" w:hanging="426"/>
      </w:pPr>
      <w:r w:rsidRPr="0007731B">
        <w:t>Patient-centred, individualised treatment is important to quality care, optimal patient outcomes and adherence to prescribed medicines</w:t>
      </w:r>
      <w:r>
        <w:t>.</w:t>
      </w:r>
      <w:r w:rsidRPr="0007731B">
        <w:t xml:space="preserve"> HbA</w:t>
      </w:r>
      <w:r w:rsidRPr="0007731B">
        <w:rPr>
          <w:vertAlign w:val="subscript"/>
        </w:rPr>
        <w:t>1c</w:t>
      </w:r>
      <w:r>
        <w:t xml:space="preserve"> targets </w:t>
      </w:r>
      <w:r w:rsidRPr="0007731B">
        <w:t>and choice of medicine should be determined for an i</w:t>
      </w:r>
      <w:r>
        <w:t>ndividual taking account of</w:t>
      </w:r>
      <w:r w:rsidRPr="0007731B">
        <w:t xml:space="preserve"> factors such as</w:t>
      </w:r>
      <w:r>
        <w:t>:</w:t>
      </w:r>
      <w:r w:rsidRPr="0007731B">
        <w:t xml:space="preserve"> time since diagnosis, symptoms, cardiovascular profile, weight, risk of </w:t>
      </w:r>
      <w:r w:rsidR="007C7B22">
        <w:t>hypoglycaemia, side effects, co</w:t>
      </w:r>
      <w:r w:rsidRPr="0007731B">
        <w:t>morbidities and features that may facilitate patient compliance.</w:t>
      </w:r>
    </w:p>
    <w:p w:rsidR="0007731B" w:rsidRPr="0007731B" w:rsidRDefault="0007731B" w:rsidP="00780C3E">
      <w:pPr>
        <w:pStyle w:val="BodyText1"/>
        <w:numPr>
          <w:ilvl w:val="0"/>
          <w:numId w:val="22"/>
        </w:numPr>
        <w:ind w:left="426" w:hanging="426"/>
      </w:pPr>
      <w:r w:rsidRPr="0007731B">
        <w:t>The NHMRC</w:t>
      </w:r>
      <w:r w:rsidR="00CD23F7">
        <w:t>-endorsed</w:t>
      </w:r>
      <w:r w:rsidRPr="0007731B">
        <w:t xml:space="preserve"> guidelines should be regularly reviewed and updated.</w:t>
      </w:r>
    </w:p>
    <w:p w:rsidR="0007731B" w:rsidRPr="0007731B" w:rsidRDefault="0007731B" w:rsidP="00780C3E">
      <w:pPr>
        <w:pStyle w:val="BodyText1"/>
        <w:numPr>
          <w:ilvl w:val="0"/>
          <w:numId w:val="22"/>
        </w:numPr>
        <w:ind w:left="426" w:hanging="426"/>
      </w:pPr>
      <w:r w:rsidRPr="0007731B">
        <w:t xml:space="preserve">PBS restrictions are increasingly inconsistent with best practice and clinical need. </w:t>
      </w:r>
    </w:p>
    <w:p w:rsidR="0007731B" w:rsidRDefault="0007731B" w:rsidP="00780C3E">
      <w:pPr>
        <w:pStyle w:val="BodyText1"/>
        <w:numPr>
          <w:ilvl w:val="0"/>
          <w:numId w:val="22"/>
        </w:numPr>
        <w:ind w:left="426" w:hanging="426"/>
      </w:pPr>
      <w:r>
        <w:t>C</w:t>
      </w:r>
      <w:r w:rsidRPr="0007731B">
        <w:t xml:space="preserve">oncern over Review processes, including transparency and appropriate consultation. </w:t>
      </w:r>
    </w:p>
    <w:p w:rsidR="0009024D" w:rsidRDefault="0009024D" w:rsidP="00492694">
      <w:pPr>
        <w:pStyle w:val="BodyText1"/>
      </w:pPr>
    </w:p>
    <w:p w:rsidR="0007731B" w:rsidRPr="00AA4886" w:rsidRDefault="0007731B" w:rsidP="00492694">
      <w:pPr>
        <w:pStyle w:val="BodyText1"/>
      </w:pPr>
      <w:r>
        <w:t>The following points were expre</w:t>
      </w:r>
      <w:r w:rsidR="007C7B22">
        <w:t>ssed by one or a small number of</w:t>
      </w:r>
      <w:r>
        <w:t xml:space="preserve"> submissions:</w:t>
      </w:r>
    </w:p>
    <w:p w:rsidR="0007731B" w:rsidRPr="00505D81" w:rsidRDefault="0007731B" w:rsidP="00492694">
      <w:pPr>
        <w:pStyle w:val="Heading5"/>
      </w:pPr>
      <w:r w:rsidRPr="00505D81">
        <w:t>Industry organisations</w:t>
      </w:r>
    </w:p>
    <w:p w:rsidR="0007731B" w:rsidRDefault="0007731B" w:rsidP="00780C3E">
      <w:pPr>
        <w:pStyle w:val="BodyText1"/>
        <w:numPr>
          <w:ilvl w:val="0"/>
          <w:numId w:val="25"/>
        </w:numPr>
        <w:ind w:left="426" w:hanging="426"/>
      </w:pPr>
      <w:r w:rsidRPr="00515F2B">
        <w:t>Type 2 diabetes medicines differ on tolerability and ease of use to a greater extent than they differ on glucose-lowering efficacy.</w:t>
      </w:r>
    </w:p>
    <w:p w:rsidR="0007731B" w:rsidRPr="00515F2B" w:rsidRDefault="0007731B" w:rsidP="00780C3E">
      <w:pPr>
        <w:pStyle w:val="BodyText1"/>
        <w:numPr>
          <w:ilvl w:val="0"/>
          <w:numId w:val="25"/>
        </w:numPr>
        <w:ind w:left="426" w:hanging="426"/>
      </w:pPr>
      <w:r w:rsidRPr="00515F2B">
        <w:t xml:space="preserve">Extensive clinical experience, </w:t>
      </w:r>
      <w:r w:rsidR="00A26D2D">
        <w:t>long term</w:t>
      </w:r>
      <w:r w:rsidRPr="00515F2B">
        <w:t xml:space="preserve"> randomised controlled trial data and clinical guidelines all strongly support sulfonylureas as the second line treatment of choice.</w:t>
      </w:r>
    </w:p>
    <w:p w:rsidR="0007731B" w:rsidRPr="00515F2B" w:rsidRDefault="0007731B" w:rsidP="00780C3E">
      <w:pPr>
        <w:pStyle w:val="BodyText1"/>
        <w:numPr>
          <w:ilvl w:val="0"/>
          <w:numId w:val="25"/>
        </w:numPr>
        <w:ind w:left="426" w:hanging="426"/>
      </w:pPr>
      <w:r w:rsidRPr="00515F2B">
        <w:t>National and international guidelines emphasise weight control and minimisation of hypoglycaemia as cornerstones of diabetes care.</w:t>
      </w:r>
      <w:r w:rsidR="0002522E">
        <w:t xml:space="preserve"> </w:t>
      </w:r>
      <w:r w:rsidRPr="00515F2B">
        <w:t>Sulfonylureas have a higher risk of hypoglycaemia and weight gain than newer medicines.</w:t>
      </w:r>
    </w:p>
    <w:p w:rsidR="0007731B" w:rsidRPr="00515F2B" w:rsidRDefault="0007731B" w:rsidP="00780C3E">
      <w:pPr>
        <w:pStyle w:val="BodyText1"/>
        <w:numPr>
          <w:ilvl w:val="0"/>
          <w:numId w:val="25"/>
        </w:numPr>
        <w:ind w:left="426" w:hanging="426"/>
      </w:pPr>
      <w:r w:rsidRPr="00515F2B">
        <w:t xml:space="preserve">DPP-4 inhibitors do not increase the risks of hypoglycaemia, weight gain, cardiovascular events or fractures. </w:t>
      </w:r>
      <w:r>
        <w:t>T</w:t>
      </w:r>
      <w:r w:rsidRPr="00515F2B">
        <w:t xml:space="preserve">he evidence demonstrating the effectiveness of </w:t>
      </w:r>
      <w:r w:rsidRPr="00515F2B">
        <w:lastRenderedPageBreak/>
        <w:t>DPP-4 inhibitors in triple oral therapy and in combination with insulin</w:t>
      </w:r>
      <w:r>
        <w:t xml:space="preserve"> should be assessed</w:t>
      </w:r>
      <w:r w:rsidRPr="00515F2B">
        <w:t>.</w:t>
      </w:r>
    </w:p>
    <w:p w:rsidR="0007731B" w:rsidRPr="00515F2B" w:rsidRDefault="0007731B" w:rsidP="00780C3E">
      <w:pPr>
        <w:pStyle w:val="BodyText1"/>
        <w:numPr>
          <w:ilvl w:val="0"/>
          <w:numId w:val="25"/>
        </w:numPr>
        <w:ind w:left="426" w:hanging="426"/>
      </w:pPr>
      <w:r w:rsidRPr="00515F2B">
        <w:t xml:space="preserve">Insulin treatment is often delayed, with many patients having significant periods of poorly managed diabetes before commencement. There is a need for more insulin self-management education and ongoing support. </w:t>
      </w:r>
    </w:p>
    <w:p w:rsidR="0007731B" w:rsidRDefault="0007731B" w:rsidP="00780C3E">
      <w:pPr>
        <w:pStyle w:val="BodyText1"/>
        <w:numPr>
          <w:ilvl w:val="0"/>
          <w:numId w:val="25"/>
        </w:numPr>
        <w:ind w:left="426" w:hanging="426"/>
      </w:pPr>
      <w:r w:rsidRPr="00515F2B">
        <w:t xml:space="preserve">Caution should be used when prescribing </w:t>
      </w:r>
      <w:r w:rsidR="006820B1">
        <w:t>TZDs</w:t>
      </w:r>
      <w:r w:rsidRPr="00515F2B">
        <w:t xml:space="preserve"> due to increased risk of congestive heart failure, skeletal fracture, weight gain and fluid retention.</w:t>
      </w:r>
    </w:p>
    <w:p w:rsidR="0007731B" w:rsidRPr="00515F2B" w:rsidRDefault="0007731B" w:rsidP="00780C3E">
      <w:pPr>
        <w:pStyle w:val="BodyText1"/>
        <w:numPr>
          <w:ilvl w:val="0"/>
          <w:numId w:val="25"/>
        </w:numPr>
        <w:ind w:left="426" w:hanging="426"/>
      </w:pPr>
      <w:r w:rsidRPr="00515F2B">
        <w:t xml:space="preserve">Patient-centred </w:t>
      </w:r>
      <w:r w:rsidR="00F75D7C">
        <w:t>outcomes are inadequately valu</w:t>
      </w:r>
      <w:r w:rsidRPr="00515F2B">
        <w:t>ed by PBAC processes.</w:t>
      </w:r>
    </w:p>
    <w:p w:rsidR="0007731B" w:rsidRPr="00515F2B" w:rsidRDefault="0007731B" w:rsidP="00780C3E">
      <w:pPr>
        <w:pStyle w:val="BodyText1"/>
        <w:numPr>
          <w:ilvl w:val="0"/>
          <w:numId w:val="25"/>
        </w:numPr>
        <w:ind w:left="426" w:hanging="426"/>
      </w:pPr>
      <w:r w:rsidRPr="00515F2B">
        <w:t>PBS restrictions should be simplified to align with TGA indications.</w:t>
      </w:r>
    </w:p>
    <w:p w:rsidR="0007731B" w:rsidRDefault="0007731B" w:rsidP="00780C3E">
      <w:pPr>
        <w:pStyle w:val="BodyText1"/>
        <w:numPr>
          <w:ilvl w:val="0"/>
          <w:numId w:val="25"/>
        </w:numPr>
        <w:ind w:left="426" w:hanging="426"/>
      </w:pPr>
      <w:r w:rsidRPr="00515F2B">
        <w:t>The DUSC analysis may have overestimated use outside of the PBS restrictions for newer type 2 diabetes medicines. The analysis may ha</w:t>
      </w:r>
      <w:r w:rsidR="0002522E">
        <w:t>ve missed some people who triall</w:t>
      </w:r>
      <w:r w:rsidRPr="00515F2B">
        <w:t>ed a sulfonylurea</w:t>
      </w:r>
      <w:r w:rsidR="0002522E">
        <w:t>,</w:t>
      </w:r>
      <w:r w:rsidRPr="00515F2B">
        <w:t xml:space="preserve"> as only five years prior prescribing history was considered.</w:t>
      </w:r>
    </w:p>
    <w:p w:rsidR="0007731B" w:rsidRPr="00515F2B" w:rsidRDefault="0007731B" w:rsidP="00780C3E">
      <w:pPr>
        <w:pStyle w:val="BodyText1"/>
        <w:numPr>
          <w:ilvl w:val="0"/>
          <w:numId w:val="25"/>
        </w:numPr>
        <w:ind w:left="426" w:hanging="426"/>
      </w:pPr>
      <w:r w:rsidRPr="00515F2B">
        <w:t>The prescribing of therapies outside of PBS restrictions may be unintentional</w:t>
      </w:r>
      <w:r w:rsidR="0002522E">
        <w:t>,</w:t>
      </w:r>
      <w:r w:rsidRPr="00515F2B">
        <w:t xml:space="preserve"> due to a misunderstanding of PBS restrictions</w:t>
      </w:r>
      <w:r w:rsidR="0002522E">
        <w:t>,</w:t>
      </w:r>
      <w:r w:rsidRPr="00515F2B">
        <w:t xml:space="preserve"> or deliberate</w:t>
      </w:r>
      <w:r w:rsidR="0002522E">
        <w:t>, based on clinical judg</w:t>
      </w:r>
      <w:r w:rsidRPr="00515F2B">
        <w:t>ment and consideration of the health outcomes most valued by the physician and patient.</w:t>
      </w:r>
    </w:p>
    <w:p w:rsidR="0007731B" w:rsidRPr="00515F2B" w:rsidRDefault="0007731B" w:rsidP="00780C3E">
      <w:pPr>
        <w:pStyle w:val="BodyText1"/>
        <w:numPr>
          <w:ilvl w:val="0"/>
          <w:numId w:val="25"/>
        </w:numPr>
        <w:ind w:left="426" w:hanging="426"/>
      </w:pPr>
      <w:r w:rsidRPr="00515F2B">
        <w:t>Comparing the price of newer medicines to older off-patent medicines creates a disincentive to companies to bring new medicines to the Australian market.</w:t>
      </w:r>
    </w:p>
    <w:p w:rsidR="0007731B" w:rsidRDefault="0007731B" w:rsidP="00492694">
      <w:pPr>
        <w:pStyle w:val="Heading5"/>
      </w:pPr>
      <w:r>
        <w:t>Health professionals and related peak bodies</w:t>
      </w:r>
    </w:p>
    <w:p w:rsidR="0007731B" w:rsidRPr="00FB07DD" w:rsidRDefault="0007731B" w:rsidP="00780C3E">
      <w:pPr>
        <w:pStyle w:val="BodyText1"/>
        <w:numPr>
          <w:ilvl w:val="0"/>
          <w:numId w:val="24"/>
        </w:numPr>
        <w:ind w:left="426" w:hanging="426"/>
        <w:rPr>
          <w:rFonts w:ascii="Times New Roman" w:hAnsi="Times New Roman" w:cstheme="minorBidi"/>
          <w:szCs w:val="22"/>
        </w:rPr>
      </w:pPr>
      <w:r>
        <w:t>HbA</w:t>
      </w:r>
      <w:r w:rsidRPr="00FB07DD">
        <w:rPr>
          <w:vertAlign w:val="subscript"/>
        </w:rPr>
        <w:t>1c</w:t>
      </w:r>
      <w:r>
        <w:t xml:space="preserve"> targets should be individualised, considering the balance of risks and benefits of intensive blood glucose control. Targets below 7% may be appropriate for those with newly diagnosed and uncomplicated disease, while for older patients and those with long standing disease the risks of hypoglycaemia and adverse events may outweigh the benefits</w:t>
      </w:r>
      <w:r w:rsidR="007C7B22">
        <w:t xml:space="preserve"> of a low HbA</w:t>
      </w:r>
      <w:r w:rsidR="007C7B22" w:rsidRPr="007C7B22">
        <w:rPr>
          <w:vertAlign w:val="subscript"/>
        </w:rPr>
        <w:t xml:space="preserve">1c </w:t>
      </w:r>
      <w:r w:rsidR="007C7B22">
        <w:t>target</w:t>
      </w:r>
      <w:r>
        <w:t>.</w:t>
      </w:r>
    </w:p>
    <w:p w:rsidR="0007731B" w:rsidRPr="00EE7EA2" w:rsidRDefault="0007731B" w:rsidP="00780C3E">
      <w:pPr>
        <w:pStyle w:val="BodyText1"/>
        <w:numPr>
          <w:ilvl w:val="0"/>
          <w:numId w:val="24"/>
        </w:numPr>
        <w:ind w:left="426" w:hanging="426"/>
        <w:rPr>
          <w:rFonts w:ascii="Times New Roman" w:hAnsi="Times New Roman" w:cstheme="minorBidi"/>
          <w:szCs w:val="22"/>
        </w:rPr>
      </w:pPr>
      <w:r>
        <w:t>Management of concomitant hypertension and dyslipidaemia is important</w:t>
      </w:r>
      <w:r w:rsidR="007C7B22">
        <w:t>,</w:t>
      </w:r>
      <w:r>
        <w:t xml:space="preserve"> as the greatest contributors to disease burden for people with type 2 diabetes are cardiovascular disease and microvascular complications.</w:t>
      </w:r>
    </w:p>
    <w:p w:rsidR="0007731B" w:rsidRPr="00563834" w:rsidRDefault="0007731B" w:rsidP="00780C3E">
      <w:pPr>
        <w:pStyle w:val="BodyText1"/>
        <w:numPr>
          <w:ilvl w:val="0"/>
          <w:numId w:val="24"/>
        </w:numPr>
        <w:ind w:left="426" w:hanging="426"/>
        <w:rPr>
          <w:rFonts w:ascii="Times New Roman" w:hAnsi="Times New Roman" w:cstheme="minorBidi"/>
          <w:szCs w:val="22"/>
        </w:rPr>
      </w:pPr>
      <w:r>
        <w:t xml:space="preserve">The effect of newer medicines on </w:t>
      </w:r>
      <w:r w:rsidR="00A26D2D">
        <w:t>long term</w:t>
      </w:r>
      <w:r>
        <w:t xml:space="preserve"> cardiovascular outcomes remains undetermined.</w:t>
      </w:r>
    </w:p>
    <w:p w:rsidR="0007731B" w:rsidRDefault="0007731B" w:rsidP="00780C3E">
      <w:pPr>
        <w:pStyle w:val="BodyText1"/>
        <w:numPr>
          <w:ilvl w:val="0"/>
          <w:numId w:val="24"/>
        </w:numPr>
        <w:ind w:left="426" w:hanging="426"/>
      </w:pPr>
      <w:r>
        <w:t xml:space="preserve">The cost-effectiveness of diabetes medicines needs to be considered in terms of </w:t>
      </w:r>
      <w:r w:rsidR="00A26D2D">
        <w:t>long term</w:t>
      </w:r>
      <w:r>
        <w:t xml:space="preserve"> health outcomes and overall costs.</w:t>
      </w:r>
    </w:p>
    <w:p w:rsidR="0007731B" w:rsidRPr="006057E6" w:rsidRDefault="0007731B" w:rsidP="00780C3E">
      <w:pPr>
        <w:pStyle w:val="BodyText1"/>
        <w:numPr>
          <w:ilvl w:val="0"/>
          <w:numId w:val="24"/>
        </w:numPr>
        <w:ind w:left="426" w:hanging="426"/>
        <w:rPr>
          <w:rFonts w:ascii="Times New Roman" w:hAnsi="Times New Roman"/>
          <w:szCs w:val="22"/>
        </w:rPr>
      </w:pPr>
      <w:r>
        <w:t>There should be a system of incremental value-</w:t>
      </w:r>
      <w:r w:rsidRPr="00534B63">
        <w:t xml:space="preserve">based pricing for the PBS subsidisation of new </w:t>
      </w:r>
      <w:r>
        <w:t xml:space="preserve">type 2 diabetes </w:t>
      </w:r>
      <w:r w:rsidRPr="00534B63">
        <w:t xml:space="preserve">medicines, similar to the PBAC decision on the subsidisation of statins, especially when there is uncertainty about the </w:t>
      </w:r>
      <w:r w:rsidR="00A26D2D">
        <w:t>long term</w:t>
      </w:r>
      <w:r w:rsidRPr="00534B63">
        <w:t xml:space="preserve"> clinical benefit of many of these medicines.</w:t>
      </w:r>
    </w:p>
    <w:p w:rsidR="0007731B" w:rsidRPr="00C666D2" w:rsidRDefault="0007731B" w:rsidP="00780C3E">
      <w:pPr>
        <w:pStyle w:val="BodyText1"/>
        <w:numPr>
          <w:ilvl w:val="0"/>
          <w:numId w:val="24"/>
        </w:numPr>
        <w:ind w:left="426" w:hanging="426"/>
        <w:rPr>
          <w:rFonts w:ascii="Times New Roman" w:hAnsi="Times New Roman" w:cstheme="minorBidi"/>
          <w:szCs w:val="22"/>
        </w:rPr>
      </w:pPr>
      <w:r>
        <w:t>A treatment stop clause should be introduced for when medicines do not sufficiently improve glycaemic control.</w:t>
      </w:r>
    </w:p>
    <w:p w:rsidR="0007731B" w:rsidRPr="00FB07DD" w:rsidRDefault="0007731B" w:rsidP="00780C3E">
      <w:pPr>
        <w:pStyle w:val="BodyText1"/>
        <w:numPr>
          <w:ilvl w:val="0"/>
          <w:numId w:val="24"/>
        </w:numPr>
        <w:ind w:left="426" w:hanging="426"/>
        <w:rPr>
          <w:rFonts w:ascii="Times New Roman" w:hAnsi="Times New Roman" w:cstheme="minorBidi"/>
          <w:szCs w:val="22"/>
        </w:rPr>
      </w:pPr>
      <w:r>
        <w:lastRenderedPageBreak/>
        <w:t>Hypoglycaemia has a considerable impact on patients and may lead to increased hospitalisations and reduction in medication adhe</w:t>
      </w:r>
      <w:r w:rsidR="007C7B22">
        <w:t>rence. DPP-4 inhibitors and GLP</w:t>
      </w:r>
      <w:r w:rsidR="007C7B22">
        <w:noBreakHyphen/>
      </w:r>
      <w:r>
        <w:t xml:space="preserve">1 receptor agonists may help address the issues of weight gain and hypoglycaemia. </w:t>
      </w:r>
    </w:p>
    <w:p w:rsidR="0007731B" w:rsidRPr="00C666D2" w:rsidRDefault="0007731B" w:rsidP="00780C3E">
      <w:pPr>
        <w:pStyle w:val="BodyText1"/>
        <w:numPr>
          <w:ilvl w:val="0"/>
          <w:numId w:val="24"/>
        </w:numPr>
        <w:ind w:left="426" w:hanging="426"/>
        <w:rPr>
          <w:rFonts w:ascii="Times New Roman" w:hAnsi="Times New Roman" w:cstheme="minorBidi"/>
          <w:szCs w:val="22"/>
        </w:rPr>
      </w:pPr>
      <w:r>
        <w:t>The use of metformin with insulin and a DPP-4 inhibitor may be cost-effective.</w:t>
      </w:r>
    </w:p>
    <w:p w:rsidR="0007731B" w:rsidRPr="00133012" w:rsidRDefault="0007731B" w:rsidP="00780C3E">
      <w:pPr>
        <w:pStyle w:val="BodyText1"/>
        <w:numPr>
          <w:ilvl w:val="0"/>
          <w:numId w:val="24"/>
        </w:numPr>
        <w:ind w:left="426" w:hanging="426"/>
        <w:rPr>
          <w:rFonts w:ascii="Times New Roman" w:hAnsi="Times New Roman" w:cstheme="minorBidi"/>
          <w:szCs w:val="22"/>
        </w:rPr>
      </w:pPr>
      <w:r>
        <w:t>The current availability of multiple clinical guidelines may be causing prescriber confusion.</w:t>
      </w:r>
    </w:p>
    <w:p w:rsidR="0007731B" w:rsidRDefault="0007731B" w:rsidP="00780C3E">
      <w:pPr>
        <w:pStyle w:val="BodyText1"/>
        <w:numPr>
          <w:ilvl w:val="0"/>
          <w:numId w:val="24"/>
        </w:numPr>
        <w:ind w:left="426" w:hanging="426"/>
      </w:pPr>
      <w:r>
        <w:t>Prescribing guidelines should be enforced, or there should be incentives for prescribers and patients to use lower cost medicines.</w:t>
      </w:r>
    </w:p>
    <w:p w:rsidR="0007731B" w:rsidRDefault="0007731B" w:rsidP="00780C3E">
      <w:pPr>
        <w:pStyle w:val="BodyText1"/>
        <w:numPr>
          <w:ilvl w:val="0"/>
          <w:numId w:val="24"/>
        </w:numPr>
        <w:ind w:left="426" w:hanging="426"/>
      </w:pPr>
      <w:r>
        <w:t>Where PBS listings differ from guidelines, the rationale should be explained.</w:t>
      </w:r>
    </w:p>
    <w:p w:rsidR="0007731B" w:rsidRPr="004320E3" w:rsidRDefault="0007731B" w:rsidP="00780C3E">
      <w:pPr>
        <w:pStyle w:val="BodyText1"/>
        <w:numPr>
          <w:ilvl w:val="0"/>
          <w:numId w:val="24"/>
        </w:numPr>
        <w:ind w:left="426" w:hanging="426"/>
        <w:rPr>
          <w:rFonts w:ascii="Times New Roman" w:hAnsi="Times New Roman"/>
        </w:rPr>
      </w:pPr>
      <w:r>
        <w:t>A patient registry for people with type 2 diabetes, linking hospital, PBS and Medical Benefits</w:t>
      </w:r>
      <w:r w:rsidR="0002522E">
        <w:t xml:space="preserve"> Schedule (MBS) data could be us</w:t>
      </w:r>
      <w:r>
        <w:t>ed to monitor outcomes, side-effects and compliance with guidelines.</w:t>
      </w:r>
    </w:p>
    <w:p w:rsidR="0007731B" w:rsidRPr="009B1E11" w:rsidRDefault="0007731B" w:rsidP="00780C3E">
      <w:pPr>
        <w:pStyle w:val="BodyText1"/>
        <w:numPr>
          <w:ilvl w:val="0"/>
          <w:numId w:val="24"/>
        </w:numPr>
        <w:ind w:left="426" w:hanging="426"/>
        <w:rPr>
          <w:rFonts w:ascii="Times New Roman" w:hAnsi="Times New Roman"/>
          <w:szCs w:val="22"/>
        </w:rPr>
      </w:pPr>
      <w:r>
        <w:t>Professional education programmes should form part of a comprehensive strategy to improve the management of diabetes.</w:t>
      </w:r>
    </w:p>
    <w:p w:rsidR="0007731B" w:rsidRDefault="0007731B" w:rsidP="00780C3E">
      <w:pPr>
        <w:pStyle w:val="BodyText1"/>
        <w:numPr>
          <w:ilvl w:val="0"/>
          <w:numId w:val="24"/>
        </w:numPr>
        <w:ind w:left="426" w:hanging="426"/>
      </w:pPr>
      <w:r>
        <w:t xml:space="preserve">Pharmacists should be better used to support improved prescribing practices through incentives to encourage interaction with prescribers. Dose Administration Aid services should be subsidised for at-risk groups. Community pharmacies could provide a </w:t>
      </w:r>
      <w:r w:rsidRPr="00D2580B">
        <w:t>pre-diabetes screening program</w:t>
      </w:r>
      <w:r>
        <w:t>me</w:t>
      </w:r>
      <w:r w:rsidRPr="00D2580B">
        <w:t xml:space="preserve"> based on the Pharmacy Diabetes Care Program</w:t>
      </w:r>
      <w:r>
        <w:t>me.</w:t>
      </w:r>
    </w:p>
    <w:p w:rsidR="0007731B" w:rsidRDefault="0007731B" w:rsidP="00492694">
      <w:pPr>
        <w:pStyle w:val="Heading5"/>
      </w:pPr>
      <w:r>
        <w:t>Consumers and consumer groups</w:t>
      </w:r>
    </w:p>
    <w:p w:rsidR="0007731B" w:rsidRPr="0007731B" w:rsidRDefault="0007731B" w:rsidP="00780C3E">
      <w:pPr>
        <w:pStyle w:val="BodyText1"/>
        <w:numPr>
          <w:ilvl w:val="0"/>
          <w:numId w:val="23"/>
        </w:numPr>
        <w:ind w:left="426" w:hanging="426"/>
      </w:pPr>
      <w:r w:rsidRPr="0007731B">
        <w:t xml:space="preserve">Triple oral therapy is a widely used and effective treatment for improving diabetes management. PBS subsidised triple oral therapy with metformin, sulfonylurea and a DPP-4 inhibitor would benefit quality care in Australia. </w:t>
      </w:r>
    </w:p>
    <w:p w:rsidR="0007731B" w:rsidRPr="0007731B" w:rsidRDefault="0007731B" w:rsidP="00780C3E">
      <w:pPr>
        <w:pStyle w:val="BodyText1"/>
        <w:numPr>
          <w:ilvl w:val="0"/>
          <w:numId w:val="23"/>
        </w:numPr>
        <w:ind w:left="426" w:hanging="426"/>
      </w:pPr>
      <w:r w:rsidRPr="0007731B">
        <w:t xml:space="preserve">The Review should consider </w:t>
      </w:r>
      <w:r w:rsidR="00A26D2D">
        <w:t>long term</w:t>
      </w:r>
      <w:r w:rsidRPr="0007731B">
        <w:t xml:space="preserve"> outcomes and cost-effectiveness, and effects on patient quality of life.</w:t>
      </w:r>
    </w:p>
    <w:p w:rsidR="0002522E" w:rsidRDefault="0002522E" w:rsidP="00275C04">
      <w:bookmarkStart w:id="220" w:name="_3.1.2__Stakeholder"/>
      <w:bookmarkStart w:id="221" w:name="_Toc382906733"/>
      <w:bookmarkEnd w:id="220"/>
    </w:p>
    <w:p w:rsidR="002D7524" w:rsidRDefault="002D7524" w:rsidP="00492694">
      <w:pPr>
        <w:pStyle w:val="Heading3"/>
      </w:pPr>
      <w:bookmarkStart w:id="222" w:name="_3.1.2__Stakeholder_1"/>
      <w:bookmarkEnd w:id="222"/>
      <w:r>
        <w:t>3.1.2  Stakeholder Forum</w:t>
      </w:r>
    </w:p>
    <w:p w:rsidR="00130410" w:rsidRDefault="00130410" w:rsidP="00492694">
      <w:pPr>
        <w:pStyle w:val="BodyText1"/>
      </w:pPr>
      <w:r>
        <w:t xml:space="preserve">The Stakeholder Forum, held on 12 September 2013, provided an opportunity for a broad spectrum of stakeholders to inform the Medicines Review. </w:t>
      </w:r>
      <w:r w:rsidR="00232871">
        <w:t xml:space="preserve">For further information on the process refer to </w:t>
      </w:r>
      <w:hyperlink w:anchor="_1.3.2__Stakeholder" w:history="1">
        <w:r w:rsidR="00232871" w:rsidRPr="006E1080">
          <w:rPr>
            <w:rStyle w:val="Hyperlink"/>
          </w:rPr>
          <w:t>Part 1.3.2</w:t>
        </w:r>
      </w:hyperlink>
      <w:r w:rsidR="00232871">
        <w:t xml:space="preserve">. </w:t>
      </w:r>
      <w:r w:rsidRPr="000F7423">
        <w:t>This section provides a brief summary of the views expressed by stakeholders.</w:t>
      </w:r>
      <w:r>
        <w:t xml:space="preserve"> A more detailed </w:t>
      </w:r>
      <w:r w:rsidRPr="0028026D">
        <w:t>Forum Summary</w:t>
      </w:r>
      <w:r>
        <w:t xml:space="preserve"> was published on the Review website on 9 May 2014. </w:t>
      </w:r>
    </w:p>
    <w:p w:rsidR="00130410" w:rsidRPr="00130410" w:rsidRDefault="00130410" w:rsidP="00492694">
      <w:pPr>
        <w:pStyle w:val="BodyText1"/>
      </w:pPr>
      <w:r>
        <w:t>The aims of the Forum were to discuss:</w:t>
      </w:r>
    </w:p>
    <w:p w:rsidR="00130410" w:rsidRDefault="00130410" w:rsidP="00780C3E">
      <w:pPr>
        <w:pStyle w:val="BodyText1"/>
        <w:numPr>
          <w:ilvl w:val="0"/>
          <w:numId w:val="20"/>
        </w:numPr>
        <w:ind w:left="851" w:hanging="425"/>
      </w:pPr>
      <w:r>
        <w:t xml:space="preserve">appropriate treatment pathways for type 2 diabetes </w:t>
      </w:r>
    </w:p>
    <w:p w:rsidR="00130410" w:rsidRDefault="00130410" w:rsidP="00780C3E">
      <w:pPr>
        <w:pStyle w:val="BodyText1"/>
        <w:numPr>
          <w:ilvl w:val="0"/>
          <w:numId w:val="20"/>
        </w:numPr>
        <w:ind w:left="851" w:hanging="425"/>
      </w:pPr>
      <w:r>
        <w:lastRenderedPageBreak/>
        <w:t>clinical benefit and safety profiles associated with type 2 diabetes medicines</w:t>
      </w:r>
    </w:p>
    <w:p w:rsidR="00130410" w:rsidRDefault="00130410" w:rsidP="00780C3E">
      <w:pPr>
        <w:pStyle w:val="BodyText1"/>
        <w:numPr>
          <w:ilvl w:val="0"/>
          <w:numId w:val="20"/>
        </w:numPr>
        <w:ind w:left="851" w:hanging="425"/>
      </w:pPr>
      <w:r>
        <w:t>the appropriateness and ease of use of the guidelines and PBS restrictions.</w:t>
      </w:r>
    </w:p>
    <w:p w:rsidR="00265381" w:rsidRDefault="00265381" w:rsidP="00492694">
      <w:pPr>
        <w:pStyle w:val="BodyText1"/>
      </w:pPr>
    </w:p>
    <w:p w:rsidR="00130410" w:rsidRPr="00E844BB" w:rsidRDefault="00130410" w:rsidP="00492694">
      <w:pPr>
        <w:pStyle w:val="BodyText1"/>
      </w:pPr>
      <w:r w:rsidRPr="00E844BB">
        <w:t>The key discussion points raised by stakeholders were:</w:t>
      </w:r>
    </w:p>
    <w:p w:rsidR="00130410" w:rsidRPr="00E844BB" w:rsidRDefault="000D069A" w:rsidP="00780C3E">
      <w:pPr>
        <w:pStyle w:val="BodyText1"/>
        <w:numPr>
          <w:ilvl w:val="0"/>
          <w:numId w:val="21"/>
        </w:numPr>
        <w:ind w:left="426" w:hanging="426"/>
      </w:pPr>
      <w:r>
        <w:t>There should be a patient-</w:t>
      </w:r>
      <w:r w:rsidR="00130410" w:rsidRPr="00E844BB">
        <w:t xml:space="preserve">centred, individualised approach to treatment. Choice of therapy should be based on the patient, including consideration of age, stage of disease at consultation, health literacy, the availability of education and support, weight, comorbidities and lifestyle. This needs to be considered in the context of the current evidence, and the side effect profiles and mode of action of the medicines.    </w:t>
      </w:r>
    </w:p>
    <w:p w:rsidR="00130410" w:rsidRPr="00E844BB" w:rsidRDefault="007C7B22" w:rsidP="00780C3E">
      <w:pPr>
        <w:pStyle w:val="BodyText1"/>
        <w:numPr>
          <w:ilvl w:val="0"/>
          <w:numId w:val="21"/>
        </w:numPr>
        <w:ind w:left="426" w:hanging="426"/>
      </w:pPr>
      <w:r>
        <w:t xml:space="preserve">Most third </w:t>
      </w:r>
      <w:r w:rsidR="00130410" w:rsidRPr="00E844BB">
        <w:t>line agents are comparable to sulfonylureas in terms of HbA</w:t>
      </w:r>
      <w:r w:rsidR="00130410" w:rsidRPr="0007731B">
        <w:rPr>
          <w:vertAlign w:val="subscript"/>
        </w:rPr>
        <w:t>1c</w:t>
      </w:r>
      <w:r w:rsidR="00130410" w:rsidRPr="00E844BB">
        <w:t xml:space="preserve"> lowering. However, diabetes outcomes should not be measured by HbA</w:t>
      </w:r>
      <w:r w:rsidR="00130410" w:rsidRPr="0007731B">
        <w:rPr>
          <w:vertAlign w:val="subscript"/>
        </w:rPr>
        <w:t>1c</w:t>
      </w:r>
      <w:r w:rsidR="00130410" w:rsidRPr="00E844BB">
        <w:t xml:space="preserve"> levels alone. Other important outcomes include avoidance of hypoglycaemia, weight, side effects, hospitalisations, long term health ou</w:t>
      </w:r>
      <w:r>
        <w:t>tcomes, and development of microvascular</w:t>
      </w:r>
      <w:r w:rsidR="00130410" w:rsidRPr="00E844BB">
        <w:t xml:space="preserve"> and macrovascular complications.</w:t>
      </w:r>
    </w:p>
    <w:p w:rsidR="00130410" w:rsidRPr="00E844BB" w:rsidRDefault="00130410" w:rsidP="00780C3E">
      <w:pPr>
        <w:pStyle w:val="BodyText1"/>
        <w:numPr>
          <w:ilvl w:val="0"/>
          <w:numId w:val="21"/>
        </w:numPr>
        <w:ind w:left="426" w:hanging="426"/>
      </w:pPr>
      <w:r w:rsidRPr="00E844BB">
        <w:t>It is important to try to minimise hypoglycaemic events due to their multi-dimensional effect on patients, including quality of life</w:t>
      </w:r>
      <w:r w:rsidR="00962C68" w:rsidRPr="00E844BB">
        <w:t>, productivity</w:t>
      </w:r>
      <w:r w:rsidRPr="00E844BB">
        <w:t>, risk of falls in the elderly, and for severe hypoglycaemia, limiting expensive hospital admissions.</w:t>
      </w:r>
    </w:p>
    <w:p w:rsidR="00130410" w:rsidRPr="00E844BB" w:rsidRDefault="00130410" w:rsidP="00780C3E">
      <w:pPr>
        <w:pStyle w:val="BodyText1"/>
        <w:numPr>
          <w:ilvl w:val="0"/>
          <w:numId w:val="21"/>
        </w:numPr>
        <w:ind w:left="426" w:hanging="426"/>
      </w:pPr>
      <w:r w:rsidRPr="00E844BB">
        <w:t>Patients should be involved in treatment choice and provided with information by their clinician to assist in this decision. Some patients may prefer a treatment strategy that involves earlier intervention and lower HbA</w:t>
      </w:r>
      <w:r w:rsidRPr="0007731B">
        <w:rPr>
          <w:vertAlign w:val="subscript"/>
        </w:rPr>
        <w:t>1c</w:t>
      </w:r>
      <w:r w:rsidRPr="00E844BB">
        <w:t xml:space="preserve"> targets.</w:t>
      </w:r>
    </w:p>
    <w:p w:rsidR="00962C68" w:rsidRPr="00E844BB" w:rsidRDefault="00130410" w:rsidP="00780C3E">
      <w:pPr>
        <w:pStyle w:val="BodyText1"/>
        <w:numPr>
          <w:ilvl w:val="0"/>
          <w:numId w:val="21"/>
        </w:numPr>
        <w:ind w:left="426" w:hanging="426"/>
      </w:pPr>
      <w:r w:rsidRPr="00E844BB">
        <w:t xml:space="preserve">Current treatment guidelines create confusion because they reflect the PBS reimbursement criteria and not the most current clinical evidence. The treatment guidelines should be updated </w:t>
      </w:r>
      <w:r w:rsidR="00962C68" w:rsidRPr="00E844BB">
        <w:t>and</w:t>
      </w:r>
      <w:r w:rsidRPr="00E844BB">
        <w:t xml:space="preserve"> consolidated into a single set of guidelines. This will require collaboration between peak bodies and the </w:t>
      </w:r>
      <w:r w:rsidR="0007731B">
        <w:t>NHMRC</w:t>
      </w:r>
      <w:r w:rsidRPr="00E844BB">
        <w:t>.</w:t>
      </w:r>
    </w:p>
    <w:p w:rsidR="00962C68" w:rsidRPr="00E844BB" w:rsidRDefault="00130410" w:rsidP="00780C3E">
      <w:pPr>
        <w:pStyle w:val="BodyText1"/>
        <w:numPr>
          <w:ilvl w:val="0"/>
          <w:numId w:val="21"/>
        </w:numPr>
        <w:ind w:left="426" w:hanging="426"/>
      </w:pPr>
      <w:r w:rsidRPr="00E844BB">
        <w:t>The treatment algorithm sh</w:t>
      </w:r>
      <w:r w:rsidR="000D069A">
        <w:t>ould be evidence-based, patient-</w:t>
      </w:r>
      <w:r w:rsidRPr="00E844BB">
        <w:t xml:space="preserve">centred, easy to implement in clinical practice, and should make clear the PBS requirements and criteria for subsidy. </w:t>
      </w:r>
      <w:r w:rsidR="00962C68" w:rsidRPr="00E844BB">
        <w:t>Microvascular and macrovascular risks, blood pressure and lipid levels need to be incorporated.</w:t>
      </w:r>
    </w:p>
    <w:p w:rsidR="00130410" w:rsidRPr="00E844BB" w:rsidRDefault="00130410" w:rsidP="00780C3E">
      <w:pPr>
        <w:pStyle w:val="BodyText1"/>
        <w:numPr>
          <w:ilvl w:val="0"/>
          <w:numId w:val="21"/>
        </w:numPr>
        <w:ind w:left="426" w:hanging="426"/>
      </w:pPr>
      <w:r w:rsidRPr="00E844BB">
        <w:t xml:space="preserve">Treatment pathways need to consider prevention, education and lifestyle factors. </w:t>
      </w:r>
      <w:r w:rsidR="00962C68" w:rsidRPr="00E844BB">
        <w:t>Community and school based education programs for children and parents are important to motivate people to address lifestyle factors.</w:t>
      </w:r>
    </w:p>
    <w:p w:rsidR="00962C68" w:rsidRPr="00E844BB" w:rsidRDefault="00962C68" w:rsidP="00780C3E">
      <w:pPr>
        <w:pStyle w:val="BodyText1"/>
        <w:numPr>
          <w:ilvl w:val="0"/>
          <w:numId w:val="21"/>
        </w:numPr>
        <w:ind w:left="426" w:hanging="426"/>
      </w:pPr>
      <w:r w:rsidRPr="00E844BB">
        <w:t>Stakeholders noted that the Australian Diabetes Society and the RACGP were developing updated guidelines.</w:t>
      </w:r>
    </w:p>
    <w:p w:rsidR="00130410" w:rsidRDefault="00130410" w:rsidP="00260F91"/>
    <w:p w:rsidR="00C90364" w:rsidRPr="00A53E3C" w:rsidRDefault="00A479FD" w:rsidP="006827CA">
      <w:pPr>
        <w:pStyle w:val="Heading2"/>
      </w:pPr>
      <w:bookmarkStart w:id="223" w:name="_3.2_Internal_Working"/>
      <w:bookmarkStart w:id="224" w:name="_Toc382906735"/>
      <w:bookmarkStart w:id="225" w:name="_Toc397947710"/>
      <w:bookmarkStart w:id="226" w:name="_Toc403399551"/>
      <w:bookmarkEnd w:id="221"/>
      <w:bookmarkEnd w:id="223"/>
      <w:r w:rsidRPr="00A53E3C">
        <w:lastRenderedPageBreak/>
        <w:t>3.</w:t>
      </w:r>
      <w:r w:rsidR="002D7524">
        <w:t>2</w:t>
      </w:r>
      <w:r w:rsidR="00D13F53" w:rsidRPr="00A53E3C">
        <w:tab/>
      </w:r>
      <w:r w:rsidR="00B93158" w:rsidRPr="00A53E3C">
        <w:t>Internal Working Group</w:t>
      </w:r>
      <w:bookmarkEnd w:id="224"/>
      <w:bookmarkEnd w:id="225"/>
      <w:bookmarkEnd w:id="226"/>
    </w:p>
    <w:p w:rsidR="009E02D9" w:rsidRPr="00A53E3C" w:rsidRDefault="00082050" w:rsidP="006827CA">
      <w:pPr>
        <w:keepNext/>
        <w:keepLines/>
      </w:pPr>
      <w:r>
        <w:t>The Internal Working Group</w:t>
      </w:r>
      <w:r w:rsidR="00595065">
        <w:t xml:space="preserve"> provided input to the Medicines Review</w:t>
      </w:r>
      <w:r w:rsidR="00B16C0B">
        <w:t>, including</w:t>
      </w:r>
      <w:r w:rsidR="009E02D9" w:rsidRPr="00A53E3C">
        <w:t>:</w:t>
      </w:r>
    </w:p>
    <w:p w:rsidR="009E02D9" w:rsidRDefault="00595065" w:rsidP="006827CA">
      <w:pPr>
        <w:pStyle w:val="ListParagraph"/>
        <w:keepNext/>
        <w:keepLines/>
        <w:numPr>
          <w:ilvl w:val="0"/>
          <w:numId w:val="29"/>
        </w:numPr>
        <w:ind w:left="426" w:hanging="426"/>
      </w:pPr>
      <w:r>
        <w:t>Information on Australian Government type 2 diabetes prevention programmes, including programmes targeted at Aboriginal and Torres Strait Islander populations</w:t>
      </w:r>
      <w:r w:rsidR="009E02D9" w:rsidRPr="00E844BB">
        <w:t>.</w:t>
      </w:r>
    </w:p>
    <w:p w:rsidR="00595065" w:rsidRDefault="00595065" w:rsidP="006F292B">
      <w:pPr>
        <w:pStyle w:val="ListParagraph"/>
        <w:numPr>
          <w:ilvl w:val="0"/>
          <w:numId w:val="29"/>
        </w:numPr>
        <w:ind w:left="426" w:hanging="426"/>
      </w:pPr>
      <w:r>
        <w:t>Information on type 2 diabetes management programmes, including the Diabetes Care Project.</w:t>
      </w:r>
    </w:p>
    <w:p w:rsidR="00260F91" w:rsidRDefault="00260F91" w:rsidP="00260F91">
      <w:bookmarkStart w:id="227" w:name="_3.9_Reference_Group"/>
      <w:bookmarkStart w:id="228" w:name="_3.3_Reference_Group"/>
      <w:bookmarkStart w:id="229" w:name="_Toc382906736"/>
      <w:bookmarkEnd w:id="227"/>
      <w:bookmarkEnd w:id="228"/>
    </w:p>
    <w:p w:rsidR="00A14409" w:rsidRPr="00A53E3C" w:rsidRDefault="00A479FD" w:rsidP="00492694">
      <w:pPr>
        <w:pStyle w:val="Heading2"/>
      </w:pPr>
      <w:bookmarkStart w:id="230" w:name="_3.3_Reference_Group_1"/>
      <w:bookmarkStart w:id="231" w:name="_Toc397947711"/>
      <w:bookmarkStart w:id="232" w:name="_Toc403399552"/>
      <w:bookmarkEnd w:id="230"/>
      <w:r w:rsidRPr="00A53E3C">
        <w:t>3.</w:t>
      </w:r>
      <w:r w:rsidR="0099487E">
        <w:t>3</w:t>
      </w:r>
      <w:r w:rsidRPr="00A53E3C">
        <w:tab/>
      </w:r>
      <w:r w:rsidR="00A322D0" w:rsidRPr="00A53E3C">
        <w:t>Reference Group</w:t>
      </w:r>
      <w:bookmarkEnd w:id="229"/>
      <w:bookmarkEnd w:id="231"/>
      <w:bookmarkEnd w:id="232"/>
      <w:r w:rsidR="00B93158" w:rsidRPr="00A53E3C">
        <w:t xml:space="preserve"> </w:t>
      </w:r>
    </w:p>
    <w:p w:rsidR="00944D68" w:rsidRDefault="00595065" w:rsidP="00492694">
      <w:r>
        <w:t>T</w:t>
      </w:r>
      <w:r w:rsidR="00944D68" w:rsidRPr="00A53E3C">
        <w:t xml:space="preserve">he </w:t>
      </w:r>
      <w:r w:rsidR="00A322D0" w:rsidRPr="00A53E3C">
        <w:t>Reference Group</w:t>
      </w:r>
      <w:r w:rsidR="00012B5C">
        <w:t xml:space="preserve"> provided </w:t>
      </w:r>
      <w:r>
        <w:t>input to the Medicines Review</w:t>
      </w:r>
      <w:r w:rsidR="00012B5C">
        <w:t>, including</w:t>
      </w:r>
      <w:r w:rsidRPr="00A53E3C">
        <w:t>:</w:t>
      </w:r>
    </w:p>
    <w:p w:rsidR="00595065" w:rsidRDefault="00012B5C" w:rsidP="006F292B">
      <w:pPr>
        <w:pStyle w:val="ListParagraph"/>
        <w:numPr>
          <w:ilvl w:val="0"/>
          <w:numId w:val="26"/>
        </w:numPr>
        <w:ind w:left="426" w:hanging="426"/>
      </w:pPr>
      <w:r>
        <w:t>Highlighting</w:t>
      </w:r>
      <w:r w:rsidR="00595065">
        <w:t xml:space="preserve"> that variance in pharmacotherapy algorithms for type 2 diabetes in different countries is likely to be due to cost-effectiveness concerns in these countries.</w:t>
      </w:r>
    </w:p>
    <w:p w:rsidR="006B6F9A" w:rsidRDefault="00012B5C" w:rsidP="006F292B">
      <w:pPr>
        <w:pStyle w:val="ListParagraph"/>
        <w:numPr>
          <w:ilvl w:val="0"/>
          <w:numId w:val="26"/>
        </w:numPr>
        <w:ind w:left="426" w:hanging="426"/>
      </w:pPr>
      <w:r>
        <w:t>Raising</w:t>
      </w:r>
      <w:r w:rsidR="005572FF">
        <w:t xml:space="preserve"> that MSAC had supported public funding of a new MBS item for quantitation of HbA</w:t>
      </w:r>
      <w:r w:rsidR="005572FF" w:rsidRPr="005572FF">
        <w:rPr>
          <w:vertAlign w:val="subscript"/>
        </w:rPr>
        <w:t>1c</w:t>
      </w:r>
      <w:r w:rsidR="005572FF">
        <w:t xml:space="preserve"> for the diagnosis of diabetes in Australia.</w:t>
      </w:r>
      <w:bookmarkStart w:id="233" w:name="_Part_4_–"/>
      <w:bookmarkEnd w:id="233"/>
    </w:p>
    <w:p w:rsidR="006B6F9A" w:rsidRDefault="00012B5C" w:rsidP="006F292B">
      <w:pPr>
        <w:pStyle w:val="ListParagraph"/>
        <w:numPr>
          <w:ilvl w:val="0"/>
          <w:numId w:val="26"/>
        </w:numPr>
        <w:ind w:left="426" w:hanging="426"/>
      </w:pPr>
      <w:r>
        <w:t>Providing</w:t>
      </w:r>
      <w:r w:rsidR="006B6F9A">
        <w:t xml:space="preserve"> guidance on the approach to the systematic literature review, including that the review:</w:t>
      </w:r>
    </w:p>
    <w:p w:rsidR="006B6F9A" w:rsidRDefault="006B6F9A" w:rsidP="006F292B">
      <w:pPr>
        <w:pStyle w:val="ListParagraph"/>
        <w:numPr>
          <w:ilvl w:val="1"/>
          <w:numId w:val="26"/>
        </w:numPr>
        <w:ind w:left="851" w:hanging="284"/>
      </w:pPr>
      <w:r>
        <w:t xml:space="preserve">focus on </w:t>
      </w:r>
      <w:r w:rsidR="00A26D2D">
        <w:t>long term</w:t>
      </w:r>
      <w:r>
        <w:t xml:space="preserve"> and patient-relevant outcomes, rather than surrogate measures, e.g. HbA</w:t>
      </w:r>
      <w:r w:rsidRPr="006B6F9A">
        <w:rPr>
          <w:vertAlign w:val="subscript"/>
        </w:rPr>
        <w:t>1c</w:t>
      </w:r>
    </w:p>
    <w:p w:rsidR="006B6F9A" w:rsidRDefault="006B6F9A" w:rsidP="006F292B">
      <w:pPr>
        <w:pStyle w:val="ListParagraph"/>
        <w:numPr>
          <w:ilvl w:val="1"/>
          <w:numId w:val="26"/>
        </w:numPr>
        <w:ind w:left="851" w:hanging="284"/>
      </w:pPr>
      <w:r>
        <w:t>highlight literature not previously seen by the PBAC, particularly comparisons for dual therapies not previously considered by the PBAC</w:t>
      </w:r>
    </w:p>
    <w:p w:rsidR="006B6F9A" w:rsidRDefault="006B6F9A" w:rsidP="006F292B">
      <w:pPr>
        <w:pStyle w:val="ListParagraph"/>
        <w:numPr>
          <w:ilvl w:val="1"/>
          <w:numId w:val="26"/>
        </w:numPr>
        <w:ind w:left="851" w:hanging="284"/>
      </w:pPr>
      <w:r>
        <w:t>focus on triple therapy, particularly clinical effectiveness</w:t>
      </w:r>
    </w:p>
    <w:p w:rsidR="006B6F9A" w:rsidRDefault="006B6F9A" w:rsidP="006F292B">
      <w:pPr>
        <w:pStyle w:val="ListParagraph"/>
        <w:numPr>
          <w:ilvl w:val="1"/>
          <w:numId w:val="26"/>
        </w:numPr>
        <w:ind w:left="851" w:hanging="284"/>
      </w:pPr>
      <w:r>
        <w:t>need not provide a meta-analysis of m</w:t>
      </w:r>
      <w:r w:rsidR="00AE42B8">
        <w:t>onotherapy and dual therapy trials</w:t>
      </w:r>
      <w:r>
        <w:t xml:space="preserve"> as the PBAC had already assessed </w:t>
      </w:r>
      <w:r w:rsidR="00AE42B8">
        <w:t xml:space="preserve">the </w:t>
      </w:r>
      <w:r>
        <w:t>literature and made decisions on these</w:t>
      </w:r>
    </w:p>
    <w:p w:rsidR="006B6F9A" w:rsidRDefault="006B6F9A" w:rsidP="006F292B">
      <w:pPr>
        <w:pStyle w:val="ListParagraph"/>
        <w:numPr>
          <w:ilvl w:val="1"/>
          <w:numId w:val="26"/>
        </w:numPr>
        <w:ind w:left="851" w:hanging="284"/>
      </w:pPr>
      <w:r>
        <w:t xml:space="preserve">exclusion criteria of 250 participants per arm should be reduced for the triple therapy trials to 100 per arm </w:t>
      </w:r>
      <w:r w:rsidR="00EE0DF4">
        <w:t>as only a limited number of studies would be available otherwise</w:t>
      </w:r>
    </w:p>
    <w:p w:rsidR="00EE0DF4" w:rsidRDefault="00EE0DF4" w:rsidP="006F292B">
      <w:pPr>
        <w:pStyle w:val="ListParagraph"/>
        <w:numPr>
          <w:ilvl w:val="1"/>
          <w:numId w:val="26"/>
        </w:numPr>
        <w:ind w:left="851" w:hanging="284"/>
      </w:pPr>
      <w:r>
        <w:t>only undertake a meta-analysis of trials that studied medicines added to existing medications if outcomes were comparable, and that only safety should be considered in this group.</w:t>
      </w:r>
    </w:p>
    <w:p w:rsidR="00681A62" w:rsidRDefault="00012B5C" w:rsidP="00681A62">
      <w:pPr>
        <w:pStyle w:val="ListParagraph"/>
        <w:numPr>
          <w:ilvl w:val="0"/>
          <w:numId w:val="26"/>
        </w:numPr>
        <w:ind w:left="426" w:hanging="426"/>
      </w:pPr>
      <w:r>
        <w:t>Reviewing</w:t>
      </w:r>
      <w:r w:rsidR="00EE0DF4">
        <w:t xml:space="preserve"> the trials identified in the systematic literature review to ensure that all relevant studies were</w:t>
      </w:r>
      <w:r>
        <w:t xml:space="preserve"> </w:t>
      </w:r>
      <w:r w:rsidR="00A7449C">
        <w:t>included</w:t>
      </w:r>
      <w:r w:rsidR="00EE0DF4">
        <w:t>.</w:t>
      </w:r>
    </w:p>
    <w:p w:rsidR="00681A62" w:rsidRDefault="00012B5C" w:rsidP="00681A62">
      <w:pPr>
        <w:pStyle w:val="ListParagraph"/>
        <w:numPr>
          <w:ilvl w:val="0"/>
          <w:numId w:val="26"/>
        </w:numPr>
        <w:ind w:left="426" w:hanging="426"/>
      </w:pPr>
      <w:r>
        <w:t>Identifying</w:t>
      </w:r>
      <w:r w:rsidR="00681A62">
        <w:t xml:space="preserve"> that some groups may be discouraging the use of sulfonylureas, against evidence-based practice and guidelines</w:t>
      </w:r>
      <w:r w:rsidR="00A7449C">
        <w:t xml:space="preserve">, and that additional prescriber education on the role of sulfonylureas may be needed. </w:t>
      </w:r>
    </w:p>
    <w:p w:rsidR="00A7449C" w:rsidRDefault="00012B5C" w:rsidP="00681A62">
      <w:pPr>
        <w:pStyle w:val="ListParagraph"/>
        <w:numPr>
          <w:ilvl w:val="0"/>
          <w:numId w:val="26"/>
        </w:numPr>
        <w:ind w:left="426" w:hanging="426"/>
      </w:pPr>
      <w:r>
        <w:t>Requesting</w:t>
      </w:r>
      <w:r w:rsidR="00A7449C">
        <w:t xml:space="preserve"> that the cost of the medicines be included in the Report and any prescriber education resulting from the Review.</w:t>
      </w:r>
    </w:p>
    <w:p w:rsidR="009F45BB" w:rsidRDefault="00AC2C5F" w:rsidP="00492694">
      <w:pPr>
        <w:pStyle w:val="Heading1"/>
      </w:pPr>
      <w:bookmarkStart w:id="234" w:name="_Part_4_–_1"/>
      <w:bookmarkEnd w:id="234"/>
      <w:r>
        <w:br w:type="page"/>
      </w:r>
      <w:bookmarkStart w:id="235" w:name="_Toc382906737"/>
      <w:bookmarkStart w:id="236" w:name="_Toc397947712"/>
      <w:bookmarkStart w:id="237" w:name="_Toc403399553"/>
      <w:r w:rsidR="009F45BB">
        <w:lastRenderedPageBreak/>
        <w:t xml:space="preserve">Part </w:t>
      </w:r>
      <w:r w:rsidR="00234112" w:rsidRPr="00DF5874">
        <w:t>4</w:t>
      </w:r>
      <w:r w:rsidR="009F45BB">
        <w:t xml:space="preserve"> –</w:t>
      </w:r>
      <w:r w:rsidR="00101507">
        <w:t xml:space="preserve"> </w:t>
      </w:r>
      <w:r w:rsidR="009F45BB">
        <w:t>Utilisation Analysis</w:t>
      </w:r>
      <w:r w:rsidR="00101507">
        <w:t xml:space="preserve"> (ToR 1 &amp; 2)</w:t>
      </w:r>
      <w:bookmarkEnd w:id="235"/>
      <w:bookmarkEnd w:id="236"/>
      <w:bookmarkEnd w:id="237"/>
    </w:p>
    <w:p w:rsidR="0002590C" w:rsidRPr="0002590C" w:rsidRDefault="0002590C" w:rsidP="0002590C"/>
    <w:p w:rsidR="0002590C" w:rsidRPr="009F3469" w:rsidRDefault="0002590C" w:rsidP="000259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i/>
        </w:rPr>
      </w:pPr>
      <w:r w:rsidRPr="009F3469">
        <w:rPr>
          <w:b/>
          <w:i/>
        </w:rPr>
        <w:t>ToR 1:</w:t>
      </w:r>
      <w:r w:rsidRPr="009F3469">
        <w:rPr>
          <w:i/>
        </w:rPr>
        <w:t xml:space="preserve"> Describe the utilisation and patterns of treatment of PBS listed drugs for type 2 diabetes, and compare these with PBS restrictions.</w:t>
      </w:r>
    </w:p>
    <w:p w:rsidR="0002590C" w:rsidRDefault="0002590C" w:rsidP="000259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i/>
        </w:rPr>
      </w:pPr>
      <w:r w:rsidRPr="009F3469">
        <w:rPr>
          <w:b/>
          <w:i/>
        </w:rPr>
        <w:t>ToR 2:</w:t>
      </w:r>
      <w:r w:rsidRPr="009F3469">
        <w:rPr>
          <w:i/>
        </w:rPr>
        <w:t xml:space="preserve"> Consider if the utilisation of PBS listed drugs in current clinical practice represents expected cost-effective use.</w:t>
      </w:r>
    </w:p>
    <w:p w:rsidR="0002590C" w:rsidRDefault="0002590C" w:rsidP="0002590C">
      <w:bookmarkStart w:id="238" w:name="_Toc382566484"/>
    </w:p>
    <w:p w:rsidR="00C67115" w:rsidRPr="00C67115" w:rsidRDefault="00C67115" w:rsidP="00492694">
      <w:pPr>
        <w:pStyle w:val="Heading2"/>
      </w:pPr>
      <w:bookmarkStart w:id="239" w:name="_Toc397947713"/>
      <w:bookmarkStart w:id="240" w:name="_Toc403399554"/>
      <w:r>
        <w:t>4.1</w:t>
      </w:r>
      <w:r>
        <w:tab/>
      </w:r>
      <w:r w:rsidRPr="00C67115">
        <w:t>Key findings</w:t>
      </w:r>
      <w:bookmarkEnd w:id="238"/>
      <w:bookmarkEnd w:id="239"/>
      <w:bookmarkEnd w:id="240"/>
    </w:p>
    <w:p w:rsidR="00C67115" w:rsidRPr="005932DF" w:rsidRDefault="00C67115" w:rsidP="006F292B">
      <w:pPr>
        <w:pStyle w:val="BodyText1"/>
        <w:numPr>
          <w:ilvl w:val="0"/>
          <w:numId w:val="27"/>
        </w:numPr>
        <w:shd w:val="clear" w:color="auto" w:fill="D9D9D9" w:themeFill="background1" w:themeFillShade="D9"/>
        <w:ind w:left="426" w:hanging="426"/>
      </w:pPr>
      <w:r w:rsidRPr="005932DF">
        <w:t xml:space="preserve">Overall Government expenditure on type 2 diabetes medicines increased from </w:t>
      </w:r>
      <w:r w:rsidR="0013747B">
        <w:t xml:space="preserve">around </w:t>
      </w:r>
      <w:r w:rsidRPr="005932DF">
        <w:t>$130 million in 2000 to $</w:t>
      </w:r>
      <w:r w:rsidR="0013747B">
        <w:t>501</w:t>
      </w:r>
      <w:r w:rsidRPr="005932DF">
        <w:t xml:space="preserve"> million in 201</w:t>
      </w:r>
      <w:r w:rsidR="0013747B">
        <w:t>3</w:t>
      </w:r>
      <w:r w:rsidRPr="005932DF">
        <w:t>. In 201</w:t>
      </w:r>
      <w:r w:rsidR="0013747B">
        <w:t>3</w:t>
      </w:r>
      <w:r w:rsidRPr="005932DF">
        <w:t xml:space="preserve">, the highest expenditure </w:t>
      </w:r>
      <w:r>
        <w:t xml:space="preserve">was on </w:t>
      </w:r>
      <w:r w:rsidRPr="005932DF">
        <w:t>insulins.</w:t>
      </w:r>
    </w:p>
    <w:p w:rsidR="00C67115" w:rsidRPr="00FB680F" w:rsidRDefault="00C67115" w:rsidP="006F292B">
      <w:pPr>
        <w:pStyle w:val="BodyText1"/>
        <w:numPr>
          <w:ilvl w:val="0"/>
          <w:numId w:val="27"/>
        </w:numPr>
        <w:shd w:val="clear" w:color="auto" w:fill="D9D9D9" w:themeFill="background1" w:themeFillShade="D9"/>
        <w:ind w:left="426" w:hanging="426"/>
      </w:pPr>
      <w:r w:rsidRPr="005932DF">
        <w:t>Metformin and sulfonylureas were the most commonly prescribed oral type 2 diabetes medicines between January 2000 and</w:t>
      </w:r>
      <w:r w:rsidR="0013747B">
        <w:t xml:space="preserve"> April 2014</w:t>
      </w:r>
      <w:r w:rsidRPr="005932DF">
        <w:t xml:space="preserve">. The use of metformin, </w:t>
      </w:r>
      <w:r w:rsidR="003776A5">
        <w:t>FDC</w:t>
      </w:r>
      <w:r w:rsidRPr="005932DF">
        <w:t xml:space="preserve"> products, and </w:t>
      </w:r>
      <w:r w:rsidR="002772EC">
        <w:t>DPP-4 inhibitors</w:t>
      </w:r>
      <w:r w:rsidRPr="005932DF">
        <w:t xml:space="preserve"> increased over this time</w:t>
      </w:r>
      <w:r>
        <w:t xml:space="preserve"> period</w:t>
      </w:r>
      <w:r w:rsidRPr="005932DF">
        <w:t xml:space="preserve">. </w:t>
      </w:r>
      <w:r w:rsidRPr="00FB680F">
        <w:t xml:space="preserve">The use of </w:t>
      </w:r>
      <w:r w:rsidR="006820B1">
        <w:t>TZDs</w:t>
      </w:r>
      <w:r w:rsidRPr="00FB680F">
        <w:t xml:space="preserve"> increased rapidly from listing in 2003 to 2007, but then declined, most likely as a result of safety concerns with rosiglitazone.</w:t>
      </w:r>
    </w:p>
    <w:p w:rsidR="00C67115" w:rsidRPr="005932DF" w:rsidRDefault="00C67115" w:rsidP="006F292B">
      <w:pPr>
        <w:pStyle w:val="BodyText1"/>
        <w:numPr>
          <w:ilvl w:val="0"/>
          <w:numId w:val="27"/>
        </w:numPr>
        <w:shd w:val="clear" w:color="auto" w:fill="D9D9D9" w:themeFill="background1" w:themeFillShade="D9"/>
        <w:ind w:left="426" w:hanging="426"/>
      </w:pPr>
      <w:r w:rsidRPr="005932DF">
        <w:t xml:space="preserve">In patients </w:t>
      </w:r>
      <w:r>
        <w:t>initiating diabetes pharmacotherapy between 2003–04 and 2009–</w:t>
      </w:r>
      <w:r w:rsidRPr="005932DF">
        <w:t>10, metformin was th</w:t>
      </w:r>
      <w:r>
        <w:t xml:space="preserve">e most common first line medicine, </w:t>
      </w:r>
      <w:r w:rsidRPr="005932DF">
        <w:t xml:space="preserve">in line with clinical guidelines. </w:t>
      </w:r>
    </w:p>
    <w:p w:rsidR="00C67115" w:rsidRPr="005932DF" w:rsidRDefault="00C67115" w:rsidP="006F292B">
      <w:pPr>
        <w:pStyle w:val="BodyText1"/>
        <w:numPr>
          <w:ilvl w:val="0"/>
          <w:numId w:val="27"/>
        </w:numPr>
        <w:shd w:val="clear" w:color="auto" w:fill="D9D9D9" w:themeFill="background1" w:themeFillShade="D9"/>
        <w:ind w:left="426" w:hanging="426"/>
      </w:pPr>
      <w:r w:rsidRPr="005932DF">
        <w:t xml:space="preserve">In the first 3.5 years after starting therapy, more than 60% of patients with type 2 diabetes did not </w:t>
      </w:r>
      <w:r>
        <w:t>add or switch medicines and fewer</w:t>
      </w:r>
      <w:r w:rsidRPr="005932DF">
        <w:t xml:space="preserve"> than 5% of patients added or switched medicines outside the PBS restrictions.</w:t>
      </w:r>
    </w:p>
    <w:p w:rsidR="00C67115" w:rsidRDefault="00C67115" w:rsidP="006F292B">
      <w:pPr>
        <w:pStyle w:val="BodyText1"/>
        <w:numPr>
          <w:ilvl w:val="0"/>
          <w:numId w:val="27"/>
        </w:numPr>
        <w:shd w:val="clear" w:color="auto" w:fill="D9D9D9" w:themeFill="background1" w:themeFillShade="D9"/>
        <w:ind w:left="426" w:hanging="426"/>
      </w:pPr>
      <w:r w:rsidRPr="005932DF">
        <w:t xml:space="preserve">For patients initiating a third line agent (a </w:t>
      </w:r>
      <w:r w:rsidR="002772EC">
        <w:t>DPP-4 inhibitor</w:t>
      </w:r>
      <w:r w:rsidRPr="005932DF">
        <w:t xml:space="preserve">, </w:t>
      </w:r>
      <w:r w:rsidR="006820B1">
        <w:t>TZD</w:t>
      </w:r>
      <w:r w:rsidRPr="005932DF">
        <w:t xml:space="preserve"> or exenatide) between July and December 2011, 47.7% had not received a supply of both metformin and a sulfonylurea in</w:t>
      </w:r>
      <w:r w:rsidR="00F75D7C">
        <w:t xml:space="preserve"> the 2 years prior.</w:t>
      </w:r>
      <w:r w:rsidR="00AD2198">
        <w:t xml:space="preserve"> </w:t>
      </w:r>
      <w:r w:rsidR="00F75D7C">
        <w:t xml:space="preserve">The PBS restrictions at the time required prior use of metformin and a sulfonylurea, except where contraindicated. </w:t>
      </w:r>
    </w:p>
    <w:p w:rsidR="00C67115" w:rsidRPr="005932DF" w:rsidRDefault="00C67115" w:rsidP="006F292B">
      <w:pPr>
        <w:pStyle w:val="BodyText1"/>
        <w:numPr>
          <w:ilvl w:val="0"/>
          <w:numId w:val="27"/>
        </w:numPr>
        <w:shd w:val="clear" w:color="auto" w:fill="D9D9D9" w:themeFill="background1" w:themeFillShade="D9"/>
        <w:ind w:left="426" w:hanging="426"/>
      </w:pPr>
      <w:r w:rsidRPr="005932DF">
        <w:t xml:space="preserve">Use outside the restrictions in patients initiating a third line agent, was highest for those initiating a </w:t>
      </w:r>
      <w:r w:rsidR="002772EC">
        <w:t>DPP-4 inhibitor</w:t>
      </w:r>
      <w:r w:rsidRPr="005932DF">
        <w:t xml:space="preserve"> + metformin FDC (55%), a </w:t>
      </w:r>
      <w:r w:rsidR="002772EC">
        <w:t>DPP-4 inhibitor</w:t>
      </w:r>
      <w:r w:rsidRPr="005932DF">
        <w:t xml:space="preserve"> (49%), or rosiglitazone + metformin FDC (46%), and lowest for those initiating exenatide (20%). </w:t>
      </w:r>
      <w:r>
        <w:t>The DUSC considered that the availability of FDCs may be contributing to use outside of the PBS restrictions.</w:t>
      </w:r>
    </w:p>
    <w:p w:rsidR="00C67115" w:rsidRPr="005932DF" w:rsidRDefault="00C67115" w:rsidP="006F292B">
      <w:pPr>
        <w:pStyle w:val="BodyText1"/>
        <w:numPr>
          <w:ilvl w:val="0"/>
          <w:numId w:val="27"/>
        </w:numPr>
        <w:shd w:val="clear" w:color="auto" w:fill="D9D9D9" w:themeFill="background1" w:themeFillShade="D9"/>
        <w:ind w:left="426" w:hanging="426"/>
      </w:pPr>
      <w:r w:rsidRPr="005932DF">
        <w:t xml:space="preserve">Of patients prescribed a third line agent between February 2011 and May 2012, </w:t>
      </w:r>
      <w:r>
        <w:t>27.9</w:t>
      </w:r>
      <w:r w:rsidRPr="005932DF">
        <w:t xml:space="preserve">% were </w:t>
      </w:r>
      <w:r>
        <w:t>co-</w:t>
      </w:r>
      <w:r w:rsidRPr="005932DF">
        <w:t xml:space="preserve">prescribed a regimen of </w:t>
      </w:r>
      <w:r>
        <w:t>medicine</w:t>
      </w:r>
      <w:r w:rsidRPr="005932DF">
        <w:t>s that did not comply with PBS subsidy criteria.</w:t>
      </w:r>
    </w:p>
    <w:p w:rsidR="00C67115" w:rsidRDefault="00C67115" w:rsidP="006F292B">
      <w:pPr>
        <w:pStyle w:val="BodyText1"/>
        <w:numPr>
          <w:ilvl w:val="0"/>
          <w:numId w:val="27"/>
        </w:numPr>
        <w:shd w:val="clear" w:color="auto" w:fill="D9D9D9" w:themeFill="background1" w:themeFillShade="D9"/>
        <w:ind w:left="426" w:hanging="426"/>
      </w:pPr>
      <w:r w:rsidRPr="005932DF">
        <w:t xml:space="preserve">Of the third line agents, pioglitazone had the least use beyond the PBS restrictions for co-prescribed therapies (13% of pioglitazone users). </w:t>
      </w:r>
    </w:p>
    <w:p w:rsidR="00C67115" w:rsidRPr="005932DF" w:rsidRDefault="00C67115" w:rsidP="006F292B">
      <w:pPr>
        <w:pStyle w:val="BodyText1"/>
        <w:numPr>
          <w:ilvl w:val="0"/>
          <w:numId w:val="27"/>
        </w:numPr>
        <w:shd w:val="clear" w:color="auto" w:fill="D9D9D9" w:themeFill="background1" w:themeFillShade="D9"/>
        <w:ind w:left="426" w:hanging="426"/>
      </w:pPr>
      <w:r w:rsidRPr="005932DF">
        <w:lastRenderedPageBreak/>
        <w:t xml:space="preserve">The use of a </w:t>
      </w:r>
      <w:r w:rsidR="002772EC">
        <w:t>DPP-4 inhibitor</w:t>
      </w:r>
      <w:r w:rsidRPr="005932DF">
        <w:t xml:space="preserve"> with both metform</w:t>
      </w:r>
      <w:r w:rsidR="003776A5">
        <w:t>in +</w:t>
      </w:r>
      <w:r w:rsidRPr="005932DF">
        <w:t xml:space="preserve"> sulfonylurea (triple oral therapy) contributed the most to use outside PBS restrictions in terms of co-prescribed therapies involving a third line agent. Some use of </w:t>
      </w:r>
      <w:r w:rsidR="002772EC">
        <w:t>DPP-4 inhibitor</w:t>
      </w:r>
      <w:r w:rsidRPr="005932DF">
        <w:t xml:space="preserve"> monotherapy was also evident. This use of </w:t>
      </w:r>
      <w:r w:rsidR="002772EC">
        <w:t>DPP-4 inhibitors</w:t>
      </w:r>
      <w:r w:rsidR="00F75D7C">
        <w:t xml:space="preserve"> had</w:t>
      </w:r>
      <w:r w:rsidRPr="005932DF">
        <w:t xml:space="preserve"> not been accepted as cost-effective by the </w:t>
      </w:r>
      <w:r>
        <w:t>PBAC</w:t>
      </w:r>
      <w:r w:rsidRPr="005932DF">
        <w:t xml:space="preserve">. </w:t>
      </w:r>
    </w:p>
    <w:p w:rsidR="00C67115" w:rsidRDefault="00C67115" w:rsidP="006F292B">
      <w:pPr>
        <w:pStyle w:val="BodyText1"/>
        <w:numPr>
          <w:ilvl w:val="0"/>
          <w:numId w:val="27"/>
        </w:numPr>
        <w:shd w:val="clear" w:color="auto" w:fill="D9D9D9" w:themeFill="background1" w:themeFillShade="D9"/>
        <w:ind w:left="426" w:hanging="426"/>
      </w:pPr>
      <w:r>
        <w:t>Of patients prescribed exen</w:t>
      </w:r>
      <w:r w:rsidRPr="005932DF">
        <w:t>atide, 29.6% were prescribed the medicine in a regimen of co-prescribed therapies that did not comply with PBS subsidy criteria</w:t>
      </w:r>
      <w:r>
        <w:t xml:space="preserve">, </w:t>
      </w:r>
      <w:r w:rsidRPr="005932DF">
        <w:t>primarily use in combination with insulin (16.1% of patients). This use had not been accepted as cost-effective by the PBAC.</w:t>
      </w:r>
    </w:p>
    <w:p w:rsidR="00C67115" w:rsidRDefault="00C67115" w:rsidP="006F292B">
      <w:pPr>
        <w:pStyle w:val="BodyText1"/>
        <w:numPr>
          <w:ilvl w:val="0"/>
          <w:numId w:val="27"/>
        </w:numPr>
        <w:shd w:val="clear" w:color="auto" w:fill="D9D9D9" w:themeFill="background1" w:themeFillShade="D9"/>
        <w:ind w:left="426" w:hanging="426"/>
      </w:pPr>
      <w:r>
        <w:t>The DUSC considered</w:t>
      </w:r>
      <w:r w:rsidRPr="005A727D">
        <w:t xml:space="preserve"> </w:t>
      </w:r>
      <w:r>
        <w:t xml:space="preserve">that </w:t>
      </w:r>
      <w:r w:rsidRPr="005A727D">
        <w:t>the overall rate of use beyond the PBS restriction</w:t>
      </w:r>
      <w:r>
        <w:t>s</w:t>
      </w:r>
      <w:r w:rsidRPr="005A727D">
        <w:t xml:space="preserve"> in relation to third line agents </w:t>
      </w:r>
      <w:r>
        <w:t xml:space="preserve">is at least 30%, and </w:t>
      </w:r>
      <w:r w:rsidRPr="005A727D">
        <w:t>that this is a conservative estimate of non-cost-effective use.</w:t>
      </w:r>
    </w:p>
    <w:p w:rsidR="00C67115" w:rsidRDefault="00C67115" w:rsidP="00492694">
      <w:pPr>
        <w:pStyle w:val="BodyText1"/>
      </w:pPr>
      <w:bookmarkStart w:id="241" w:name="_Toc382566485"/>
    </w:p>
    <w:p w:rsidR="00C67115" w:rsidRPr="00C67115" w:rsidRDefault="00C67115" w:rsidP="00492694">
      <w:pPr>
        <w:pStyle w:val="Heading2"/>
        <w:rPr>
          <w:sz w:val="32"/>
          <w:szCs w:val="26"/>
        </w:rPr>
      </w:pPr>
      <w:bookmarkStart w:id="242" w:name="_Toc397947714"/>
      <w:bookmarkStart w:id="243" w:name="_Toc403399555"/>
      <w:r>
        <w:t>4.2</w:t>
      </w:r>
      <w:r>
        <w:tab/>
      </w:r>
      <w:r w:rsidRPr="00FB680F">
        <w:t>Introduction</w:t>
      </w:r>
      <w:bookmarkEnd w:id="241"/>
      <w:bookmarkEnd w:id="242"/>
      <w:bookmarkEnd w:id="243"/>
    </w:p>
    <w:p w:rsidR="00C67115" w:rsidRDefault="00C67115" w:rsidP="00492694">
      <w:pPr>
        <w:pStyle w:val="BodyText1"/>
      </w:pPr>
      <w:r>
        <w:t>This part of the report summarises an analysis of the utilisation of type 2 diabetes medicines</w:t>
      </w:r>
      <w:r w:rsidR="00A22C96">
        <w:t xml:space="preserve"> undertaken for the DUSC</w:t>
      </w:r>
      <w:r>
        <w:t xml:space="preserve">. The DUSC requested the analysis as there had been a number of changes to type 2 diabetes products </w:t>
      </w:r>
      <w:r w:rsidRPr="008443DF">
        <w:t>listed</w:t>
      </w:r>
      <w:r>
        <w:t xml:space="preserve"> on the PBS and </w:t>
      </w:r>
      <w:r w:rsidRPr="008443DF">
        <w:t>safety concerns</w:t>
      </w:r>
      <w:r>
        <w:t xml:space="preserve"> had arisen</w:t>
      </w:r>
      <w:r w:rsidRPr="008443DF">
        <w:t xml:space="preserve"> </w:t>
      </w:r>
      <w:r>
        <w:t>for</w:t>
      </w:r>
      <w:r w:rsidRPr="008443DF">
        <w:t xml:space="preserve"> some </w:t>
      </w:r>
      <w:r>
        <w:t>medicines. DUSC also noted that the PBS restrictions had become complex over time.</w:t>
      </w:r>
    </w:p>
    <w:p w:rsidR="00C67115" w:rsidRDefault="00C67115" w:rsidP="00492694">
      <w:pPr>
        <w:pStyle w:val="BodyText1"/>
      </w:pPr>
      <w:r>
        <w:t>The specific objectives of the analysis were to:</w:t>
      </w:r>
    </w:p>
    <w:p w:rsidR="00C67115" w:rsidRPr="00AC367A" w:rsidRDefault="00C67115" w:rsidP="006F292B">
      <w:pPr>
        <w:pStyle w:val="BodyText1"/>
        <w:numPr>
          <w:ilvl w:val="0"/>
          <w:numId w:val="30"/>
        </w:numPr>
      </w:pPr>
      <w:r w:rsidRPr="00AC367A">
        <w:t>describe the utilisation and patterns of treatment of medicines for type 2 diabetes, including the sequence of therapies and agents administered concomitantly; and</w:t>
      </w:r>
    </w:p>
    <w:p w:rsidR="00C67115" w:rsidRPr="00AC367A" w:rsidRDefault="00C67115" w:rsidP="006F292B">
      <w:pPr>
        <w:pStyle w:val="BodyText1"/>
        <w:numPr>
          <w:ilvl w:val="0"/>
          <w:numId w:val="30"/>
        </w:numPr>
      </w:pPr>
      <w:r w:rsidRPr="00AC367A">
        <w:t xml:space="preserve">compare this use with current PBS restrictions. </w:t>
      </w:r>
    </w:p>
    <w:p w:rsidR="00C67115" w:rsidRDefault="00C67115" w:rsidP="00492694">
      <w:pPr>
        <w:pStyle w:val="BodyText1"/>
      </w:pPr>
      <w:r>
        <w:t xml:space="preserve">Within that </w:t>
      </w:r>
      <w:r w:rsidRPr="00BA6853">
        <w:t>framework</w:t>
      </w:r>
      <w:r>
        <w:t>, this report covers four aspects of utilisation:</w:t>
      </w:r>
    </w:p>
    <w:p w:rsidR="00C67115" w:rsidRPr="00AC367A" w:rsidRDefault="00C67115" w:rsidP="006F292B">
      <w:pPr>
        <w:pStyle w:val="BodyText1"/>
        <w:numPr>
          <w:ilvl w:val="0"/>
          <w:numId w:val="31"/>
        </w:numPr>
      </w:pPr>
      <w:r w:rsidRPr="00AC367A">
        <w:t>Overall utilisation of PBS listed medicines for diabetes, including the number of prescriptions and expenditure.</w:t>
      </w:r>
    </w:p>
    <w:p w:rsidR="00C67115" w:rsidRPr="00AC367A" w:rsidRDefault="00C67115" w:rsidP="006F292B">
      <w:pPr>
        <w:pStyle w:val="BodyText1"/>
        <w:numPr>
          <w:ilvl w:val="0"/>
          <w:numId w:val="31"/>
        </w:numPr>
      </w:pPr>
      <w:r w:rsidRPr="00AC367A">
        <w:t>Patterns of use when patients initiate pharmacotherapy for type 2 diabetes.</w:t>
      </w:r>
    </w:p>
    <w:p w:rsidR="00C67115" w:rsidRPr="00AC367A" w:rsidRDefault="00C67115" w:rsidP="006F292B">
      <w:pPr>
        <w:pStyle w:val="BodyText1"/>
        <w:numPr>
          <w:ilvl w:val="0"/>
          <w:numId w:val="31"/>
        </w:numPr>
      </w:pPr>
      <w:r w:rsidRPr="00AC367A">
        <w:t>Medicines used prior to initiating third line agents (</w:t>
      </w:r>
      <w:r w:rsidR="002772EC">
        <w:t>DPP-4 inhibitors</w:t>
      </w:r>
      <w:r w:rsidRPr="00AC367A">
        <w:t xml:space="preserve">, </w:t>
      </w:r>
      <w:r w:rsidR="006820B1">
        <w:t>TZDs</w:t>
      </w:r>
      <w:r w:rsidRPr="00AC367A">
        <w:t xml:space="preserve"> and exenatide) and compliance with PBS restrictions.</w:t>
      </w:r>
    </w:p>
    <w:p w:rsidR="00C67115" w:rsidRPr="00AC367A" w:rsidRDefault="00C67115" w:rsidP="006F292B">
      <w:pPr>
        <w:pStyle w:val="BodyText1"/>
        <w:numPr>
          <w:ilvl w:val="0"/>
          <w:numId w:val="31"/>
        </w:numPr>
      </w:pPr>
      <w:r w:rsidRPr="00AC367A">
        <w:t>Co-administration of medicines to treat type 2 diabetes and compliance with PBS restrictions for third line agents (</w:t>
      </w:r>
      <w:r w:rsidR="002772EC">
        <w:t>DPP-4 inhibitors</w:t>
      </w:r>
      <w:r w:rsidRPr="00AC367A">
        <w:t xml:space="preserve">, </w:t>
      </w:r>
      <w:r w:rsidR="006820B1">
        <w:t>TZDs</w:t>
      </w:r>
      <w:r w:rsidRPr="00AC367A">
        <w:t xml:space="preserve"> and exenatide).</w:t>
      </w:r>
    </w:p>
    <w:p w:rsidR="00C67115" w:rsidRDefault="00C67115" w:rsidP="00492694">
      <w:pPr>
        <w:pStyle w:val="BodyText1"/>
      </w:pPr>
      <w:r w:rsidRPr="001C6A32">
        <w:t>The scope of the analysis included all medicines listed on the PBS that are used to treat diabetes (Anatomical Therapeutic Chemi</w:t>
      </w:r>
      <w:r>
        <w:t xml:space="preserve">cal (ATC) classification A10). </w:t>
      </w:r>
      <w:r w:rsidRPr="001C6A32">
        <w:t xml:space="preserve">Note that both exenatide and basal insulin were subject to special pricing arrangements during the </w:t>
      </w:r>
      <w:r w:rsidRPr="001C6A32">
        <w:lastRenderedPageBreak/>
        <w:t>pe</w:t>
      </w:r>
      <w:r w:rsidR="009000A8">
        <w:t xml:space="preserve">riod of the analysis. </w:t>
      </w:r>
      <w:r w:rsidR="00F41995">
        <w:t xml:space="preserve">The </w:t>
      </w:r>
      <w:r w:rsidR="00F41995" w:rsidRPr="0028026D">
        <w:t>G</w:t>
      </w:r>
      <w:r w:rsidR="009000A8" w:rsidRPr="0028026D">
        <w:t>lossary</w:t>
      </w:r>
      <w:r w:rsidRPr="001C6A32">
        <w:t xml:space="preserve"> contains </w:t>
      </w:r>
      <w:r w:rsidR="009000A8">
        <w:t xml:space="preserve">an explanation of the </w:t>
      </w:r>
      <w:r w:rsidRPr="001C6A32">
        <w:t xml:space="preserve">terms </w:t>
      </w:r>
      <w:r w:rsidR="009000A8">
        <w:t xml:space="preserve">used in this analysis and </w:t>
      </w:r>
      <w:hyperlink w:anchor="_Appendix_D:_Utilisation" w:history="1">
        <w:r w:rsidR="00217038" w:rsidRPr="006E1080">
          <w:rPr>
            <w:rStyle w:val="Hyperlink"/>
          </w:rPr>
          <w:t>Appendix D</w:t>
        </w:r>
      </w:hyperlink>
      <w:r w:rsidRPr="001C6A32">
        <w:t xml:space="preserve"> contains a list of medicine abbreviations.</w:t>
      </w:r>
    </w:p>
    <w:p w:rsidR="00C67115" w:rsidRDefault="00C67115" w:rsidP="00492694">
      <w:pPr>
        <w:pStyle w:val="BodyText1"/>
      </w:pPr>
      <w:r>
        <w:t>Analyses</w:t>
      </w:r>
      <w:r w:rsidR="00A22C96">
        <w:t xml:space="preserve"> 1 and </w:t>
      </w:r>
      <w:r>
        <w:t>2 on overall utilisation of diabetes medicines and initiating medicines were considered by the DUSC in October 2012. Analyses 3 and 4, on compliance with PBS restrictions regarding prior therapies and co-prescribed medicines, were considered in February 2013.</w:t>
      </w:r>
      <w:r w:rsidR="00A22C96">
        <w:t xml:space="preserve"> This Report contains an updated version of analysis 1.</w:t>
      </w:r>
    </w:p>
    <w:p w:rsidR="00C67115" w:rsidRDefault="00C67115" w:rsidP="00492694">
      <w:pPr>
        <w:pStyle w:val="Heading3"/>
      </w:pPr>
      <w:r>
        <w:t xml:space="preserve">4.2.1  </w:t>
      </w:r>
      <w:r w:rsidRPr="008E7386">
        <w:t>Restrictions</w:t>
      </w:r>
    </w:p>
    <w:p w:rsidR="00C67115" w:rsidRDefault="00C67115" w:rsidP="00492694">
      <w:pPr>
        <w:pStyle w:val="BodyText1"/>
      </w:pPr>
      <w:r>
        <w:t>At October 2012, metformin, sulfonylureas, acarbose and all insulins except for insulin detemir were unrestricted benefits on the PBS. Insulin detemir was a restricted benefit for type 1 diabetes. Rosi</w:t>
      </w:r>
      <w:r w:rsidR="00AD2198">
        <w:t>glitazone and rosiglitazone +</w:t>
      </w:r>
      <w:r>
        <w:t xml:space="preserve"> metformin FDC were authority required listings due to safety concerns. Exenatide, pioglitazone and </w:t>
      </w:r>
      <w:r w:rsidR="002772EC">
        <w:t>DPP-4 inhibitors</w:t>
      </w:r>
      <w:r>
        <w:t xml:space="preserve"> (as single agents and FDC products) were authority required (streamlined) listings and could be prescribed through the PBS only for the treatment of type 2 diabetes in specific circumstances. </w:t>
      </w:r>
      <w:r w:rsidRPr="003465CE">
        <w:t>The PBS restrictions</w:t>
      </w:r>
      <w:r>
        <w:t xml:space="preserve"> are presented as a flow chart in </w:t>
      </w:r>
      <w:r w:rsidRPr="003465CE">
        <w:t xml:space="preserve">Figure </w:t>
      </w:r>
      <w:r w:rsidR="00A5626E">
        <w:t>4.</w:t>
      </w:r>
      <w:r w:rsidRPr="003465CE">
        <w:t>1</w:t>
      </w:r>
      <w:r>
        <w:t>. I</w:t>
      </w:r>
      <w:r w:rsidRPr="002A35CD">
        <w:t xml:space="preserve">n practice, metformin </w:t>
      </w:r>
      <w:r>
        <w:t>wa</w:t>
      </w:r>
      <w:r w:rsidRPr="002A35CD">
        <w:t xml:space="preserve">s </w:t>
      </w:r>
      <w:r>
        <w:t xml:space="preserve">usually </w:t>
      </w:r>
      <w:r w:rsidRPr="002A35CD">
        <w:t>considered first line</w:t>
      </w:r>
      <w:r>
        <w:t xml:space="preserve"> therapy</w:t>
      </w:r>
      <w:r w:rsidRPr="002A35CD">
        <w:t xml:space="preserve">, with </w:t>
      </w:r>
      <w:r>
        <w:t xml:space="preserve">a </w:t>
      </w:r>
      <w:r w:rsidRPr="002A35CD">
        <w:t>sulfonylurea added on to metformin as a second line agent.</w:t>
      </w:r>
      <w:r w:rsidR="00F41995">
        <w:t xml:space="preserve"> </w:t>
      </w:r>
      <w:hyperlink w:anchor="_Appendix_F:_Utilisation" w:history="1">
        <w:r w:rsidR="00217038" w:rsidRPr="006E1080">
          <w:rPr>
            <w:rStyle w:val="Hyperlink"/>
          </w:rPr>
          <w:t>Appendix E</w:t>
        </w:r>
      </w:hyperlink>
      <w:r>
        <w:t xml:space="preserve"> contains further detail on the PBS restrictions and TGA-approved indications for type 2 diabetes medicines at the time of the analysis.</w:t>
      </w:r>
    </w:p>
    <w:p w:rsidR="007B00B9" w:rsidRPr="007B00B9" w:rsidRDefault="007B00B9" w:rsidP="007B00B9">
      <w:pPr>
        <w:pStyle w:val="BodyText1"/>
        <w:keepNext/>
        <w:keepLines/>
        <w:rPr>
          <w:rFonts w:cs="Baskerville"/>
          <w:b/>
          <w:sz w:val="20"/>
          <w:szCs w:val="20"/>
        </w:rPr>
      </w:pPr>
      <w:r w:rsidRPr="007B00B9">
        <w:rPr>
          <w:b/>
        </w:rPr>
        <w:t>Figure 4.1. PBS restr</w:t>
      </w:r>
      <w:r w:rsidR="00E23947">
        <w:rPr>
          <w:b/>
        </w:rPr>
        <w:t>ictions for type 2 diabetes medicine</w:t>
      </w:r>
      <w:r w:rsidRPr="007B00B9">
        <w:rPr>
          <w:b/>
        </w:rPr>
        <w:t>s</w:t>
      </w:r>
      <w:r w:rsidR="00F75D7C">
        <w:rPr>
          <w:b/>
        </w:rPr>
        <w:t xml:space="preserve"> (at October 2012)</w:t>
      </w:r>
      <w:r w:rsidRPr="007B00B9">
        <w:rPr>
          <w:rFonts w:cs="Baskerville"/>
          <w:b/>
          <w:sz w:val="20"/>
          <w:szCs w:val="20"/>
        </w:rPr>
        <w:t xml:space="preserve">. </w:t>
      </w:r>
    </w:p>
    <w:p w:rsidR="00C67115" w:rsidRDefault="00950E61" w:rsidP="007B00B9">
      <w:pPr>
        <w:keepNext/>
        <w:keepLines/>
        <w:rPr>
          <w:rFonts w:eastAsia="Calibri"/>
        </w:rPr>
      </w:pPr>
      <w:r>
        <w:rPr>
          <w:lang w:eastAsia="en-AU"/>
        </w:rPr>
        <w:drawing>
          <wp:inline distT="0" distB="0" distL="0" distR="0" wp14:anchorId="3BC1ABF7" wp14:editId="0FEEEF4F">
            <wp:extent cx="6290310" cy="3165475"/>
            <wp:effectExtent l="0" t="0" r="0" b="0"/>
            <wp:docPr id="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90310" cy="3165475"/>
                    </a:xfrm>
                    <a:prstGeom prst="rect">
                      <a:avLst/>
                    </a:prstGeom>
                    <a:noFill/>
                    <a:ln>
                      <a:noFill/>
                    </a:ln>
                  </pic:spPr>
                </pic:pic>
              </a:graphicData>
            </a:graphic>
          </wp:inline>
        </w:drawing>
      </w:r>
    </w:p>
    <w:p w:rsidR="00C67115" w:rsidRPr="00C67115" w:rsidRDefault="00C67115" w:rsidP="00646887">
      <w:pPr>
        <w:pStyle w:val="Notes"/>
      </w:pPr>
      <w:r w:rsidRPr="00F75D7C">
        <w:rPr>
          <w:u w:val="single"/>
        </w:rPr>
        <w:t>Notes</w:t>
      </w:r>
      <w:r w:rsidRPr="00C67115">
        <w:t>:</w:t>
      </w:r>
      <w:r w:rsidRPr="00C67115">
        <w:tab/>
        <w:t>HbA1c = glycosylated haemoglobin.</w:t>
      </w:r>
      <w:r w:rsidRPr="00C67115">
        <w:br/>
        <w:t>The red and blue arrows indicate where switching between medicines is permitted without having to requalify with respect to HbA</w:t>
      </w:r>
      <w:r w:rsidRPr="00FF3078">
        <w:rPr>
          <w:vertAlign w:val="subscript"/>
        </w:rPr>
        <w:t>1c</w:t>
      </w:r>
      <w:r w:rsidRPr="00C67115">
        <w:t xml:space="preserve"> levels. Acarbose has an unrestricted listing and can be used at any point in therapy.</w:t>
      </w:r>
    </w:p>
    <w:p w:rsidR="00C67115" w:rsidRPr="00C67115" w:rsidRDefault="00C67115" w:rsidP="00492694">
      <w:pPr>
        <w:pStyle w:val="BodyText1"/>
      </w:pPr>
    </w:p>
    <w:p w:rsidR="00C67115" w:rsidRDefault="00C67115" w:rsidP="00492694">
      <w:pPr>
        <w:pStyle w:val="Heading2"/>
      </w:pPr>
      <w:bookmarkStart w:id="244" w:name="_Toc382566486"/>
      <w:bookmarkStart w:id="245" w:name="_Toc397947715"/>
      <w:bookmarkStart w:id="246" w:name="_Toc403399556"/>
      <w:r>
        <w:lastRenderedPageBreak/>
        <w:t>4.3</w:t>
      </w:r>
      <w:r>
        <w:tab/>
      </w:r>
      <w:r w:rsidRPr="005E22C2">
        <w:t>Methods</w:t>
      </w:r>
      <w:bookmarkEnd w:id="244"/>
      <w:bookmarkEnd w:id="245"/>
      <w:bookmarkEnd w:id="246"/>
    </w:p>
    <w:p w:rsidR="00C67115" w:rsidRPr="00C67115" w:rsidRDefault="00C67115" w:rsidP="00492694">
      <w:pPr>
        <w:pStyle w:val="Heading3"/>
      </w:pPr>
      <w:bookmarkStart w:id="247" w:name="_4.3.1__Overall"/>
      <w:bookmarkStart w:id="248" w:name="_Toc382566487"/>
      <w:bookmarkEnd w:id="247"/>
      <w:r w:rsidRPr="00C67115">
        <w:t>4.3.1  Overall utilisation of diabetes medicines</w:t>
      </w:r>
      <w:bookmarkEnd w:id="248"/>
    </w:p>
    <w:p w:rsidR="00C67115" w:rsidRDefault="00C67115" w:rsidP="00492694">
      <w:pPr>
        <w:pStyle w:val="BodyText1"/>
      </w:pPr>
      <w:r>
        <w:t>The number of prescriptions and expenditure for all medicines used in the treatment of diabetes were extracted from the DUSC database for the period January 2000 to</w:t>
      </w:r>
      <w:r w:rsidR="0073396C">
        <w:t xml:space="preserve"> April 2014</w:t>
      </w:r>
      <w:r>
        <w:t xml:space="preserve">. The DUSC database combines data for PBS prescriptions submitted to the Department of Human Services (DHS) for payment of a PBS/RPBS subsidy by the Government, with an estimate of under-copayment and private prescriptions based on dispensing data from a sample of pharmacies. </w:t>
      </w:r>
      <w:r w:rsidR="0001665F">
        <w:t xml:space="preserve">From April 2012, the survey estimate of under-copayment data is replaced by actual under-copayment data collected by DHS. </w:t>
      </w:r>
      <w:r w:rsidR="0073396C">
        <w:t xml:space="preserve">Private prescription data was removed from this analysis, as data collection for private prescriptions ceased in September 2012. </w:t>
      </w:r>
      <w:r>
        <w:t xml:space="preserve">The prescription data presented in this analysis </w:t>
      </w:r>
      <w:r w:rsidR="00346C2C">
        <w:t>are</w:t>
      </w:r>
      <w:r>
        <w:t xml:space="preserve"> based on the date of supply to the patient. </w:t>
      </w:r>
    </w:p>
    <w:p w:rsidR="00C67115" w:rsidRDefault="00C67115" w:rsidP="00492694">
      <w:pPr>
        <w:pStyle w:val="BodyText1"/>
      </w:pPr>
      <w:r>
        <w:t xml:space="preserve">Government expenditure data are available for prescriptions where a PBS subsidy is paid. Government expenditure for subsidised PBS/RPBS prescriptions </w:t>
      </w:r>
      <w:r w:rsidR="00C41070">
        <w:t xml:space="preserve">presented in this Report </w:t>
      </w:r>
      <w:r>
        <w:t xml:space="preserve">is based on the prices published in the PBS Schedule minus </w:t>
      </w:r>
      <w:r w:rsidR="0073396C">
        <w:t xml:space="preserve">the </w:t>
      </w:r>
      <w:r>
        <w:t xml:space="preserve">patient copayment. </w:t>
      </w:r>
      <w:r w:rsidR="00C41070">
        <w:t>Where special pricing arrangements apply, final Government expenditure may differ from that shown.</w:t>
      </w:r>
    </w:p>
    <w:p w:rsidR="00C67115" w:rsidRPr="00C67115" w:rsidRDefault="00C67115" w:rsidP="00492694">
      <w:pPr>
        <w:pStyle w:val="Heading3"/>
      </w:pPr>
      <w:bookmarkStart w:id="249" w:name="_Toc382566488"/>
      <w:r w:rsidRPr="00C67115">
        <w:t>4.3.2  Initiating medicines for patients with type 2 diabetes</w:t>
      </w:r>
      <w:bookmarkEnd w:id="249"/>
    </w:p>
    <w:p w:rsidR="00C67115" w:rsidRPr="007D74F8" w:rsidRDefault="00C67115" w:rsidP="00492694">
      <w:pPr>
        <w:pStyle w:val="BodyText1"/>
      </w:pPr>
      <w:r>
        <w:t xml:space="preserve">This part of the analysis examined </w:t>
      </w:r>
      <w:r w:rsidRPr="007D74F8">
        <w:t>pat</w:t>
      </w:r>
      <w:r>
        <w:t>terns of medicine use when patients initiated pharmaco</w:t>
      </w:r>
      <w:r w:rsidRPr="007D74F8">
        <w:t>therapy for type 2 diabetes</w:t>
      </w:r>
      <w:r>
        <w:t>.</w:t>
      </w:r>
    </w:p>
    <w:p w:rsidR="00C67115" w:rsidRDefault="00C67115" w:rsidP="00492694">
      <w:pPr>
        <w:pStyle w:val="BodyText1"/>
      </w:pPr>
      <w:r>
        <w:t xml:space="preserve">De-identified pharmacy claim data for PBS-subsidised prescriptions for all diabetes medicines was extracted from the DHS (Medicare) database for the period July 2002 to December 2011. From this extract, four cohorts of concessional patients initiating treatment for type 2 diabetes were defined to allow comparison of utilisation over time. The selected cohorts established for the years 2003/04, 2005/06, 2007/08 and 2009/10 were chosen to align with changes in availability of drugs on the PBS. A follow-up period of 3.5 years was defined for the 2003/04, 2005/06 and 2007/08 cohorts. For the 2009/10 cohort a follow-up period of only 18-30 months was possible. </w:t>
      </w:r>
    </w:p>
    <w:p w:rsidR="00C67115" w:rsidRDefault="00C67115" w:rsidP="00492694">
      <w:pPr>
        <w:pStyle w:val="BodyText1"/>
      </w:pPr>
      <w:r>
        <w:t xml:space="preserve">Concession only cohorts were used because some medicines used to treat diabetes are priced below the general patient copayment, and the supply of under-copayment medicines is not captured for general patients in the dataset. The DUSC considered that </w:t>
      </w:r>
      <w:r w:rsidRPr="005031F4">
        <w:t xml:space="preserve">patterns of use in general and concessional patients </w:t>
      </w:r>
      <w:r>
        <w:t>we</w:t>
      </w:r>
      <w:r w:rsidRPr="005031F4">
        <w:t xml:space="preserve">re likely to be sufficiently similar to allow extrapolation of the concessional cohort findings to the total population with diabetes. It is also worth noting that the majority of patients with diabetes </w:t>
      </w:r>
      <w:r>
        <w:t>we</w:t>
      </w:r>
      <w:r w:rsidRPr="005031F4">
        <w:t>re concession patients.</w:t>
      </w:r>
      <w:r>
        <w:t xml:space="preserve"> </w:t>
      </w:r>
    </w:p>
    <w:p w:rsidR="00C67115" w:rsidRDefault="00C67115" w:rsidP="00492694">
      <w:pPr>
        <w:pStyle w:val="BodyText1"/>
      </w:pPr>
      <w:r w:rsidRPr="004770C6">
        <w:t xml:space="preserve">Patients </w:t>
      </w:r>
      <w:r>
        <w:t xml:space="preserve">were assumed to be </w:t>
      </w:r>
      <w:r w:rsidRPr="004770C6">
        <w:t>initiating on therapy</w:t>
      </w:r>
      <w:r>
        <w:t xml:space="preserve"> if they </w:t>
      </w:r>
      <w:r w:rsidRPr="004770C6">
        <w:t>did not have a pr</w:t>
      </w:r>
      <w:r>
        <w:t>escription for a type 2 diabetes</w:t>
      </w:r>
      <w:r w:rsidRPr="004770C6">
        <w:t xml:space="preserve"> </w:t>
      </w:r>
      <w:r>
        <w:t xml:space="preserve">medicine </w:t>
      </w:r>
      <w:r w:rsidRPr="004770C6">
        <w:t xml:space="preserve">supplied in the </w:t>
      </w:r>
      <w:r>
        <w:t xml:space="preserve">previous </w:t>
      </w:r>
      <w:r w:rsidRPr="004770C6">
        <w:t>12 months.</w:t>
      </w:r>
      <w:r>
        <w:t xml:space="preserve"> The following patients were assumed to have type 1 diabetes and were excluded from the analysis:</w:t>
      </w:r>
    </w:p>
    <w:p w:rsidR="00C67115" w:rsidRDefault="00C67115" w:rsidP="006F292B">
      <w:pPr>
        <w:pStyle w:val="BodyText1"/>
        <w:numPr>
          <w:ilvl w:val="0"/>
          <w:numId w:val="32"/>
        </w:numPr>
      </w:pPr>
      <w:r>
        <w:lastRenderedPageBreak/>
        <w:t>Patients who started treatment with insulin alone and who were ≤ 20 years of age.</w:t>
      </w:r>
    </w:p>
    <w:p w:rsidR="00C67115" w:rsidRDefault="00C67115" w:rsidP="006F292B">
      <w:pPr>
        <w:pStyle w:val="BodyText1"/>
        <w:numPr>
          <w:ilvl w:val="0"/>
          <w:numId w:val="32"/>
        </w:numPr>
      </w:pPr>
      <w:r>
        <w:t>Patients aged &gt; 20 years at initiation who received insulin detemir and no other product over their prescription history.</w:t>
      </w:r>
    </w:p>
    <w:p w:rsidR="00C67115" w:rsidRDefault="00C67115" w:rsidP="00492694">
      <w:pPr>
        <w:pStyle w:val="BodyText1"/>
      </w:pPr>
      <w:r>
        <w:t>Treatment pathways post-initiation</w:t>
      </w:r>
      <w:r w:rsidRPr="00A046DA">
        <w:t xml:space="preserve"> </w:t>
      </w:r>
      <w:r>
        <w:t xml:space="preserve">were determined for individual de-identified patients from their prescription supply history. The analysis of prescription pathways included an assessment of whether new therapy was introduced as a replacement for an existing drug (switch) or as an additional form of therapy (add). All analyses were based on the date of supply of the medicines. </w:t>
      </w:r>
    </w:p>
    <w:p w:rsidR="00C67115" w:rsidRPr="00C67115" w:rsidRDefault="00C67115" w:rsidP="00492694">
      <w:pPr>
        <w:pStyle w:val="Heading3"/>
      </w:pPr>
      <w:bookmarkStart w:id="250" w:name="_Toc382566489"/>
      <w:r w:rsidRPr="00C67115">
        <w:t>4.3.3  Therapies used before third line agents</w:t>
      </w:r>
      <w:bookmarkEnd w:id="250"/>
    </w:p>
    <w:p w:rsidR="00C67115" w:rsidRPr="00A07F54" w:rsidRDefault="00C67115" w:rsidP="00492694">
      <w:pPr>
        <w:pStyle w:val="BodyText1"/>
      </w:pPr>
      <w:r w:rsidRPr="00A07F54">
        <w:t xml:space="preserve">This </w:t>
      </w:r>
      <w:r>
        <w:t xml:space="preserve">analysis </w:t>
      </w:r>
      <w:r w:rsidRPr="00A07F54">
        <w:t xml:space="preserve">examined </w:t>
      </w:r>
      <w:r>
        <w:t>an incident cohort of patients initiating therapy with a third line agent (</w:t>
      </w:r>
      <w:r w:rsidR="002772EC">
        <w:t>DPP-4 inhibitor</w:t>
      </w:r>
      <w:r>
        <w:t xml:space="preserve">, </w:t>
      </w:r>
      <w:r w:rsidR="006820B1">
        <w:t>TZD</w:t>
      </w:r>
      <w:r>
        <w:t xml:space="preserve"> or exenatide), to determine patterns of prior prescribing and compliance with the PBS restrictions.</w:t>
      </w:r>
    </w:p>
    <w:p w:rsidR="00C67115" w:rsidRDefault="00C67115" w:rsidP="00492694">
      <w:pPr>
        <w:pStyle w:val="BodyText1"/>
      </w:pPr>
      <w:r>
        <w:t>De-identified PBS/RPBS pharmacy claim</w:t>
      </w:r>
      <w:r w:rsidRPr="00655F82">
        <w:t xml:space="preserve"> </w:t>
      </w:r>
      <w:r>
        <w:t xml:space="preserve">data </w:t>
      </w:r>
      <w:r w:rsidRPr="00655F82">
        <w:t xml:space="preserve">for all </w:t>
      </w:r>
      <w:r>
        <w:t>diabetes medicine</w:t>
      </w:r>
      <w:r w:rsidRPr="00655F82">
        <w:t xml:space="preserve">s </w:t>
      </w:r>
      <w:r>
        <w:t>s</w:t>
      </w:r>
      <w:r w:rsidRPr="00655F82">
        <w:t>upplied between July 20</w:t>
      </w:r>
      <w:r>
        <w:t>09</w:t>
      </w:r>
      <w:r w:rsidRPr="00655F82">
        <w:t xml:space="preserve"> </w:t>
      </w:r>
      <w:r w:rsidRPr="00AF3420">
        <w:t xml:space="preserve">and </w:t>
      </w:r>
      <w:r w:rsidRPr="00EA0D45">
        <w:t>July 2012</w:t>
      </w:r>
      <w:r w:rsidRPr="00655F82">
        <w:t xml:space="preserve"> (inclusive) w</w:t>
      </w:r>
      <w:r>
        <w:t>ere</w:t>
      </w:r>
      <w:r w:rsidRPr="00655F82">
        <w:t xml:space="preserve"> extracted from </w:t>
      </w:r>
      <w:r>
        <w:t xml:space="preserve">the </w:t>
      </w:r>
      <w:r w:rsidRPr="00655F82">
        <w:t xml:space="preserve">DHS </w:t>
      </w:r>
      <w:r>
        <w:t>(Medicare) d</w:t>
      </w:r>
      <w:r w:rsidRPr="00655F82">
        <w:t>atabase</w:t>
      </w:r>
      <w:r>
        <w:t xml:space="preserve">. From this extract, a cohort including all concession patients who received a first supply of a </w:t>
      </w:r>
      <w:r w:rsidR="002772EC">
        <w:t>DPP-4 inhibitor</w:t>
      </w:r>
      <w:r>
        <w:t xml:space="preserve">, </w:t>
      </w:r>
      <w:r w:rsidR="006820B1">
        <w:t>TZD</w:t>
      </w:r>
      <w:r>
        <w:t xml:space="preserve"> or exenatide between July and December 2011 (inclusive) was extracted. A first supply was defined as no prescription dispensed in at least the previous two years. For this cohort, prescription histories were analysed to determine whether metformin and/or a sulfonylurea had been dispensed in the two years prior to initiation of the </w:t>
      </w:r>
      <w:r w:rsidR="002772EC">
        <w:t>DPP-4 inhibitor</w:t>
      </w:r>
      <w:r>
        <w:t xml:space="preserve">, </w:t>
      </w:r>
      <w:r w:rsidR="006820B1">
        <w:t>TZD</w:t>
      </w:r>
      <w:r>
        <w:t xml:space="preserve"> or exenatide; a subsequent analysis looked at whether metformin and/or a sulfonylurea had been dispensed in the previous five years.</w:t>
      </w:r>
    </w:p>
    <w:p w:rsidR="00C67115" w:rsidRDefault="00C67115" w:rsidP="00492694">
      <w:pPr>
        <w:pStyle w:val="BodyText1"/>
      </w:pPr>
      <w:r>
        <w:t xml:space="preserve">The </w:t>
      </w:r>
      <w:r w:rsidR="002772EC">
        <w:t>DPP-4 inhibitors</w:t>
      </w:r>
      <w:r>
        <w:t xml:space="preserve"> were considered as a group as they all had the same PBS restrictions at the time of the analysis. Rosiglitazone and pioglitazone were considered separately as pioglitazone had more subsidised indications than rosiglitazone and the medicines had different safety profiles.</w:t>
      </w:r>
    </w:p>
    <w:p w:rsidR="00C67115" w:rsidRPr="00B321DE" w:rsidRDefault="00C67115" w:rsidP="00492694">
      <w:pPr>
        <w:pStyle w:val="BodyText1"/>
      </w:pPr>
      <w:r>
        <w:t>P</w:t>
      </w:r>
      <w:r w:rsidRPr="00B321DE">
        <w:t xml:space="preserve">atients who initiated a </w:t>
      </w:r>
      <w:r>
        <w:t xml:space="preserve">third line agent were classified </w:t>
      </w:r>
      <w:r w:rsidRPr="00B321DE">
        <w:t>into the following groups based</w:t>
      </w:r>
      <w:r>
        <w:t xml:space="preserve"> on prescriptions supplied in the</w:t>
      </w:r>
      <w:r w:rsidRPr="00B321DE">
        <w:t xml:space="preserve"> </w:t>
      </w:r>
      <w:r>
        <w:t xml:space="preserve">two years </w:t>
      </w:r>
      <w:r w:rsidRPr="00B321DE">
        <w:t>prior to the patient’s initiation date</w:t>
      </w:r>
      <w:r>
        <w:t>:</w:t>
      </w:r>
    </w:p>
    <w:p w:rsidR="00C67115" w:rsidRPr="00B321DE" w:rsidRDefault="00AD2198" w:rsidP="007156EB">
      <w:pPr>
        <w:pStyle w:val="BodyText1"/>
        <w:numPr>
          <w:ilvl w:val="0"/>
          <w:numId w:val="62"/>
        </w:numPr>
      </w:pPr>
      <w:r>
        <w:t>M</w:t>
      </w:r>
      <w:r w:rsidR="00C67115" w:rsidRPr="00B321DE">
        <w:t>etformin only</w:t>
      </w:r>
      <w:r>
        <w:t>.</w:t>
      </w:r>
    </w:p>
    <w:p w:rsidR="00C67115" w:rsidRPr="00B321DE" w:rsidRDefault="00AD2198" w:rsidP="007156EB">
      <w:pPr>
        <w:pStyle w:val="BodyText1"/>
        <w:numPr>
          <w:ilvl w:val="0"/>
          <w:numId w:val="62"/>
        </w:numPr>
      </w:pPr>
      <w:r>
        <w:t>S</w:t>
      </w:r>
      <w:r w:rsidR="00C67115" w:rsidRPr="00B321DE">
        <w:t>ulfonylurea only</w:t>
      </w:r>
      <w:r>
        <w:t>.</w:t>
      </w:r>
    </w:p>
    <w:p w:rsidR="00C67115" w:rsidRPr="00B321DE" w:rsidRDefault="00AD2198" w:rsidP="007156EB">
      <w:pPr>
        <w:pStyle w:val="BodyText1"/>
        <w:numPr>
          <w:ilvl w:val="0"/>
          <w:numId w:val="62"/>
        </w:numPr>
      </w:pPr>
      <w:r>
        <w:t>N</w:t>
      </w:r>
      <w:r w:rsidR="00C67115" w:rsidRPr="00B321DE">
        <w:t>either metformin nor sulfonylurea</w:t>
      </w:r>
      <w:r>
        <w:t>.</w:t>
      </w:r>
    </w:p>
    <w:p w:rsidR="00C67115" w:rsidRPr="00B321DE" w:rsidRDefault="00AD2198" w:rsidP="007156EB">
      <w:pPr>
        <w:pStyle w:val="BodyText1"/>
        <w:numPr>
          <w:ilvl w:val="0"/>
          <w:numId w:val="62"/>
        </w:numPr>
      </w:pPr>
      <w:r>
        <w:t>M</w:t>
      </w:r>
      <w:r w:rsidR="00C67115" w:rsidRPr="00B321DE">
        <w:t>etformin and sulfonylurea supplied and deemed to be co</w:t>
      </w:r>
      <w:r w:rsidR="00C67115">
        <w:noBreakHyphen/>
      </w:r>
      <w:r w:rsidR="00C67115" w:rsidRPr="00B321DE">
        <w:t xml:space="preserve">administered for more than </w:t>
      </w:r>
      <w:r w:rsidR="00C67115">
        <w:t>five consecutive weeks</w:t>
      </w:r>
      <w:r>
        <w:t>.</w:t>
      </w:r>
    </w:p>
    <w:p w:rsidR="00C67115" w:rsidRPr="00B321DE" w:rsidRDefault="00AD2198" w:rsidP="007156EB">
      <w:pPr>
        <w:pStyle w:val="BodyText1"/>
        <w:numPr>
          <w:ilvl w:val="0"/>
          <w:numId w:val="62"/>
        </w:numPr>
      </w:pPr>
      <w:r>
        <w:t>M</w:t>
      </w:r>
      <w:r w:rsidR="00C67115" w:rsidRPr="00B321DE">
        <w:t>etformin and sulfonylurea supplied and deemed to be co</w:t>
      </w:r>
      <w:r w:rsidR="00C67115">
        <w:noBreakHyphen/>
      </w:r>
      <w:r w:rsidR="00C67115" w:rsidRPr="00B321DE">
        <w:t xml:space="preserve">administered from </w:t>
      </w:r>
      <w:r>
        <w:t>1</w:t>
      </w:r>
      <w:r>
        <w:noBreakHyphen/>
      </w:r>
      <w:r w:rsidR="00C67115">
        <w:t>5 consecutive weeks</w:t>
      </w:r>
      <w:r>
        <w:t>.</w:t>
      </w:r>
    </w:p>
    <w:p w:rsidR="00C67115" w:rsidRDefault="00AD2198" w:rsidP="007156EB">
      <w:pPr>
        <w:pStyle w:val="BodyText1"/>
        <w:numPr>
          <w:ilvl w:val="0"/>
          <w:numId w:val="62"/>
        </w:numPr>
      </w:pPr>
      <w:r>
        <w:lastRenderedPageBreak/>
        <w:t>M</w:t>
      </w:r>
      <w:r w:rsidR="00C67115" w:rsidRPr="00B321DE">
        <w:t>etformin and sulfonylurea supplied but not deemed to be co</w:t>
      </w:r>
      <w:r w:rsidR="00C67115">
        <w:noBreakHyphen/>
      </w:r>
      <w:r w:rsidR="00C67115" w:rsidRPr="00B321DE">
        <w:t>administered at any time.</w:t>
      </w:r>
    </w:p>
    <w:p w:rsidR="00C67115" w:rsidRPr="00B321DE" w:rsidRDefault="00C67115" w:rsidP="00492694">
      <w:pPr>
        <w:pStyle w:val="BodyText1"/>
      </w:pPr>
      <w:r>
        <w:t>G</w:t>
      </w:r>
      <w:r w:rsidRPr="00B321DE">
        <w:t xml:space="preserve">roup 5 above was included to distinguish patients who added metformin or sulfonylurea but did not persist with treatment. </w:t>
      </w:r>
      <w:r w:rsidRPr="00476DF0">
        <w:t>This group may represent patients who trialled, but were found to be intolerant to</w:t>
      </w:r>
      <w:r>
        <w:t>,</w:t>
      </w:r>
      <w:r w:rsidRPr="00476DF0">
        <w:t xml:space="preserve"> one of the drugs in the combination.</w:t>
      </w:r>
    </w:p>
    <w:p w:rsidR="00C67115" w:rsidRDefault="00C67115" w:rsidP="00492694">
      <w:pPr>
        <w:pStyle w:val="BodyText1"/>
      </w:pPr>
      <w:r w:rsidRPr="00B321DE">
        <w:t>To classify patients into the above groups</w:t>
      </w:r>
      <w:r>
        <w:t>, the analysis estimated medicine</w:t>
      </w:r>
      <w:r w:rsidR="00DF4210">
        <w:t xml:space="preserve"> treatment regimens </w:t>
      </w:r>
      <w:r w:rsidRPr="00B321DE">
        <w:t>from prescription supply.</w:t>
      </w:r>
      <w:r>
        <w:t xml:space="preserve"> </w:t>
      </w:r>
    </w:p>
    <w:p w:rsidR="00C67115" w:rsidRPr="00B321DE" w:rsidRDefault="00C67115" w:rsidP="00492694">
      <w:pPr>
        <w:pStyle w:val="BodyText1"/>
      </w:pPr>
      <w:r>
        <w:t xml:space="preserve">While sample packs of sulfonylureas could lead to an overestimation of non-compliance with PBS restrictions. The DUSC noted that </w:t>
      </w:r>
      <w:r w:rsidRPr="005A727D">
        <w:t xml:space="preserve">anecdotally, there were few sample packs </w:t>
      </w:r>
      <w:r>
        <w:t xml:space="preserve">of sulfonylureas </w:t>
      </w:r>
      <w:r w:rsidRPr="005A727D">
        <w:t>being provided</w:t>
      </w:r>
      <w:r>
        <w:t xml:space="preserve">. The committee </w:t>
      </w:r>
      <w:r w:rsidRPr="005A727D">
        <w:t xml:space="preserve">did not </w:t>
      </w:r>
      <w:r>
        <w:t xml:space="preserve">consider </w:t>
      </w:r>
      <w:r w:rsidRPr="005A727D">
        <w:t xml:space="preserve">that this would greatly affect the conclusions regarding the extent of usage beyond the PBS restriction. </w:t>
      </w:r>
    </w:p>
    <w:p w:rsidR="00C67115" w:rsidRPr="00C67115" w:rsidRDefault="00C67115" w:rsidP="00492694">
      <w:pPr>
        <w:pStyle w:val="Heading3"/>
      </w:pPr>
      <w:bookmarkStart w:id="251" w:name="_Toc382566490"/>
      <w:r w:rsidRPr="00C67115">
        <w:t>4.3.4</w:t>
      </w:r>
      <w:r>
        <w:t xml:space="preserve">  </w:t>
      </w:r>
      <w:r w:rsidRPr="00C67115">
        <w:t>Co-administration</w:t>
      </w:r>
      <w:bookmarkEnd w:id="251"/>
      <w:r w:rsidRPr="00C67115">
        <w:t xml:space="preserve"> </w:t>
      </w:r>
    </w:p>
    <w:p w:rsidR="00C67115" w:rsidRDefault="00C67115" w:rsidP="00492694">
      <w:pPr>
        <w:pStyle w:val="BodyText1"/>
      </w:pPr>
      <w:r w:rsidRPr="00A07F54">
        <w:t xml:space="preserve">This part of the </w:t>
      </w:r>
      <w:r>
        <w:t>analysis</w:t>
      </w:r>
      <w:r w:rsidRPr="00A07F54">
        <w:t xml:space="preserve"> examined </w:t>
      </w:r>
      <w:r>
        <w:t xml:space="preserve">a prevalent cohort of patients, to determine patterns of co-administered diabetes medicines and compliance with PBS restrictions for third line agents. </w:t>
      </w:r>
    </w:p>
    <w:p w:rsidR="00C67115" w:rsidRDefault="00C67115" w:rsidP="00492694">
      <w:pPr>
        <w:pStyle w:val="BodyText1"/>
      </w:pPr>
      <w:r>
        <w:t>De-identified PBS/RPBS pharmacy claim</w:t>
      </w:r>
      <w:r w:rsidRPr="00655F82">
        <w:t xml:space="preserve"> </w:t>
      </w:r>
      <w:r>
        <w:t xml:space="preserve">data </w:t>
      </w:r>
      <w:r w:rsidRPr="00655F82">
        <w:t>for all diabet</w:t>
      </w:r>
      <w:r>
        <w:t>es medicine</w:t>
      </w:r>
      <w:r w:rsidRPr="00655F82">
        <w:t>s supplied between July 20</w:t>
      </w:r>
      <w:r>
        <w:t>10</w:t>
      </w:r>
      <w:r w:rsidRPr="00655F82">
        <w:t xml:space="preserve"> and July 2012 (inclusive) w</w:t>
      </w:r>
      <w:r>
        <w:t>ere</w:t>
      </w:r>
      <w:r w:rsidRPr="00655F82">
        <w:t xml:space="preserve"> extracted from </w:t>
      </w:r>
      <w:r>
        <w:t xml:space="preserve">the </w:t>
      </w:r>
      <w:r w:rsidRPr="00655F82">
        <w:t xml:space="preserve">DHS </w:t>
      </w:r>
      <w:r>
        <w:t>(Medicare) d</w:t>
      </w:r>
      <w:r w:rsidRPr="00655F82">
        <w:t>atabase</w:t>
      </w:r>
      <w:r>
        <w:t>. From these data, a cohort including all concession patients was selected, and the medicine regimens were determined for individual de</w:t>
      </w:r>
      <w:r>
        <w:noBreakHyphen/>
        <w:t xml:space="preserve">identified patients for the period between February 2011 and May 2012. The data extract was longer than the analysis period to correctly establish the medication regimen. </w:t>
      </w:r>
    </w:p>
    <w:p w:rsidR="00C67115" w:rsidRDefault="00C67115" w:rsidP="00492694">
      <w:pPr>
        <w:pStyle w:val="BodyText1"/>
      </w:pPr>
      <w:r>
        <w:t xml:space="preserve">Regimens that included a third line agent were assessed for compliance with the PBS restrictions regarding </w:t>
      </w:r>
      <w:r w:rsidRPr="00E52045">
        <w:t>co</w:t>
      </w:r>
      <w:r>
        <w:noBreakHyphen/>
      </w:r>
      <w:r w:rsidRPr="00E52045">
        <w:t>administ</w:t>
      </w:r>
      <w:r>
        <w:t xml:space="preserve">ered medicines. While it was possible for regimens to be non-compliant with PBS restrictions in more than one way, for the purposes of this analysis, these regimens were only counted once. </w:t>
      </w:r>
    </w:p>
    <w:p w:rsidR="00722226" w:rsidRDefault="00C67115" w:rsidP="00492694">
      <w:pPr>
        <w:pStyle w:val="BodyText1"/>
      </w:pPr>
      <w:r>
        <w:t xml:space="preserve">Where therapies overlapped for five </w:t>
      </w:r>
      <w:r w:rsidRPr="00476DF0">
        <w:t>week</w:t>
      </w:r>
      <w:r>
        <w:t xml:space="preserve">s or less, a switch was deemed to have occurred. Overlaps of greater than five weeks were considered co-administration of therapy. The </w:t>
      </w:r>
      <w:r w:rsidRPr="00476DF0">
        <w:t>DUSC considered this overlap period to be appropriate</w:t>
      </w:r>
      <w:r>
        <w:t>,</w:t>
      </w:r>
      <w:r w:rsidRPr="00476DF0">
        <w:t xml:space="preserve"> as the pack sizes for the third line agents provide approximately </w:t>
      </w:r>
      <w:r>
        <w:t xml:space="preserve">one </w:t>
      </w:r>
      <w:r w:rsidRPr="00476DF0">
        <w:t>month of therapy</w:t>
      </w:r>
      <w:r>
        <w:t xml:space="preserve">. The five week overlap window may misclassify some patients who co-administered therapy for less than one month as switching therapy, but the DUSC considered this </w:t>
      </w:r>
      <w:r w:rsidRPr="00476DF0">
        <w:t>a reasonable balance between sensitivity and specificity</w:t>
      </w:r>
      <w:r>
        <w:t xml:space="preserve">. </w:t>
      </w:r>
      <w:bookmarkStart w:id="252" w:name="_Toc382566491"/>
    </w:p>
    <w:p w:rsidR="00722226" w:rsidRDefault="00722226" w:rsidP="00492694">
      <w:pPr>
        <w:pStyle w:val="BodyText1"/>
      </w:pPr>
    </w:p>
    <w:p w:rsidR="00C67115" w:rsidRPr="00722226" w:rsidRDefault="00722226" w:rsidP="00492694">
      <w:pPr>
        <w:pStyle w:val="Heading2"/>
        <w:rPr>
          <w:sz w:val="32"/>
          <w:szCs w:val="26"/>
        </w:rPr>
      </w:pPr>
      <w:bookmarkStart w:id="253" w:name="_Toc397947716"/>
      <w:bookmarkStart w:id="254" w:name="_Toc403399557"/>
      <w:r>
        <w:t>4.4</w:t>
      </w:r>
      <w:r>
        <w:tab/>
      </w:r>
      <w:r w:rsidR="00C67115" w:rsidRPr="005E22C2">
        <w:t>Results</w:t>
      </w:r>
      <w:r w:rsidR="00C67115">
        <w:t xml:space="preserve"> and discussion</w:t>
      </w:r>
      <w:bookmarkEnd w:id="252"/>
      <w:bookmarkEnd w:id="253"/>
      <w:bookmarkEnd w:id="254"/>
    </w:p>
    <w:p w:rsidR="00C67115" w:rsidRPr="00722226" w:rsidRDefault="00722226" w:rsidP="00492694">
      <w:pPr>
        <w:pStyle w:val="Heading3"/>
      </w:pPr>
      <w:bookmarkStart w:id="255" w:name="_Toc382566492"/>
      <w:r w:rsidRPr="00722226">
        <w:t>4.4.1</w:t>
      </w:r>
      <w:r w:rsidR="00C67115" w:rsidRPr="00722226">
        <w:t xml:space="preserve"> </w:t>
      </w:r>
      <w:r w:rsidRPr="00722226">
        <w:t xml:space="preserve"> </w:t>
      </w:r>
      <w:r w:rsidR="00C67115" w:rsidRPr="00722226">
        <w:t>Overall utilisation of diabetes medicines</w:t>
      </w:r>
      <w:bookmarkEnd w:id="255"/>
    </w:p>
    <w:p w:rsidR="00C67115" w:rsidRDefault="00C67115" w:rsidP="00492694">
      <w:pPr>
        <w:pStyle w:val="BodyText1"/>
      </w:pPr>
      <w:r w:rsidRPr="00FF119D">
        <w:t>Metformin and sulfonylureas</w:t>
      </w:r>
      <w:r>
        <w:t xml:space="preserve"> we</w:t>
      </w:r>
      <w:r w:rsidRPr="00FF119D">
        <w:t xml:space="preserve">re the most commonly prescribed </w:t>
      </w:r>
      <w:r>
        <w:t>diabetes medicines</w:t>
      </w:r>
      <w:r w:rsidRPr="006A0811">
        <w:t xml:space="preserve"> </w:t>
      </w:r>
      <w:r>
        <w:t xml:space="preserve">between 2000 and </w:t>
      </w:r>
      <w:r w:rsidR="000C6D91">
        <w:t xml:space="preserve">2013 </w:t>
      </w:r>
      <w:r>
        <w:t xml:space="preserve">(Figure </w:t>
      </w:r>
      <w:r w:rsidR="000C6D91">
        <w:t>4.</w:t>
      </w:r>
      <w:r>
        <w:t xml:space="preserve">2). During this time, the use of metformin increased </w:t>
      </w:r>
      <w:r>
        <w:lastRenderedPageBreak/>
        <w:t>from 2.3 million to</w:t>
      </w:r>
      <w:r w:rsidR="007808D8">
        <w:t xml:space="preserve"> </w:t>
      </w:r>
      <w:r w:rsidR="000C6D91">
        <w:t>5.0</w:t>
      </w:r>
      <w:r w:rsidR="007808D8">
        <w:t xml:space="preserve"> million prescriptions per year</w:t>
      </w:r>
      <w:r>
        <w:t xml:space="preserve">, while the use of sulfonylureas </w:t>
      </w:r>
      <w:r w:rsidR="00A939B0">
        <w:t xml:space="preserve">has </w:t>
      </w:r>
      <w:r>
        <w:t>remained relatively stable at around 2</w:t>
      </w:r>
      <w:r w:rsidR="007808D8">
        <w:t>.3 million prescriptions per year</w:t>
      </w:r>
      <w:r w:rsidR="000C6D91">
        <w:t xml:space="preserve"> since 2004</w:t>
      </w:r>
      <w:r>
        <w:t>.</w:t>
      </w:r>
      <w:r w:rsidRPr="00ED78F6">
        <w:t xml:space="preserve"> </w:t>
      </w:r>
      <w:r w:rsidR="00A939B0">
        <w:t>The utilisation of a</w:t>
      </w:r>
      <w:r w:rsidR="00A939B0" w:rsidRPr="00FF119D">
        <w:t xml:space="preserve">carbose </w:t>
      </w:r>
      <w:r w:rsidR="00A939B0">
        <w:t xml:space="preserve">was reasonably stable and low throughout the period, at around 55,000 prescriptions per year since 2006 (data not shown). </w:t>
      </w:r>
      <w:r>
        <w:t xml:space="preserve">In Figure </w:t>
      </w:r>
      <w:r w:rsidR="00A5626E">
        <w:t>4.</w:t>
      </w:r>
      <w:r>
        <w:t xml:space="preserve">2, the increase in prescriptions seen in December and subsequent decline in January each year is due to seasonal </w:t>
      </w:r>
      <w:r w:rsidRPr="003516FD">
        <w:t xml:space="preserve">fluctuations associated with the </w:t>
      </w:r>
      <w:r>
        <w:t>PBS Safety N</w:t>
      </w:r>
      <w:r w:rsidRPr="003516FD">
        <w:t>et</w:t>
      </w:r>
      <w:r>
        <w:t>.</w:t>
      </w:r>
    </w:p>
    <w:p w:rsidR="007B00B9" w:rsidRPr="007B00B9" w:rsidRDefault="007B00B9" w:rsidP="007B00B9">
      <w:pPr>
        <w:pStyle w:val="BodyText1"/>
        <w:keepNext/>
        <w:keepLines/>
        <w:rPr>
          <w:b/>
        </w:rPr>
      </w:pPr>
      <w:r w:rsidRPr="007B00B9">
        <w:rPr>
          <w:b/>
        </w:rPr>
        <w:t>Figure 4.2. Diabetes medicines prescriptions supplied, January 2002–</w:t>
      </w:r>
      <w:r w:rsidR="005E6BF7">
        <w:rPr>
          <w:b/>
        </w:rPr>
        <w:t>April</w:t>
      </w:r>
      <w:r w:rsidRPr="007B00B9">
        <w:rPr>
          <w:b/>
        </w:rPr>
        <w:t xml:space="preserve"> 201</w:t>
      </w:r>
      <w:r w:rsidR="005E6BF7">
        <w:rPr>
          <w:b/>
        </w:rPr>
        <w:t>4</w:t>
      </w:r>
      <w:r w:rsidRPr="007B00B9">
        <w:rPr>
          <w:b/>
        </w:rPr>
        <w:t>.</w:t>
      </w:r>
    </w:p>
    <w:p w:rsidR="00C67115" w:rsidRDefault="0073396C" w:rsidP="007B00B9">
      <w:pPr>
        <w:keepNext/>
        <w:keepLines/>
      </w:pPr>
      <w:r>
        <w:rPr>
          <w:lang w:eastAsia="en-AU"/>
        </w:rPr>
        <w:drawing>
          <wp:inline distT="0" distB="0" distL="0" distR="0" wp14:anchorId="5C5F759A" wp14:editId="552F6EDC">
            <wp:extent cx="5731510" cy="3734667"/>
            <wp:effectExtent l="0" t="0" r="21590" b="1841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C67115" w:rsidRDefault="00C67115" w:rsidP="00646887">
      <w:pPr>
        <w:pStyle w:val="Notes"/>
      </w:pPr>
      <w:r>
        <w:t>Notes</w:t>
      </w:r>
      <w:r w:rsidRPr="00454A64">
        <w:t xml:space="preserve">: </w:t>
      </w:r>
      <w:r w:rsidR="00720548">
        <w:t>‘</w:t>
      </w:r>
      <w:r>
        <w:t>Any FDC</w:t>
      </w:r>
      <w:r w:rsidR="00720548">
        <w:t>’</w:t>
      </w:r>
      <w:r>
        <w:t xml:space="preserve"> includes sitagliptin, </w:t>
      </w:r>
      <w:r w:rsidR="00717357">
        <w:t xml:space="preserve">linagliptin, </w:t>
      </w:r>
      <w:r>
        <w:t>vildagliptin,</w:t>
      </w:r>
      <w:r w:rsidR="008C00BA">
        <w:t xml:space="preserve"> alogliptin, saxagliptin,</w:t>
      </w:r>
      <w:r>
        <w:t xml:space="preserve"> glibenclamide </w:t>
      </w:r>
      <w:r w:rsidR="008C00BA">
        <w:t>and</w:t>
      </w:r>
      <w:r>
        <w:t xml:space="preserve"> rosiglitazone </w:t>
      </w:r>
      <w:r w:rsidR="008C00BA">
        <w:t xml:space="preserve">FDCs </w:t>
      </w:r>
      <w:r>
        <w:t>with metformin.</w:t>
      </w:r>
      <w:r w:rsidR="00720548">
        <w:t xml:space="preserve"> ‘DPP-4 inhibitors’ includes sitagliptin + simvastatin FDC.</w:t>
      </w:r>
    </w:p>
    <w:p w:rsidR="00C67115" w:rsidRDefault="00C67115" w:rsidP="00492694"/>
    <w:p w:rsidR="00C67115" w:rsidRDefault="00C67115" w:rsidP="00492694">
      <w:pPr>
        <w:pStyle w:val="BodyText1"/>
      </w:pPr>
      <w:r>
        <w:t xml:space="preserve">Figure </w:t>
      </w:r>
      <w:r w:rsidR="00A5626E">
        <w:t>4.</w:t>
      </w:r>
      <w:r>
        <w:t>3 shows the number of prescriptions dispensed for third line agents (</w:t>
      </w:r>
      <w:r w:rsidR="002772EC">
        <w:t>DPP-4 inhibitors</w:t>
      </w:r>
      <w:r>
        <w:t xml:space="preserve">, </w:t>
      </w:r>
      <w:r w:rsidR="006820B1">
        <w:t>TZDs</w:t>
      </w:r>
      <w:r>
        <w:t xml:space="preserve"> and exenatide) and FDCs, bet</w:t>
      </w:r>
      <w:r w:rsidR="00895D93">
        <w:t xml:space="preserve">ween January 2000 and </w:t>
      </w:r>
      <w:r w:rsidR="005E6BF7">
        <w:t>April</w:t>
      </w:r>
      <w:r w:rsidR="00895D93">
        <w:t xml:space="preserve"> 201</w:t>
      </w:r>
      <w:r w:rsidR="005E6BF7">
        <w:t>4</w:t>
      </w:r>
      <w:r>
        <w:t>.</w:t>
      </w:r>
      <w:r w:rsidRPr="00ED78F6">
        <w:t xml:space="preserve"> </w:t>
      </w:r>
      <w:r>
        <w:t xml:space="preserve">The </w:t>
      </w:r>
      <w:r w:rsidR="002772EC">
        <w:t>DPP-4 inhibitors</w:t>
      </w:r>
      <w:r>
        <w:t xml:space="preserve"> show rapid uptake following the PBS listing of the first </w:t>
      </w:r>
      <w:r w:rsidR="002772EC">
        <w:t>DPP-4 inhibitor</w:t>
      </w:r>
      <w:r>
        <w:t xml:space="preserve"> (sitagliptin) in 2008, to total over </w:t>
      </w:r>
      <w:r w:rsidR="005E6BF7">
        <w:t>700</w:t>
      </w:r>
      <w:r>
        <w:t xml:space="preserve">,000 </w:t>
      </w:r>
      <w:r w:rsidR="00942408">
        <w:t xml:space="preserve">single agent </w:t>
      </w:r>
      <w:r>
        <w:t xml:space="preserve">prescriptions </w:t>
      </w:r>
      <w:r w:rsidR="002126B8">
        <w:t xml:space="preserve">supplied </w:t>
      </w:r>
      <w:r>
        <w:t>in 201</w:t>
      </w:r>
      <w:r w:rsidR="005E6BF7">
        <w:t>3</w:t>
      </w:r>
      <w:r>
        <w:t>. There was also rapid uptake of FDC</w:t>
      </w:r>
      <w:r w:rsidRPr="00FF119D">
        <w:t xml:space="preserve"> products</w:t>
      </w:r>
      <w:r>
        <w:t xml:space="preserve">, particularly following the listings of </w:t>
      </w:r>
      <w:r w:rsidR="002772EC">
        <w:t>DPP-4 inhibitor</w:t>
      </w:r>
      <w:r>
        <w:t xml:space="preserve"> FDCs</w:t>
      </w:r>
      <w:r w:rsidR="00717357">
        <w:t>, which commenced</w:t>
      </w:r>
      <w:r>
        <w:t xml:space="preserve"> in 2009.</w:t>
      </w:r>
      <w:r w:rsidRPr="0007641D">
        <w:t xml:space="preserve"> </w:t>
      </w:r>
      <w:r w:rsidR="00942408">
        <w:t xml:space="preserve">The majority of FDC products are metformin + DPP-4 inhibitors. </w:t>
      </w:r>
      <w:r>
        <w:t xml:space="preserve">The utilisation of </w:t>
      </w:r>
      <w:r w:rsidR="006820B1">
        <w:t>TZDs</w:t>
      </w:r>
      <w:r>
        <w:t xml:space="preserve"> rose quickly from entry in 2003 to 2007, then declined, most likely as a result of safety concerns with rosiglitazone and subsequent changes to the PBS restrictions. </w:t>
      </w:r>
    </w:p>
    <w:p w:rsidR="00C67115" w:rsidRDefault="00C67115" w:rsidP="00492694"/>
    <w:p w:rsidR="00C67115" w:rsidRPr="00C67115" w:rsidRDefault="00C67115" w:rsidP="00492694">
      <w:pPr>
        <w:rPr>
          <w:rFonts w:eastAsia="Calibri"/>
        </w:rPr>
      </w:pPr>
    </w:p>
    <w:p w:rsidR="00E23947" w:rsidRPr="00E23947" w:rsidRDefault="00E23947" w:rsidP="00E23947">
      <w:pPr>
        <w:pStyle w:val="BodyText1"/>
        <w:keepNext/>
        <w:keepLines/>
        <w:rPr>
          <w:b/>
        </w:rPr>
      </w:pPr>
      <w:r w:rsidRPr="00E23947">
        <w:rPr>
          <w:b/>
        </w:rPr>
        <w:lastRenderedPageBreak/>
        <w:t>Figure 4.3. Third line agent</w:t>
      </w:r>
      <w:r w:rsidR="00717357">
        <w:rPr>
          <w:b/>
        </w:rPr>
        <w:t xml:space="preserve"> prescriptions supplied</w:t>
      </w:r>
      <w:r w:rsidRPr="00E23947">
        <w:rPr>
          <w:b/>
        </w:rPr>
        <w:t>, January 2002–</w:t>
      </w:r>
      <w:r w:rsidR="005E6BF7">
        <w:rPr>
          <w:b/>
        </w:rPr>
        <w:t xml:space="preserve">April </w:t>
      </w:r>
      <w:r w:rsidRPr="00E23947">
        <w:rPr>
          <w:b/>
        </w:rPr>
        <w:t>201</w:t>
      </w:r>
      <w:r w:rsidR="005E6BF7">
        <w:rPr>
          <w:b/>
        </w:rPr>
        <w:t>4</w:t>
      </w:r>
      <w:r w:rsidRPr="00E23947">
        <w:rPr>
          <w:b/>
        </w:rPr>
        <w:t>.</w:t>
      </w:r>
    </w:p>
    <w:p w:rsidR="00C67115" w:rsidRDefault="005E6BF7" w:rsidP="00E23947">
      <w:pPr>
        <w:keepNext/>
        <w:keepLines/>
      </w:pPr>
      <w:r>
        <w:rPr>
          <w:lang w:eastAsia="en-AU"/>
        </w:rPr>
        <w:drawing>
          <wp:inline distT="0" distB="0" distL="0" distR="0" wp14:anchorId="17BCC691" wp14:editId="401A5795">
            <wp:extent cx="5731510" cy="3734667"/>
            <wp:effectExtent l="0" t="0" r="21590" b="1841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717357" w:rsidRDefault="00717357" w:rsidP="00717357">
      <w:pPr>
        <w:pStyle w:val="Notes"/>
      </w:pPr>
      <w:r>
        <w:t>Notes</w:t>
      </w:r>
      <w:r w:rsidRPr="00454A64">
        <w:t xml:space="preserve">: </w:t>
      </w:r>
      <w:r>
        <w:t>‘Any FDC’ includes sitagliptin, linagliptin, vildagliptin, alogliptin, saxagliptin, glibenclamide and rosiglitazone FDCs with metformin. ‘DPP-4 inhibitors’ includes sitagliptin + simvastatin FDC.</w:t>
      </w:r>
    </w:p>
    <w:p w:rsidR="00717357" w:rsidRDefault="00717357" w:rsidP="0093424D"/>
    <w:p w:rsidR="00C67115" w:rsidRDefault="00C67115" w:rsidP="00492694">
      <w:pPr>
        <w:pStyle w:val="Heading5"/>
      </w:pPr>
      <w:r>
        <w:t xml:space="preserve">Overall Australian Government </w:t>
      </w:r>
      <w:r w:rsidRPr="00176647">
        <w:t>expenditure</w:t>
      </w:r>
    </w:p>
    <w:p w:rsidR="00C67115" w:rsidRDefault="00C67115" w:rsidP="00492694">
      <w:pPr>
        <w:pStyle w:val="BodyText1"/>
      </w:pPr>
      <w:r>
        <w:t xml:space="preserve">Table </w:t>
      </w:r>
      <w:r w:rsidR="00A5626E">
        <w:t>4.</w:t>
      </w:r>
      <w:r>
        <w:t xml:space="preserve">1 provides the overall annual cost to Government of diabetes medicines and percentage annual growth in costs. The higher rates of growth in 2004 and 2007 coincided with the first twelve months after listing of the </w:t>
      </w:r>
      <w:r w:rsidR="006820B1">
        <w:t>TZDs</w:t>
      </w:r>
      <w:r>
        <w:t xml:space="preserve"> and insulin glargine, respectively. </w:t>
      </w:r>
    </w:p>
    <w:p w:rsidR="00C67115" w:rsidRDefault="006155D5" w:rsidP="00492694">
      <w:pPr>
        <w:pStyle w:val="BodyText1"/>
      </w:pPr>
      <w:r>
        <w:t>Average annual growth in PBS/RP</w:t>
      </w:r>
      <w:r w:rsidR="00C70B0E">
        <w:t>BS costs between 2000 and 2013 wa</w:t>
      </w:r>
      <w:r>
        <w:t>s 11%</w:t>
      </w:r>
      <w:r w:rsidR="00C70B0E">
        <w:t xml:space="preserve">, while </w:t>
      </w:r>
      <w:r w:rsidR="00511BD5">
        <w:t xml:space="preserve">average annual growth in prescriptions supplied was only 6%. This </w:t>
      </w:r>
      <w:r w:rsidR="00C67115">
        <w:t>indicate</w:t>
      </w:r>
      <w:r w:rsidR="00511BD5">
        <w:t>s</w:t>
      </w:r>
      <w:r w:rsidR="00C67115">
        <w:t xml:space="preserve"> a</w:t>
      </w:r>
      <w:r w:rsidR="00511BD5">
        <w:t>n</w:t>
      </w:r>
      <w:r w:rsidR="00C67115">
        <w:t xml:space="preserve"> increase in prescribing of more expensive diabetes medicines</w:t>
      </w:r>
      <w:r w:rsidR="00511BD5">
        <w:t>.</w:t>
      </w:r>
    </w:p>
    <w:p w:rsidR="00C67115" w:rsidRPr="00E23947" w:rsidRDefault="00722226" w:rsidP="00E23947">
      <w:pPr>
        <w:pStyle w:val="BodyText1"/>
        <w:keepNext/>
        <w:keepLines/>
        <w:rPr>
          <w:b/>
        </w:rPr>
      </w:pPr>
      <w:r w:rsidRPr="00E23947">
        <w:rPr>
          <w:b/>
        </w:rPr>
        <w:t>Table 4.1.</w:t>
      </w:r>
      <w:r w:rsidR="00C67115" w:rsidRPr="00E23947">
        <w:rPr>
          <w:b/>
        </w:rPr>
        <w:t xml:space="preserve"> </w:t>
      </w:r>
      <w:r w:rsidR="006155D5">
        <w:rPr>
          <w:b/>
        </w:rPr>
        <w:t xml:space="preserve">Annual PBS/RPBS prescriptions supplied and </w:t>
      </w:r>
      <w:r w:rsidR="00C67115" w:rsidRPr="00E23947">
        <w:rPr>
          <w:b/>
        </w:rPr>
        <w:t>cost to Government of diabetes medicines</w:t>
      </w:r>
      <w:r w:rsidR="00511BD5">
        <w:rPr>
          <w:b/>
        </w:rPr>
        <w:t>, 2000–2013</w:t>
      </w:r>
      <w:r w:rsidR="00C67115" w:rsidRPr="00E23947">
        <w:rPr>
          <w:b/>
        </w:rPr>
        <w:t>.</w:t>
      </w:r>
    </w:p>
    <w:tbl>
      <w:tblPr>
        <w:tblW w:w="91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2070"/>
        <w:gridCol w:w="2071"/>
        <w:gridCol w:w="2071"/>
        <w:gridCol w:w="2071"/>
      </w:tblGrid>
      <w:tr w:rsidR="00372AB9" w:rsidRPr="00C2154E" w:rsidTr="0093424D">
        <w:trPr>
          <w:trHeight w:val="300"/>
          <w:tblHeader/>
        </w:trPr>
        <w:tc>
          <w:tcPr>
            <w:tcW w:w="851" w:type="dxa"/>
            <w:shd w:val="clear" w:color="auto" w:fill="BFBFBF"/>
            <w:noWrap/>
            <w:vAlign w:val="center"/>
            <w:hideMark/>
          </w:tcPr>
          <w:p w:rsidR="006155D5" w:rsidRPr="0093424D" w:rsidRDefault="006155D5" w:rsidP="0093424D">
            <w:pPr>
              <w:pStyle w:val="Tableheading"/>
              <w:keepNext/>
              <w:keepLines/>
              <w:spacing w:before="40" w:after="40"/>
              <w:rPr>
                <w:rFonts w:asciiTheme="majorHAnsi" w:hAnsiTheme="majorHAnsi"/>
                <w:sz w:val="22"/>
                <w:szCs w:val="22"/>
              </w:rPr>
            </w:pPr>
            <w:r w:rsidRPr="0093424D">
              <w:rPr>
                <w:rFonts w:asciiTheme="majorHAnsi" w:hAnsiTheme="majorHAnsi"/>
                <w:sz w:val="22"/>
                <w:szCs w:val="22"/>
              </w:rPr>
              <w:t>Year</w:t>
            </w:r>
          </w:p>
        </w:tc>
        <w:tc>
          <w:tcPr>
            <w:tcW w:w="2070" w:type="dxa"/>
            <w:shd w:val="clear" w:color="auto" w:fill="BFBFBF"/>
          </w:tcPr>
          <w:p w:rsidR="006155D5" w:rsidRPr="00717357" w:rsidRDefault="00372AB9" w:rsidP="00CB54F8">
            <w:pPr>
              <w:pStyle w:val="Tableheading"/>
              <w:keepNext/>
              <w:keepLines/>
              <w:spacing w:before="40" w:after="40"/>
              <w:rPr>
                <w:rFonts w:asciiTheme="majorHAnsi" w:hAnsiTheme="majorHAnsi"/>
                <w:sz w:val="22"/>
                <w:szCs w:val="22"/>
              </w:rPr>
            </w:pPr>
            <w:r>
              <w:rPr>
                <w:rFonts w:asciiTheme="majorHAnsi" w:hAnsiTheme="majorHAnsi"/>
                <w:sz w:val="22"/>
                <w:szCs w:val="22"/>
              </w:rPr>
              <w:t>P</w:t>
            </w:r>
            <w:r w:rsidR="006155D5">
              <w:rPr>
                <w:rFonts w:asciiTheme="majorHAnsi" w:hAnsiTheme="majorHAnsi"/>
                <w:sz w:val="22"/>
                <w:szCs w:val="22"/>
              </w:rPr>
              <w:t>rescriptions supplied</w:t>
            </w:r>
          </w:p>
        </w:tc>
        <w:tc>
          <w:tcPr>
            <w:tcW w:w="2071" w:type="dxa"/>
            <w:shd w:val="clear" w:color="auto" w:fill="BFBFBF"/>
          </w:tcPr>
          <w:p w:rsidR="006155D5" w:rsidRPr="00717357" w:rsidRDefault="006155D5" w:rsidP="00CB54F8">
            <w:pPr>
              <w:pStyle w:val="Tableheading"/>
              <w:keepNext/>
              <w:keepLines/>
              <w:spacing w:before="40" w:after="40"/>
              <w:rPr>
                <w:rFonts w:asciiTheme="majorHAnsi" w:hAnsiTheme="majorHAnsi"/>
                <w:sz w:val="22"/>
                <w:szCs w:val="22"/>
              </w:rPr>
            </w:pPr>
            <w:r>
              <w:rPr>
                <w:rFonts w:asciiTheme="majorHAnsi" w:hAnsiTheme="majorHAnsi"/>
                <w:sz w:val="22"/>
                <w:szCs w:val="22"/>
              </w:rPr>
              <w:t>Annual growth in prescriptions</w:t>
            </w:r>
          </w:p>
        </w:tc>
        <w:tc>
          <w:tcPr>
            <w:tcW w:w="2071" w:type="dxa"/>
            <w:shd w:val="clear" w:color="auto" w:fill="BFBFBF"/>
            <w:noWrap/>
            <w:vAlign w:val="center"/>
            <w:hideMark/>
          </w:tcPr>
          <w:p w:rsidR="006155D5" w:rsidRPr="0093424D" w:rsidRDefault="006155D5" w:rsidP="0093424D">
            <w:pPr>
              <w:pStyle w:val="Tableheading"/>
              <w:keepNext/>
              <w:keepLines/>
              <w:spacing w:before="40" w:after="40"/>
              <w:rPr>
                <w:rFonts w:asciiTheme="majorHAnsi" w:hAnsiTheme="majorHAnsi"/>
                <w:sz w:val="22"/>
                <w:szCs w:val="22"/>
              </w:rPr>
            </w:pPr>
            <w:r w:rsidRPr="0093424D">
              <w:rPr>
                <w:rFonts w:asciiTheme="majorHAnsi" w:hAnsiTheme="majorHAnsi"/>
                <w:sz w:val="22"/>
                <w:szCs w:val="22"/>
              </w:rPr>
              <w:t>Government expenditure</w:t>
            </w:r>
          </w:p>
        </w:tc>
        <w:tc>
          <w:tcPr>
            <w:tcW w:w="2071" w:type="dxa"/>
            <w:shd w:val="clear" w:color="auto" w:fill="BFBFBF"/>
            <w:vAlign w:val="center"/>
          </w:tcPr>
          <w:p w:rsidR="006155D5" w:rsidRPr="0093424D" w:rsidRDefault="006155D5" w:rsidP="0093424D">
            <w:pPr>
              <w:pStyle w:val="Tableheading"/>
              <w:keepNext/>
              <w:keepLines/>
              <w:spacing w:before="40" w:after="40"/>
              <w:rPr>
                <w:rFonts w:asciiTheme="majorHAnsi" w:hAnsiTheme="majorHAnsi"/>
                <w:sz w:val="22"/>
                <w:szCs w:val="22"/>
              </w:rPr>
            </w:pPr>
            <w:r w:rsidRPr="0093424D">
              <w:rPr>
                <w:rFonts w:asciiTheme="majorHAnsi" w:hAnsiTheme="majorHAnsi"/>
                <w:sz w:val="22"/>
                <w:szCs w:val="22"/>
              </w:rPr>
              <w:t>Annual growth</w:t>
            </w:r>
            <w:r>
              <w:rPr>
                <w:rFonts w:asciiTheme="majorHAnsi" w:hAnsiTheme="majorHAnsi"/>
                <w:sz w:val="22"/>
                <w:szCs w:val="22"/>
              </w:rPr>
              <w:t xml:space="preserve"> in expenditure</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2000</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3</w:t>
            </w:r>
            <w:r w:rsidR="00372AB9">
              <w:rPr>
                <w:rFonts w:asciiTheme="majorHAnsi" w:hAnsiTheme="majorHAnsi"/>
                <w:color w:val="000000"/>
                <w:sz w:val="22"/>
                <w:szCs w:val="22"/>
              </w:rPr>
              <w:t>,</w:t>
            </w:r>
            <w:r w:rsidRPr="0093424D">
              <w:rPr>
                <w:rFonts w:asciiTheme="majorHAnsi" w:hAnsiTheme="majorHAnsi"/>
                <w:color w:val="000000"/>
                <w:sz w:val="22"/>
                <w:szCs w:val="22"/>
              </w:rPr>
              <w:t>898</w:t>
            </w:r>
            <w:r w:rsidR="00372AB9">
              <w:rPr>
                <w:rFonts w:asciiTheme="majorHAnsi" w:hAnsiTheme="majorHAnsi"/>
                <w:color w:val="000000"/>
                <w:sz w:val="22"/>
                <w:szCs w:val="22"/>
              </w:rPr>
              <w:t>,</w:t>
            </w:r>
            <w:r w:rsidRPr="0093424D">
              <w:rPr>
                <w:rFonts w:asciiTheme="majorHAnsi" w:hAnsiTheme="majorHAnsi"/>
                <w:color w:val="000000"/>
                <w:sz w:val="22"/>
                <w:szCs w:val="22"/>
              </w:rPr>
              <w:t>933</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NA</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$128,681,781</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NA</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2001</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4</w:t>
            </w:r>
            <w:r w:rsidR="00372AB9">
              <w:rPr>
                <w:rFonts w:asciiTheme="majorHAnsi" w:hAnsiTheme="majorHAnsi"/>
                <w:color w:val="000000"/>
                <w:sz w:val="22"/>
                <w:szCs w:val="22"/>
              </w:rPr>
              <w:t>,</w:t>
            </w:r>
            <w:r w:rsidRPr="0093424D">
              <w:rPr>
                <w:rFonts w:asciiTheme="majorHAnsi" w:hAnsiTheme="majorHAnsi"/>
                <w:color w:val="000000"/>
                <w:sz w:val="22"/>
                <w:szCs w:val="22"/>
              </w:rPr>
              <w:t>356</w:t>
            </w:r>
            <w:r w:rsidR="00372AB9">
              <w:rPr>
                <w:rFonts w:asciiTheme="majorHAnsi" w:hAnsiTheme="majorHAnsi"/>
                <w:color w:val="000000"/>
                <w:sz w:val="22"/>
                <w:szCs w:val="22"/>
              </w:rPr>
              <w:t>,</w:t>
            </w:r>
            <w:r w:rsidRPr="0093424D">
              <w:rPr>
                <w:rFonts w:asciiTheme="majorHAnsi" w:hAnsiTheme="majorHAnsi"/>
                <w:color w:val="000000"/>
                <w:sz w:val="22"/>
                <w:szCs w:val="22"/>
              </w:rPr>
              <w:t>569</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11%</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$143,646,722</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12%</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2002</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4</w:t>
            </w:r>
            <w:r w:rsidR="00372AB9">
              <w:rPr>
                <w:rFonts w:asciiTheme="majorHAnsi" w:hAnsiTheme="majorHAnsi"/>
                <w:color w:val="000000"/>
                <w:sz w:val="22"/>
                <w:szCs w:val="22"/>
              </w:rPr>
              <w:t>,</w:t>
            </w:r>
            <w:r w:rsidRPr="0093424D">
              <w:rPr>
                <w:rFonts w:asciiTheme="majorHAnsi" w:hAnsiTheme="majorHAnsi"/>
                <w:color w:val="000000"/>
                <w:sz w:val="22"/>
                <w:szCs w:val="22"/>
              </w:rPr>
              <w:t>830</w:t>
            </w:r>
            <w:r w:rsidR="00372AB9">
              <w:rPr>
                <w:rFonts w:asciiTheme="majorHAnsi" w:hAnsiTheme="majorHAnsi"/>
                <w:color w:val="000000"/>
                <w:sz w:val="22"/>
                <w:szCs w:val="22"/>
              </w:rPr>
              <w:t>,</w:t>
            </w:r>
            <w:r w:rsidRPr="0093424D">
              <w:rPr>
                <w:rFonts w:asciiTheme="majorHAnsi" w:hAnsiTheme="majorHAnsi"/>
                <w:color w:val="000000"/>
                <w:sz w:val="22"/>
                <w:szCs w:val="22"/>
              </w:rPr>
              <w:t>299</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10%</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$157,055,941</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9%</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2003</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5</w:t>
            </w:r>
            <w:r w:rsidR="00372AB9">
              <w:rPr>
                <w:rFonts w:asciiTheme="majorHAnsi" w:hAnsiTheme="majorHAnsi"/>
                <w:color w:val="000000"/>
                <w:sz w:val="22"/>
                <w:szCs w:val="22"/>
              </w:rPr>
              <w:t>,</w:t>
            </w:r>
            <w:r w:rsidRPr="0093424D">
              <w:rPr>
                <w:rFonts w:asciiTheme="majorHAnsi" w:hAnsiTheme="majorHAnsi"/>
                <w:color w:val="000000"/>
                <w:sz w:val="22"/>
                <w:szCs w:val="22"/>
              </w:rPr>
              <w:t>092</w:t>
            </w:r>
            <w:r w:rsidR="00372AB9">
              <w:rPr>
                <w:rFonts w:asciiTheme="majorHAnsi" w:hAnsiTheme="majorHAnsi"/>
                <w:color w:val="000000"/>
                <w:sz w:val="22"/>
                <w:szCs w:val="22"/>
              </w:rPr>
              <w:t>,</w:t>
            </w:r>
            <w:r w:rsidRPr="0093424D">
              <w:rPr>
                <w:rFonts w:asciiTheme="majorHAnsi" w:hAnsiTheme="majorHAnsi"/>
                <w:color w:val="000000"/>
                <w:sz w:val="22"/>
                <w:szCs w:val="22"/>
              </w:rPr>
              <w:t>080</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5%</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$166,373,731</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6%</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2004</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5</w:t>
            </w:r>
            <w:r w:rsidR="00372AB9">
              <w:rPr>
                <w:rFonts w:asciiTheme="majorHAnsi" w:hAnsiTheme="majorHAnsi"/>
                <w:color w:val="000000"/>
                <w:sz w:val="22"/>
                <w:szCs w:val="22"/>
              </w:rPr>
              <w:t>,</w:t>
            </w:r>
            <w:r w:rsidRPr="0093424D">
              <w:rPr>
                <w:rFonts w:asciiTheme="majorHAnsi" w:hAnsiTheme="majorHAnsi"/>
                <w:color w:val="000000"/>
                <w:sz w:val="22"/>
                <w:szCs w:val="22"/>
              </w:rPr>
              <w:t>505</w:t>
            </w:r>
            <w:r w:rsidR="00372AB9">
              <w:rPr>
                <w:rFonts w:asciiTheme="majorHAnsi" w:hAnsiTheme="majorHAnsi"/>
                <w:color w:val="000000"/>
                <w:sz w:val="22"/>
                <w:szCs w:val="22"/>
              </w:rPr>
              <w:t>,</w:t>
            </w:r>
            <w:r w:rsidRPr="0093424D">
              <w:rPr>
                <w:rFonts w:asciiTheme="majorHAnsi" w:hAnsiTheme="majorHAnsi"/>
                <w:color w:val="000000"/>
                <w:sz w:val="22"/>
                <w:szCs w:val="22"/>
              </w:rPr>
              <w:t>649</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8%</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$194,826,167</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17%</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lastRenderedPageBreak/>
              <w:t>2005</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5</w:t>
            </w:r>
            <w:r w:rsidR="00372AB9">
              <w:rPr>
                <w:rFonts w:asciiTheme="majorHAnsi" w:hAnsiTheme="majorHAnsi"/>
                <w:color w:val="000000"/>
                <w:sz w:val="22"/>
                <w:szCs w:val="22"/>
              </w:rPr>
              <w:t>,</w:t>
            </w:r>
            <w:r w:rsidRPr="0093424D">
              <w:rPr>
                <w:rFonts w:asciiTheme="majorHAnsi" w:hAnsiTheme="majorHAnsi"/>
                <w:color w:val="000000"/>
                <w:sz w:val="22"/>
                <w:szCs w:val="22"/>
              </w:rPr>
              <w:t>695</w:t>
            </w:r>
            <w:r w:rsidR="00372AB9">
              <w:rPr>
                <w:rFonts w:asciiTheme="majorHAnsi" w:hAnsiTheme="majorHAnsi"/>
                <w:color w:val="000000"/>
                <w:sz w:val="22"/>
                <w:szCs w:val="22"/>
              </w:rPr>
              <w:t>,</w:t>
            </w:r>
            <w:r w:rsidRPr="0093424D">
              <w:rPr>
                <w:rFonts w:asciiTheme="majorHAnsi" w:hAnsiTheme="majorHAnsi"/>
                <w:color w:val="000000"/>
                <w:sz w:val="22"/>
                <w:szCs w:val="22"/>
              </w:rPr>
              <w:t>728</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3%</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$210,458,609</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8%</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2006</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6</w:t>
            </w:r>
            <w:r w:rsidR="00372AB9">
              <w:rPr>
                <w:rFonts w:asciiTheme="majorHAnsi" w:hAnsiTheme="majorHAnsi"/>
                <w:color w:val="000000"/>
                <w:sz w:val="22"/>
                <w:szCs w:val="22"/>
              </w:rPr>
              <w:t>,</w:t>
            </w:r>
            <w:r w:rsidRPr="0093424D">
              <w:rPr>
                <w:rFonts w:asciiTheme="majorHAnsi" w:hAnsiTheme="majorHAnsi"/>
                <w:color w:val="000000"/>
                <w:sz w:val="22"/>
                <w:szCs w:val="22"/>
              </w:rPr>
              <w:t>011</w:t>
            </w:r>
            <w:r w:rsidR="00372AB9">
              <w:rPr>
                <w:rFonts w:asciiTheme="majorHAnsi" w:hAnsiTheme="majorHAnsi"/>
                <w:color w:val="000000"/>
                <w:sz w:val="22"/>
                <w:szCs w:val="22"/>
              </w:rPr>
              <w:t>,</w:t>
            </w:r>
            <w:r w:rsidRPr="0093424D">
              <w:rPr>
                <w:rFonts w:asciiTheme="majorHAnsi" w:hAnsiTheme="majorHAnsi"/>
                <w:color w:val="000000"/>
                <w:sz w:val="22"/>
                <w:szCs w:val="22"/>
              </w:rPr>
              <w:t>862</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5%</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$233,935,455</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11%</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2007</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6</w:t>
            </w:r>
            <w:r w:rsidR="00372AB9">
              <w:rPr>
                <w:rFonts w:asciiTheme="majorHAnsi" w:hAnsiTheme="majorHAnsi"/>
                <w:color w:val="000000"/>
                <w:sz w:val="22"/>
                <w:szCs w:val="22"/>
              </w:rPr>
              <w:t>,</w:t>
            </w:r>
            <w:r w:rsidRPr="0093424D">
              <w:rPr>
                <w:rFonts w:asciiTheme="majorHAnsi" w:hAnsiTheme="majorHAnsi"/>
                <w:color w:val="000000"/>
                <w:sz w:val="22"/>
                <w:szCs w:val="22"/>
              </w:rPr>
              <w:t>437</w:t>
            </w:r>
            <w:r w:rsidR="00372AB9">
              <w:rPr>
                <w:rFonts w:asciiTheme="majorHAnsi" w:hAnsiTheme="majorHAnsi"/>
                <w:color w:val="000000"/>
                <w:sz w:val="22"/>
                <w:szCs w:val="22"/>
              </w:rPr>
              <w:t>,</w:t>
            </w:r>
            <w:r w:rsidRPr="0093424D">
              <w:rPr>
                <w:rFonts w:asciiTheme="majorHAnsi" w:hAnsiTheme="majorHAnsi"/>
                <w:color w:val="000000"/>
                <w:sz w:val="22"/>
                <w:szCs w:val="22"/>
              </w:rPr>
              <w:t>522</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7%</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$280,959,589</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2008</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6</w:t>
            </w:r>
            <w:r w:rsidR="00372AB9">
              <w:rPr>
                <w:rFonts w:asciiTheme="majorHAnsi" w:hAnsiTheme="majorHAnsi"/>
                <w:color w:val="000000"/>
                <w:sz w:val="22"/>
                <w:szCs w:val="22"/>
              </w:rPr>
              <w:t>,</w:t>
            </w:r>
            <w:r w:rsidRPr="0093424D">
              <w:rPr>
                <w:rFonts w:asciiTheme="majorHAnsi" w:hAnsiTheme="majorHAnsi"/>
                <w:color w:val="000000"/>
                <w:sz w:val="22"/>
                <w:szCs w:val="22"/>
              </w:rPr>
              <w:t>773</w:t>
            </w:r>
            <w:r w:rsidR="00372AB9">
              <w:rPr>
                <w:rFonts w:asciiTheme="majorHAnsi" w:hAnsiTheme="majorHAnsi"/>
                <w:color w:val="000000"/>
                <w:sz w:val="22"/>
                <w:szCs w:val="22"/>
              </w:rPr>
              <w:t>,</w:t>
            </w:r>
            <w:r w:rsidRPr="0093424D">
              <w:rPr>
                <w:rFonts w:asciiTheme="majorHAnsi" w:hAnsiTheme="majorHAnsi"/>
                <w:color w:val="000000"/>
                <w:sz w:val="22"/>
                <w:szCs w:val="22"/>
              </w:rPr>
              <w:t>040</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5%</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$309,788,244</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10%</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2009</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7</w:t>
            </w:r>
            <w:r w:rsidR="00372AB9">
              <w:rPr>
                <w:rFonts w:asciiTheme="majorHAnsi" w:hAnsiTheme="majorHAnsi"/>
                <w:color w:val="000000"/>
                <w:sz w:val="22"/>
                <w:szCs w:val="22"/>
              </w:rPr>
              <w:t>,</w:t>
            </w:r>
            <w:r w:rsidRPr="0093424D">
              <w:rPr>
                <w:rFonts w:asciiTheme="majorHAnsi" w:hAnsiTheme="majorHAnsi"/>
                <w:color w:val="000000"/>
                <w:sz w:val="22"/>
                <w:szCs w:val="22"/>
              </w:rPr>
              <w:t>104</w:t>
            </w:r>
            <w:r w:rsidR="00372AB9">
              <w:rPr>
                <w:rFonts w:asciiTheme="majorHAnsi" w:hAnsiTheme="majorHAnsi"/>
                <w:color w:val="000000"/>
                <w:sz w:val="22"/>
                <w:szCs w:val="22"/>
              </w:rPr>
              <w:t>,</w:t>
            </w:r>
            <w:r w:rsidRPr="0093424D">
              <w:rPr>
                <w:rFonts w:asciiTheme="majorHAnsi" w:hAnsiTheme="majorHAnsi"/>
                <w:color w:val="000000"/>
                <w:sz w:val="22"/>
                <w:szCs w:val="22"/>
              </w:rPr>
              <w:t>840</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5%</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$339,287,977</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10%</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2010</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7</w:t>
            </w:r>
            <w:r w:rsidR="00372AB9">
              <w:rPr>
                <w:rFonts w:asciiTheme="majorHAnsi" w:hAnsiTheme="majorHAnsi"/>
                <w:color w:val="000000"/>
                <w:sz w:val="22"/>
                <w:szCs w:val="22"/>
              </w:rPr>
              <w:t>,</w:t>
            </w:r>
            <w:r w:rsidRPr="0093424D">
              <w:rPr>
                <w:rFonts w:asciiTheme="majorHAnsi" w:hAnsiTheme="majorHAnsi"/>
                <w:color w:val="000000"/>
                <w:sz w:val="22"/>
                <w:szCs w:val="22"/>
              </w:rPr>
              <w:t>406</w:t>
            </w:r>
            <w:r w:rsidR="00372AB9">
              <w:rPr>
                <w:rFonts w:asciiTheme="majorHAnsi" w:hAnsiTheme="majorHAnsi"/>
                <w:color w:val="000000"/>
                <w:sz w:val="22"/>
                <w:szCs w:val="22"/>
              </w:rPr>
              <w:t>,</w:t>
            </w:r>
            <w:r w:rsidRPr="0093424D">
              <w:rPr>
                <w:rFonts w:asciiTheme="majorHAnsi" w:hAnsiTheme="majorHAnsi"/>
                <w:color w:val="000000"/>
                <w:sz w:val="22"/>
                <w:szCs w:val="22"/>
              </w:rPr>
              <w:t>082</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4%</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$379,614,336</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12%</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2011</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7</w:t>
            </w:r>
            <w:r w:rsidR="00372AB9">
              <w:rPr>
                <w:rFonts w:asciiTheme="majorHAnsi" w:hAnsiTheme="majorHAnsi"/>
                <w:color w:val="000000"/>
                <w:sz w:val="22"/>
                <w:szCs w:val="22"/>
              </w:rPr>
              <w:t>,</w:t>
            </w:r>
            <w:r w:rsidRPr="0093424D">
              <w:rPr>
                <w:rFonts w:asciiTheme="majorHAnsi" w:hAnsiTheme="majorHAnsi"/>
                <w:color w:val="000000"/>
                <w:sz w:val="22"/>
                <w:szCs w:val="22"/>
              </w:rPr>
              <w:t>672</w:t>
            </w:r>
            <w:r w:rsidR="00372AB9">
              <w:rPr>
                <w:rFonts w:asciiTheme="majorHAnsi" w:hAnsiTheme="majorHAnsi"/>
                <w:color w:val="000000"/>
                <w:sz w:val="22"/>
                <w:szCs w:val="22"/>
              </w:rPr>
              <w:t>,</w:t>
            </w:r>
            <w:r w:rsidRPr="0093424D">
              <w:rPr>
                <w:rFonts w:asciiTheme="majorHAnsi" w:hAnsiTheme="majorHAnsi"/>
                <w:color w:val="000000"/>
                <w:sz w:val="22"/>
                <w:szCs w:val="22"/>
              </w:rPr>
              <w:t>208</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3%</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$419,438,924</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10%</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2012</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8</w:t>
            </w:r>
            <w:r w:rsidR="00372AB9">
              <w:rPr>
                <w:rFonts w:asciiTheme="majorHAnsi" w:hAnsiTheme="majorHAnsi"/>
                <w:color w:val="000000"/>
                <w:sz w:val="22"/>
                <w:szCs w:val="22"/>
              </w:rPr>
              <w:t>,</w:t>
            </w:r>
            <w:r w:rsidRPr="0093424D">
              <w:rPr>
                <w:rFonts w:asciiTheme="majorHAnsi" w:hAnsiTheme="majorHAnsi"/>
                <w:color w:val="000000"/>
                <w:sz w:val="22"/>
                <w:szCs w:val="22"/>
              </w:rPr>
              <w:t>039</w:t>
            </w:r>
            <w:r w:rsidR="00372AB9">
              <w:rPr>
                <w:rFonts w:asciiTheme="majorHAnsi" w:hAnsiTheme="majorHAnsi"/>
                <w:color w:val="000000"/>
                <w:sz w:val="22"/>
                <w:szCs w:val="22"/>
              </w:rPr>
              <w:t>,</w:t>
            </w:r>
            <w:r w:rsidRPr="0093424D">
              <w:rPr>
                <w:rFonts w:asciiTheme="majorHAnsi" w:hAnsiTheme="majorHAnsi"/>
                <w:color w:val="000000"/>
                <w:sz w:val="22"/>
                <w:szCs w:val="22"/>
              </w:rPr>
              <w:t>091</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5%</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$462,115,848</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10%</w:t>
            </w:r>
          </w:p>
        </w:tc>
      </w:tr>
      <w:tr w:rsidR="00372AB9" w:rsidRPr="00C2154E" w:rsidTr="0093424D">
        <w:trPr>
          <w:trHeight w:val="300"/>
        </w:trPr>
        <w:tc>
          <w:tcPr>
            <w:tcW w:w="85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2013</w:t>
            </w:r>
          </w:p>
        </w:tc>
        <w:tc>
          <w:tcPr>
            <w:tcW w:w="2070"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8</w:t>
            </w:r>
            <w:r w:rsidR="00372AB9">
              <w:rPr>
                <w:rFonts w:asciiTheme="majorHAnsi" w:hAnsiTheme="majorHAnsi"/>
                <w:color w:val="000000"/>
                <w:sz w:val="22"/>
                <w:szCs w:val="22"/>
              </w:rPr>
              <w:t>,</w:t>
            </w:r>
            <w:r w:rsidRPr="0093424D">
              <w:rPr>
                <w:rFonts w:asciiTheme="majorHAnsi" w:hAnsiTheme="majorHAnsi"/>
                <w:color w:val="000000"/>
                <w:sz w:val="22"/>
                <w:szCs w:val="22"/>
              </w:rPr>
              <w:t>387</w:t>
            </w:r>
            <w:r w:rsidR="00372AB9">
              <w:rPr>
                <w:rFonts w:asciiTheme="majorHAnsi" w:hAnsiTheme="majorHAnsi"/>
                <w:color w:val="000000"/>
                <w:sz w:val="22"/>
                <w:szCs w:val="22"/>
              </w:rPr>
              <w:t>,</w:t>
            </w:r>
            <w:r w:rsidRPr="0093424D">
              <w:rPr>
                <w:rFonts w:asciiTheme="majorHAnsi" w:hAnsiTheme="majorHAnsi"/>
                <w:color w:val="000000"/>
                <w:sz w:val="22"/>
                <w:szCs w:val="22"/>
              </w:rPr>
              <w:t>797</w:t>
            </w:r>
          </w:p>
        </w:tc>
        <w:tc>
          <w:tcPr>
            <w:tcW w:w="2071" w:type="dxa"/>
            <w:vAlign w:val="bottom"/>
          </w:tcPr>
          <w:p w:rsidR="006155D5" w:rsidRPr="006155D5" w:rsidRDefault="006155D5">
            <w:pPr>
              <w:spacing w:before="40" w:after="40" w:line="240" w:lineRule="auto"/>
              <w:jc w:val="center"/>
              <w:rPr>
                <w:rFonts w:asciiTheme="majorHAnsi" w:hAnsiTheme="majorHAnsi"/>
                <w:color w:val="000000"/>
                <w:sz w:val="22"/>
                <w:szCs w:val="22"/>
              </w:rPr>
            </w:pPr>
            <w:r w:rsidRPr="0093424D">
              <w:rPr>
                <w:rFonts w:asciiTheme="majorHAnsi" w:hAnsiTheme="majorHAnsi"/>
                <w:color w:val="000000"/>
                <w:sz w:val="22"/>
                <w:szCs w:val="22"/>
              </w:rPr>
              <w:t>4%</w:t>
            </w:r>
          </w:p>
        </w:tc>
        <w:tc>
          <w:tcPr>
            <w:tcW w:w="2071" w:type="dxa"/>
            <w:shd w:val="clear" w:color="auto" w:fill="auto"/>
            <w:noWrap/>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$500,764,881</w:t>
            </w:r>
          </w:p>
        </w:tc>
        <w:tc>
          <w:tcPr>
            <w:tcW w:w="2071" w:type="dxa"/>
            <w:vAlign w:val="center"/>
          </w:tcPr>
          <w:p w:rsidR="006155D5" w:rsidRPr="0093424D" w:rsidRDefault="006155D5" w:rsidP="0093424D">
            <w:pPr>
              <w:spacing w:before="40" w:after="40" w:line="240" w:lineRule="auto"/>
              <w:jc w:val="center"/>
              <w:rPr>
                <w:rFonts w:asciiTheme="majorHAnsi" w:hAnsiTheme="majorHAnsi"/>
                <w:sz w:val="22"/>
                <w:szCs w:val="22"/>
              </w:rPr>
            </w:pPr>
            <w:r w:rsidRPr="0093424D">
              <w:rPr>
                <w:rFonts w:asciiTheme="majorHAnsi" w:hAnsiTheme="majorHAnsi"/>
                <w:color w:val="000000"/>
                <w:sz w:val="22"/>
                <w:szCs w:val="22"/>
              </w:rPr>
              <w:t>8%</w:t>
            </w:r>
          </w:p>
        </w:tc>
      </w:tr>
    </w:tbl>
    <w:p w:rsidR="00514482" w:rsidRPr="0093424D" w:rsidRDefault="00511BD5" w:rsidP="00492694">
      <w:pPr>
        <w:pStyle w:val="BodyText1"/>
        <w:rPr>
          <w:sz w:val="20"/>
          <w:szCs w:val="20"/>
        </w:rPr>
      </w:pPr>
      <w:r w:rsidRPr="0093424D">
        <w:rPr>
          <w:sz w:val="20"/>
          <w:szCs w:val="20"/>
        </w:rPr>
        <w:t xml:space="preserve">Notes: </w:t>
      </w:r>
      <w:r>
        <w:rPr>
          <w:sz w:val="20"/>
          <w:szCs w:val="20"/>
        </w:rPr>
        <w:t xml:space="preserve">Includes PBS/RPBS prescription data only. </w:t>
      </w:r>
    </w:p>
    <w:p w:rsidR="002E71E3" w:rsidRDefault="002E71E3" w:rsidP="00492694">
      <w:pPr>
        <w:pStyle w:val="BodyText1"/>
      </w:pPr>
    </w:p>
    <w:p w:rsidR="00A5626E" w:rsidRDefault="00514482" w:rsidP="0093424D">
      <w:pPr>
        <w:pStyle w:val="BodyText1"/>
      </w:pPr>
      <w:r>
        <w:t>F</w:t>
      </w:r>
      <w:r w:rsidR="00C67115">
        <w:t>igure 4</w:t>
      </w:r>
      <w:r w:rsidR="00E23947">
        <w:t>.4</w:t>
      </w:r>
      <w:r w:rsidR="00C67115">
        <w:t xml:space="preserve"> shows annual Government expenditure by medicine </w:t>
      </w:r>
      <w:r w:rsidR="002E71E3">
        <w:t xml:space="preserve">group </w:t>
      </w:r>
      <w:r w:rsidR="00C67115">
        <w:t>between 200</w:t>
      </w:r>
      <w:r w:rsidR="00A939B0">
        <w:t>2</w:t>
      </w:r>
      <w:r w:rsidR="00C67115">
        <w:t xml:space="preserve"> and 201</w:t>
      </w:r>
      <w:r w:rsidR="00511BD5">
        <w:t>3</w:t>
      </w:r>
      <w:r w:rsidR="00C67115">
        <w:t xml:space="preserve">. The highest expenditure </w:t>
      </w:r>
      <w:r w:rsidR="00915739">
        <w:t>in 201</w:t>
      </w:r>
      <w:r w:rsidR="00A939B0">
        <w:t>3</w:t>
      </w:r>
      <w:r w:rsidR="00915739">
        <w:t xml:space="preserve"> was </w:t>
      </w:r>
      <w:r w:rsidR="00C67115">
        <w:t>on insulins</w:t>
      </w:r>
      <w:r w:rsidR="001041E4">
        <w:t xml:space="preserve"> (</w:t>
      </w:r>
      <w:r w:rsidR="00C67115">
        <w:t>$2</w:t>
      </w:r>
      <w:r w:rsidR="00A939B0">
        <w:t>88</w:t>
      </w:r>
      <w:r w:rsidR="00C67115">
        <w:t xml:space="preserve"> million</w:t>
      </w:r>
      <w:r w:rsidR="001041E4">
        <w:t>)</w:t>
      </w:r>
      <w:r w:rsidR="00A939B0">
        <w:t xml:space="preserve">, </w:t>
      </w:r>
      <w:r w:rsidR="00C67115">
        <w:t xml:space="preserve">followed by </w:t>
      </w:r>
      <w:r w:rsidR="001041E4">
        <w:t>FDCs ($66 </w:t>
      </w:r>
      <w:r w:rsidR="00A939B0">
        <w:t>million</w:t>
      </w:r>
      <w:r w:rsidR="001041E4">
        <w:t>)</w:t>
      </w:r>
      <w:r w:rsidR="00C67115">
        <w:t>,</w:t>
      </w:r>
      <w:r w:rsidR="001041E4">
        <w:t xml:space="preserve"> </w:t>
      </w:r>
      <w:r w:rsidR="002772EC">
        <w:t>DPP-4 inhibitors</w:t>
      </w:r>
      <w:r w:rsidR="00C67115">
        <w:t xml:space="preserve"> </w:t>
      </w:r>
      <w:r w:rsidR="001041E4">
        <w:t>(</w:t>
      </w:r>
      <w:r w:rsidR="00C67115">
        <w:t>$</w:t>
      </w:r>
      <w:r w:rsidR="00A939B0">
        <w:t>57</w:t>
      </w:r>
      <w:r w:rsidR="00C67115">
        <w:t xml:space="preserve"> million</w:t>
      </w:r>
      <w:r w:rsidR="001041E4">
        <w:t>), metformin ($33 million), exenatide ($23 million), sulfonylureas ($17 million), TZDs ($14 million) and acarbose ($2 million)</w:t>
      </w:r>
      <w:r w:rsidR="00C67115">
        <w:t>.</w:t>
      </w:r>
      <w:r w:rsidR="002E71E3">
        <w:t xml:space="preserve"> </w:t>
      </w:r>
      <w:hyperlink w:anchor="_Appendix_F:_PBS/RPBS" w:history="1">
        <w:r w:rsidR="002E71E3" w:rsidRPr="006E1080">
          <w:rPr>
            <w:rStyle w:val="Hyperlink"/>
          </w:rPr>
          <w:t>Appendix F</w:t>
        </w:r>
      </w:hyperlink>
      <w:r w:rsidR="002E71E3">
        <w:t xml:space="preserve"> shows PBS/</w:t>
      </w:r>
      <w:r w:rsidR="0093424D">
        <w:t>R</w:t>
      </w:r>
      <w:r w:rsidR="002E71E3">
        <w:t xml:space="preserve">PBS prescriptions </w:t>
      </w:r>
      <w:r w:rsidR="0093424D">
        <w:t xml:space="preserve">dispensed </w:t>
      </w:r>
      <w:r w:rsidR="002E71E3">
        <w:t>and expenditure over the twelve months to April 2014</w:t>
      </w:r>
      <w:r w:rsidR="0093424D">
        <w:t>,</w:t>
      </w:r>
      <w:r w:rsidR="002E71E3">
        <w:t xml:space="preserve"> by medicine.  </w:t>
      </w:r>
    </w:p>
    <w:p w:rsidR="00C67115" w:rsidRDefault="00E23947" w:rsidP="00942408">
      <w:pPr>
        <w:pStyle w:val="BodyText1"/>
        <w:keepNext/>
        <w:keepLines/>
      </w:pPr>
      <w:r w:rsidRPr="00E23947">
        <w:rPr>
          <w:b/>
        </w:rPr>
        <w:t>Figure 4.4. Annual PBS/RPBS expenditure by medicine, 200</w:t>
      </w:r>
      <w:r w:rsidR="00D65AE3">
        <w:rPr>
          <w:b/>
        </w:rPr>
        <w:t>2</w:t>
      </w:r>
      <w:r w:rsidRPr="00E23947">
        <w:rPr>
          <w:b/>
        </w:rPr>
        <w:t>–201</w:t>
      </w:r>
      <w:r w:rsidR="00511BD5">
        <w:rPr>
          <w:b/>
        </w:rPr>
        <w:t>3</w:t>
      </w:r>
      <w:r w:rsidRPr="00E23947">
        <w:rPr>
          <w:b/>
        </w:rPr>
        <w:t>.</w:t>
      </w:r>
      <w:r w:rsidR="00511BD5" w:rsidRPr="00511BD5">
        <w:rPr>
          <w:lang w:eastAsia="en-AU"/>
        </w:rPr>
        <w:t xml:space="preserve"> </w:t>
      </w:r>
      <w:r w:rsidR="00D65AE3">
        <w:rPr>
          <w:lang w:eastAsia="en-AU"/>
        </w:rPr>
        <w:drawing>
          <wp:inline distT="0" distB="0" distL="0" distR="0" wp14:anchorId="4D9EBDBA" wp14:editId="5DE1772A">
            <wp:extent cx="5914417" cy="3336587"/>
            <wp:effectExtent l="0" t="0" r="10160" b="1651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42408" w:rsidRDefault="000D0CE3" w:rsidP="00942408">
      <w:pPr>
        <w:pStyle w:val="Notes"/>
        <w:keepNext/>
        <w:keepLines/>
      </w:pPr>
      <w:bookmarkStart w:id="256" w:name="_Toc382566493"/>
      <w:r>
        <w:t>Notes</w:t>
      </w:r>
      <w:r w:rsidRPr="00454A64">
        <w:t xml:space="preserve">: </w:t>
      </w:r>
      <w:r>
        <w:t>‘Any FDC’ includes sitagliptin, linagliptin, vildagliptin, alogliptin, saxagliptin, glibenclamide and rosiglitazone FDCs with metformin. ‘DPP-4 inhibitors’ includes sitagliptin + simvastatin FDC. SGLT2 inhibitors excluded.</w:t>
      </w:r>
      <w:r w:rsidR="00942408">
        <w:t xml:space="preserve"> </w:t>
      </w:r>
    </w:p>
    <w:p w:rsidR="000D0CE3" w:rsidRDefault="00942408" w:rsidP="00942408">
      <w:pPr>
        <w:pStyle w:val="Notes"/>
      </w:pPr>
      <w:r>
        <w:t xml:space="preserve">Special pricing arrangements exist for </w:t>
      </w:r>
      <w:r w:rsidR="00B1403F">
        <w:t xml:space="preserve">some </w:t>
      </w:r>
      <w:r>
        <w:t>insulin</w:t>
      </w:r>
      <w:r w:rsidR="00B1403F">
        <w:t>s</w:t>
      </w:r>
      <w:r>
        <w:t xml:space="preserve"> and exenatide. Final Government expenditure on these medicines may differ from that presented.</w:t>
      </w:r>
    </w:p>
    <w:p w:rsidR="00C67115" w:rsidRPr="00722226" w:rsidRDefault="00722226" w:rsidP="00942408">
      <w:pPr>
        <w:pStyle w:val="Heading3"/>
        <w:keepNext w:val="0"/>
      </w:pPr>
      <w:r w:rsidRPr="00722226">
        <w:lastRenderedPageBreak/>
        <w:t xml:space="preserve">4.4.2.  </w:t>
      </w:r>
      <w:r w:rsidR="00C67115" w:rsidRPr="00722226">
        <w:t>Initiating medicines for patients with type 2 diabetes</w:t>
      </w:r>
      <w:bookmarkEnd w:id="256"/>
      <w:r w:rsidR="00C67115" w:rsidRPr="00722226">
        <w:t xml:space="preserve"> </w:t>
      </w:r>
    </w:p>
    <w:p w:rsidR="00C67115" w:rsidRDefault="00C67115" w:rsidP="00492694">
      <w:pPr>
        <w:pStyle w:val="BodyText1"/>
      </w:pPr>
      <w:r>
        <w:t xml:space="preserve">The analysis of initiating therapies shows a marked increase over time in the proportion of people initiating metformin as their first type 2 diabetes medicine from 61.8% in 2003/04 to 79.4% in 2009/10, with a corresponding decrease in patients initiating a sulfonylurea from 27.6% in 2003/04 to 9.7% in 2009/08. Table </w:t>
      </w:r>
      <w:r w:rsidR="00A5626E">
        <w:t>4.</w:t>
      </w:r>
      <w:r>
        <w:t>2 summarises initiating therapy for each of the four cohorts.</w:t>
      </w:r>
    </w:p>
    <w:p w:rsidR="00C67115" w:rsidRPr="00A5626E" w:rsidRDefault="00C67115" w:rsidP="00492694">
      <w:pPr>
        <w:pStyle w:val="BodyText1"/>
        <w:rPr>
          <w:b/>
        </w:rPr>
      </w:pPr>
      <w:r w:rsidRPr="00A5626E">
        <w:rPr>
          <w:b/>
        </w:rPr>
        <w:t xml:space="preserve">Table </w:t>
      </w:r>
      <w:r w:rsidR="00722226" w:rsidRPr="00A5626E">
        <w:rPr>
          <w:b/>
        </w:rPr>
        <w:t>4.</w:t>
      </w:r>
      <w:r w:rsidRPr="00A5626E">
        <w:rPr>
          <w:b/>
        </w:rPr>
        <w:t>2</w:t>
      </w:r>
      <w:r w:rsidR="00722226" w:rsidRPr="00A5626E">
        <w:rPr>
          <w:b/>
        </w:rPr>
        <w:t>.</w:t>
      </w:r>
      <w:r w:rsidRPr="00A5626E">
        <w:rPr>
          <w:b/>
        </w:rPr>
        <w:t xml:space="preserve"> Initiating therapy by cohort.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1382"/>
        <w:gridCol w:w="1382"/>
        <w:gridCol w:w="1382"/>
        <w:gridCol w:w="1382"/>
      </w:tblGrid>
      <w:tr w:rsidR="00C67115" w:rsidRPr="00C2154E" w:rsidTr="002A12D2">
        <w:trPr>
          <w:tblHeader/>
        </w:trPr>
        <w:tc>
          <w:tcPr>
            <w:tcW w:w="2802" w:type="dxa"/>
            <w:shd w:val="clear" w:color="auto" w:fill="BFBFBF"/>
          </w:tcPr>
          <w:p w:rsidR="00C67115" w:rsidRPr="00A5626E" w:rsidRDefault="00C67115" w:rsidP="00492694">
            <w:pPr>
              <w:pStyle w:val="Tableheading"/>
              <w:rPr>
                <w:sz w:val="22"/>
                <w:szCs w:val="22"/>
              </w:rPr>
            </w:pPr>
            <w:r w:rsidRPr="00A5626E">
              <w:rPr>
                <w:sz w:val="22"/>
                <w:szCs w:val="22"/>
              </w:rPr>
              <w:t>Initiating therapy</w:t>
            </w:r>
          </w:p>
        </w:tc>
        <w:tc>
          <w:tcPr>
            <w:tcW w:w="1382" w:type="dxa"/>
            <w:shd w:val="clear" w:color="auto" w:fill="BFBFBF"/>
          </w:tcPr>
          <w:p w:rsidR="00C67115" w:rsidRPr="00A5626E" w:rsidRDefault="00C67115" w:rsidP="00492694">
            <w:pPr>
              <w:pStyle w:val="Tableheading"/>
              <w:rPr>
                <w:sz w:val="22"/>
                <w:szCs w:val="22"/>
              </w:rPr>
            </w:pPr>
            <w:r w:rsidRPr="00A5626E">
              <w:rPr>
                <w:sz w:val="22"/>
                <w:szCs w:val="22"/>
              </w:rPr>
              <w:t>Cohort 1 2003/04</w:t>
            </w:r>
          </w:p>
        </w:tc>
        <w:tc>
          <w:tcPr>
            <w:tcW w:w="1382" w:type="dxa"/>
            <w:shd w:val="clear" w:color="auto" w:fill="BFBFBF"/>
          </w:tcPr>
          <w:p w:rsidR="00C67115" w:rsidRPr="00A5626E" w:rsidRDefault="00C67115" w:rsidP="00492694">
            <w:pPr>
              <w:pStyle w:val="Tableheading"/>
              <w:rPr>
                <w:sz w:val="22"/>
                <w:szCs w:val="22"/>
              </w:rPr>
            </w:pPr>
            <w:r w:rsidRPr="00A5626E">
              <w:rPr>
                <w:sz w:val="22"/>
                <w:szCs w:val="22"/>
              </w:rPr>
              <w:t>Cohort 2 2005/06</w:t>
            </w:r>
          </w:p>
        </w:tc>
        <w:tc>
          <w:tcPr>
            <w:tcW w:w="1382" w:type="dxa"/>
            <w:shd w:val="clear" w:color="auto" w:fill="BFBFBF"/>
          </w:tcPr>
          <w:p w:rsidR="00C67115" w:rsidRPr="00A5626E" w:rsidRDefault="00C67115" w:rsidP="00492694">
            <w:pPr>
              <w:pStyle w:val="Tableheading"/>
              <w:rPr>
                <w:sz w:val="22"/>
                <w:szCs w:val="22"/>
              </w:rPr>
            </w:pPr>
            <w:r w:rsidRPr="00A5626E">
              <w:rPr>
                <w:sz w:val="22"/>
                <w:szCs w:val="22"/>
              </w:rPr>
              <w:t>Cohort 3 2007/08</w:t>
            </w:r>
          </w:p>
        </w:tc>
        <w:tc>
          <w:tcPr>
            <w:tcW w:w="1382" w:type="dxa"/>
            <w:shd w:val="clear" w:color="auto" w:fill="BFBFBF"/>
          </w:tcPr>
          <w:p w:rsidR="00C67115" w:rsidRPr="00A5626E" w:rsidRDefault="00C67115" w:rsidP="00492694">
            <w:pPr>
              <w:pStyle w:val="Tableheading"/>
              <w:rPr>
                <w:sz w:val="22"/>
                <w:szCs w:val="22"/>
              </w:rPr>
            </w:pPr>
            <w:r w:rsidRPr="00A5626E">
              <w:rPr>
                <w:sz w:val="22"/>
                <w:szCs w:val="22"/>
              </w:rPr>
              <w:t>Cohort 4 2009/10</w:t>
            </w:r>
          </w:p>
        </w:tc>
      </w:tr>
      <w:tr w:rsidR="00C67115" w:rsidRPr="00C2154E" w:rsidTr="002A12D2">
        <w:tc>
          <w:tcPr>
            <w:tcW w:w="2802" w:type="dxa"/>
            <w:shd w:val="clear" w:color="auto" w:fill="auto"/>
          </w:tcPr>
          <w:p w:rsidR="00C67115" w:rsidRPr="00A5626E" w:rsidRDefault="00C67115" w:rsidP="00492694">
            <w:pPr>
              <w:pStyle w:val="Tablewriting"/>
              <w:rPr>
                <w:sz w:val="22"/>
                <w:szCs w:val="22"/>
              </w:rPr>
            </w:pPr>
            <w:r w:rsidRPr="00A5626E">
              <w:rPr>
                <w:sz w:val="22"/>
                <w:szCs w:val="22"/>
              </w:rPr>
              <w:t>Metformin</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61.8%</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69.1%</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75.4%</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79.4%</w:t>
            </w:r>
          </w:p>
        </w:tc>
      </w:tr>
      <w:tr w:rsidR="00C67115" w:rsidRPr="00C2154E" w:rsidTr="002A12D2">
        <w:tc>
          <w:tcPr>
            <w:tcW w:w="2802" w:type="dxa"/>
            <w:shd w:val="clear" w:color="auto" w:fill="auto"/>
          </w:tcPr>
          <w:p w:rsidR="00C67115" w:rsidRPr="00A5626E" w:rsidRDefault="00C67115" w:rsidP="00492694">
            <w:pPr>
              <w:pStyle w:val="Tablewriting"/>
              <w:rPr>
                <w:sz w:val="22"/>
                <w:szCs w:val="22"/>
              </w:rPr>
            </w:pPr>
            <w:r w:rsidRPr="00A5626E">
              <w:rPr>
                <w:sz w:val="22"/>
                <w:szCs w:val="22"/>
              </w:rPr>
              <w:t>Sulfonylurea</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27.6%</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19.8%</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13.1%</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9.7%</w:t>
            </w:r>
          </w:p>
        </w:tc>
      </w:tr>
      <w:tr w:rsidR="00C67115" w:rsidRPr="00C2154E" w:rsidTr="002A12D2">
        <w:tc>
          <w:tcPr>
            <w:tcW w:w="2802" w:type="dxa"/>
            <w:shd w:val="clear" w:color="auto" w:fill="auto"/>
          </w:tcPr>
          <w:p w:rsidR="00C67115" w:rsidRPr="00A5626E" w:rsidRDefault="00C67115" w:rsidP="00492694">
            <w:pPr>
              <w:pStyle w:val="Tablewriting"/>
              <w:rPr>
                <w:sz w:val="22"/>
                <w:szCs w:val="22"/>
              </w:rPr>
            </w:pPr>
            <w:r w:rsidRPr="00A5626E">
              <w:rPr>
                <w:sz w:val="22"/>
                <w:szCs w:val="22"/>
              </w:rPr>
              <w:t>Metformin + sulfonylurea</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4.3%</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3.5%</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3.4%</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3.4%</w:t>
            </w:r>
          </w:p>
        </w:tc>
      </w:tr>
      <w:tr w:rsidR="00C67115" w:rsidRPr="00C2154E" w:rsidTr="002A12D2">
        <w:tc>
          <w:tcPr>
            <w:tcW w:w="2802" w:type="dxa"/>
            <w:shd w:val="clear" w:color="auto" w:fill="auto"/>
          </w:tcPr>
          <w:p w:rsidR="00C67115" w:rsidRPr="00A5626E" w:rsidRDefault="006820B1" w:rsidP="00492694">
            <w:pPr>
              <w:pStyle w:val="Tablewriting"/>
              <w:rPr>
                <w:sz w:val="22"/>
                <w:szCs w:val="22"/>
              </w:rPr>
            </w:pPr>
            <w:r>
              <w:rPr>
                <w:sz w:val="22"/>
                <w:szCs w:val="22"/>
              </w:rPr>
              <w:t>TZDs</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0.2%</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7%</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9%</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7%</w:t>
            </w:r>
          </w:p>
        </w:tc>
      </w:tr>
      <w:tr w:rsidR="00C67115" w:rsidRPr="00C2154E" w:rsidTr="002A12D2">
        <w:tc>
          <w:tcPr>
            <w:tcW w:w="2802" w:type="dxa"/>
            <w:shd w:val="clear" w:color="auto" w:fill="auto"/>
          </w:tcPr>
          <w:p w:rsidR="00C67115" w:rsidRPr="00A5626E" w:rsidRDefault="00C67115" w:rsidP="00492694">
            <w:pPr>
              <w:pStyle w:val="Tablewriting"/>
              <w:rPr>
                <w:sz w:val="22"/>
                <w:szCs w:val="22"/>
              </w:rPr>
            </w:pPr>
            <w:r w:rsidRPr="00A5626E">
              <w:rPr>
                <w:sz w:val="22"/>
                <w:szCs w:val="22"/>
              </w:rPr>
              <w:t>Acarbose</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0.1%</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0.4%</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0.5%</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0.4%</w:t>
            </w:r>
          </w:p>
        </w:tc>
      </w:tr>
      <w:tr w:rsidR="00C67115" w:rsidRPr="00C2154E" w:rsidTr="002A12D2">
        <w:tc>
          <w:tcPr>
            <w:tcW w:w="2802" w:type="dxa"/>
            <w:shd w:val="clear" w:color="auto" w:fill="auto"/>
          </w:tcPr>
          <w:p w:rsidR="00C67115" w:rsidRPr="00A5626E" w:rsidRDefault="00C67115" w:rsidP="00492694">
            <w:pPr>
              <w:pStyle w:val="Tablewriting"/>
              <w:rPr>
                <w:sz w:val="22"/>
                <w:szCs w:val="22"/>
              </w:rPr>
            </w:pPr>
            <w:r w:rsidRPr="00A5626E">
              <w:rPr>
                <w:sz w:val="22"/>
                <w:szCs w:val="22"/>
              </w:rPr>
              <w:t>Mixed insulin</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2.4%</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0.1%</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0.2%</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0.1%</w:t>
            </w:r>
          </w:p>
        </w:tc>
      </w:tr>
      <w:tr w:rsidR="00C67115" w:rsidRPr="00C2154E" w:rsidTr="002A12D2">
        <w:tc>
          <w:tcPr>
            <w:tcW w:w="2802" w:type="dxa"/>
            <w:shd w:val="clear" w:color="auto" w:fill="auto"/>
          </w:tcPr>
          <w:p w:rsidR="00C67115" w:rsidRPr="00A5626E" w:rsidRDefault="00C67115" w:rsidP="00492694">
            <w:pPr>
              <w:pStyle w:val="Tablewriting"/>
              <w:rPr>
                <w:sz w:val="22"/>
                <w:szCs w:val="22"/>
              </w:rPr>
            </w:pPr>
            <w:r w:rsidRPr="00A5626E">
              <w:rPr>
                <w:sz w:val="22"/>
                <w:szCs w:val="22"/>
              </w:rPr>
              <w:t>Short acting insulin</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1.5%</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2.1%</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1.6%</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1.1%</w:t>
            </w:r>
          </w:p>
        </w:tc>
      </w:tr>
      <w:tr w:rsidR="00C67115" w:rsidRPr="00C2154E" w:rsidTr="002A12D2">
        <w:tc>
          <w:tcPr>
            <w:tcW w:w="2802" w:type="dxa"/>
            <w:shd w:val="clear" w:color="auto" w:fill="auto"/>
          </w:tcPr>
          <w:p w:rsidR="00C67115" w:rsidRPr="00A5626E" w:rsidRDefault="00C67115" w:rsidP="00492694">
            <w:pPr>
              <w:pStyle w:val="Tablewriting"/>
              <w:rPr>
                <w:sz w:val="22"/>
                <w:szCs w:val="22"/>
              </w:rPr>
            </w:pPr>
            <w:r w:rsidRPr="00A5626E">
              <w:rPr>
                <w:sz w:val="22"/>
                <w:szCs w:val="22"/>
              </w:rPr>
              <w:t>Basal + short acting insulin</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0.6%</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0.5%</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1.9%</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1.4%</w:t>
            </w:r>
          </w:p>
        </w:tc>
      </w:tr>
      <w:tr w:rsidR="00C67115" w:rsidRPr="00C2154E" w:rsidTr="002A12D2">
        <w:tc>
          <w:tcPr>
            <w:tcW w:w="2802" w:type="dxa"/>
            <w:shd w:val="clear" w:color="auto" w:fill="auto"/>
          </w:tcPr>
          <w:p w:rsidR="00C67115" w:rsidRPr="00A5626E" w:rsidRDefault="00C67115" w:rsidP="00492694">
            <w:pPr>
              <w:pStyle w:val="Tablewriting"/>
              <w:rPr>
                <w:sz w:val="22"/>
                <w:szCs w:val="22"/>
              </w:rPr>
            </w:pPr>
            <w:r w:rsidRPr="00A5626E">
              <w:rPr>
                <w:sz w:val="22"/>
                <w:szCs w:val="22"/>
              </w:rPr>
              <w:t>Basal insulin</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1%</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1%</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0.8%</w:t>
            </w:r>
          </w:p>
        </w:tc>
        <w:tc>
          <w:tcPr>
            <w:tcW w:w="1382" w:type="dxa"/>
            <w:shd w:val="clear" w:color="auto" w:fill="auto"/>
            <w:vAlign w:val="center"/>
          </w:tcPr>
          <w:p w:rsidR="00C67115" w:rsidRPr="00A5626E" w:rsidRDefault="00C67115" w:rsidP="00492694">
            <w:pPr>
              <w:pStyle w:val="Tablewriting"/>
              <w:rPr>
                <w:sz w:val="22"/>
                <w:szCs w:val="22"/>
              </w:rPr>
            </w:pPr>
            <w:r w:rsidRPr="00A5626E">
              <w:rPr>
                <w:sz w:val="22"/>
                <w:szCs w:val="22"/>
              </w:rPr>
              <w:t>0.7%</w:t>
            </w:r>
          </w:p>
        </w:tc>
      </w:tr>
    </w:tbl>
    <w:p w:rsidR="00C67115" w:rsidRDefault="00C67115" w:rsidP="00492694"/>
    <w:p w:rsidR="00C67115" w:rsidRDefault="00C67115" w:rsidP="00492694">
      <w:pPr>
        <w:pStyle w:val="BodyText1"/>
      </w:pPr>
      <w:r>
        <w:t xml:space="preserve">Table </w:t>
      </w:r>
      <w:r w:rsidR="00A5626E">
        <w:t>4.</w:t>
      </w:r>
      <w:r>
        <w:t>3 shows the proportion of people who had additional therapy or switched therapy within 3.5 years of initiation for the first three cohorts (data for cohort 4 is not shown due to insufficient follow up time). Around 65% of patients in these cohorts did not add or switch medicines within 3.5 years of initiation. The majority of patients who added or switched medicines, did so within the PBS restrictions. Less than 5% of patients added or switched beyond the PBS restrictions. This usually involved the addition of a third line agent (</w:t>
      </w:r>
      <w:r w:rsidR="002772EC">
        <w:t>DPP-4 inhibitor</w:t>
      </w:r>
      <w:r>
        <w:t xml:space="preserve">, </w:t>
      </w:r>
      <w:r w:rsidR="006820B1">
        <w:t>TZD</w:t>
      </w:r>
      <w:r>
        <w:t xml:space="preserve"> or exenatide) without tria</w:t>
      </w:r>
      <w:r w:rsidR="005566B9">
        <w:t>l</w:t>
      </w:r>
      <w:r>
        <w:t xml:space="preserve">ling both metformin and a sulfonylurea first (data not shown). </w:t>
      </w:r>
    </w:p>
    <w:p w:rsidR="00A5626E" w:rsidRDefault="00A5626E" w:rsidP="00492694">
      <w:pPr>
        <w:pStyle w:val="BodyText1"/>
        <w:rPr>
          <w:b/>
        </w:rPr>
      </w:pPr>
    </w:p>
    <w:p w:rsidR="00C67115" w:rsidRPr="00A5626E" w:rsidRDefault="00C67115" w:rsidP="00492694">
      <w:pPr>
        <w:pStyle w:val="BodyText1"/>
        <w:rPr>
          <w:rFonts w:ascii="êP˛øL“" w:hAnsi="êP˛øL“" w:cs="êP˛øL“"/>
          <w:b/>
        </w:rPr>
      </w:pPr>
      <w:r w:rsidRPr="00A5626E">
        <w:rPr>
          <w:b/>
        </w:rPr>
        <w:t xml:space="preserve">Table </w:t>
      </w:r>
      <w:r w:rsidR="00B6042F" w:rsidRPr="00A5626E">
        <w:rPr>
          <w:b/>
        </w:rPr>
        <w:t>4.</w:t>
      </w:r>
      <w:r w:rsidRPr="00A5626E">
        <w:rPr>
          <w:b/>
        </w:rPr>
        <w:t>3</w:t>
      </w:r>
      <w:r w:rsidR="00B6042F" w:rsidRPr="00A5626E">
        <w:rPr>
          <w:b/>
        </w:rPr>
        <w:t>.</w:t>
      </w:r>
      <w:r w:rsidRPr="00A5626E">
        <w:rPr>
          <w:b/>
        </w:rPr>
        <w:t xml:space="preserve"> Addition and switching during first 3.5 years of therapy.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gridCol w:w="1464"/>
        <w:gridCol w:w="1465"/>
        <w:gridCol w:w="1465"/>
      </w:tblGrid>
      <w:tr w:rsidR="00C67115" w:rsidRPr="007501DD" w:rsidTr="002A12D2">
        <w:trPr>
          <w:tblHeader/>
        </w:trPr>
        <w:tc>
          <w:tcPr>
            <w:tcW w:w="3936" w:type="dxa"/>
            <w:shd w:val="clear" w:color="auto" w:fill="BFBFBF"/>
          </w:tcPr>
          <w:p w:rsidR="00C67115" w:rsidRPr="00A5626E" w:rsidRDefault="00C67115" w:rsidP="00492694">
            <w:pPr>
              <w:pStyle w:val="Tableheading"/>
              <w:rPr>
                <w:sz w:val="22"/>
                <w:szCs w:val="22"/>
              </w:rPr>
            </w:pPr>
            <w:r w:rsidRPr="00A5626E">
              <w:rPr>
                <w:sz w:val="22"/>
                <w:szCs w:val="22"/>
              </w:rPr>
              <w:t>Addition or switch</w:t>
            </w:r>
          </w:p>
        </w:tc>
        <w:tc>
          <w:tcPr>
            <w:tcW w:w="1464" w:type="dxa"/>
            <w:shd w:val="clear" w:color="auto" w:fill="BFBFBF"/>
          </w:tcPr>
          <w:p w:rsidR="00C67115" w:rsidRPr="00A5626E" w:rsidRDefault="00C67115" w:rsidP="00492694">
            <w:pPr>
              <w:pStyle w:val="Tableheading"/>
              <w:rPr>
                <w:sz w:val="22"/>
                <w:szCs w:val="22"/>
              </w:rPr>
            </w:pPr>
            <w:r w:rsidRPr="00A5626E">
              <w:rPr>
                <w:sz w:val="22"/>
                <w:szCs w:val="22"/>
              </w:rPr>
              <w:t>Cohort 1 2003/04</w:t>
            </w:r>
          </w:p>
        </w:tc>
        <w:tc>
          <w:tcPr>
            <w:tcW w:w="1465" w:type="dxa"/>
            <w:shd w:val="clear" w:color="auto" w:fill="BFBFBF"/>
          </w:tcPr>
          <w:p w:rsidR="00C67115" w:rsidRPr="00A5626E" w:rsidRDefault="00C67115" w:rsidP="00492694">
            <w:pPr>
              <w:pStyle w:val="Tableheading"/>
              <w:rPr>
                <w:sz w:val="22"/>
                <w:szCs w:val="22"/>
              </w:rPr>
            </w:pPr>
            <w:r w:rsidRPr="00A5626E">
              <w:rPr>
                <w:sz w:val="22"/>
                <w:szCs w:val="22"/>
              </w:rPr>
              <w:t>Cohort 2 2005/06</w:t>
            </w:r>
          </w:p>
        </w:tc>
        <w:tc>
          <w:tcPr>
            <w:tcW w:w="1465" w:type="dxa"/>
            <w:shd w:val="clear" w:color="auto" w:fill="BFBFBF"/>
          </w:tcPr>
          <w:p w:rsidR="00C67115" w:rsidRPr="00A5626E" w:rsidRDefault="00C67115" w:rsidP="00492694">
            <w:pPr>
              <w:pStyle w:val="Tableheading"/>
              <w:rPr>
                <w:sz w:val="22"/>
                <w:szCs w:val="22"/>
              </w:rPr>
            </w:pPr>
            <w:r w:rsidRPr="00A5626E">
              <w:rPr>
                <w:sz w:val="22"/>
                <w:szCs w:val="22"/>
              </w:rPr>
              <w:t>Cohort 3 2007/08</w:t>
            </w:r>
          </w:p>
        </w:tc>
      </w:tr>
      <w:tr w:rsidR="00C67115" w:rsidRPr="007501DD" w:rsidTr="002A12D2">
        <w:tc>
          <w:tcPr>
            <w:tcW w:w="3936" w:type="dxa"/>
            <w:shd w:val="clear" w:color="auto" w:fill="auto"/>
          </w:tcPr>
          <w:p w:rsidR="00C67115" w:rsidRPr="00A5626E" w:rsidRDefault="00C67115" w:rsidP="00492694">
            <w:pPr>
              <w:pStyle w:val="Tablewriting"/>
              <w:rPr>
                <w:sz w:val="22"/>
                <w:szCs w:val="22"/>
              </w:rPr>
            </w:pPr>
            <w:r w:rsidRPr="00A5626E">
              <w:rPr>
                <w:sz w:val="22"/>
                <w:szCs w:val="22"/>
              </w:rPr>
              <w:t>No addition or switch</w:t>
            </w:r>
          </w:p>
        </w:tc>
        <w:tc>
          <w:tcPr>
            <w:tcW w:w="1464" w:type="dxa"/>
            <w:shd w:val="clear" w:color="auto" w:fill="auto"/>
            <w:vAlign w:val="center"/>
          </w:tcPr>
          <w:p w:rsidR="00C67115" w:rsidRPr="00A5626E" w:rsidRDefault="00C67115" w:rsidP="00492694">
            <w:pPr>
              <w:pStyle w:val="Tablewriting"/>
              <w:rPr>
                <w:sz w:val="22"/>
                <w:szCs w:val="22"/>
              </w:rPr>
            </w:pPr>
            <w:r w:rsidRPr="00A5626E">
              <w:rPr>
                <w:sz w:val="22"/>
                <w:szCs w:val="22"/>
              </w:rPr>
              <w:t>62.9%</w:t>
            </w:r>
          </w:p>
        </w:tc>
        <w:tc>
          <w:tcPr>
            <w:tcW w:w="1465" w:type="dxa"/>
            <w:shd w:val="clear" w:color="auto" w:fill="auto"/>
            <w:vAlign w:val="center"/>
          </w:tcPr>
          <w:p w:rsidR="00C67115" w:rsidRPr="00A5626E" w:rsidRDefault="00C67115" w:rsidP="00492694">
            <w:pPr>
              <w:pStyle w:val="Tablewriting"/>
              <w:rPr>
                <w:sz w:val="22"/>
                <w:szCs w:val="22"/>
              </w:rPr>
            </w:pPr>
            <w:r w:rsidRPr="00A5626E">
              <w:rPr>
                <w:sz w:val="22"/>
                <w:szCs w:val="22"/>
              </w:rPr>
              <w:t>65.4%</w:t>
            </w:r>
          </w:p>
        </w:tc>
        <w:tc>
          <w:tcPr>
            <w:tcW w:w="1465" w:type="dxa"/>
            <w:shd w:val="clear" w:color="auto" w:fill="auto"/>
            <w:vAlign w:val="center"/>
          </w:tcPr>
          <w:p w:rsidR="00C67115" w:rsidRPr="00A5626E" w:rsidRDefault="00C67115" w:rsidP="00492694">
            <w:pPr>
              <w:pStyle w:val="Tablewriting"/>
              <w:rPr>
                <w:sz w:val="22"/>
                <w:szCs w:val="22"/>
              </w:rPr>
            </w:pPr>
            <w:r w:rsidRPr="00A5626E">
              <w:rPr>
                <w:sz w:val="22"/>
                <w:szCs w:val="22"/>
              </w:rPr>
              <w:t>62.8%</w:t>
            </w:r>
          </w:p>
        </w:tc>
      </w:tr>
      <w:tr w:rsidR="00C67115" w:rsidRPr="007501DD" w:rsidTr="002A12D2">
        <w:tc>
          <w:tcPr>
            <w:tcW w:w="3936" w:type="dxa"/>
            <w:shd w:val="clear" w:color="auto" w:fill="auto"/>
          </w:tcPr>
          <w:p w:rsidR="00C67115" w:rsidRPr="00A5626E" w:rsidRDefault="00C67115" w:rsidP="00492694">
            <w:pPr>
              <w:pStyle w:val="Tablewriting"/>
              <w:rPr>
                <w:sz w:val="22"/>
                <w:szCs w:val="22"/>
              </w:rPr>
            </w:pPr>
            <w:r w:rsidRPr="00A5626E">
              <w:rPr>
                <w:sz w:val="22"/>
                <w:szCs w:val="22"/>
              </w:rPr>
              <w:t>Add within PBS restrictions</w:t>
            </w:r>
          </w:p>
        </w:tc>
        <w:tc>
          <w:tcPr>
            <w:tcW w:w="1464" w:type="dxa"/>
            <w:shd w:val="clear" w:color="auto" w:fill="auto"/>
            <w:vAlign w:val="center"/>
          </w:tcPr>
          <w:p w:rsidR="00C67115" w:rsidRPr="00A5626E" w:rsidRDefault="00C67115" w:rsidP="00492694">
            <w:pPr>
              <w:pStyle w:val="Tablewriting"/>
              <w:rPr>
                <w:sz w:val="22"/>
                <w:szCs w:val="22"/>
              </w:rPr>
            </w:pPr>
            <w:r w:rsidRPr="00A5626E">
              <w:rPr>
                <w:sz w:val="22"/>
                <w:szCs w:val="22"/>
              </w:rPr>
              <w:t>27.0%</w:t>
            </w:r>
          </w:p>
        </w:tc>
        <w:tc>
          <w:tcPr>
            <w:tcW w:w="1465" w:type="dxa"/>
            <w:shd w:val="clear" w:color="auto" w:fill="auto"/>
            <w:vAlign w:val="center"/>
          </w:tcPr>
          <w:p w:rsidR="00C67115" w:rsidRPr="00A5626E" w:rsidRDefault="00C67115" w:rsidP="00492694">
            <w:pPr>
              <w:pStyle w:val="Tablewriting"/>
              <w:rPr>
                <w:sz w:val="22"/>
                <w:szCs w:val="22"/>
              </w:rPr>
            </w:pPr>
            <w:r w:rsidRPr="00A5626E">
              <w:rPr>
                <w:sz w:val="22"/>
                <w:szCs w:val="22"/>
              </w:rPr>
              <w:t>23.6%</w:t>
            </w:r>
          </w:p>
        </w:tc>
        <w:tc>
          <w:tcPr>
            <w:tcW w:w="1465" w:type="dxa"/>
            <w:shd w:val="clear" w:color="auto" w:fill="auto"/>
            <w:vAlign w:val="center"/>
          </w:tcPr>
          <w:p w:rsidR="00C67115" w:rsidRPr="00A5626E" w:rsidRDefault="00C67115" w:rsidP="00492694">
            <w:pPr>
              <w:pStyle w:val="Tablewriting"/>
              <w:rPr>
                <w:sz w:val="22"/>
                <w:szCs w:val="22"/>
              </w:rPr>
            </w:pPr>
            <w:r w:rsidRPr="00A5626E">
              <w:rPr>
                <w:sz w:val="22"/>
                <w:szCs w:val="22"/>
              </w:rPr>
              <w:t>21.0%</w:t>
            </w:r>
          </w:p>
        </w:tc>
      </w:tr>
      <w:tr w:rsidR="00C67115" w:rsidRPr="007501DD" w:rsidTr="002A12D2">
        <w:tc>
          <w:tcPr>
            <w:tcW w:w="3936" w:type="dxa"/>
            <w:shd w:val="clear" w:color="auto" w:fill="auto"/>
          </w:tcPr>
          <w:p w:rsidR="00C67115" w:rsidRPr="00A5626E" w:rsidRDefault="00C67115" w:rsidP="00492694">
            <w:pPr>
              <w:pStyle w:val="Tablewriting"/>
              <w:rPr>
                <w:sz w:val="22"/>
                <w:szCs w:val="22"/>
              </w:rPr>
            </w:pPr>
            <w:r w:rsidRPr="00A5626E">
              <w:rPr>
                <w:sz w:val="22"/>
                <w:szCs w:val="22"/>
              </w:rPr>
              <w:t>Add beyond PBS restrictions</w:t>
            </w:r>
          </w:p>
        </w:tc>
        <w:tc>
          <w:tcPr>
            <w:tcW w:w="1464" w:type="dxa"/>
            <w:shd w:val="clear" w:color="auto" w:fill="auto"/>
            <w:vAlign w:val="center"/>
          </w:tcPr>
          <w:p w:rsidR="00C67115" w:rsidRPr="00A5626E" w:rsidRDefault="00C67115" w:rsidP="00492694">
            <w:pPr>
              <w:pStyle w:val="Tablewriting"/>
              <w:rPr>
                <w:sz w:val="22"/>
                <w:szCs w:val="22"/>
              </w:rPr>
            </w:pPr>
            <w:r w:rsidRPr="00A5626E">
              <w:rPr>
                <w:sz w:val="22"/>
                <w:szCs w:val="22"/>
              </w:rPr>
              <w:t>0.8%</w:t>
            </w:r>
          </w:p>
        </w:tc>
        <w:tc>
          <w:tcPr>
            <w:tcW w:w="1465" w:type="dxa"/>
            <w:shd w:val="clear" w:color="auto" w:fill="auto"/>
            <w:vAlign w:val="center"/>
          </w:tcPr>
          <w:p w:rsidR="00C67115" w:rsidRPr="00A5626E" w:rsidRDefault="00C67115" w:rsidP="00492694">
            <w:pPr>
              <w:pStyle w:val="Tablewriting"/>
              <w:rPr>
                <w:sz w:val="22"/>
                <w:szCs w:val="22"/>
              </w:rPr>
            </w:pPr>
            <w:r w:rsidRPr="00A5626E">
              <w:rPr>
                <w:sz w:val="22"/>
                <w:szCs w:val="22"/>
              </w:rPr>
              <w:t>1.7%</w:t>
            </w:r>
          </w:p>
        </w:tc>
        <w:tc>
          <w:tcPr>
            <w:tcW w:w="1465" w:type="dxa"/>
            <w:shd w:val="clear" w:color="auto" w:fill="auto"/>
            <w:vAlign w:val="center"/>
          </w:tcPr>
          <w:p w:rsidR="00C67115" w:rsidRPr="00A5626E" w:rsidRDefault="00C67115" w:rsidP="00492694">
            <w:pPr>
              <w:pStyle w:val="Tablewriting"/>
              <w:rPr>
                <w:sz w:val="22"/>
                <w:szCs w:val="22"/>
              </w:rPr>
            </w:pPr>
            <w:r w:rsidRPr="00A5626E">
              <w:rPr>
                <w:sz w:val="22"/>
                <w:szCs w:val="22"/>
              </w:rPr>
              <w:t>3.0%</w:t>
            </w:r>
          </w:p>
        </w:tc>
      </w:tr>
      <w:tr w:rsidR="00C67115" w:rsidRPr="007501DD" w:rsidTr="002A12D2">
        <w:tc>
          <w:tcPr>
            <w:tcW w:w="3936" w:type="dxa"/>
            <w:shd w:val="clear" w:color="auto" w:fill="auto"/>
          </w:tcPr>
          <w:p w:rsidR="00C67115" w:rsidRPr="00A5626E" w:rsidRDefault="00C67115" w:rsidP="00492694">
            <w:pPr>
              <w:pStyle w:val="Tablewriting"/>
              <w:rPr>
                <w:sz w:val="22"/>
                <w:szCs w:val="22"/>
              </w:rPr>
            </w:pPr>
            <w:r w:rsidRPr="00A5626E">
              <w:rPr>
                <w:sz w:val="22"/>
                <w:szCs w:val="22"/>
              </w:rPr>
              <w:t>Switch within PBS restrictions</w:t>
            </w:r>
          </w:p>
        </w:tc>
        <w:tc>
          <w:tcPr>
            <w:tcW w:w="1464" w:type="dxa"/>
            <w:shd w:val="clear" w:color="auto" w:fill="auto"/>
            <w:vAlign w:val="center"/>
          </w:tcPr>
          <w:p w:rsidR="00C67115" w:rsidRPr="00A5626E" w:rsidRDefault="00C67115" w:rsidP="00492694">
            <w:pPr>
              <w:pStyle w:val="Tablewriting"/>
              <w:rPr>
                <w:sz w:val="22"/>
                <w:szCs w:val="22"/>
              </w:rPr>
            </w:pPr>
            <w:r w:rsidRPr="00A5626E">
              <w:rPr>
                <w:sz w:val="22"/>
                <w:szCs w:val="22"/>
              </w:rPr>
              <w:t>3.8%</w:t>
            </w:r>
          </w:p>
        </w:tc>
        <w:tc>
          <w:tcPr>
            <w:tcW w:w="1465" w:type="dxa"/>
            <w:shd w:val="clear" w:color="auto" w:fill="auto"/>
            <w:vAlign w:val="center"/>
          </w:tcPr>
          <w:p w:rsidR="00C67115" w:rsidRPr="00A5626E" w:rsidRDefault="00C67115" w:rsidP="00492694">
            <w:pPr>
              <w:pStyle w:val="Tablewriting"/>
              <w:rPr>
                <w:sz w:val="22"/>
                <w:szCs w:val="22"/>
              </w:rPr>
            </w:pPr>
            <w:r w:rsidRPr="00A5626E">
              <w:rPr>
                <w:sz w:val="22"/>
                <w:szCs w:val="22"/>
              </w:rPr>
              <w:t>4.3%</w:t>
            </w:r>
          </w:p>
        </w:tc>
        <w:tc>
          <w:tcPr>
            <w:tcW w:w="1465" w:type="dxa"/>
            <w:shd w:val="clear" w:color="auto" w:fill="auto"/>
            <w:vAlign w:val="center"/>
          </w:tcPr>
          <w:p w:rsidR="00C67115" w:rsidRPr="00A5626E" w:rsidRDefault="00C67115" w:rsidP="00492694">
            <w:pPr>
              <w:pStyle w:val="Tablewriting"/>
              <w:rPr>
                <w:sz w:val="22"/>
                <w:szCs w:val="22"/>
              </w:rPr>
            </w:pPr>
            <w:r w:rsidRPr="00A5626E">
              <w:rPr>
                <w:sz w:val="22"/>
                <w:szCs w:val="22"/>
              </w:rPr>
              <w:t>4.2%</w:t>
            </w:r>
          </w:p>
        </w:tc>
      </w:tr>
      <w:tr w:rsidR="00C67115" w:rsidRPr="007501DD" w:rsidTr="002A12D2">
        <w:tc>
          <w:tcPr>
            <w:tcW w:w="3936" w:type="dxa"/>
            <w:shd w:val="clear" w:color="auto" w:fill="auto"/>
          </w:tcPr>
          <w:p w:rsidR="00C67115" w:rsidRPr="00A5626E" w:rsidRDefault="00C67115" w:rsidP="00492694">
            <w:pPr>
              <w:pStyle w:val="Tablewriting"/>
              <w:rPr>
                <w:sz w:val="22"/>
                <w:szCs w:val="22"/>
              </w:rPr>
            </w:pPr>
            <w:r w:rsidRPr="00A5626E">
              <w:rPr>
                <w:sz w:val="22"/>
                <w:szCs w:val="22"/>
              </w:rPr>
              <w:t>Switch beyond PBS restrictions</w:t>
            </w:r>
          </w:p>
        </w:tc>
        <w:tc>
          <w:tcPr>
            <w:tcW w:w="1464" w:type="dxa"/>
            <w:shd w:val="clear" w:color="auto" w:fill="auto"/>
            <w:vAlign w:val="center"/>
          </w:tcPr>
          <w:p w:rsidR="00C67115" w:rsidRPr="00A5626E" w:rsidRDefault="00C67115" w:rsidP="00492694">
            <w:pPr>
              <w:pStyle w:val="Tablewriting"/>
              <w:rPr>
                <w:sz w:val="22"/>
                <w:szCs w:val="22"/>
              </w:rPr>
            </w:pPr>
            <w:r w:rsidRPr="00A5626E">
              <w:rPr>
                <w:sz w:val="22"/>
                <w:szCs w:val="22"/>
              </w:rPr>
              <w:t>0.0%</w:t>
            </w:r>
          </w:p>
        </w:tc>
        <w:tc>
          <w:tcPr>
            <w:tcW w:w="1465" w:type="dxa"/>
            <w:shd w:val="clear" w:color="auto" w:fill="auto"/>
            <w:vAlign w:val="center"/>
          </w:tcPr>
          <w:p w:rsidR="00C67115" w:rsidRPr="00A5626E" w:rsidRDefault="00C67115" w:rsidP="00492694">
            <w:pPr>
              <w:pStyle w:val="Tablewriting"/>
              <w:rPr>
                <w:sz w:val="22"/>
                <w:szCs w:val="22"/>
              </w:rPr>
            </w:pPr>
            <w:r w:rsidRPr="00A5626E">
              <w:rPr>
                <w:sz w:val="22"/>
                <w:szCs w:val="22"/>
              </w:rPr>
              <w:t>0.0%</w:t>
            </w:r>
          </w:p>
        </w:tc>
        <w:tc>
          <w:tcPr>
            <w:tcW w:w="1465" w:type="dxa"/>
            <w:shd w:val="clear" w:color="auto" w:fill="auto"/>
            <w:vAlign w:val="center"/>
          </w:tcPr>
          <w:p w:rsidR="00C67115" w:rsidRPr="00A5626E" w:rsidRDefault="00C67115" w:rsidP="00492694">
            <w:pPr>
              <w:pStyle w:val="Tablewriting"/>
              <w:rPr>
                <w:sz w:val="22"/>
                <w:szCs w:val="22"/>
              </w:rPr>
            </w:pPr>
            <w:r w:rsidRPr="00A5626E">
              <w:rPr>
                <w:sz w:val="22"/>
                <w:szCs w:val="22"/>
              </w:rPr>
              <w:t>0.5%</w:t>
            </w:r>
          </w:p>
        </w:tc>
      </w:tr>
    </w:tbl>
    <w:p w:rsidR="00C67115" w:rsidRDefault="00C67115" w:rsidP="00492694"/>
    <w:p w:rsidR="00C67115" w:rsidRPr="00B6042F" w:rsidRDefault="00B6042F" w:rsidP="00492694">
      <w:pPr>
        <w:pStyle w:val="Heading3"/>
      </w:pPr>
      <w:bookmarkStart w:id="257" w:name="_Toc382566494"/>
      <w:r w:rsidRPr="00B6042F">
        <w:lastRenderedPageBreak/>
        <w:t>4.4.</w:t>
      </w:r>
      <w:r w:rsidR="00C67115" w:rsidRPr="00B6042F">
        <w:t xml:space="preserve">3. </w:t>
      </w:r>
      <w:r w:rsidRPr="00B6042F">
        <w:t xml:space="preserve"> </w:t>
      </w:r>
      <w:r w:rsidR="00C67115" w:rsidRPr="00B6042F">
        <w:t>Therapies used before third line agents</w:t>
      </w:r>
      <w:bookmarkEnd w:id="257"/>
    </w:p>
    <w:p w:rsidR="00C67115" w:rsidRDefault="00C67115" w:rsidP="00492694">
      <w:pPr>
        <w:pStyle w:val="BodyText1"/>
      </w:pPr>
      <w:r>
        <w:t>This analysis used an incident cohort of patients who commenced a third line agent between July–December 2011 and examined the previous treatment regimens of these patients. Table 4</w:t>
      </w:r>
      <w:r w:rsidR="007808D8">
        <w:t>.4</w:t>
      </w:r>
      <w:r>
        <w:t xml:space="preserve"> shows</w:t>
      </w:r>
      <w:r w:rsidRPr="00E76C40">
        <w:t xml:space="preserve"> </w:t>
      </w:r>
      <w:r>
        <w:t xml:space="preserve">the proportion of patients that initiated on each third </w:t>
      </w:r>
      <w:r w:rsidR="007808D8">
        <w:t xml:space="preserve">line </w:t>
      </w:r>
      <w:r>
        <w:t xml:space="preserve">agent </w:t>
      </w:r>
      <w:r w:rsidRPr="00E76C40">
        <w:t>between July</w:t>
      </w:r>
      <w:r>
        <w:t xml:space="preserve"> and December 2011. </w:t>
      </w:r>
      <w:r w:rsidR="002772EC">
        <w:t>DPP-4 inhibitors</w:t>
      </w:r>
      <w:r>
        <w:t xml:space="preserve"> were the most common third line agents used making up 85% of the initiating patients, and rosiglitazone was the least common third line agent used at less than 1% of initiating patients.</w:t>
      </w:r>
    </w:p>
    <w:p w:rsidR="00C67115" w:rsidRPr="00A5626E" w:rsidRDefault="00C67115" w:rsidP="00492694">
      <w:pPr>
        <w:pStyle w:val="BodyText1"/>
        <w:rPr>
          <w:b/>
        </w:rPr>
      </w:pPr>
      <w:r w:rsidRPr="00A5626E">
        <w:rPr>
          <w:b/>
        </w:rPr>
        <w:t xml:space="preserve">Table </w:t>
      </w:r>
      <w:r w:rsidR="00B6042F" w:rsidRPr="00A5626E">
        <w:rPr>
          <w:b/>
        </w:rPr>
        <w:t>4.4.</w:t>
      </w:r>
      <w:r w:rsidRPr="00A5626E">
        <w:rPr>
          <w:b/>
        </w:rPr>
        <w:t xml:space="preserve"> Number and percentage of concession patients initiating on each third line therapy between July and December 2011.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1843"/>
        <w:gridCol w:w="1843"/>
      </w:tblGrid>
      <w:tr w:rsidR="00C67115" w:rsidTr="00A5626E">
        <w:tc>
          <w:tcPr>
            <w:tcW w:w="3510" w:type="dxa"/>
            <w:shd w:val="clear" w:color="auto" w:fill="BFBFBF"/>
            <w:vAlign w:val="center"/>
          </w:tcPr>
          <w:p w:rsidR="00C67115" w:rsidRPr="00A5626E" w:rsidRDefault="00C67115" w:rsidP="00A5626E">
            <w:pPr>
              <w:pStyle w:val="BodyText1"/>
              <w:spacing w:before="60" w:after="60" w:line="240" w:lineRule="auto"/>
              <w:rPr>
                <w:b/>
                <w:sz w:val="22"/>
                <w:szCs w:val="22"/>
              </w:rPr>
            </w:pPr>
            <w:r w:rsidRPr="00A5626E">
              <w:rPr>
                <w:b/>
                <w:sz w:val="22"/>
                <w:szCs w:val="22"/>
              </w:rPr>
              <w:t>Third line agent</w:t>
            </w:r>
          </w:p>
        </w:tc>
        <w:tc>
          <w:tcPr>
            <w:tcW w:w="1843" w:type="dxa"/>
            <w:shd w:val="clear" w:color="auto" w:fill="BFBFBF"/>
            <w:vAlign w:val="center"/>
          </w:tcPr>
          <w:p w:rsidR="00C67115" w:rsidRPr="00A5626E" w:rsidRDefault="00C67115" w:rsidP="00A5626E">
            <w:pPr>
              <w:pStyle w:val="BodyText1"/>
              <w:spacing w:before="60" w:after="60" w:line="240" w:lineRule="auto"/>
              <w:jc w:val="center"/>
              <w:rPr>
                <w:b/>
                <w:sz w:val="22"/>
                <w:szCs w:val="22"/>
              </w:rPr>
            </w:pPr>
            <w:r w:rsidRPr="00A5626E">
              <w:rPr>
                <w:b/>
                <w:sz w:val="22"/>
                <w:szCs w:val="22"/>
              </w:rPr>
              <w:t>No. of patients</w:t>
            </w:r>
          </w:p>
        </w:tc>
        <w:tc>
          <w:tcPr>
            <w:tcW w:w="1843" w:type="dxa"/>
            <w:shd w:val="clear" w:color="auto" w:fill="BFBFBF"/>
            <w:vAlign w:val="center"/>
          </w:tcPr>
          <w:p w:rsidR="00C67115" w:rsidRPr="00A5626E" w:rsidRDefault="00C67115" w:rsidP="00A5626E">
            <w:pPr>
              <w:pStyle w:val="BodyText1"/>
              <w:spacing w:before="60" w:after="60" w:line="240" w:lineRule="auto"/>
              <w:jc w:val="center"/>
              <w:rPr>
                <w:b/>
                <w:sz w:val="22"/>
                <w:szCs w:val="22"/>
              </w:rPr>
            </w:pPr>
            <w:r w:rsidRPr="00A5626E">
              <w:rPr>
                <w:b/>
                <w:sz w:val="22"/>
                <w:szCs w:val="22"/>
              </w:rPr>
              <w:t>% of patients</w:t>
            </w:r>
          </w:p>
        </w:tc>
      </w:tr>
      <w:tr w:rsidR="00C67115" w:rsidTr="00A5626E">
        <w:tc>
          <w:tcPr>
            <w:tcW w:w="3510" w:type="dxa"/>
            <w:shd w:val="clear" w:color="auto" w:fill="auto"/>
            <w:vAlign w:val="center"/>
          </w:tcPr>
          <w:p w:rsidR="00C67115" w:rsidRPr="00A5626E" w:rsidRDefault="002772EC" w:rsidP="00A5626E">
            <w:pPr>
              <w:pStyle w:val="BodyText1"/>
              <w:spacing w:before="60" w:after="60" w:line="240" w:lineRule="auto"/>
              <w:rPr>
                <w:sz w:val="22"/>
                <w:szCs w:val="22"/>
              </w:rPr>
            </w:pPr>
            <w:r>
              <w:rPr>
                <w:sz w:val="22"/>
                <w:szCs w:val="22"/>
              </w:rPr>
              <w:t>DPP-4 inhibitor</w:t>
            </w:r>
          </w:p>
        </w:tc>
        <w:tc>
          <w:tcPr>
            <w:tcW w:w="1843" w:type="dxa"/>
            <w:shd w:val="clear" w:color="auto" w:fill="auto"/>
            <w:vAlign w:val="center"/>
          </w:tcPr>
          <w:p w:rsidR="00C67115" w:rsidRPr="00A5626E" w:rsidRDefault="00C67115" w:rsidP="00A5626E">
            <w:pPr>
              <w:pStyle w:val="BodyText1"/>
              <w:spacing w:before="60" w:after="60" w:line="240" w:lineRule="auto"/>
              <w:jc w:val="center"/>
              <w:rPr>
                <w:sz w:val="22"/>
                <w:szCs w:val="22"/>
              </w:rPr>
            </w:pPr>
            <w:r w:rsidRPr="00A5626E">
              <w:rPr>
                <w:sz w:val="22"/>
                <w:szCs w:val="22"/>
              </w:rPr>
              <w:t>7,686</w:t>
            </w:r>
          </w:p>
        </w:tc>
        <w:tc>
          <w:tcPr>
            <w:tcW w:w="1843" w:type="dxa"/>
            <w:shd w:val="clear" w:color="auto" w:fill="auto"/>
            <w:vAlign w:val="center"/>
          </w:tcPr>
          <w:p w:rsidR="00C67115" w:rsidRPr="00A5626E" w:rsidRDefault="00C67115" w:rsidP="00A5626E">
            <w:pPr>
              <w:pStyle w:val="BodyText1"/>
              <w:spacing w:before="60" w:after="60" w:line="240" w:lineRule="auto"/>
              <w:jc w:val="center"/>
              <w:rPr>
                <w:sz w:val="22"/>
                <w:szCs w:val="22"/>
              </w:rPr>
            </w:pPr>
            <w:r w:rsidRPr="00A5626E">
              <w:rPr>
                <w:sz w:val="22"/>
                <w:szCs w:val="22"/>
              </w:rPr>
              <w:t>45%</w:t>
            </w:r>
          </w:p>
        </w:tc>
      </w:tr>
      <w:tr w:rsidR="00C67115" w:rsidTr="00A5626E">
        <w:tc>
          <w:tcPr>
            <w:tcW w:w="3510" w:type="dxa"/>
            <w:shd w:val="clear" w:color="auto" w:fill="auto"/>
            <w:vAlign w:val="center"/>
          </w:tcPr>
          <w:p w:rsidR="00C67115" w:rsidRPr="00A5626E" w:rsidRDefault="002772EC" w:rsidP="00A5626E">
            <w:pPr>
              <w:pStyle w:val="BodyText1"/>
              <w:spacing w:before="60" w:after="60" w:line="240" w:lineRule="auto"/>
              <w:rPr>
                <w:sz w:val="22"/>
                <w:szCs w:val="22"/>
              </w:rPr>
            </w:pPr>
            <w:r>
              <w:rPr>
                <w:sz w:val="22"/>
                <w:szCs w:val="22"/>
              </w:rPr>
              <w:t>DPP-4 inhibitor</w:t>
            </w:r>
            <w:r w:rsidR="00C67115" w:rsidRPr="00A5626E">
              <w:rPr>
                <w:sz w:val="22"/>
                <w:szCs w:val="22"/>
              </w:rPr>
              <w:t xml:space="preserve"> + metformin FDC</w:t>
            </w:r>
          </w:p>
        </w:tc>
        <w:tc>
          <w:tcPr>
            <w:tcW w:w="1843" w:type="dxa"/>
            <w:shd w:val="clear" w:color="auto" w:fill="auto"/>
            <w:vAlign w:val="center"/>
          </w:tcPr>
          <w:p w:rsidR="00C67115" w:rsidRPr="00A5626E" w:rsidRDefault="00C67115" w:rsidP="00A5626E">
            <w:pPr>
              <w:pStyle w:val="BodyText1"/>
              <w:spacing w:before="60" w:after="60" w:line="240" w:lineRule="auto"/>
              <w:jc w:val="center"/>
              <w:rPr>
                <w:sz w:val="22"/>
                <w:szCs w:val="22"/>
              </w:rPr>
            </w:pPr>
            <w:r w:rsidRPr="00A5626E">
              <w:rPr>
                <w:sz w:val="22"/>
                <w:szCs w:val="22"/>
              </w:rPr>
              <w:t>6,940</w:t>
            </w:r>
          </w:p>
        </w:tc>
        <w:tc>
          <w:tcPr>
            <w:tcW w:w="1843" w:type="dxa"/>
            <w:shd w:val="clear" w:color="auto" w:fill="auto"/>
            <w:vAlign w:val="center"/>
          </w:tcPr>
          <w:p w:rsidR="00C67115" w:rsidRPr="00A5626E" w:rsidRDefault="00C67115" w:rsidP="00A5626E">
            <w:pPr>
              <w:pStyle w:val="BodyText1"/>
              <w:spacing w:before="60" w:after="60" w:line="240" w:lineRule="auto"/>
              <w:jc w:val="center"/>
              <w:rPr>
                <w:sz w:val="22"/>
                <w:szCs w:val="22"/>
              </w:rPr>
            </w:pPr>
            <w:r w:rsidRPr="00A5626E">
              <w:rPr>
                <w:sz w:val="22"/>
                <w:szCs w:val="22"/>
              </w:rPr>
              <w:t>40%</w:t>
            </w:r>
          </w:p>
        </w:tc>
      </w:tr>
      <w:tr w:rsidR="00C67115" w:rsidTr="00A5626E">
        <w:tc>
          <w:tcPr>
            <w:tcW w:w="3510" w:type="dxa"/>
            <w:shd w:val="clear" w:color="auto" w:fill="auto"/>
            <w:vAlign w:val="center"/>
          </w:tcPr>
          <w:p w:rsidR="00C67115" w:rsidRPr="00A5626E" w:rsidRDefault="00C67115" w:rsidP="00A5626E">
            <w:pPr>
              <w:pStyle w:val="BodyText1"/>
              <w:spacing w:before="60" w:after="60" w:line="240" w:lineRule="auto"/>
              <w:rPr>
                <w:sz w:val="22"/>
                <w:szCs w:val="22"/>
              </w:rPr>
            </w:pPr>
            <w:r w:rsidRPr="00A5626E">
              <w:rPr>
                <w:sz w:val="22"/>
                <w:szCs w:val="22"/>
              </w:rPr>
              <w:t>Pioglitazone</w:t>
            </w:r>
          </w:p>
        </w:tc>
        <w:tc>
          <w:tcPr>
            <w:tcW w:w="1843" w:type="dxa"/>
            <w:shd w:val="clear" w:color="auto" w:fill="auto"/>
            <w:vAlign w:val="center"/>
          </w:tcPr>
          <w:p w:rsidR="00C67115" w:rsidRPr="00A5626E" w:rsidRDefault="00C67115" w:rsidP="00A5626E">
            <w:pPr>
              <w:pStyle w:val="BodyText1"/>
              <w:spacing w:before="60" w:after="60" w:line="240" w:lineRule="auto"/>
              <w:jc w:val="center"/>
              <w:rPr>
                <w:sz w:val="22"/>
                <w:szCs w:val="22"/>
              </w:rPr>
            </w:pPr>
            <w:r w:rsidRPr="00A5626E">
              <w:rPr>
                <w:sz w:val="22"/>
                <w:szCs w:val="22"/>
              </w:rPr>
              <w:t>1,481</w:t>
            </w:r>
          </w:p>
        </w:tc>
        <w:tc>
          <w:tcPr>
            <w:tcW w:w="1843" w:type="dxa"/>
            <w:shd w:val="clear" w:color="auto" w:fill="auto"/>
            <w:vAlign w:val="center"/>
          </w:tcPr>
          <w:p w:rsidR="00C67115" w:rsidRPr="00A5626E" w:rsidRDefault="00C67115" w:rsidP="00A5626E">
            <w:pPr>
              <w:pStyle w:val="BodyText1"/>
              <w:spacing w:before="60" w:after="60" w:line="240" w:lineRule="auto"/>
              <w:jc w:val="center"/>
              <w:rPr>
                <w:sz w:val="22"/>
                <w:szCs w:val="22"/>
              </w:rPr>
            </w:pPr>
            <w:r w:rsidRPr="00A5626E">
              <w:rPr>
                <w:sz w:val="22"/>
                <w:szCs w:val="22"/>
              </w:rPr>
              <w:t>9%</w:t>
            </w:r>
          </w:p>
        </w:tc>
      </w:tr>
      <w:tr w:rsidR="00C67115" w:rsidTr="00A5626E">
        <w:tc>
          <w:tcPr>
            <w:tcW w:w="3510" w:type="dxa"/>
            <w:shd w:val="clear" w:color="auto" w:fill="auto"/>
            <w:vAlign w:val="center"/>
          </w:tcPr>
          <w:p w:rsidR="00C67115" w:rsidRPr="00A5626E" w:rsidRDefault="00C67115" w:rsidP="00A5626E">
            <w:pPr>
              <w:pStyle w:val="BodyText1"/>
              <w:spacing w:before="60" w:after="60" w:line="240" w:lineRule="auto"/>
              <w:rPr>
                <w:sz w:val="22"/>
                <w:szCs w:val="22"/>
              </w:rPr>
            </w:pPr>
            <w:r w:rsidRPr="00A5626E">
              <w:rPr>
                <w:sz w:val="22"/>
                <w:szCs w:val="22"/>
              </w:rPr>
              <w:t>Exenatide</w:t>
            </w:r>
          </w:p>
        </w:tc>
        <w:tc>
          <w:tcPr>
            <w:tcW w:w="1843" w:type="dxa"/>
            <w:shd w:val="clear" w:color="auto" w:fill="auto"/>
            <w:vAlign w:val="center"/>
          </w:tcPr>
          <w:p w:rsidR="00C67115" w:rsidRPr="00A5626E" w:rsidRDefault="00C67115" w:rsidP="00A5626E">
            <w:pPr>
              <w:pStyle w:val="BodyText1"/>
              <w:spacing w:before="60" w:after="60" w:line="240" w:lineRule="auto"/>
              <w:jc w:val="center"/>
              <w:rPr>
                <w:sz w:val="22"/>
                <w:szCs w:val="22"/>
              </w:rPr>
            </w:pPr>
            <w:r w:rsidRPr="00A5626E">
              <w:rPr>
                <w:sz w:val="22"/>
                <w:szCs w:val="22"/>
              </w:rPr>
              <w:t>1,015</w:t>
            </w:r>
          </w:p>
        </w:tc>
        <w:tc>
          <w:tcPr>
            <w:tcW w:w="1843" w:type="dxa"/>
            <w:shd w:val="clear" w:color="auto" w:fill="auto"/>
            <w:vAlign w:val="center"/>
          </w:tcPr>
          <w:p w:rsidR="00C67115" w:rsidRPr="00A5626E" w:rsidRDefault="00C67115" w:rsidP="00A5626E">
            <w:pPr>
              <w:pStyle w:val="BodyText1"/>
              <w:spacing w:before="60" w:after="60" w:line="240" w:lineRule="auto"/>
              <w:jc w:val="center"/>
              <w:rPr>
                <w:sz w:val="22"/>
                <w:szCs w:val="22"/>
              </w:rPr>
            </w:pPr>
            <w:r w:rsidRPr="00A5626E">
              <w:rPr>
                <w:sz w:val="22"/>
                <w:szCs w:val="22"/>
              </w:rPr>
              <w:t>6%</w:t>
            </w:r>
          </w:p>
        </w:tc>
      </w:tr>
      <w:tr w:rsidR="00C67115" w:rsidTr="00A5626E">
        <w:tc>
          <w:tcPr>
            <w:tcW w:w="3510" w:type="dxa"/>
            <w:shd w:val="clear" w:color="auto" w:fill="auto"/>
            <w:vAlign w:val="center"/>
          </w:tcPr>
          <w:p w:rsidR="00C67115" w:rsidRPr="00A5626E" w:rsidRDefault="00C67115" w:rsidP="00A5626E">
            <w:pPr>
              <w:pStyle w:val="BodyText1"/>
              <w:spacing w:before="60" w:after="60" w:line="240" w:lineRule="auto"/>
              <w:rPr>
                <w:sz w:val="22"/>
                <w:szCs w:val="22"/>
              </w:rPr>
            </w:pPr>
            <w:r w:rsidRPr="00A5626E">
              <w:rPr>
                <w:sz w:val="22"/>
                <w:szCs w:val="22"/>
              </w:rPr>
              <w:t>Rosiglitazone + metformin FDC</w:t>
            </w:r>
          </w:p>
        </w:tc>
        <w:tc>
          <w:tcPr>
            <w:tcW w:w="1843" w:type="dxa"/>
            <w:shd w:val="clear" w:color="auto" w:fill="auto"/>
            <w:vAlign w:val="center"/>
          </w:tcPr>
          <w:p w:rsidR="00C67115" w:rsidRPr="00A5626E" w:rsidRDefault="00C67115" w:rsidP="00A5626E">
            <w:pPr>
              <w:pStyle w:val="BodyText1"/>
              <w:spacing w:before="60" w:after="60" w:line="240" w:lineRule="auto"/>
              <w:jc w:val="center"/>
              <w:rPr>
                <w:sz w:val="22"/>
                <w:szCs w:val="22"/>
              </w:rPr>
            </w:pPr>
            <w:r w:rsidRPr="00A5626E">
              <w:rPr>
                <w:sz w:val="22"/>
                <w:szCs w:val="22"/>
              </w:rPr>
              <w:t>66</w:t>
            </w:r>
          </w:p>
        </w:tc>
        <w:tc>
          <w:tcPr>
            <w:tcW w:w="1843" w:type="dxa"/>
            <w:shd w:val="clear" w:color="auto" w:fill="auto"/>
            <w:vAlign w:val="center"/>
          </w:tcPr>
          <w:p w:rsidR="00C67115" w:rsidRPr="00A5626E" w:rsidRDefault="00C67115" w:rsidP="00A5626E">
            <w:pPr>
              <w:pStyle w:val="BodyText1"/>
              <w:spacing w:before="60" w:after="60" w:line="240" w:lineRule="auto"/>
              <w:jc w:val="center"/>
              <w:rPr>
                <w:sz w:val="22"/>
                <w:szCs w:val="22"/>
              </w:rPr>
            </w:pPr>
            <w:r w:rsidRPr="00A5626E">
              <w:rPr>
                <w:sz w:val="22"/>
                <w:szCs w:val="22"/>
              </w:rPr>
              <w:t>&lt;1%</w:t>
            </w:r>
          </w:p>
        </w:tc>
      </w:tr>
      <w:tr w:rsidR="00C67115" w:rsidTr="00A5626E">
        <w:tc>
          <w:tcPr>
            <w:tcW w:w="3510" w:type="dxa"/>
            <w:shd w:val="clear" w:color="auto" w:fill="auto"/>
            <w:vAlign w:val="center"/>
          </w:tcPr>
          <w:p w:rsidR="00C67115" w:rsidRPr="00A5626E" w:rsidRDefault="00C67115" w:rsidP="00A5626E">
            <w:pPr>
              <w:pStyle w:val="BodyText1"/>
              <w:spacing w:before="60" w:after="60" w:line="240" w:lineRule="auto"/>
              <w:rPr>
                <w:sz w:val="22"/>
                <w:szCs w:val="22"/>
              </w:rPr>
            </w:pPr>
            <w:r w:rsidRPr="00A5626E">
              <w:rPr>
                <w:sz w:val="22"/>
                <w:szCs w:val="22"/>
              </w:rPr>
              <w:t>Rosiglitazone</w:t>
            </w:r>
          </w:p>
        </w:tc>
        <w:tc>
          <w:tcPr>
            <w:tcW w:w="1843" w:type="dxa"/>
            <w:shd w:val="clear" w:color="auto" w:fill="auto"/>
            <w:vAlign w:val="center"/>
          </w:tcPr>
          <w:p w:rsidR="00C67115" w:rsidRPr="00A5626E" w:rsidRDefault="00C67115" w:rsidP="00A5626E">
            <w:pPr>
              <w:pStyle w:val="BodyText1"/>
              <w:spacing w:before="60" w:after="60" w:line="240" w:lineRule="auto"/>
              <w:jc w:val="center"/>
              <w:rPr>
                <w:sz w:val="22"/>
                <w:szCs w:val="22"/>
              </w:rPr>
            </w:pPr>
            <w:r w:rsidRPr="00A5626E">
              <w:rPr>
                <w:sz w:val="22"/>
                <w:szCs w:val="22"/>
              </w:rPr>
              <w:t>59</w:t>
            </w:r>
          </w:p>
        </w:tc>
        <w:tc>
          <w:tcPr>
            <w:tcW w:w="1843" w:type="dxa"/>
            <w:shd w:val="clear" w:color="auto" w:fill="auto"/>
            <w:vAlign w:val="center"/>
          </w:tcPr>
          <w:p w:rsidR="00C67115" w:rsidRPr="00A5626E" w:rsidRDefault="00C67115" w:rsidP="00A5626E">
            <w:pPr>
              <w:pStyle w:val="BodyText1"/>
              <w:spacing w:before="60" w:after="60" w:line="240" w:lineRule="auto"/>
              <w:jc w:val="center"/>
              <w:rPr>
                <w:sz w:val="22"/>
                <w:szCs w:val="22"/>
              </w:rPr>
            </w:pPr>
            <w:r w:rsidRPr="00A5626E">
              <w:rPr>
                <w:sz w:val="22"/>
                <w:szCs w:val="22"/>
              </w:rPr>
              <w:t>&lt;1%</w:t>
            </w:r>
          </w:p>
        </w:tc>
      </w:tr>
    </w:tbl>
    <w:p w:rsidR="0075497D" w:rsidRDefault="0075497D" w:rsidP="00492694">
      <w:pPr>
        <w:pStyle w:val="BodyText1"/>
      </w:pPr>
    </w:p>
    <w:p w:rsidR="00B1403F" w:rsidRDefault="00C67115" w:rsidP="00B1403F">
      <w:pPr>
        <w:pStyle w:val="BodyText1"/>
      </w:pPr>
      <w:r>
        <w:t xml:space="preserve">Table </w:t>
      </w:r>
      <w:r w:rsidR="00A5626E">
        <w:t>4.</w:t>
      </w:r>
      <w:r>
        <w:t xml:space="preserve">5 provides a summary of the regimen histories for patients who initiated a third line agent between December and July 2011. </w:t>
      </w:r>
      <w:r w:rsidRPr="009C0778">
        <w:t>Overal</w:t>
      </w:r>
      <w:r>
        <w:t>l, 47.7% of patients initiating</w:t>
      </w:r>
      <w:r w:rsidRPr="009C0778">
        <w:t xml:space="preserve"> a </w:t>
      </w:r>
      <w:r w:rsidR="007808D8">
        <w:t>DPP</w:t>
      </w:r>
      <w:r w:rsidR="007808D8">
        <w:noBreakHyphen/>
      </w:r>
      <w:r w:rsidR="002772EC">
        <w:t>4 inhibitor</w:t>
      </w:r>
      <w:r w:rsidRPr="009C0778">
        <w:t xml:space="preserve">, </w:t>
      </w:r>
      <w:r w:rsidR="006820B1">
        <w:t>TZD</w:t>
      </w:r>
      <w:r w:rsidRPr="009C0778">
        <w:t xml:space="preserve"> or exenatide had not received a supply of both metformin and a </w:t>
      </w:r>
      <w:r>
        <w:t>sulfonylurea</w:t>
      </w:r>
      <w:r w:rsidRPr="009C0778">
        <w:t xml:space="preserve"> in the previous </w:t>
      </w:r>
      <w:r>
        <w:t>two</w:t>
      </w:r>
      <w:r w:rsidRPr="009C0778">
        <w:t xml:space="preserve"> years</w:t>
      </w:r>
      <w:r w:rsidRPr="00E6188D">
        <w:t xml:space="preserve">. </w:t>
      </w:r>
      <w:r w:rsidR="00B1403F" w:rsidRPr="000140A4">
        <w:t xml:space="preserve">When the prior history period </w:t>
      </w:r>
      <w:r w:rsidR="00B1403F">
        <w:t>wa</w:t>
      </w:r>
      <w:r w:rsidR="00B1403F" w:rsidRPr="000140A4">
        <w:t xml:space="preserve">s extended to </w:t>
      </w:r>
      <w:r w:rsidR="00B1403F">
        <w:t>five</w:t>
      </w:r>
      <w:r w:rsidR="00B1403F" w:rsidRPr="000140A4">
        <w:t xml:space="preserve"> years, 44.6% of patient</w:t>
      </w:r>
      <w:r w:rsidR="00B1403F">
        <w:t>s</w:t>
      </w:r>
      <w:r w:rsidR="00B1403F" w:rsidRPr="000140A4">
        <w:t xml:space="preserve"> had not received metformin and a sul</w:t>
      </w:r>
      <w:r w:rsidR="00B1403F">
        <w:t>f</w:t>
      </w:r>
      <w:r w:rsidR="00B1403F" w:rsidRPr="000140A4">
        <w:t>onylurea</w:t>
      </w:r>
      <w:r w:rsidR="00B1403F">
        <w:t xml:space="preserve"> (data not shown)</w:t>
      </w:r>
      <w:r w:rsidR="00B1403F" w:rsidRPr="000140A4">
        <w:t>.</w:t>
      </w:r>
      <w:r w:rsidR="00B1403F" w:rsidRPr="007F198A">
        <w:rPr>
          <w:i/>
        </w:rPr>
        <w:t xml:space="preserve"> </w:t>
      </w:r>
    </w:p>
    <w:p w:rsidR="00C67115" w:rsidRPr="00A5626E" w:rsidRDefault="00C67115" w:rsidP="00C85DA9">
      <w:pPr>
        <w:pStyle w:val="BodyText1"/>
        <w:rPr>
          <w:b/>
        </w:rPr>
      </w:pPr>
      <w:r w:rsidRPr="00A5626E">
        <w:rPr>
          <w:b/>
        </w:rPr>
        <w:t xml:space="preserve">Table </w:t>
      </w:r>
      <w:r w:rsidR="00417B3F" w:rsidRPr="00A5626E">
        <w:rPr>
          <w:b/>
        </w:rPr>
        <w:t>4.</w:t>
      </w:r>
      <w:r w:rsidRPr="00A5626E">
        <w:rPr>
          <w:b/>
        </w:rPr>
        <w:t>5</w:t>
      </w:r>
      <w:r w:rsidR="00417B3F" w:rsidRPr="00A5626E">
        <w:rPr>
          <w:b/>
        </w:rPr>
        <w:t>.</w:t>
      </w:r>
      <w:r w:rsidRPr="00A5626E">
        <w:rPr>
          <w:b/>
        </w:rPr>
        <w:t xml:space="preserve"> Regimen histories for concession patients who initiated a third line agent between July and December 2011.</w:t>
      </w: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5"/>
        <w:gridCol w:w="1701"/>
        <w:gridCol w:w="1417"/>
      </w:tblGrid>
      <w:tr w:rsidR="00C67115" w:rsidRPr="007501DD" w:rsidTr="00C85DA9">
        <w:trPr>
          <w:trHeight w:val="255"/>
          <w:tblHeader/>
        </w:trPr>
        <w:tc>
          <w:tcPr>
            <w:tcW w:w="6805" w:type="dxa"/>
            <w:shd w:val="clear" w:color="auto" w:fill="BFBFBF"/>
            <w:noWrap/>
            <w:vAlign w:val="bottom"/>
            <w:hideMark/>
          </w:tcPr>
          <w:p w:rsidR="00C67115" w:rsidRPr="00A5626E" w:rsidRDefault="00C67115" w:rsidP="00C85DA9">
            <w:pPr>
              <w:pStyle w:val="Tableheading"/>
              <w:jc w:val="left"/>
              <w:rPr>
                <w:sz w:val="22"/>
                <w:szCs w:val="22"/>
              </w:rPr>
            </w:pPr>
            <w:r w:rsidRPr="00A5626E">
              <w:rPr>
                <w:sz w:val="22"/>
                <w:szCs w:val="22"/>
              </w:rPr>
              <w:t>Pre-initiation treatment regimen summary</w:t>
            </w:r>
            <w:r w:rsidRPr="00A5626E" w:rsidDel="006247D3">
              <w:rPr>
                <w:sz w:val="22"/>
                <w:szCs w:val="22"/>
              </w:rPr>
              <w:t xml:space="preserve"> </w:t>
            </w:r>
          </w:p>
        </w:tc>
        <w:tc>
          <w:tcPr>
            <w:tcW w:w="1701" w:type="dxa"/>
            <w:shd w:val="clear" w:color="auto" w:fill="BFBFBF"/>
            <w:noWrap/>
            <w:vAlign w:val="center"/>
            <w:hideMark/>
          </w:tcPr>
          <w:p w:rsidR="00C67115" w:rsidRPr="00A5626E" w:rsidRDefault="0075497D" w:rsidP="00C85DA9">
            <w:pPr>
              <w:pStyle w:val="Tableheading"/>
              <w:rPr>
                <w:sz w:val="22"/>
                <w:szCs w:val="22"/>
              </w:rPr>
            </w:pPr>
            <w:r>
              <w:rPr>
                <w:sz w:val="22"/>
                <w:szCs w:val="22"/>
              </w:rPr>
              <w:t xml:space="preserve">Patients </w:t>
            </w:r>
            <w:r w:rsidR="00C67115" w:rsidRPr="00A5626E">
              <w:rPr>
                <w:sz w:val="22"/>
                <w:szCs w:val="22"/>
              </w:rPr>
              <w:t>(no.)</w:t>
            </w:r>
          </w:p>
        </w:tc>
        <w:tc>
          <w:tcPr>
            <w:tcW w:w="1417" w:type="dxa"/>
            <w:shd w:val="clear" w:color="auto" w:fill="BFBFBF"/>
            <w:noWrap/>
            <w:vAlign w:val="center"/>
            <w:hideMark/>
          </w:tcPr>
          <w:p w:rsidR="00C67115" w:rsidRPr="00A5626E" w:rsidRDefault="00C85DA9" w:rsidP="00C85DA9">
            <w:pPr>
              <w:pStyle w:val="Tableheading"/>
              <w:rPr>
                <w:sz w:val="22"/>
                <w:szCs w:val="22"/>
              </w:rPr>
            </w:pPr>
            <w:r>
              <w:rPr>
                <w:sz w:val="22"/>
                <w:szCs w:val="22"/>
              </w:rPr>
              <w:t>% Patients</w:t>
            </w:r>
          </w:p>
        </w:tc>
      </w:tr>
      <w:tr w:rsidR="00C67115" w:rsidRPr="007501DD" w:rsidTr="00C85DA9">
        <w:trPr>
          <w:trHeight w:val="255"/>
        </w:trPr>
        <w:tc>
          <w:tcPr>
            <w:tcW w:w="6805" w:type="dxa"/>
            <w:shd w:val="pct10" w:color="auto" w:fill="auto"/>
            <w:noWrap/>
          </w:tcPr>
          <w:p w:rsidR="00C67115" w:rsidRPr="00A5626E" w:rsidRDefault="00C67115" w:rsidP="00C85DA9">
            <w:pPr>
              <w:pStyle w:val="Tablewriting"/>
              <w:rPr>
                <w:sz w:val="22"/>
                <w:szCs w:val="22"/>
              </w:rPr>
            </w:pPr>
            <w:r w:rsidRPr="00A5626E">
              <w:rPr>
                <w:sz w:val="22"/>
                <w:szCs w:val="22"/>
              </w:rPr>
              <w:t xml:space="preserve">Regimen histories </w:t>
            </w:r>
            <w:r w:rsidRPr="00A5626E">
              <w:rPr>
                <w:b/>
                <w:sz w:val="22"/>
                <w:szCs w:val="22"/>
              </w:rPr>
              <w:t>not containing</w:t>
            </w:r>
            <w:r w:rsidRPr="00A5626E">
              <w:rPr>
                <w:sz w:val="22"/>
                <w:szCs w:val="22"/>
              </w:rPr>
              <w:t xml:space="preserve"> both metformin and a sulfonylurea </w:t>
            </w:r>
          </w:p>
        </w:tc>
        <w:tc>
          <w:tcPr>
            <w:tcW w:w="1701" w:type="dxa"/>
            <w:shd w:val="pct10" w:color="auto" w:fill="auto"/>
            <w:noWrap/>
            <w:vAlign w:val="center"/>
          </w:tcPr>
          <w:p w:rsidR="00C67115" w:rsidRPr="00A5626E" w:rsidRDefault="00C67115" w:rsidP="00C85DA9">
            <w:pPr>
              <w:pStyle w:val="Tablewriting"/>
              <w:jc w:val="center"/>
              <w:rPr>
                <w:sz w:val="22"/>
                <w:szCs w:val="22"/>
              </w:rPr>
            </w:pPr>
            <w:r w:rsidRPr="00A5626E">
              <w:rPr>
                <w:sz w:val="22"/>
                <w:szCs w:val="22"/>
              </w:rPr>
              <w:t>8,233</w:t>
            </w:r>
          </w:p>
        </w:tc>
        <w:tc>
          <w:tcPr>
            <w:tcW w:w="1417" w:type="dxa"/>
            <w:shd w:val="pct10" w:color="auto" w:fill="auto"/>
            <w:noWrap/>
            <w:vAlign w:val="center"/>
          </w:tcPr>
          <w:p w:rsidR="00C67115" w:rsidRPr="00A5626E" w:rsidRDefault="00C67115" w:rsidP="00C85DA9">
            <w:pPr>
              <w:pStyle w:val="Tablewriting"/>
              <w:jc w:val="center"/>
              <w:rPr>
                <w:sz w:val="22"/>
                <w:szCs w:val="22"/>
              </w:rPr>
            </w:pPr>
            <w:r w:rsidRPr="00A5626E">
              <w:rPr>
                <w:sz w:val="22"/>
                <w:szCs w:val="22"/>
              </w:rPr>
              <w:t>47.7%</w:t>
            </w:r>
          </w:p>
        </w:tc>
      </w:tr>
      <w:tr w:rsidR="00C67115" w:rsidRPr="007501DD" w:rsidTr="00C85DA9">
        <w:trPr>
          <w:trHeight w:val="255"/>
        </w:trPr>
        <w:tc>
          <w:tcPr>
            <w:tcW w:w="6805" w:type="dxa"/>
            <w:shd w:val="clear" w:color="auto" w:fill="auto"/>
            <w:noWrap/>
            <w:hideMark/>
          </w:tcPr>
          <w:p w:rsidR="00C67115" w:rsidRPr="00A5626E" w:rsidRDefault="00C67115" w:rsidP="00C85DA9">
            <w:pPr>
              <w:pStyle w:val="Tablewriting"/>
              <w:numPr>
                <w:ilvl w:val="0"/>
                <w:numId w:val="28"/>
              </w:numPr>
              <w:rPr>
                <w:sz w:val="22"/>
                <w:szCs w:val="22"/>
              </w:rPr>
            </w:pPr>
            <w:r w:rsidRPr="00A5626E">
              <w:rPr>
                <w:sz w:val="22"/>
                <w:szCs w:val="22"/>
              </w:rPr>
              <w:t>Metformin only supplied</w:t>
            </w:r>
          </w:p>
        </w:tc>
        <w:tc>
          <w:tcPr>
            <w:tcW w:w="1701" w:type="dxa"/>
            <w:shd w:val="clear" w:color="auto" w:fill="auto"/>
            <w:noWrap/>
            <w:vAlign w:val="center"/>
            <w:hideMark/>
          </w:tcPr>
          <w:p w:rsidR="00C67115" w:rsidRPr="00A5626E" w:rsidRDefault="00C67115" w:rsidP="00C85DA9">
            <w:pPr>
              <w:pStyle w:val="Tablewriting"/>
              <w:jc w:val="center"/>
              <w:rPr>
                <w:sz w:val="22"/>
                <w:szCs w:val="22"/>
              </w:rPr>
            </w:pPr>
            <w:r w:rsidRPr="00A5626E">
              <w:rPr>
                <w:sz w:val="22"/>
                <w:szCs w:val="22"/>
              </w:rPr>
              <w:t>6,230</w:t>
            </w:r>
          </w:p>
        </w:tc>
        <w:tc>
          <w:tcPr>
            <w:tcW w:w="1417" w:type="dxa"/>
            <w:shd w:val="clear" w:color="auto" w:fill="auto"/>
            <w:noWrap/>
            <w:vAlign w:val="center"/>
            <w:hideMark/>
          </w:tcPr>
          <w:p w:rsidR="00C67115" w:rsidRPr="00A5626E" w:rsidRDefault="00C67115" w:rsidP="00C85DA9">
            <w:pPr>
              <w:pStyle w:val="Tablewriting"/>
              <w:jc w:val="center"/>
              <w:rPr>
                <w:sz w:val="22"/>
                <w:szCs w:val="22"/>
              </w:rPr>
            </w:pPr>
            <w:r w:rsidRPr="00A5626E">
              <w:rPr>
                <w:sz w:val="22"/>
                <w:szCs w:val="22"/>
              </w:rPr>
              <w:t>36.1%</w:t>
            </w:r>
          </w:p>
        </w:tc>
      </w:tr>
      <w:tr w:rsidR="00C67115" w:rsidRPr="007501DD" w:rsidTr="00C85DA9">
        <w:trPr>
          <w:trHeight w:val="272"/>
        </w:trPr>
        <w:tc>
          <w:tcPr>
            <w:tcW w:w="6805" w:type="dxa"/>
            <w:shd w:val="clear" w:color="auto" w:fill="auto"/>
            <w:noWrap/>
            <w:hideMark/>
          </w:tcPr>
          <w:p w:rsidR="00C67115" w:rsidRPr="00A5626E" w:rsidRDefault="00C67115" w:rsidP="00C85DA9">
            <w:pPr>
              <w:pStyle w:val="Tablewriting"/>
              <w:numPr>
                <w:ilvl w:val="0"/>
                <w:numId w:val="28"/>
              </w:numPr>
              <w:rPr>
                <w:sz w:val="22"/>
                <w:szCs w:val="22"/>
              </w:rPr>
            </w:pPr>
            <w:r w:rsidRPr="00A5626E">
              <w:rPr>
                <w:sz w:val="22"/>
                <w:szCs w:val="22"/>
              </w:rPr>
              <w:t>Sulfonylurea only supplied</w:t>
            </w:r>
          </w:p>
        </w:tc>
        <w:tc>
          <w:tcPr>
            <w:tcW w:w="1701" w:type="dxa"/>
            <w:shd w:val="clear" w:color="auto" w:fill="auto"/>
            <w:noWrap/>
            <w:vAlign w:val="center"/>
            <w:hideMark/>
          </w:tcPr>
          <w:p w:rsidR="00C67115" w:rsidRPr="00A5626E" w:rsidRDefault="00C67115" w:rsidP="00C85DA9">
            <w:pPr>
              <w:pStyle w:val="Tablewriting"/>
              <w:jc w:val="center"/>
              <w:rPr>
                <w:sz w:val="22"/>
                <w:szCs w:val="22"/>
              </w:rPr>
            </w:pPr>
            <w:r w:rsidRPr="00A5626E">
              <w:rPr>
                <w:sz w:val="22"/>
                <w:szCs w:val="22"/>
              </w:rPr>
              <w:t>1,158</w:t>
            </w:r>
          </w:p>
        </w:tc>
        <w:tc>
          <w:tcPr>
            <w:tcW w:w="1417" w:type="dxa"/>
            <w:shd w:val="clear" w:color="auto" w:fill="auto"/>
            <w:noWrap/>
            <w:vAlign w:val="center"/>
            <w:hideMark/>
          </w:tcPr>
          <w:p w:rsidR="00C67115" w:rsidRPr="00A5626E" w:rsidRDefault="00C67115" w:rsidP="00C85DA9">
            <w:pPr>
              <w:pStyle w:val="Tablewriting"/>
              <w:jc w:val="center"/>
              <w:rPr>
                <w:sz w:val="22"/>
                <w:szCs w:val="22"/>
              </w:rPr>
            </w:pPr>
            <w:r w:rsidRPr="00A5626E">
              <w:rPr>
                <w:sz w:val="22"/>
                <w:szCs w:val="22"/>
              </w:rPr>
              <w:t>6.7%</w:t>
            </w:r>
          </w:p>
        </w:tc>
      </w:tr>
      <w:tr w:rsidR="00C67115" w:rsidRPr="007501DD" w:rsidTr="00C85DA9">
        <w:trPr>
          <w:trHeight w:val="255"/>
        </w:trPr>
        <w:tc>
          <w:tcPr>
            <w:tcW w:w="6805" w:type="dxa"/>
            <w:tcBorders>
              <w:bottom w:val="single" w:sz="4" w:space="0" w:color="auto"/>
            </w:tcBorders>
            <w:shd w:val="clear" w:color="auto" w:fill="auto"/>
            <w:noWrap/>
            <w:hideMark/>
          </w:tcPr>
          <w:p w:rsidR="00C67115" w:rsidRPr="00A5626E" w:rsidRDefault="00C67115" w:rsidP="00C85DA9">
            <w:pPr>
              <w:pStyle w:val="Tablewriting"/>
              <w:numPr>
                <w:ilvl w:val="0"/>
                <w:numId w:val="28"/>
              </w:numPr>
              <w:rPr>
                <w:sz w:val="22"/>
                <w:szCs w:val="22"/>
              </w:rPr>
            </w:pPr>
            <w:r w:rsidRPr="00A5626E">
              <w:rPr>
                <w:sz w:val="22"/>
                <w:szCs w:val="22"/>
              </w:rPr>
              <w:t>Neither metformin nor sulfonylurea supplied</w:t>
            </w:r>
          </w:p>
        </w:tc>
        <w:tc>
          <w:tcPr>
            <w:tcW w:w="1701" w:type="dxa"/>
            <w:tcBorders>
              <w:bottom w:val="single" w:sz="4" w:space="0" w:color="auto"/>
            </w:tcBorders>
            <w:shd w:val="clear" w:color="auto" w:fill="auto"/>
            <w:noWrap/>
            <w:vAlign w:val="center"/>
            <w:hideMark/>
          </w:tcPr>
          <w:p w:rsidR="00C67115" w:rsidRPr="00A5626E" w:rsidRDefault="00C67115" w:rsidP="00C85DA9">
            <w:pPr>
              <w:pStyle w:val="Tablewriting"/>
              <w:jc w:val="center"/>
              <w:rPr>
                <w:sz w:val="22"/>
                <w:szCs w:val="22"/>
              </w:rPr>
            </w:pPr>
            <w:r w:rsidRPr="00A5626E">
              <w:rPr>
                <w:sz w:val="22"/>
                <w:szCs w:val="22"/>
              </w:rPr>
              <w:t>845</w:t>
            </w:r>
          </w:p>
        </w:tc>
        <w:tc>
          <w:tcPr>
            <w:tcW w:w="1417" w:type="dxa"/>
            <w:tcBorders>
              <w:bottom w:val="single" w:sz="4" w:space="0" w:color="auto"/>
            </w:tcBorders>
            <w:shd w:val="clear" w:color="auto" w:fill="auto"/>
            <w:noWrap/>
            <w:vAlign w:val="center"/>
            <w:hideMark/>
          </w:tcPr>
          <w:p w:rsidR="00C67115" w:rsidRPr="00A5626E" w:rsidRDefault="00C67115" w:rsidP="00C85DA9">
            <w:pPr>
              <w:pStyle w:val="Tablewriting"/>
              <w:jc w:val="center"/>
              <w:rPr>
                <w:sz w:val="22"/>
                <w:szCs w:val="22"/>
              </w:rPr>
            </w:pPr>
            <w:r w:rsidRPr="00A5626E">
              <w:rPr>
                <w:sz w:val="22"/>
                <w:szCs w:val="22"/>
              </w:rPr>
              <w:t>4.9%</w:t>
            </w:r>
          </w:p>
        </w:tc>
      </w:tr>
      <w:tr w:rsidR="00C67115" w:rsidRPr="007501DD" w:rsidTr="00C85DA9">
        <w:trPr>
          <w:trHeight w:val="255"/>
        </w:trPr>
        <w:tc>
          <w:tcPr>
            <w:tcW w:w="6805" w:type="dxa"/>
            <w:tcBorders>
              <w:bottom w:val="single" w:sz="4" w:space="0" w:color="auto"/>
            </w:tcBorders>
            <w:shd w:val="pct10" w:color="auto" w:fill="auto"/>
            <w:noWrap/>
          </w:tcPr>
          <w:p w:rsidR="00C67115" w:rsidRPr="00A5626E" w:rsidRDefault="00C67115" w:rsidP="00C85DA9">
            <w:pPr>
              <w:pStyle w:val="Tablewriting"/>
              <w:rPr>
                <w:sz w:val="22"/>
                <w:szCs w:val="22"/>
              </w:rPr>
            </w:pPr>
            <w:r w:rsidRPr="00A5626E">
              <w:rPr>
                <w:sz w:val="22"/>
                <w:szCs w:val="22"/>
              </w:rPr>
              <w:t xml:space="preserve">Regimen histories </w:t>
            </w:r>
            <w:r w:rsidRPr="00A5626E">
              <w:rPr>
                <w:b/>
                <w:sz w:val="22"/>
                <w:szCs w:val="22"/>
              </w:rPr>
              <w:t>containing</w:t>
            </w:r>
            <w:r w:rsidRPr="00A5626E">
              <w:rPr>
                <w:sz w:val="22"/>
                <w:szCs w:val="22"/>
              </w:rPr>
              <w:t xml:space="preserve"> both metformin and a sulfonylurea </w:t>
            </w:r>
          </w:p>
        </w:tc>
        <w:tc>
          <w:tcPr>
            <w:tcW w:w="1701" w:type="dxa"/>
            <w:tcBorders>
              <w:bottom w:val="single" w:sz="4" w:space="0" w:color="auto"/>
            </w:tcBorders>
            <w:shd w:val="pct10" w:color="auto" w:fill="auto"/>
            <w:noWrap/>
            <w:vAlign w:val="center"/>
          </w:tcPr>
          <w:p w:rsidR="00C67115" w:rsidRPr="00A5626E" w:rsidRDefault="00C67115" w:rsidP="00C85DA9">
            <w:pPr>
              <w:pStyle w:val="Tablewriting"/>
              <w:jc w:val="center"/>
              <w:rPr>
                <w:sz w:val="22"/>
                <w:szCs w:val="22"/>
              </w:rPr>
            </w:pPr>
            <w:r w:rsidRPr="00A5626E">
              <w:rPr>
                <w:sz w:val="22"/>
                <w:szCs w:val="22"/>
              </w:rPr>
              <w:t>9,014</w:t>
            </w:r>
          </w:p>
        </w:tc>
        <w:tc>
          <w:tcPr>
            <w:tcW w:w="1417" w:type="dxa"/>
            <w:tcBorders>
              <w:bottom w:val="single" w:sz="4" w:space="0" w:color="auto"/>
            </w:tcBorders>
            <w:shd w:val="pct10" w:color="auto" w:fill="auto"/>
            <w:noWrap/>
            <w:vAlign w:val="center"/>
          </w:tcPr>
          <w:p w:rsidR="00C67115" w:rsidRPr="00A5626E" w:rsidRDefault="00C67115" w:rsidP="00C85DA9">
            <w:pPr>
              <w:pStyle w:val="Tablewriting"/>
              <w:jc w:val="center"/>
              <w:rPr>
                <w:sz w:val="22"/>
                <w:szCs w:val="22"/>
              </w:rPr>
            </w:pPr>
            <w:r w:rsidRPr="00A5626E">
              <w:rPr>
                <w:sz w:val="22"/>
                <w:szCs w:val="22"/>
              </w:rPr>
              <w:t>52.3%</w:t>
            </w:r>
          </w:p>
        </w:tc>
      </w:tr>
      <w:tr w:rsidR="00C67115" w:rsidRPr="007501DD" w:rsidTr="00C85DA9">
        <w:trPr>
          <w:trHeight w:val="255"/>
        </w:trPr>
        <w:tc>
          <w:tcPr>
            <w:tcW w:w="6805" w:type="dxa"/>
            <w:shd w:val="clear" w:color="auto" w:fill="auto"/>
            <w:noWrap/>
            <w:hideMark/>
          </w:tcPr>
          <w:p w:rsidR="00C67115" w:rsidRPr="00A5626E" w:rsidRDefault="00C67115" w:rsidP="00C85DA9">
            <w:pPr>
              <w:pStyle w:val="Tablewriting"/>
              <w:numPr>
                <w:ilvl w:val="0"/>
                <w:numId w:val="28"/>
              </w:numPr>
              <w:rPr>
                <w:sz w:val="22"/>
                <w:szCs w:val="22"/>
              </w:rPr>
            </w:pPr>
            <w:r w:rsidRPr="00A5626E">
              <w:rPr>
                <w:sz w:val="22"/>
                <w:szCs w:val="22"/>
              </w:rPr>
              <w:t>Metformin and sulfonylurea deemed to be co-administered for more than 5 consecutive weeks</w:t>
            </w:r>
          </w:p>
        </w:tc>
        <w:tc>
          <w:tcPr>
            <w:tcW w:w="1701" w:type="dxa"/>
            <w:shd w:val="clear" w:color="auto" w:fill="auto"/>
            <w:noWrap/>
            <w:vAlign w:val="center"/>
            <w:hideMark/>
          </w:tcPr>
          <w:p w:rsidR="00C67115" w:rsidRPr="00A5626E" w:rsidRDefault="00C67115" w:rsidP="00C85DA9">
            <w:pPr>
              <w:pStyle w:val="Tablewriting"/>
              <w:jc w:val="center"/>
              <w:rPr>
                <w:sz w:val="22"/>
                <w:szCs w:val="22"/>
              </w:rPr>
            </w:pPr>
            <w:r w:rsidRPr="00A5626E">
              <w:rPr>
                <w:sz w:val="22"/>
                <w:szCs w:val="22"/>
              </w:rPr>
              <w:t>7,515</w:t>
            </w:r>
          </w:p>
        </w:tc>
        <w:tc>
          <w:tcPr>
            <w:tcW w:w="1417" w:type="dxa"/>
            <w:shd w:val="clear" w:color="auto" w:fill="auto"/>
            <w:noWrap/>
            <w:vAlign w:val="center"/>
            <w:hideMark/>
          </w:tcPr>
          <w:p w:rsidR="00C67115" w:rsidRPr="00A5626E" w:rsidRDefault="00C67115" w:rsidP="00C85DA9">
            <w:pPr>
              <w:pStyle w:val="Tablewriting"/>
              <w:jc w:val="center"/>
              <w:rPr>
                <w:sz w:val="22"/>
                <w:szCs w:val="22"/>
              </w:rPr>
            </w:pPr>
            <w:r w:rsidRPr="00A5626E">
              <w:rPr>
                <w:sz w:val="22"/>
                <w:szCs w:val="22"/>
              </w:rPr>
              <w:t>43.6%</w:t>
            </w:r>
          </w:p>
        </w:tc>
      </w:tr>
      <w:tr w:rsidR="00C67115" w:rsidRPr="007501DD" w:rsidTr="00C85DA9">
        <w:trPr>
          <w:trHeight w:val="255"/>
        </w:trPr>
        <w:tc>
          <w:tcPr>
            <w:tcW w:w="6805" w:type="dxa"/>
            <w:shd w:val="clear" w:color="auto" w:fill="auto"/>
            <w:noWrap/>
            <w:hideMark/>
          </w:tcPr>
          <w:p w:rsidR="00C67115" w:rsidRPr="00A5626E" w:rsidRDefault="00C67115" w:rsidP="00C85DA9">
            <w:pPr>
              <w:pStyle w:val="Tablewriting"/>
              <w:numPr>
                <w:ilvl w:val="0"/>
                <w:numId w:val="28"/>
              </w:numPr>
              <w:rPr>
                <w:sz w:val="22"/>
                <w:szCs w:val="22"/>
              </w:rPr>
            </w:pPr>
            <w:r w:rsidRPr="00A5626E">
              <w:rPr>
                <w:sz w:val="22"/>
                <w:szCs w:val="22"/>
              </w:rPr>
              <w:t>Metformin and sulfonylurea deemed to be co-administered from 1–5 consecutive weeks</w:t>
            </w:r>
          </w:p>
        </w:tc>
        <w:tc>
          <w:tcPr>
            <w:tcW w:w="1701" w:type="dxa"/>
            <w:shd w:val="clear" w:color="auto" w:fill="auto"/>
            <w:noWrap/>
            <w:vAlign w:val="center"/>
            <w:hideMark/>
          </w:tcPr>
          <w:p w:rsidR="00C67115" w:rsidRPr="00A5626E" w:rsidRDefault="00C67115" w:rsidP="00C85DA9">
            <w:pPr>
              <w:pStyle w:val="Tablewriting"/>
              <w:jc w:val="center"/>
              <w:rPr>
                <w:sz w:val="22"/>
                <w:szCs w:val="22"/>
              </w:rPr>
            </w:pPr>
            <w:r w:rsidRPr="00A5626E">
              <w:rPr>
                <w:sz w:val="22"/>
                <w:szCs w:val="22"/>
              </w:rPr>
              <w:t>352</w:t>
            </w:r>
          </w:p>
        </w:tc>
        <w:tc>
          <w:tcPr>
            <w:tcW w:w="1417" w:type="dxa"/>
            <w:shd w:val="clear" w:color="auto" w:fill="auto"/>
            <w:noWrap/>
            <w:vAlign w:val="center"/>
            <w:hideMark/>
          </w:tcPr>
          <w:p w:rsidR="00C67115" w:rsidRPr="00A5626E" w:rsidRDefault="00C67115" w:rsidP="00C85DA9">
            <w:pPr>
              <w:pStyle w:val="Tablewriting"/>
              <w:jc w:val="center"/>
              <w:rPr>
                <w:sz w:val="22"/>
                <w:szCs w:val="22"/>
              </w:rPr>
            </w:pPr>
            <w:r w:rsidRPr="00A5626E">
              <w:rPr>
                <w:sz w:val="22"/>
                <w:szCs w:val="22"/>
              </w:rPr>
              <w:t>2.0%</w:t>
            </w:r>
          </w:p>
        </w:tc>
      </w:tr>
      <w:tr w:rsidR="00C67115" w:rsidRPr="007501DD" w:rsidTr="00C85DA9">
        <w:trPr>
          <w:trHeight w:val="255"/>
        </w:trPr>
        <w:tc>
          <w:tcPr>
            <w:tcW w:w="6805" w:type="dxa"/>
            <w:tcBorders>
              <w:bottom w:val="single" w:sz="4" w:space="0" w:color="auto"/>
            </w:tcBorders>
            <w:shd w:val="clear" w:color="auto" w:fill="auto"/>
            <w:noWrap/>
            <w:hideMark/>
          </w:tcPr>
          <w:p w:rsidR="00C67115" w:rsidRPr="00A5626E" w:rsidRDefault="00C67115" w:rsidP="00C85DA9">
            <w:pPr>
              <w:pStyle w:val="Tablewriting"/>
              <w:numPr>
                <w:ilvl w:val="0"/>
                <w:numId w:val="28"/>
              </w:numPr>
              <w:rPr>
                <w:sz w:val="22"/>
                <w:szCs w:val="22"/>
              </w:rPr>
            </w:pPr>
            <w:r w:rsidRPr="00A5626E">
              <w:rPr>
                <w:sz w:val="22"/>
                <w:szCs w:val="22"/>
              </w:rPr>
              <w:t>Metformin and sulfonylurea supplied but not deemed to be co-administered at any time</w:t>
            </w:r>
          </w:p>
        </w:tc>
        <w:tc>
          <w:tcPr>
            <w:tcW w:w="1701" w:type="dxa"/>
            <w:tcBorders>
              <w:bottom w:val="single" w:sz="4" w:space="0" w:color="auto"/>
            </w:tcBorders>
            <w:shd w:val="clear" w:color="auto" w:fill="auto"/>
            <w:noWrap/>
            <w:vAlign w:val="center"/>
            <w:hideMark/>
          </w:tcPr>
          <w:p w:rsidR="00C67115" w:rsidRPr="00A5626E" w:rsidRDefault="00C67115" w:rsidP="00C85DA9">
            <w:pPr>
              <w:pStyle w:val="Tablewriting"/>
              <w:jc w:val="center"/>
              <w:rPr>
                <w:sz w:val="22"/>
                <w:szCs w:val="22"/>
              </w:rPr>
            </w:pPr>
            <w:r w:rsidRPr="00A5626E">
              <w:rPr>
                <w:sz w:val="22"/>
                <w:szCs w:val="22"/>
              </w:rPr>
              <w:t>1,147</w:t>
            </w:r>
          </w:p>
        </w:tc>
        <w:tc>
          <w:tcPr>
            <w:tcW w:w="1417" w:type="dxa"/>
            <w:tcBorders>
              <w:bottom w:val="single" w:sz="4" w:space="0" w:color="auto"/>
            </w:tcBorders>
            <w:shd w:val="clear" w:color="auto" w:fill="auto"/>
            <w:noWrap/>
            <w:vAlign w:val="center"/>
            <w:hideMark/>
          </w:tcPr>
          <w:p w:rsidR="00C67115" w:rsidRPr="00A5626E" w:rsidRDefault="00C67115" w:rsidP="00C85DA9">
            <w:pPr>
              <w:pStyle w:val="Tablewriting"/>
              <w:jc w:val="center"/>
              <w:rPr>
                <w:sz w:val="22"/>
                <w:szCs w:val="22"/>
              </w:rPr>
            </w:pPr>
            <w:r w:rsidRPr="00A5626E">
              <w:rPr>
                <w:sz w:val="22"/>
                <w:szCs w:val="22"/>
              </w:rPr>
              <w:t>6.7%</w:t>
            </w:r>
          </w:p>
          <w:p w:rsidR="00C67115" w:rsidRPr="00A5626E" w:rsidRDefault="00C67115" w:rsidP="00C85DA9">
            <w:pPr>
              <w:pStyle w:val="Tablewriting"/>
              <w:jc w:val="center"/>
              <w:rPr>
                <w:sz w:val="22"/>
                <w:szCs w:val="22"/>
              </w:rPr>
            </w:pPr>
          </w:p>
        </w:tc>
      </w:tr>
      <w:tr w:rsidR="00C67115" w:rsidRPr="007501DD" w:rsidTr="00C85DA9">
        <w:trPr>
          <w:trHeight w:val="255"/>
        </w:trPr>
        <w:tc>
          <w:tcPr>
            <w:tcW w:w="6805" w:type="dxa"/>
            <w:shd w:val="pct10" w:color="auto" w:fill="auto"/>
            <w:noWrap/>
            <w:hideMark/>
          </w:tcPr>
          <w:p w:rsidR="00C67115" w:rsidRPr="00A5626E" w:rsidRDefault="00C67115" w:rsidP="00C85DA9">
            <w:pPr>
              <w:pStyle w:val="Tablewriting"/>
              <w:rPr>
                <w:sz w:val="22"/>
                <w:szCs w:val="22"/>
              </w:rPr>
            </w:pPr>
            <w:r w:rsidRPr="00A5626E">
              <w:rPr>
                <w:sz w:val="22"/>
                <w:szCs w:val="22"/>
              </w:rPr>
              <w:lastRenderedPageBreak/>
              <w:t>Total</w:t>
            </w:r>
          </w:p>
        </w:tc>
        <w:tc>
          <w:tcPr>
            <w:tcW w:w="1701" w:type="dxa"/>
            <w:shd w:val="pct10" w:color="auto" w:fill="auto"/>
            <w:noWrap/>
            <w:vAlign w:val="center"/>
            <w:hideMark/>
          </w:tcPr>
          <w:p w:rsidR="00C67115" w:rsidRPr="00A5626E" w:rsidRDefault="00C67115" w:rsidP="00C85DA9">
            <w:pPr>
              <w:pStyle w:val="Tablewriting"/>
              <w:jc w:val="center"/>
              <w:rPr>
                <w:sz w:val="22"/>
                <w:szCs w:val="22"/>
              </w:rPr>
            </w:pPr>
            <w:r w:rsidRPr="00A5626E">
              <w:rPr>
                <w:sz w:val="22"/>
                <w:szCs w:val="22"/>
              </w:rPr>
              <w:t>17,247</w:t>
            </w:r>
          </w:p>
        </w:tc>
        <w:tc>
          <w:tcPr>
            <w:tcW w:w="1417" w:type="dxa"/>
            <w:shd w:val="pct10" w:color="auto" w:fill="auto"/>
            <w:noWrap/>
            <w:vAlign w:val="center"/>
            <w:hideMark/>
          </w:tcPr>
          <w:p w:rsidR="00C67115" w:rsidRPr="00A5626E" w:rsidRDefault="00C67115" w:rsidP="00C85DA9">
            <w:pPr>
              <w:pStyle w:val="Tablewriting"/>
              <w:jc w:val="center"/>
              <w:rPr>
                <w:sz w:val="22"/>
                <w:szCs w:val="22"/>
              </w:rPr>
            </w:pPr>
            <w:r w:rsidRPr="00A5626E">
              <w:rPr>
                <w:sz w:val="22"/>
                <w:szCs w:val="22"/>
              </w:rPr>
              <w:t>100.0%</w:t>
            </w:r>
          </w:p>
        </w:tc>
      </w:tr>
    </w:tbl>
    <w:p w:rsidR="00C67115" w:rsidRPr="00E32361" w:rsidRDefault="00C67115" w:rsidP="00C85DA9">
      <w:pPr>
        <w:pStyle w:val="Notes"/>
      </w:pPr>
      <w:r>
        <w:t>Notes:</w:t>
      </w:r>
      <w:r>
        <w:tab/>
        <w:t xml:space="preserve">Analysis is based on drugs supplied in the 24 months prior to initiation of a third line agent. The analysis of the pre-initiation regimen considered both single agent and </w:t>
      </w:r>
      <w:r w:rsidR="003776A5">
        <w:t xml:space="preserve">FDC </w:t>
      </w:r>
      <w:r>
        <w:t>products.</w:t>
      </w:r>
      <w:r w:rsidRPr="00E32361">
        <w:t xml:space="preserve"> </w:t>
      </w:r>
    </w:p>
    <w:p w:rsidR="00C67115" w:rsidRDefault="00C67115" w:rsidP="00492694"/>
    <w:p w:rsidR="00C67115" w:rsidRDefault="00C67115" w:rsidP="00492694">
      <w:pPr>
        <w:pStyle w:val="BodyText1"/>
      </w:pPr>
      <w:r>
        <w:t xml:space="preserve">Table </w:t>
      </w:r>
      <w:r w:rsidR="0075497D">
        <w:t>4.</w:t>
      </w:r>
      <w:r>
        <w:t>6 shows the percentage of patients who initiated a third line therapy who had previously been supplied metformin and/or a sulfonylurea. This analysis suggests that the degree of compliance with PBS restrictions on use of therapies before initiation of third line agents, varies according to the third line agent used.</w:t>
      </w:r>
      <w:r w:rsidRPr="00DF60A4">
        <w:t xml:space="preserve"> </w:t>
      </w:r>
      <w:r>
        <w:t xml:space="preserve">About half the </w:t>
      </w:r>
      <w:r w:rsidRPr="008066DA">
        <w:t xml:space="preserve">patients </w:t>
      </w:r>
      <w:r>
        <w:t>who initiated</w:t>
      </w:r>
      <w:r w:rsidRPr="008066DA">
        <w:t xml:space="preserve"> </w:t>
      </w:r>
      <w:r>
        <w:t xml:space="preserve">a </w:t>
      </w:r>
      <w:r w:rsidR="002772EC">
        <w:t>DPP-4 inhibitor</w:t>
      </w:r>
      <w:r>
        <w:t xml:space="preserve">, or a FDC containing metformin and a </w:t>
      </w:r>
      <w:r w:rsidR="002772EC">
        <w:t>DPP-4 inhibitor</w:t>
      </w:r>
      <w:r>
        <w:t xml:space="preserve">, did so </w:t>
      </w:r>
      <w:r w:rsidRPr="0044310D">
        <w:t>without</w:t>
      </w:r>
      <w:r w:rsidRPr="008066DA">
        <w:t xml:space="preserve"> being supplied both metformin and a sulfonylurea in the </w:t>
      </w:r>
      <w:r>
        <w:t>previous two years. The majority of these patients were only supplied metformin, and around 5% of patients were supplied neither metformin nor a sulfonylurea.</w:t>
      </w:r>
    </w:p>
    <w:p w:rsidR="00C67115" w:rsidRDefault="00C67115" w:rsidP="00492694"/>
    <w:p w:rsidR="00C67115" w:rsidRPr="0075497D" w:rsidRDefault="00C67115" w:rsidP="00492694">
      <w:pPr>
        <w:pStyle w:val="BodyText1"/>
        <w:rPr>
          <w:b/>
        </w:rPr>
      </w:pPr>
      <w:r w:rsidRPr="0075497D">
        <w:rPr>
          <w:b/>
        </w:rPr>
        <w:t xml:space="preserve">Table </w:t>
      </w:r>
      <w:r w:rsidR="00417B3F" w:rsidRPr="0075497D">
        <w:rPr>
          <w:b/>
        </w:rPr>
        <w:t>4.</w:t>
      </w:r>
      <w:r w:rsidRPr="0075497D">
        <w:rPr>
          <w:b/>
        </w:rPr>
        <w:t>6</w:t>
      </w:r>
      <w:r w:rsidR="00417B3F" w:rsidRPr="0075497D">
        <w:rPr>
          <w:b/>
        </w:rPr>
        <w:t>.</w:t>
      </w:r>
      <w:r w:rsidRPr="0075497D">
        <w:rPr>
          <w:b/>
        </w:rPr>
        <w:t xml:space="preserve"> Regimen histories for concession patients who initiated a third line agent between July and December 2011, by third line agent as a percentage of patients initiating third line therapy. </w:t>
      </w:r>
    </w:p>
    <w:tbl>
      <w:tblPr>
        <w:tblW w:w="9174" w:type="dxa"/>
        <w:jc w:val="center"/>
        <w:tblInd w:w="-1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13"/>
        <w:gridCol w:w="826"/>
        <w:gridCol w:w="827"/>
        <w:gridCol w:w="827"/>
        <w:gridCol w:w="827"/>
        <w:gridCol w:w="827"/>
        <w:gridCol w:w="827"/>
      </w:tblGrid>
      <w:tr w:rsidR="00C67115" w:rsidRPr="007501DD" w:rsidTr="0075497D">
        <w:trPr>
          <w:trHeight w:val="255"/>
          <w:tblHeader/>
          <w:jc w:val="center"/>
        </w:trPr>
        <w:tc>
          <w:tcPr>
            <w:tcW w:w="4213" w:type="dxa"/>
            <w:tcBorders>
              <w:top w:val="single" w:sz="4" w:space="0" w:color="auto"/>
              <w:bottom w:val="single" w:sz="4" w:space="0" w:color="auto"/>
            </w:tcBorders>
            <w:shd w:val="clear" w:color="auto" w:fill="BFBFBF"/>
            <w:noWrap/>
            <w:vAlign w:val="center"/>
            <w:hideMark/>
          </w:tcPr>
          <w:p w:rsidR="00C67115" w:rsidRPr="0075497D" w:rsidRDefault="00C67115" w:rsidP="00492694">
            <w:pPr>
              <w:rPr>
                <w:b/>
                <w:sz w:val="22"/>
                <w:szCs w:val="22"/>
              </w:rPr>
            </w:pPr>
            <w:r w:rsidRPr="0075497D">
              <w:rPr>
                <w:b/>
                <w:sz w:val="22"/>
                <w:szCs w:val="22"/>
              </w:rPr>
              <w:t>Third line agent</w:t>
            </w:r>
          </w:p>
        </w:tc>
        <w:tc>
          <w:tcPr>
            <w:tcW w:w="826" w:type="dxa"/>
            <w:tcBorders>
              <w:top w:val="single" w:sz="4" w:space="0" w:color="auto"/>
              <w:bottom w:val="single" w:sz="4" w:space="0" w:color="auto"/>
            </w:tcBorders>
            <w:shd w:val="clear" w:color="auto" w:fill="BFBFBF"/>
            <w:vAlign w:val="center"/>
          </w:tcPr>
          <w:p w:rsidR="00C67115" w:rsidRPr="0075497D" w:rsidRDefault="00C67115" w:rsidP="0075497D">
            <w:pPr>
              <w:pStyle w:val="Tableheading"/>
              <w:rPr>
                <w:sz w:val="22"/>
                <w:szCs w:val="22"/>
              </w:rPr>
            </w:pPr>
            <w:r w:rsidRPr="0075497D">
              <w:rPr>
                <w:sz w:val="22"/>
                <w:szCs w:val="22"/>
              </w:rPr>
              <w:t>Glip</w:t>
            </w:r>
          </w:p>
        </w:tc>
        <w:tc>
          <w:tcPr>
            <w:tcW w:w="827" w:type="dxa"/>
            <w:tcBorders>
              <w:top w:val="single" w:sz="4" w:space="0" w:color="auto"/>
              <w:bottom w:val="single" w:sz="4" w:space="0" w:color="auto"/>
            </w:tcBorders>
            <w:shd w:val="clear" w:color="auto" w:fill="BFBFBF"/>
            <w:vAlign w:val="center"/>
          </w:tcPr>
          <w:p w:rsidR="00C67115" w:rsidRPr="0075497D" w:rsidRDefault="00C67115" w:rsidP="0075497D">
            <w:pPr>
              <w:pStyle w:val="Tableheading"/>
              <w:rPr>
                <w:sz w:val="22"/>
                <w:szCs w:val="22"/>
              </w:rPr>
            </w:pPr>
            <w:r w:rsidRPr="0075497D">
              <w:rPr>
                <w:sz w:val="22"/>
                <w:szCs w:val="22"/>
              </w:rPr>
              <w:t>Glip + met FDC</w:t>
            </w:r>
          </w:p>
        </w:tc>
        <w:tc>
          <w:tcPr>
            <w:tcW w:w="827" w:type="dxa"/>
            <w:tcBorders>
              <w:top w:val="single" w:sz="4" w:space="0" w:color="auto"/>
              <w:bottom w:val="single" w:sz="4" w:space="0" w:color="auto"/>
            </w:tcBorders>
            <w:shd w:val="clear" w:color="auto" w:fill="BFBFBF"/>
            <w:vAlign w:val="center"/>
          </w:tcPr>
          <w:p w:rsidR="00C67115" w:rsidRPr="0075497D" w:rsidRDefault="00C67115" w:rsidP="0075497D">
            <w:pPr>
              <w:pStyle w:val="Tableheading"/>
              <w:rPr>
                <w:sz w:val="22"/>
                <w:szCs w:val="22"/>
              </w:rPr>
            </w:pPr>
            <w:r w:rsidRPr="0075497D">
              <w:rPr>
                <w:sz w:val="22"/>
                <w:szCs w:val="22"/>
              </w:rPr>
              <w:t>Pio</w:t>
            </w:r>
          </w:p>
        </w:tc>
        <w:tc>
          <w:tcPr>
            <w:tcW w:w="827" w:type="dxa"/>
            <w:tcBorders>
              <w:top w:val="single" w:sz="4" w:space="0" w:color="auto"/>
              <w:bottom w:val="single" w:sz="4" w:space="0" w:color="auto"/>
            </w:tcBorders>
            <w:shd w:val="clear" w:color="auto" w:fill="BFBFBF"/>
            <w:vAlign w:val="center"/>
          </w:tcPr>
          <w:p w:rsidR="00C67115" w:rsidRPr="0075497D" w:rsidRDefault="00C67115" w:rsidP="0075497D">
            <w:pPr>
              <w:pStyle w:val="Tableheading"/>
              <w:rPr>
                <w:sz w:val="22"/>
                <w:szCs w:val="22"/>
              </w:rPr>
            </w:pPr>
            <w:r w:rsidRPr="0075497D">
              <w:rPr>
                <w:sz w:val="22"/>
                <w:szCs w:val="22"/>
              </w:rPr>
              <w:t>Exen</w:t>
            </w:r>
          </w:p>
        </w:tc>
        <w:tc>
          <w:tcPr>
            <w:tcW w:w="827" w:type="dxa"/>
            <w:tcBorders>
              <w:top w:val="single" w:sz="4" w:space="0" w:color="auto"/>
              <w:bottom w:val="single" w:sz="4" w:space="0" w:color="auto"/>
            </w:tcBorders>
            <w:shd w:val="clear" w:color="auto" w:fill="BFBFBF"/>
            <w:noWrap/>
            <w:vAlign w:val="center"/>
            <w:hideMark/>
          </w:tcPr>
          <w:p w:rsidR="00C67115" w:rsidRPr="0075497D" w:rsidRDefault="00C67115" w:rsidP="0075497D">
            <w:pPr>
              <w:pStyle w:val="Tableheading"/>
              <w:rPr>
                <w:sz w:val="22"/>
                <w:szCs w:val="22"/>
              </w:rPr>
            </w:pPr>
            <w:r w:rsidRPr="0075497D">
              <w:rPr>
                <w:sz w:val="22"/>
                <w:szCs w:val="22"/>
              </w:rPr>
              <w:t>Rosi + met FDC</w:t>
            </w:r>
          </w:p>
        </w:tc>
        <w:tc>
          <w:tcPr>
            <w:tcW w:w="827" w:type="dxa"/>
            <w:tcBorders>
              <w:top w:val="single" w:sz="4" w:space="0" w:color="auto"/>
              <w:bottom w:val="single" w:sz="4" w:space="0" w:color="auto"/>
            </w:tcBorders>
            <w:shd w:val="clear" w:color="auto" w:fill="BFBFBF"/>
            <w:noWrap/>
            <w:vAlign w:val="center"/>
            <w:hideMark/>
          </w:tcPr>
          <w:p w:rsidR="00C67115" w:rsidRPr="0075497D" w:rsidRDefault="00C67115" w:rsidP="0075497D">
            <w:pPr>
              <w:pStyle w:val="Tableheading"/>
              <w:rPr>
                <w:sz w:val="22"/>
                <w:szCs w:val="22"/>
              </w:rPr>
            </w:pPr>
            <w:r w:rsidRPr="0075497D">
              <w:rPr>
                <w:sz w:val="22"/>
                <w:szCs w:val="22"/>
              </w:rPr>
              <w:t>Rosi</w:t>
            </w:r>
          </w:p>
        </w:tc>
      </w:tr>
      <w:tr w:rsidR="00C67115" w:rsidRPr="007501DD" w:rsidTr="0075497D">
        <w:trPr>
          <w:trHeight w:val="255"/>
          <w:jc w:val="center"/>
        </w:trPr>
        <w:tc>
          <w:tcPr>
            <w:tcW w:w="4213" w:type="dxa"/>
            <w:tcBorders>
              <w:top w:val="single" w:sz="4" w:space="0" w:color="auto"/>
              <w:left w:val="single" w:sz="8" w:space="0" w:color="auto"/>
              <w:bottom w:val="nil"/>
              <w:right w:val="single" w:sz="8" w:space="0" w:color="auto"/>
            </w:tcBorders>
            <w:shd w:val="pct10" w:color="auto" w:fill="auto"/>
            <w:noWrap/>
          </w:tcPr>
          <w:p w:rsidR="00C67115" w:rsidRPr="0075497D" w:rsidRDefault="00C67115" w:rsidP="00492694">
            <w:pPr>
              <w:pStyle w:val="Tablewriting"/>
              <w:rPr>
                <w:sz w:val="22"/>
                <w:szCs w:val="22"/>
              </w:rPr>
            </w:pPr>
            <w:r w:rsidRPr="0075497D">
              <w:rPr>
                <w:sz w:val="22"/>
                <w:szCs w:val="22"/>
              </w:rPr>
              <w:t xml:space="preserve">Total histories </w:t>
            </w:r>
            <w:r w:rsidRPr="0075497D">
              <w:rPr>
                <w:b/>
                <w:sz w:val="22"/>
                <w:szCs w:val="22"/>
              </w:rPr>
              <w:t>not containing</w:t>
            </w:r>
            <w:r w:rsidRPr="0075497D">
              <w:rPr>
                <w:sz w:val="22"/>
                <w:szCs w:val="22"/>
              </w:rPr>
              <w:t xml:space="preserve"> both metformin and a sulfonylurea </w:t>
            </w:r>
          </w:p>
        </w:tc>
        <w:tc>
          <w:tcPr>
            <w:tcW w:w="826" w:type="dxa"/>
            <w:tcBorders>
              <w:top w:val="single" w:sz="4" w:space="0" w:color="auto"/>
              <w:left w:val="single" w:sz="8" w:space="0" w:color="auto"/>
              <w:bottom w:val="nil"/>
              <w:right w:val="single" w:sz="8" w:space="0" w:color="auto"/>
            </w:tcBorders>
            <w:shd w:val="pct10" w:color="auto" w:fill="auto"/>
            <w:vAlign w:val="center"/>
          </w:tcPr>
          <w:p w:rsidR="00C67115" w:rsidRPr="0075497D" w:rsidRDefault="00C67115" w:rsidP="0075497D">
            <w:pPr>
              <w:pStyle w:val="Tablewriting"/>
              <w:jc w:val="center"/>
              <w:rPr>
                <w:sz w:val="22"/>
                <w:szCs w:val="22"/>
              </w:rPr>
            </w:pPr>
            <w:r w:rsidRPr="0075497D">
              <w:rPr>
                <w:sz w:val="22"/>
                <w:szCs w:val="22"/>
              </w:rPr>
              <w:t>49%</w:t>
            </w:r>
          </w:p>
        </w:tc>
        <w:tc>
          <w:tcPr>
            <w:tcW w:w="827" w:type="dxa"/>
            <w:tcBorders>
              <w:top w:val="single" w:sz="4" w:space="0" w:color="auto"/>
              <w:left w:val="single" w:sz="8" w:space="0" w:color="auto"/>
              <w:bottom w:val="nil"/>
              <w:right w:val="single" w:sz="8" w:space="0" w:color="auto"/>
            </w:tcBorders>
            <w:shd w:val="pct10" w:color="auto" w:fill="auto"/>
            <w:vAlign w:val="center"/>
          </w:tcPr>
          <w:p w:rsidR="00C67115" w:rsidRPr="0075497D" w:rsidRDefault="00C67115" w:rsidP="0075497D">
            <w:pPr>
              <w:pStyle w:val="Tablewriting"/>
              <w:jc w:val="center"/>
              <w:rPr>
                <w:sz w:val="22"/>
                <w:szCs w:val="22"/>
              </w:rPr>
            </w:pPr>
            <w:r w:rsidRPr="0075497D">
              <w:rPr>
                <w:sz w:val="22"/>
                <w:szCs w:val="22"/>
              </w:rPr>
              <w:t>55%</w:t>
            </w:r>
          </w:p>
        </w:tc>
        <w:tc>
          <w:tcPr>
            <w:tcW w:w="827" w:type="dxa"/>
            <w:tcBorders>
              <w:top w:val="single" w:sz="4" w:space="0" w:color="auto"/>
              <w:left w:val="single" w:sz="8" w:space="0" w:color="auto"/>
              <w:bottom w:val="nil"/>
              <w:right w:val="single" w:sz="8" w:space="0" w:color="auto"/>
            </w:tcBorders>
            <w:shd w:val="pct10" w:color="auto" w:fill="auto"/>
            <w:vAlign w:val="center"/>
          </w:tcPr>
          <w:p w:rsidR="00C67115" w:rsidRPr="0075497D" w:rsidRDefault="00C67115" w:rsidP="0075497D">
            <w:pPr>
              <w:pStyle w:val="Tablewriting"/>
              <w:jc w:val="center"/>
              <w:rPr>
                <w:sz w:val="22"/>
                <w:szCs w:val="22"/>
              </w:rPr>
            </w:pPr>
            <w:r w:rsidRPr="0075497D">
              <w:rPr>
                <w:sz w:val="22"/>
                <w:szCs w:val="22"/>
              </w:rPr>
              <w:t>27%</w:t>
            </w:r>
          </w:p>
        </w:tc>
        <w:tc>
          <w:tcPr>
            <w:tcW w:w="827" w:type="dxa"/>
            <w:tcBorders>
              <w:top w:val="single" w:sz="4" w:space="0" w:color="auto"/>
              <w:left w:val="single" w:sz="8" w:space="0" w:color="auto"/>
              <w:bottom w:val="nil"/>
              <w:right w:val="single" w:sz="8" w:space="0" w:color="auto"/>
            </w:tcBorders>
            <w:shd w:val="pct10" w:color="auto" w:fill="auto"/>
            <w:vAlign w:val="center"/>
          </w:tcPr>
          <w:p w:rsidR="00C67115" w:rsidRPr="0075497D" w:rsidRDefault="00C67115" w:rsidP="0075497D">
            <w:pPr>
              <w:pStyle w:val="Tablewriting"/>
              <w:jc w:val="center"/>
              <w:rPr>
                <w:sz w:val="22"/>
                <w:szCs w:val="22"/>
              </w:rPr>
            </w:pPr>
            <w:r w:rsidRPr="0075497D">
              <w:rPr>
                <w:sz w:val="22"/>
                <w:szCs w:val="22"/>
              </w:rPr>
              <w:t>20%</w:t>
            </w:r>
          </w:p>
        </w:tc>
        <w:tc>
          <w:tcPr>
            <w:tcW w:w="827" w:type="dxa"/>
            <w:tcBorders>
              <w:top w:val="single" w:sz="4" w:space="0" w:color="auto"/>
              <w:left w:val="single" w:sz="8" w:space="0" w:color="auto"/>
              <w:bottom w:val="nil"/>
              <w:right w:val="single" w:sz="8" w:space="0" w:color="auto"/>
            </w:tcBorders>
            <w:shd w:val="pct10" w:color="auto" w:fill="auto"/>
            <w:noWrap/>
            <w:vAlign w:val="center"/>
          </w:tcPr>
          <w:p w:rsidR="00C67115" w:rsidRPr="0075497D" w:rsidRDefault="00C67115" w:rsidP="0075497D">
            <w:pPr>
              <w:pStyle w:val="Tablewriting"/>
              <w:jc w:val="center"/>
              <w:rPr>
                <w:sz w:val="22"/>
                <w:szCs w:val="22"/>
              </w:rPr>
            </w:pPr>
            <w:r w:rsidRPr="0075497D">
              <w:rPr>
                <w:sz w:val="22"/>
                <w:szCs w:val="22"/>
              </w:rPr>
              <w:t>46%</w:t>
            </w:r>
          </w:p>
        </w:tc>
        <w:tc>
          <w:tcPr>
            <w:tcW w:w="827" w:type="dxa"/>
            <w:tcBorders>
              <w:top w:val="single" w:sz="4" w:space="0" w:color="auto"/>
              <w:left w:val="single" w:sz="8" w:space="0" w:color="auto"/>
              <w:bottom w:val="nil"/>
              <w:right w:val="single" w:sz="8" w:space="0" w:color="auto"/>
            </w:tcBorders>
            <w:shd w:val="pct10" w:color="auto" w:fill="auto"/>
            <w:noWrap/>
            <w:vAlign w:val="center"/>
          </w:tcPr>
          <w:p w:rsidR="00C67115" w:rsidRPr="0075497D" w:rsidRDefault="00C67115" w:rsidP="0075497D">
            <w:pPr>
              <w:pStyle w:val="Tablewriting"/>
              <w:jc w:val="center"/>
              <w:rPr>
                <w:sz w:val="22"/>
                <w:szCs w:val="22"/>
              </w:rPr>
            </w:pPr>
            <w:r w:rsidRPr="0075497D">
              <w:rPr>
                <w:sz w:val="22"/>
                <w:szCs w:val="22"/>
              </w:rPr>
              <w:t>39%</w:t>
            </w:r>
          </w:p>
        </w:tc>
      </w:tr>
      <w:tr w:rsidR="00C67115" w:rsidRPr="007501DD" w:rsidTr="0075497D">
        <w:trPr>
          <w:trHeight w:val="255"/>
          <w:jc w:val="center"/>
        </w:trPr>
        <w:tc>
          <w:tcPr>
            <w:tcW w:w="4213" w:type="dxa"/>
            <w:tcBorders>
              <w:top w:val="nil"/>
              <w:left w:val="single" w:sz="8" w:space="0" w:color="auto"/>
              <w:bottom w:val="nil"/>
              <w:right w:val="single" w:sz="8" w:space="0" w:color="auto"/>
            </w:tcBorders>
            <w:shd w:val="clear" w:color="auto" w:fill="auto"/>
            <w:noWrap/>
            <w:hideMark/>
          </w:tcPr>
          <w:p w:rsidR="00C67115" w:rsidRPr="0075497D" w:rsidRDefault="00C67115" w:rsidP="006F292B">
            <w:pPr>
              <w:pStyle w:val="Tablewriting"/>
              <w:numPr>
                <w:ilvl w:val="0"/>
                <w:numId w:val="28"/>
              </w:numPr>
              <w:ind w:left="250" w:hanging="250"/>
              <w:rPr>
                <w:sz w:val="22"/>
                <w:szCs w:val="22"/>
              </w:rPr>
            </w:pPr>
            <w:r w:rsidRPr="0075497D">
              <w:rPr>
                <w:sz w:val="22"/>
                <w:szCs w:val="22"/>
              </w:rPr>
              <w:t>Metformin only supplied</w:t>
            </w:r>
          </w:p>
        </w:tc>
        <w:tc>
          <w:tcPr>
            <w:tcW w:w="826" w:type="dxa"/>
            <w:tcBorders>
              <w:top w:val="nil"/>
              <w:left w:val="single" w:sz="8" w:space="0" w:color="auto"/>
              <w:bottom w:val="nil"/>
              <w:right w:val="single" w:sz="8" w:space="0" w:color="auto"/>
            </w:tcBorders>
            <w:vAlign w:val="center"/>
          </w:tcPr>
          <w:p w:rsidR="00C67115" w:rsidRPr="0075497D" w:rsidRDefault="00C67115" w:rsidP="0075497D">
            <w:pPr>
              <w:pStyle w:val="Tablewriting"/>
              <w:jc w:val="center"/>
              <w:rPr>
                <w:sz w:val="22"/>
                <w:szCs w:val="22"/>
              </w:rPr>
            </w:pPr>
            <w:r w:rsidRPr="0075497D">
              <w:rPr>
                <w:sz w:val="22"/>
                <w:szCs w:val="22"/>
              </w:rPr>
              <w:t>34%</w:t>
            </w:r>
          </w:p>
        </w:tc>
        <w:tc>
          <w:tcPr>
            <w:tcW w:w="827" w:type="dxa"/>
            <w:tcBorders>
              <w:top w:val="nil"/>
              <w:left w:val="single" w:sz="8" w:space="0" w:color="auto"/>
              <w:bottom w:val="nil"/>
              <w:right w:val="single" w:sz="8" w:space="0" w:color="auto"/>
            </w:tcBorders>
            <w:vAlign w:val="center"/>
          </w:tcPr>
          <w:p w:rsidR="00C67115" w:rsidRPr="0075497D" w:rsidRDefault="00C67115" w:rsidP="0075497D">
            <w:pPr>
              <w:pStyle w:val="Tablewriting"/>
              <w:jc w:val="center"/>
              <w:rPr>
                <w:sz w:val="22"/>
                <w:szCs w:val="22"/>
              </w:rPr>
            </w:pPr>
            <w:r w:rsidRPr="0075497D">
              <w:rPr>
                <w:sz w:val="22"/>
                <w:szCs w:val="22"/>
              </w:rPr>
              <w:t>47%</w:t>
            </w:r>
          </w:p>
        </w:tc>
        <w:tc>
          <w:tcPr>
            <w:tcW w:w="827" w:type="dxa"/>
            <w:tcBorders>
              <w:top w:val="nil"/>
              <w:left w:val="single" w:sz="8" w:space="0" w:color="auto"/>
              <w:bottom w:val="nil"/>
              <w:right w:val="single" w:sz="8" w:space="0" w:color="auto"/>
            </w:tcBorders>
            <w:vAlign w:val="center"/>
          </w:tcPr>
          <w:p w:rsidR="00C67115" w:rsidRPr="0075497D" w:rsidRDefault="00C67115" w:rsidP="0075497D">
            <w:pPr>
              <w:pStyle w:val="Tablewriting"/>
              <w:jc w:val="center"/>
              <w:rPr>
                <w:sz w:val="22"/>
                <w:szCs w:val="22"/>
              </w:rPr>
            </w:pPr>
            <w:r w:rsidRPr="0075497D">
              <w:rPr>
                <w:sz w:val="22"/>
                <w:szCs w:val="22"/>
              </w:rPr>
              <w:t>11%</w:t>
            </w:r>
          </w:p>
        </w:tc>
        <w:tc>
          <w:tcPr>
            <w:tcW w:w="827" w:type="dxa"/>
            <w:tcBorders>
              <w:top w:val="nil"/>
              <w:left w:val="single" w:sz="8" w:space="0" w:color="auto"/>
              <w:bottom w:val="nil"/>
              <w:right w:val="single" w:sz="8" w:space="0" w:color="auto"/>
            </w:tcBorders>
            <w:vAlign w:val="center"/>
          </w:tcPr>
          <w:p w:rsidR="00C67115" w:rsidRPr="0075497D" w:rsidRDefault="00C67115" w:rsidP="0075497D">
            <w:pPr>
              <w:pStyle w:val="Tablewriting"/>
              <w:jc w:val="center"/>
              <w:rPr>
                <w:sz w:val="22"/>
                <w:szCs w:val="22"/>
              </w:rPr>
            </w:pPr>
            <w:r w:rsidRPr="0075497D">
              <w:rPr>
                <w:sz w:val="22"/>
                <w:szCs w:val="22"/>
              </w:rPr>
              <w:t>17%</w:t>
            </w:r>
          </w:p>
        </w:tc>
        <w:tc>
          <w:tcPr>
            <w:tcW w:w="827" w:type="dxa"/>
            <w:tcBorders>
              <w:top w:val="nil"/>
              <w:left w:val="single" w:sz="8" w:space="0" w:color="auto"/>
              <w:bottom w:val="nil"/>
              <w:right w:val="single" w:sz="8" w:space="0" w:color="auto"/>
            </w:tcBorders>
            <w:shd w:val="clear" w:color="auto" w:fill="auto"/>
            <w:noWrap/>
            <w:vAlign w:val="center"/>
          </w:tcPr>
          <w:p w:rsidR="00C67115" w:rsidRPr="0075497D" w:rsidRDefault="00C67115" w:rsidP="0075497D">
            <w:pPr>
              <w:pStyle w:val="Tablewriting"/>
              <w:jc w:val="center"/>
              <w:rPr>
                <w:sz w:val="22"/>
                <w:szCs w:val="22"/>
              </w:rPr>
            </w:pPr>
            <w:r w:rsidRPr="0075497D">
              <w:rPr>
                <w:sz w:val="22"/>
                <w:szCs w:val="22"/>
              </w:rPr>
              <w:t>33%</w:t>
            </w:r>
          </w:p>
        </w:tc>
        <w:tc>
          <w:tcPr>
            <w:tcW w:w="827" w:type="dxa"/>
            <w:tcBorders>
              <w:top w:val="nil"/>
              <w:left w:val="single" w:sz="8" w:space="0" w:color="auto"/>
              <w:bottom w:val="nil"/>
              <w:right w:val="single" w:sz="8" w:space="0" w:color="auto"/>
            </w:tcBorders>
            <w:shd w:val="clear" w:color="auto" w:fill="auto"/>
            <w:noWrap/>
            <w:vAlign w:val="center"/>
          </w:tcPr>
          <w:p w:rsidR="00C67115" w:rsidRPr="0075497D" w:rsidRDefault="00C67115" w:rsidP="0075497D">
            <w:pPr>
              <w:pStyle w:val="Tablewriting"/>
              <w:jc w:val="center"/>
              <w:rPr>
                <w:sz w:val="22"/>
                <w:szCs w:val="22"/>
              </w:rPr>
            </w:pPr>
            <w:r w:rsidRPr="0075497D">
              <w:rPr>
                <w:sz w:val="22"/>
                <w:szCs w:val="22"/>
              </w:rPr>
              <w:t>22%</w:t>
            </w:r>
          </w:p>
        </w:tc>
      </w:tr>
      <w:tr w:rsidR="00C67115" w:rsidRPr="007501DD" w:rsidTr="0075497D">
        <w:trPr>
          <w:trHeight w:val="272"/>
          <w:jc w:val="center"/>
        </w:trPr>
        <w:tc>
          <w:tcPr>
            <w:tcW w:w="4213" w:type="dxa"/>
            <w:tcBorders>
              <w:top w:val="nil"/>
              <w:left w:val="single" w:sz="8" w:space="0" w:color="auto"/>
              <w:bottom w:val="nil"/>
              <w:right w:val="single" w:sz="8" w:space="0" w:color="auto"/>
            </w:tcBorders>
            <w:shd w:val="clear" w:color="auto" w:fill="auto"/>
            <w:noWrap/>
            <w:hideMark/>
          </w:tcPr>
          <w:p w:rsidR="00C67115" w:rsidRPr="0075497D" w:rsidRDefault="00C67115" w:rsidP="006F292B">
            <w:pPr>
              <w:pStyle w:val="Tablewriting"/>
              <w:numPr>
                <w:ilvl w:val="0"/>
                <w:numId w:val="28"/>
              </w:numPr>
              <w:ind w:left="250" w:hanging="250"/>
              <w:rPr>
                <w:sz w:val="22"/>
                <w:szCs w:val="22"/>
              </w:rPr>
            </w:pPr>
            <w:r w:rsidRPr="0075497D">
              <w:rPr>
                <w:sz w:val="22"/>
                <w:szCs w:val="22"/>
              </w:rPr>
              <w:t>Sulfonylurea only supplied</w:t>
            </w:r>
          </w:p>
        </w:tc>
        <w:tc>
          <w:tcPr>
            <w:tcW w:w="826" w:type="dxa"/>
            <w:tcBorders>
              <w:top w:val="nil"/>
              <w:left w:val="single" w:sz="8" w:space="0" w:color="auto"/>
              <w:bottom w:val="nil"/>
              <w:right w:val="single" w:sz="8" w:space="0" w:color="auto"/>
            </w:tcBorders>
            <w:vAlign w:val="center"/>
          </w:tcPr>
          <w:p w:rsidR="00C67115" w:rsidRPr="0075497D" w:rsidRDefault="00C67115" w:rsidP="0075497D">
            <w:pPr>
              <w:pStyle w:val="Tablewriting"/>
              <w:jc w:val="center"/>
              <w:rPr>
                <w:sz w:val="22"/>
                <w:szCs w:val="22"/>
              </w:rPr>
            </w:pPr>
            <w:r w:rsidRPr="0075497D">
              <w:rPr>
                <w:sz w:val="22"/>
                <w:szCs w:val="22"/>
              </w:rPr>
              <w:t>11%</w:t>
            </w:r>
          </w:p>
        </w:tc>
        <w:tc>
          <w:tcPr>
            <w:tcW w:w="827" w:type="dxa"/>
            <w:tcBorders>
              <w:top w:val="nil"/>
              <w:left w:val="single" w:sz="8" w:space="0" w:color="auto"/>
              <w:bottom w:val="nil"/>
              <w:right w:val="single" w:sz="8" w:space="0" w:color="auto"/>
            </w:tcBorders>
            <w:vAlign w:val="center"/>
          </w:tcPr>
          <w:p w:rsidR="00C67115" w:rsidRPr="0075497D" w:rsidRDefault="00C67115" w:rsidP="0075497D">
            <w:pPr>
              <w:pStyle w:val="Tablewriting"/>
              <w:jc w:val="center"/>
              <w:rPr>
                <w:sz w:val="22"/>
                <w:szCs w:val="22"/>
              </w:rPr>
            </w:pPr>
            <w:r w:rsidRPr="0075497D">
              <w:rPr>
                <w:sz w:val="22"/>
                <w:szCs w:val="22"/>
              </w:rPr>
              <w:t>3%</w:t>
            </w:r>
          </w:p>
        </w:tc>
        <w:tc>
          <w:tcPr>
            <w:tcW w:w="827" w:type="dxa"/>
            <w:tcBorders>
              <w:top w:val="nil"/>
              <w:left w:val="single" w:sz="8" w:space="0" w:color="auto"/>
              <w:bottom w:val="nil"/>
              <w:right w:val="single" w:sz="8" w:space="0" w:color="auto"/>
            </w:tcBorders>
            <w:vAlign w:val="center"/>
          </w:tcPr>
          <w:p w:rsidR="00C67115" w:rsidRPr="0075497D" w:rsidRDefault="00C67115" w:rsidP="0075497D">
            <w:pPr>
              <w:pStyle w:val="Tablewriting"/>
              <w:jc w:val="center"/>
              <w:rPr>
                <w:sz w:val="22"/>
                <w:szCs w:val="22"/>
              </w:rPr>
            </w:pPr>
            <w:r w:rsidRPr="0075497D">
              <w:rPr>
                <w:sz w:val="22"/>
                <w:szCs w:val="22"/>
              </w:rPr>
              <w:t>7%</w:t>
            </w:r>
          </w:p>
        </w:tc>
        <w:tc>
          <w:tcPr>
            <w:tcW w:w="827" w:type="dxa"/>
            <w:tcBorders>
              <w:top w:val="nil"/>
              <w:left w:val="single" w:sz="8" w:space="0" w:color="auto"/>
              <w:bottom w:val="nil"/>
              <w:right w:val="single" w:sz="8" w:space="0" w:color="auto"/>
            </w:tcBorders>
            <w:vAlign w:val="center"/>
          </w:tcPr>
          <w:p w:rsidR="00C67115" w:rsidRPr="0075497D" w:rsidRDefault="00C67115" w:rsidP="0075497D">
            <w:pPr>
              <w:pStyle w:val="Tablewriting"/>
              <w:jc w:val="center"/>
              <w:rPr>
                <w:sz w:val="22"/>
                <w:szCs w:val="22"/>
              </w:rPr>
            </w:pPr>
            <w:r w:rsidRPr="0075497D">
              <w:rPr>
                <w:sz w:val="22"/>
                <w:szCs w:val="22"/>
              </w:rPr>
              <w:t>2%</w:t>
            </w:r>
          </w:p>
        </w:tc>
        <w:tc>
          <w:tcPr>
            <w:tcW w:w="827" w:type="dxa"/>
            <w:tcBorders>
              <w:top w:val="nil"/>
              <w:left w:val="single" w:sz="8" w:space="0" w:color="auto"/>
              <w:bottom w:val="nil"/>
              <w:right w:val="single" w:sz="8" w:space="0" w:color="auto"/>
            </w:tcBorders>
            <w:shd w:val="clear" w:color="auto" w:fill="auto"/>
            <w:noWrap/>
            <w:vAlign w:val="center"/>
          </w:tcPr>
          <w:p w:rsidR="00C67115" w:rsidRPr="0075497D" w:rsidRDefault="00C67115" w:rsidP="0075497D">
            <w:pPr>
              <w:pStyle w:val="Tablewriting"/>
              <w:jc w:val="center"/>
              <w:rPr>
                <w:sz w:val="22"/>
                <w:szCs w:val="22"/>
              </w:rPr>
            </w:pPr>
            <w:r w:rsidRPr="0075497D">
              <w:rPr>
                <w:sz w:val="22"/>
                <w:szCs w:val="22"/>
              </w:rPr>
              <w:t>2%</w:t>
            </w:r>
          </w:p>
        </w:tc>
        <w:tc>
          <w:tcPr>
            <w:tcW w:w="827" w:type="dxa"/>
            <w:tcBorders>
              <w:top w:val="nil"/>
              <w:left w:val="single" w:sz="8" w:space="0" w:color="auto"/>
              <w:bottom w:val="nil"/>
              <w:right w:val="single" w:sz="8" w:space="0" w:color="auto"/>
            </w:tcBorders>
            <w:shd w:val="clear" w:color="auto" w:fill="auto"/>
            <w:noWrap/>
            <w:vAlign w:val="center"/>
          </w:tcPr>
          <w:p w:rsidR="00C67115" w:rsidRPr="0075497D" w:rsidRDefault="00C67115" w:rsidP="0075497D">
            <w:pPr>
              <w:pStyle w:val="Tablewriting"/>
              <w:jc w:val="center"/>
              <w:rPr>
                <w:sz w:val="22"/>
                <w:szCs w:val="22"/>
              </w:rPr>
            </w:pPr>
            <w:r w:rsidRPr="0075497D">
              <w:rPr>
                <w:sz w:val="22"/>
                <w:szCs w:val="22"/>
              </w:rPr>
              <w:t>12%</w:t>
            </w:r>
          </w:p>
        </w:tc>
      </w:tr>
      <w:tr w:rsidR="00C67115" w:rsidRPr="007501DD" w:rsidTr="0075497D">
        <w:trPr>
          <w:trHeight w:val="255"/>
          <w:jc w:val="center"/>
        </w:trPr>
        <w:tc>
          <w:tcPr>
            <w:tcW w:w="4213" w:type="dxa"/>
            <w:tcBorders>
              <w:top w:val="nil"/>
              <w:left w:val="single" w:sz="8" w:space="0" w:color="auto"/>
              <w:bottom w:val="single" w:sz="4" w:space="0" w:color="auto"/>
              <w:right w:val="single" w:sz="8" w:space="0" w:color="auto"/>
            </w:tcBorders>
            <w:shd w:val="clear" w:color="auto" w:fill="auto"/>
            <w:noWrap/>
            <w:hideMark/>
          </w:tcPr>
          <w:p w:rsidR="00C67115" w:rsidRPr="0075497D" w:rsidRDefault="00C67115" w:rsidP="006F292B">
            <w:pPr>
              <w:pStyle w:val="Tablewriting"/>
              <w:numPr>
                <w:ilvl w:val="0"/>
                <w:numId w:val="28"/>
              </w:numPr>
              <w:ind w:left="250" w:hanging="250"/>
              <w:rPr>
                <w:sz w:val="22"/>
                <w:szCs w:val="22"/>
              </w:rPr>
            </w:pPr>
            <w:r w:rsidRPr="0075497D">
              <w:rPr>
                <w:sz w:val="22"/>
                <w:szCs w:val="22"/>
              </w:rPr>
              <w:t>Neither metformin nor sulfonylurea supplied</w:t>
            </w:r>
          </w:p>
        </w:tc>
        <w:tc>
          <w:tcPr>
            <w:tcW w:w="826" w:type="dxa"/>
            <w:tcBorders>
              <w:top w:val="nil"/>
              <w:left w:val="single" w:sz="8" w:space="0" w:color="auto"/>
              <w:bottom w:val="single" w:sz="4" w:space="0" w:color="auto"/>
              <w:right w:val="single" w:sz="8" w:space="0" w:color="auto"/>
            </w:tcBorders>
            <w:vAlign w:val="center"/>
          </w:tcPr>
          <w:p w:rsidR="00C67115" w:rsidRPr="0075497D" w:rsidRDefault="00C67115" w:rsidP="0075497D">
            <w:pPr>
              <w:pStyle w:val="Tablewriting"/>
              <w:jc w:val="center"/>
              <w:rPr>
                <w:sz w:val="22"/>
                <w:szCs w:val="22"/>
              </w:rPr>
            </w:pPr>
            <w:r w:rsidRPr="0075497D">
              <w:rPr>
                <w:sz w:val="22"/>
                <w:szCs w:val="22"/>
              </w:rPr>
              <w:t>4%</w:t>
            </w:r>
          </w:p>
        </w:tc>
        <w:tc>
          <w:tcPr>
            <w:tcW w:w="827" w:type="dxa"/>
            <w:tcBorders>
              <w:top w:val="nil"/>
              <w:left w:val="single" w:sz="8" w:space="0" w:color="auto"/>
              <w:bottom w:val="single" w:sz="4" w:space="0" w:color="auto"/>
              <w:right w:val="single" w:sz="8" w:space="0" w:color="auto"/>
            </w:tcBorders>
            <w:vAlign w:val="center"/>
          </w:tcPr>
          <w:p w:rsidR="00C67115" w:rsidRPr="0075497D" w:rsidRDefault="00C67115" w:rsidP="0075497D">
            <w:pPr>
              <w:pStyle w:val="Tablewriting"/>
              <w:jc w:val="center"/>
              <w:rPr>
                <w:sz w:val="22"/>
                <w:szCs w:val="22"/>
              </w:rPr>
            </w:pPr>
            <w:r w:rsidRPr="0075497D">
              <w:rPr>
                <w:sz w:val="22"/>
                <w:szCs w:val="22"/>
              </w:rPr>
              <w:t>6%</w:t>
            </w:r>
          </w:p>
        </w:tc>
        <w:tc>
          <w:tcPr>
            <w:tcW w:w="827" w:type="dxa"/>
            <w:tcBorders>
              <w:top w:val="nil"/>
              <w:left w:val="single" w:sz="8" w:space="0" w:color="auto"/>
              <w:bottom w:val="single" w:sz="4" w:space="0" w:color="auto"/>
              <w:right w:val="single" w:sz="8" w:space="0" w:color="auto"/>
            </w:tcBorders>
            <w:vAlign w:val="center"/>
          </w:tcPr>
          <w:p w:rsidR="00C67115" w:rsidRPr="0075497D" w:rsidRDefault="00C67115" w:rsidP="0075497D">
            <w:pPr>
              <w:pStyle w:val="Tablewriting"/>
              <w:jc w:val="center"/>
              <w:rPr>
                <w:sz w:val="22"/>
                <w:szCs w:val="22"/>
              </w:rPr>
            </w:pPr>
            <w:r w:rsidRPr="0075497D">
              <w:rPr>
                <w:sz w:val="22"/>
                <w:szCs w:val="22"/>
              </w:rPr>
              <w:t>9%</w:t>
            </w:r>
          </w:p>
        </w:tc>
        <w:tc>
          <w:tcPr>
            <w:tcW w:w="827" w:type="dxa"/>
            <w:tcBorders>
              <w:top w:val="nil"/>
              <w:left w:val="single" w:sz="8" w:space="0" w:color="auto"/>
              <w:bottom w:val="single" w:sz="4" w:space="0" w:color="auto"/>
              <w:right w:val="single" w:sz="8" w:space="0" w:color="auto"/>
            </w:tcBorders>
            <w:vAlign w:val="center"/>
          </w:tcPr>
          <w:p w:rsidR="00C67115" w:rsidRPr="0075497D" w:rsidRDefault="00C67115" w:rsidP="0075497D">
            <w:pPr>
              <w:pStyle w:val="Tablewriting"/>
              <w:jc w:val="center"/>
              <w:rPr>
                <w:sz w:val="22"/>
                <w:szCs w:val="22"/>
              </w:rPr>
            </w:pPr>
            <w:r w:rsidRPr="0075497D">
              <w:rPr>
                <w:sz w:val="22"/>
                <w:szCs w:val="22"/>
              </w:rPr>
              <w:t>1%</w:t>
            </w:r>
          </w:p>
        </w:tc>
        <w:tc>
          <w:tcPr>
            <w:tcW w:w="827" w:type="dxa"/>
            <w:tcBorders>
              <w:top w:val="nil"/>
              <w:left w:val="single" w:sz="8" w:space="0" w:color="auto"/>
              <w:bottom w:val="single" w:sz="4" w:space="0" w:color="auto"/>
              <w:right w:val="single" w:sz="8" w:space="0" w:color="auto"/>
            </w:tcBorders>
            <w:shd w:val="clear" w:color="auto" w:fill="auto"/>
            <w:noWrap/>
            <w:vAlign w:val="center"/>
          </w:tcPr>
          <w:p w:rsidR="00C67115" w:rsidRPr="0075497D" w:rsidRDefault="00C67115" w:rsidP="0075497D">
            <w:pPr>
              <w:pStyle w:val="Tablewriting"/>
              <w:jc w:val="center"/>
              <w:rPr>
                <w:sz w:val="22"/>
                <w:szCs w:val="22"/>
              </w:rPr>
            </w:pPr>
            <w:r w:rsidRPr="0075497D">
              <w:rPr>
                <w:sz w:val="22"/>
                <w:szCs w:val="22"/>
              </w:rPr>
              <w:t>11%</w:t>
            </w:r>
          </w:p>
        </w:tc>
        <w:tc>
          <w:tcPr>
            <w:tcW w:w="827" w:type="dxa"/>
            <w:tcBorders>
              <w:top w:val="nil"/>
              <w:left w:val="single" w:sz="8" w:space="0" w:color="auto"/>
              <w:bottom w:val="single" w:sz="4" w:space="0" w:color="auto"/>
              <w:right w:val="single" w:sz="8" w:space="0" w:color="auto"/>
            </w:tcBorders>
            <w:shd w:val="clear" w:color="auto" w:fill="auto"/>
            <w:noWrap/>
            <w:vAlign w:val="center"/>
          </w:tcPr>
          <w:p w:rsidR="00C67115" w:rsidRPr="0075497D" w:rsidRDefault="00C67115" w:rsidP="0075497D">
            <w:pPr>
              <w:pStyle w:val="Tablewriting"/>
              <w:jc w:val="center"/>
              <w:rPr>
                <w:sz w:val="22"/>
                <w:szCs w:val="22"/>
              </w:rPr>
            </w:pPr>
            <w:r w:rsidRPr="0075497D">
              <w:rPr>
                <w:sz w:val="22"/>
                <w:szCs w:val="22"/>
              </w:rPr>
              <w:t>5%</w:t>
            </w:r>
          </w:p>
        </w:tc>
      </w:tr>
      <w:tr w:rsidR="00C67115" w:rsidRPr="007501DD" w:rsidTr="0075497D">
        <w:trPr>
          <w:trHeight w:val="255"/>
          <w:jc w:val="center"/>
        </w:trPr>
        <w:tc>
          <w:tcPr>
            <w:tcW w:w="4213" w:type="dxa"/>
            <w:tcBorders>
              <w:top w:val="single" w:sz="4" w:space="0" w:color="auto"/>
              <w:bottom w:val="nil"/>
            </w:tcBorders>
            <w:shd w:val="pct10" w:color="auto" w:fill="auto"/>
            <w:noWrap/>
          </w:tcPr>
          <w:p w:rsidR="00C67115" w:rsidRPr="0075497D" w:rsidRDefault="00C67115" w:rsidP="00492694">
            <w:pPr>
              <w:pStyle w:val="Tablewriting"/>
              <w:rPr>
                <w:sz w:val="22"/>
                <w:szCs w:val="22"/>
              </w:rPr>
            </w:pPr>
            <w:r w:rsidRPr="0075497D">
              <w:rPr>
                <w:sz w:val="22"/>
                <w:szCs w:val="22"/>
              </w:rPr>
              <w:t xml:space="preserve">Total histories </w:t>
            </w:r>
            <w:r w:rsidRPr="0075497D">
              <w:rPr>
                <w:b/>
                <w:sz w:val="22"/>
                <w:szCs w:val="22"/>
              </w:rPr>
              <w:t>containing</w:t>
            </w:r>
            <w:r w:rsidRPr="0075497D">
              <w:rPr>
                <w:sz w:val="22"/>
                <w:szCs w:val="22"/>
              </w:rPr>
              <w:t xml:space="preserve"> both metformin and a sulfonylurea </w:t>
            </w:r>
          </w:p>
        </w:tc>
        <w:tc>
          <w:tcPr>
            <w:tcW w:w="826" w:type="dxa"/>
            <w:tcBorders>
              <w:top w:val="single" w:sz="4" w:space="0" w:color="auto"/>
              <w:bottom w:val="nil"/>
            </w:tcBorders>
            <w:shd w:val="pct10" w:color="auto" w:fill="auto"/>
            <w:vAlign w:val="center"/>
          </w:tcPr>
          <w:p w:rsidR="00C67115" w:rsidRPr="0075497D" w:rsidRDefault="00C67115" w:rsidP="0075497D">
            <w:pPr>
              <w:pStyle w:val="Tablewriting"/>
              <w:jc w:val="center"/>
              <w:rPr>
                <w:sz w:val="22"/>
                <w:szCs w:val="22"/>
              </w:rPr>
            </w:pPr>
            <w:r w:rsidRPr="0075497D">
              <w:rPr>
                <w:sz w:val="22"/>
                <w:szCs w:val="22"/>
              </w:rPr>
              <w:t>51%</w:t>
            </w:r>
          </w:p>
        </w:tc>
        <w:tc>
          <w:tcPr>
            <w:tcW w:w="827" w:type="dxa"/>
            <w:tcBorders>
              <w:top w:val="single" w:sz="4" w:space="0" w:color="auto"/>
              <w:bottom w:val="nil"/>
            </w:tcBorders>
            <w:shd w:val="pct10" w:color="auto" w:fill="auto"/>
            <w:vAlign w:val="center"/>
          </w:tcPr>
          <w:p w:rsidR="00C67115" w:rsidRPr="0075497D" w:rsidRDefault="00C67115" w:rsidP="0075497D">
            <w:pPr>
              <w:pStyle w:val="Tablewriting"/>
              <w:jc w:val="center"/>
              <w:rPr>
                <w:sz w:val="22"/>
                <w:szCs w:val="22"/>
              </w:rPr>
            </w:pPr>
            <w:r w:rsidRPr="0075497D">
              <w:rPr>
                <w:sz w:val="22"/>
                <w:szCs w:val="22"/>
              </w:rPr>
              <w:t>45%</w:t>
            </w:r>
          </w:p>
        </w:tc>
        <w:tc>
          <w:tcPr>
            <w:tcW w:w="827" w:type="dxa"/>
            <w:tcBorders>
              <w:top w:val="single" w:sz="4" w:space="0" w:color="auto"/>
              <w:bottom w:val="nil"/>
            </w:tcBorders>
            <w:shd w:val="pct10" w:color="auto" w:fill="auto"/>
            <w:vAlign w:val="center"/>
          </w:tcPr>
          <w:p w:rsidR="00C67115" w:rsidRPr="0075497D" w:rsidRDefault="00C67115" w:rsidP="0075497D">
            <w:pPr>
              <w:pStyle w:val="Tablewriting"/>
              <w:jc w:val="center"/>
              <w:rPr>
                <w:sz w:val="22"/>
                <w:szCs w:val="22"/>
              </w:rPr>
            </w:pPr>
            <w:r w:rsidRPr="0075497D">
              <w:rPr>
                <w:sz w:val="22"/>
                <w:szCs w:val="22"/>
              </w:rPr>
              <w:t>73%</w:t>
            </w:r>
          </w:p>
        </w:tc>
        <w:tc>
          <w:tcPr>
            <w:tcW w:w="827" w:type="dxa"/>
            <w:tcBorders>
              <w:top w:val="single" w:sz="4" w:space="0" w:color="auto"/>
              <w:bottom w:val="nil"/>
            </w:tcBorders>
            <w:shd w:val="pct10" w:color="auto" w:fill="auto"/>
            <w:vAlign w:val="center"/>
          </w:tcPr>
          <w:p w:rsidR="00C67115" w:rsidRPr="0075497D" w:rsidRDefault="00C67115" w:rsidP="0075497D">
            <w:pPr>
              <w:pStyle w:val="Tablewriting"/>
              <w:jc w:val="center"/>
              <w:rPr>
                <w:sz w:val="22"/>
                <w:szCs w:val="22"/>
              </w:rPr>
            </w:pPr>
            <w:r w:rsidRPr="0075497D">
              <w:rPr>
                <w:sz w:val="22"/>
                <w:szCs w:val="22"/>
              </w:rPr>
              <w:t>80%</w:t>
            </w:r>
          </w:p>
        </w:tc>
        <w:tc>
          <w:tcPr>
            <w:tcW w:w="827" w:type="dxa"/>
            <w:tcBorders>
              <w:top w:val="single" w:sz="4" w:space="0" w:color="auto"/>
              <w:bottom w:val="nil"/>
            </w:tcBorders>
            <w:shd w:val="pct10" w:color="auto" w:fill="auto"/>
            <w:noWrap/>
            <w:vAlign w:val="center"/>
          </w:tcPr>
          <w:p w:rsidR="00C67115" w:rsidRPr="0075497D" w:rsidRDefault="00C67115" w:rsidP="0075497D">
            <w:pPr>
              <w:pStyle w:val="Tablewriting"/>
              <w:jc w:val="center"/>
              <w:rPr>
                <w:sz w:val="22"/>
                <w:szCs w:val="22"/>
              </w:rPr>
            </w:pPr>
            <w:r w:rsidRPr="0075497D">
              <w:rPr>
                <w:sz w:val="22"/>
                <w:szCs w:val="22"/>
              </w:rPr>
              <w:t>54%</w:t>
            </w:r>
          </w:p>
        </w:tc>
        <w:tc>
          <w:tcPr>
            <w:tcW w:w="827" w:type="dxa"/>
            <w:tcBorders>
              <w:top w:val="single" w:sz="4" w:space="0" w:color="auto"/>
              <w:bottom w:val="nil"/>
            </w:tcBorders>
            <w:shd w:val="pct10" w:color="auto" w:fill="auto"/>
            <w:noWrap/>
            <w:vAlign w:val="center"/>
          </w:tcPr>
          <w:p w:rsidR="00C67115" w:rsidRPr="0075497D" w:rsidRDefault="00C67115" w:rsidP="0075497D">
            <w:pPr>
              <w:pStyle w:val="Tablewriting"/>
              <w:jc w:val="center"/>
              <w:rPr>
                <w:sz w:val="22"/>
                <w:szCs w:val="22"/>
              </w:rPr>
            </w:pPr>
            <w:r w:rsidRPr="0075497D">
              <w:rPr>
                <w:sz w:val="22"/>
                <w:szCs w:val="22"/>
              </w:rPr>
              <w:t>61%</w:t>
            </w:r>
          </w:p>
        </w:tc>
      </w:tr>
      <w:tr w:rsidR="00C67115" w:rsidRPr="007501DD" w:rsidTr="0075497D">
        <w:trPr>
          <w:trHeight w:val="255"/>
          <w:jc w:val="center"/>
        </w:trPr>
        <w:tc>
          <w:tcPr>
            <w:tcW w:w="4213" w:type="dxa"/>
            <w:tcBorders>
              <w:top w:val="nil"/>
              <w:bottom w:val="nil"/>
            </w:tcBorders>
            <w:shd w:val="clear" w:color="auto" w:fill="auto"/>
            <w:noWrap/>
            <w:hideMark/>
          </w:tcPr>
          <w:p w:rsidR="00C67115" w:rsidRPr="0075497D" w:rsidRDefault="00C67115" w:rsidP="006F292B">
            <w:pPr>
              <w:pStyle w:val="Tablewriting"/>
              <w:numPr>
                <w:ilvl w:val="0"/>
                <w:numId w:val="28"/>
              </w:numPr>
              <w:ind w:left="250" w:hanging="250"/>
              <w:rPr>
                <w:sz w:val="22"/>
                <w:szCs w:val="22"/>
              </w:rPr>
            </w:pPr>
            <w:r w:rsidRPr="0075497D">
              <w:rPr>
                <w:sz w:val="22"/>
                <w:szCs w:val="22"/>
              </w:rPr>
              <w:t>Metformin and sul</w:t>
            </w:r>
            <w:r w:rsidR="00CB5510" w:rsidRPr="0075497D">
              <w:rPr>
                <w:sz w:val="22"/>
                <w:szCs w:val="22"/>
              </w:rPr>
              <w:t>fonylurea co</w:t>
            </w:r>
            <w:r w:rsidR="00CB5510" w:rsidRPr="0075497D">
              <w:rPr>
                <w:sz w:val="22"/>
                <w:szCs w:val="22"/>
              </w:rPr>
              <w:noBreakHyphen/>
              <w:t>administered for &gt;</w:t>
            </w:r>
            <w:r w:rsidRPr="0075497D">
              <w:rPr>
                <w:sz w:val="22"/>
                <w:szCs w:val="22"/>
              </w:rPr>
              <w:t>5 consecutive weeks</w:t>
            </w:r>
          </w:p>
        </w:tc>
        <w:tc>
          <w:tcPr>
            <w:tcW w:w="826" w:type="dxa"/>
            <w:tcBorders>
              <w:top w:val="nil"/>
              <w:bottom w:val="nil"/>
            </w:tcBorders>
            <w:vAlign w:val="center"/>
          </w:tcPr>
          <w:p w:rsidR="00C67115" w:rsidRPr="0075497D" w:rsidRDefault="00C67115" w:rsidP="0075497D">
            <w:pPr>
              <w:pStyle w:val="Tablewriting"/>
              <w:jc w:val="center"/>
              <w:rPr>
                <w:sz w:val="22"/>
                <w:szCs w:val="22"/>
              </w:rPr>
            </w:pPr>
            <w:r w:rsidRPr="0075497D">
              <w:rPr>
                <w:sz w:val="22"/>
                <w:szCs w:val="22"/>
              </w:rPr>
              <w:t>42%</w:t>
            </w:r>
          </w:p>
        </w:tc>
        <w:tc>
          <w:tcPr>
            <w:tcW w:w="827" w:type="dxa"/>
            <w:tcBorders>
              <w:top w:val="nil"/>
              <w:bottom w:val="nil"/>
            </w:tcBorders>
            <w:vAlign w:val="center"/>
          </w:tcPr>
          <w:p w:rsidR="00C67115" w:rsidRPr="0075497D" w:rsidRDefault="00C67115" w:rsidP="0075497D">
            <w:pPr>
              <w:pStyle w:val="Tablewriting"/>
              <w:jc w:val="center"/>
              <w:rPr>
                <w:sz w:val="22"/>
                <w:szCs w:val="22"/>
              </w:rPr>
            </w:pPr>
            <w:r w:rsidRPr="0075497D">
              <w:rPr>
                <w:sz w:val="22"/>
                <w:szCs w:val="22"/>
              </w:rPr>
              <w:t>38%</w:t>
            </w:r>
          </w:p>
        </w:tc>
        <w:tc>
          <w:tcPr>
            <w:tcW w:w="827" w:type="dxa"/>
            <w:tcBorders>
              <w:top w:val="nil"/>
              <w:bottom w:val="nil"/>
            </w:tcBorders>
            <w:vAlign w:val="center"/>
          </w:tcPr>
          <w:p w:rsidR="00C67115" w:rsidRPr="0075497D" w:rsidRDefault="00C67115" w:rsidP="0075497D">
            <w:pPr>
              <w:pStyle w:val="Tablewriting"/>
              <w:jc w:val="center"/>
              <w:rPr>
                <w:sz w:val="22"/>
                <w:szCs w:val="22"/>
              </w:rPr>
            </w:pPr>
            <w:r w:rsidRPr="0075497D">
              <w:rPr>
                <w:sz w:val="22"/>
                <w:szCs w:val="22"/>
              </w:rPr>
              <w:t>64%</w:t>
            </w:r>
          </w:p>
        </w:tc>
        <w:tc>
          <w:tcPr>
            <w:tcW w:w="827" w:type="dxa"/>
            <w:tcBorders>
              <w:top w:val="nil"/>
              <w:bottom w:val="nil"/>
            </w:tcBorders>
            <w:vAlign w:val="center"/>
          </w:tcPr>
          <w:p w:rsidR="00C67115" w:rsidRPr="0075497D" w:rsidRDefault="00C67115" w:rsidP="0075497D">
            <w:pPr>
              <w:pStyle w:val="Tablewriting"/>
              <w:jc w:val="center"/>
              <w:rPr>
                <w:sz w:val="22"/>
                <w:szCs w:val="22"/>
              </w:rPr>
            </w:pPr>
            <w:r w:rsidRPr="0075497D">
              <w:rPr>
                <w:sz w:val="22"/>
                <w:szCs w:val="22"/>
              </w:rPr>
              <w:t>62%</w:t>
            </w:r>
          </w:p>
        </w:tc>
        <w:tc>
          <w:tcPr>
            <w:tcW w:w="827" w:type="dxa"/>
            <w:tcBorders>
              <w:top w:val="nil"/>
              <w:bottom w:val="nil"/>
            </w:tcBorders>
            <w:shd w:val="clear" w:color="auto" w:fill="auto"/>
            <w:noWrap/>
            <w:vAlign w:val="center"/>
          </w:tcPr>
          <w:p w:rsidR="00C67115" w:rsidRPr="0075497D" w:rsidRDefault="00C67115" w:rsidP="0075497D">
            <w:pPr>
              <w:pStyle w:val="Tablewriting"/>
              <w:jc w:val="center"/>
              <w:rPr>
                <w:sz w:val="22"/>
                <w:szCs w:val="22"/>
              </w:rPr>
            </w:pPr>
            <w:r w:rsidRPr="0075497D">
              <w:rPr>
                <w:sz w:val="22"/>
                <w:szCs w:val="22"/>
              </w:rPr>
              <w:t>50%</w:t>
            </w:r>
          </w:p>
        </w:tc>
        <w:tc>
          <w:tcPr>
            <w:tcW w:w="827" w:type="dxa"/>
            <w:tcBorders>
              <w:top w:val="nil"/>
              <w:bottom w:val="nil"/>
            </w:tcBorders>
            <w:shd w:val="clear" w:color="auto" w:fill="auto"/>
            <w:noWrap/>
            <w:vAlign w:val="center"/>
          </w:tcPr>
          <w:p w:rsidR="00C67115" w:rsidRPr="0075497D" w:rsidRDefault="00C67115" w:rsidP="0075497D">
            <w:pPr>
              <w:pStyle w:val="Tablewriting"/>
              <w:jc w:val="center"/>
              <w:rPr>
                <w:sz w:val="22"/>
                <w:szCs w:val="22"/>
              </w:rPr>
            </w:pPr>
            <w:r w:rsidRPr="0075497D">
              <w:rPr>
                <w:sz w:val="22"/>
                <w:szCs w:val="22"/>
              </w:rPr>
              <w:t>46%</w:t>
            </w:r>
          </w:p>
        </w:tc>
      </w:tr>
      <w:tr w:rsidR="00C67115" w:rsidRPr="007501DD" w:rsidTr="0075497D">
        <w:trPr>
          <w:trHeight w:val="255"/>
          <w:jc w:val="center"/>
        </w:trPr>
        <w:tc>
          <w:tcPr>
            <w:tcW w:w="4213" w:type="dxa"/>
            <w:tcBorders>
              <w:top w:val="nil"/>
              <w:bottom w:val="nil"/>
            </w:tcBorders>
            <w:shd w:val="clear" w:color="auto" w:fill="auto"/>
            <w:noWrap/>
            <w:hideMark/>
          </w:tcPr>
          <w:p w:rsidR="00C67115" w:rsidRPr="0075497D" w:rsidRDefault="00C67115" w:rsidP="006F292B">
            <w:pPr>
              <w:pStyle w:val="Tablewriting"/>
              <w:numPr>
                <w:ilvl w:val="0"/>
                <w:numId w:val="28"/>
              </w:numPr>
              <w:ind w:left="250" w:hanging="250"/>
              <w:rPr>
                <w:sz w:val="22"/>
                <w:szCs w:val="22"/>
              </w:rPr>
            </w:pPr>
            <w:r w:rsidRPr="0075497D">
              <w:rPr>
                <w:sz w:val="22"/>
                <w:szCs w:val="22"/>
              </w:rPr>
              <w:t>Metformin and sulfonylurea co</w:t>
            </w:r>
            <w:r w:rsidRPr="0075497D">
              <w:rPr>
                <w:sz w:val="22"/>
                <w:szCs w:val="22"/>
              </w:rPr>
              <w:noBreakHyphen/>
              <w:t>administered from 1 to 5 consecutive weeks</w:t>
            </w:r>
          </w:p>
        </w:tc>
        <w:tc>
          <w:tcPr>
            <w:tcW w:w="826" w:type="dxa"/>
            <w:tcBorders>
              <w:top w:val="nil"/>
              <w:bottom w:val="nil"/>
            </w:tcBorders>
            <w:vAlign w:val="center"/>
          </w:tcPr>
          <w:p w:rsidR="00C67115" w:rsidRPr="0075497D" w:rsidRDefault="00C67115" w:rsidP="0075497D">
            <w:pPr>
              <w:pStyle w:val="Tablewriting"/>
              <w:jc w:val="center"/>
              <w:rPr>
                <w:sz w:val="22"/>
                <w:szCs w:val="22"/>
              </w:rPr>
            </w:pPr>
            <w:r w:rsidRPr="0075497D">
              <w:rPr>
                <w:sz w:val="22"/>
                <w:szCs w:val="22"/>
              </w:rPr>
              <w:t>2%</w:t>
            </w:r>
          </w:p>
        </w:tc>
        <w:tc>
          <w:tcPr>
            <w:tcW w:w="827" w:type="dxa"/>
            <w:tcBorders>
              <w:top w:val="nil"/>
              <w:bottom w:val="nil"/>
            </w:tcBorders>
            <w:vAlign w:val="center"/>
          </w:tcPr>
          <w:p w:rsidR="00C67115" w:rsidRPr="0075497D" w:rsidRDefault="00C67115" w:rsidP="0075497D">
            <w:pPr>
              <w:pStyle w:val="Tablewriting"/>
              <w:jc w:val="center"/>
              <w:rPr>
                <w:sz w:val="22"/>
                <w:szCs w:val="22"/>
              </w:rPr>
            </w:pPr>
            <w:r w:rsidRPr="0075497D">
              <w:rPr>
                <w:sz w:val="22"/>
                <w:szCs w:val="22"/>
              </w:rPr>
              <w:t>2%</w:t>
            </w:r>
          </w:p>
        </w:tc>
        <w:tc>
          <w:tcPr>
            <w:tcW w:w="827" w:type="dxa"/>
            <w:tcBorders>
              <w:top w:val="nil"/>
              <w:bottom w:val="nil"/>
            </w:tcBorders>
            <w:vAlign w:val="center"/>
          </w:tcPr>
          <w:p w:rsidR="00C67115" w:rsidRPr="0075497D" w:rsidRDefault="00C67115" w:rsidP="0075497D">
            <w:pPr>
              <w:pStyle w:val="Tablewriting"/>
              <w:jc w:val="center"/>
              <w:rPr>
                <w:sz w:val="22"/>
                <w:szCs w:val="22"/>
              </w:rPr>
            </w:pPr>
            <w:r w:rsidRPr="0075497D">
              <w:rPr>
                <w:sz w:val="22"/>
                <w:szCs w:val="22"/>
              </w:rPr>
              <w:t>2%</w:t>
            </w:r>
          </w:p>
        </w:tc>
        <w:tc>
          <w:tcPr>
            <w:tcW w:w="827" w:type="dxa"/>
            <w:tcBorders>
              <w:top w:val="nil"/>
              <w:bottom w:val="nil"/>
            </w:tcBorders>
            <w:vAlign w:val="center"/>
          </w:tcPr>
          <w:p w:rsidR="00C67115" w:rsidRPr="0075497D" w:rsidRDefault="00C67115" w:rsidP="0075497D">
            <w:pPr>
              <w:pStyle w:val="Tablewriting"/>
              <w:jc w:val="center"/>
              <w:rPr>
                <w:sz w:val="22"/>
                <w:szCs w:val="22"/>
              </w:rPr>
            </w:pPr>
            <w:r w:rsidRPr="0075497D">
              <w:rPr>
                <w:sz w:val="22"/>
                <w:szCs w:val="22"/>
              </w:rPr>
              <w:t>3%</w:t>
            </w:r>
          </w:p>
        </w:tc>
        <w:tc>
          <w:tcPr>
            <w:tcW w:w="827" w:type="dxa"/>
            <w:tcBorders>
              <w:top w:val="nil"/>
              <w:bottom w:val="nil"/>
            </w:tcBorders>
            <w:shd w:val="clear" w:color="auto" w:fill="auto"/>
            <w:noWrap/>
            <w:vAlign w:val="center"/>
          </w:tcPr>
          <w:p w:rsidR="00C67115" w:rsidRPr="0075497D" w:rsidRDefault="00C67115" w:rsidP="0075497D">
            <w:pPr>
              <w:pStyle w:val="Tablewriting"/>
              <w:jc w:val="center"/>
              <w:rPr>
                <w:sz w:val="22"/>
                <w:szCs w:val="22"/>
              </w:rPr>
            </w:pPr>
            <w:r w:rsidRPr="0075497D">
              <w:rPr>
                <w:sz w:val="22"/>
                <w:szCs w:val="22"/>
              </w:rPr>
              <w:t>0%</w:t>
            </w:r>
          </w:p>
        </w:tc>
        <w:tc>
          <w:tcPr>
            <w:tcW w:w="827" w:type="dxa"/>
            <w:tcBorders>
              <w:top w:val="nil"/>
              <w:bottom w:val="nil"/>
            </w:tcBorders>
            <w:shd w:val="clear" w:color="auto" w:fill="auto"/>
            <w:noWrap/>
            <w:vAlign w:val="center"/>
          </w:tcPr>
          <w:p w:rsidR="00C67115" w:rsidRPr="0075497D" w:rsidRDefault="00C67115" w:rsidP="0075497D">
            <w:pPr>
              <w:pStyle w:val="Tablewriting"/>
              <w:jc w:val="center"/>
              <w:rPr>
                <w:sz w:val="22"/>
                <w:szCs w:val="22"/>
              </w:rPr>
            </w:pPr>
            <w:r w:rsidRPr="0075497D">
              <w:rPr>
                <w:sz w:val="22"/>
                <w:szCs w:val="22"/>
              </w:rPr>
              <w:t>5%</w:t>
            </w:r>
          </w:p>
        </w:tc>
      </w:tr>
      <w:tr w:rsidR="00C67115" w:rsidRPr="007501DD" w:rsidTr="0075497D">
        <w:trPr>
          <w:trHeight w:val="255"/>
          <w:jc w:val="center"/>
        </w:trPr>
        <w:tc>
          <w:tcPr>
            <w:tcW w:w="4213" w:type="dxa"/>
            <w:tcBorders>
              <w:top w:val="nil"/>
              <w:bottom w:val="single" w:sz="4" w:space="0" w:color="auto"/>
            </w:tcBorders>
            <w:shd w:val="clear" w:color="auto" w:fill="auto"/>
            <w:noWrap/>
            <w:hideMark/>
          </w:tcPr>
          <w:p w:rsidR="00C67115" w:rsidRPr="0075497D" w:rsidRDefault="00C67115" w:rsidP="006F292B">
            <w:pPr>
              <w:pStyle w:val="Tablewriting"/>
              <w:numPr>
                <w:ilvl w:val="0"/>
                <w:numId w:val="28"/>
              </w:numPr>
              <w:ind w:left="250" w:hanging="250"/>
              <w:rPr>
                <w:sz w:val="22"/>
                <w:szCs w:val="22"/>
              </w:rPr>
            </w:pPr>
            <w:r w:rsidRPr="0075497D">
              <w:rPr>
                <w:sz w:val="22"/>
                <w:szCs w:val="22"/>
              </w:rPr>
              <w:t>Metformin and sulfonylurea supplied but not co</w:t>
            </w:r>
            <w:r w:rsidRPr="0075497D">
              <w:rPr>
                <w:sz w:val="22"/>
                <w:szCs w:val="22"/>
              </w:rPr>
              <w:noBreakHyphen/>
              <w:t>administered at any time</w:t>
            </w:r>
          </w:p>
        </w:tc>
        <w:tc>
          <w:tcPr>
            <w:tcW w:w="826" w:type="dxa"/>
            <w:tcBorders>
              <w:top w:val="nil"/>
              <w:bottom w:val="single" w:sz="4" w:space="0" w:color="auto"/>
            </w:tcBorders>
            <w:vAlign w:val="center"/>
          </w:tcPr>
          <w:p w:rsidR="00C67115" w:rsidRPr="0075497D" w:rsidRDefault="00C67115" w:rsidP="0075497D">
            <w:pPr>
              <w:pStyle w:val="Tablewriting"/>
              <w:jc w:val="center"/>
              <w:rPr>
                <w:sz w:val="22"/>
                <w:szCs w:val="22"/>
              </w:rPr>
            </w:pPr>
            <w:r w:rsidRPr="0075497D">
              <w:rPr>
                <w:sz w:val="22"/>
                <w:szCs w:val="22"/>
              </w:rPr>
              <w:t>7%</w:t>
            </w:r>
          </w:p>
        </w:tc>
        <w:tc>
          <w:tcPr>
            <w:tcW w:w="827" w:type="dxa"/>
            <w:tcBorders>
              <w:top w:val="nil"/>
              <w:bottom w:val="single" w:sz="4" w:space="0" w:color="auto"/>
            </w:tcBorders>
            <w:vAlign w:val="center"/>
          </w:tcPr>
          <w:p w:rsidR="00C67115" w:rsidRPr="0075497D" w:rsidRDefault="00C67115" w:rsidP="0075497D">
            <w:pPr>
              <w:pStyle w:val="Tablewriting"/>
              <w:jc w:val="center"/>
              <w:rPr>
                <w:sz w:val="22"/>
                <w:szCs w:val="22"/>
              </w:rPr>
            </w:pPr>
            <w:r w:rsidRPr="0075497D">
              <w:rPr>
                <w:sz w:val="22"/>
                <w:szCs w:val="22"/>
              </w:rPr>
              <w:t>5%</w:t>
            </w:r>
          </w:p>
        </w:tc>
        <w:tc>
          <w:tcPr>
            <w:tcW w:w="827" w:type="dxa"/>
            <w:tcBorders>
              <w:top w:val="nil"/>
              <w:bottom w:val="single" w:sz="4" w:space="0" w:color="auto"/>
            </w:tcBorders>
            <w:vAlign w:val="center"/>
          </w:tcPr>
          <w:p w:rsidR="00C67115" w:rsidRPr="0075497D" w:rsidRDefault="00C67115" w:rsidP="0075497D">
            <w:pPr>
              <w:pStyle w:val="Tablewriting"/>
              <w:jc w:val="center"/>
              <w:rPr>
                <w:sz w:val="22"/>
                <w:szCs w:val="22"/>
              </w:rPr>
            </w:pPr>
            <w:r w:rsidRPr="0075497D">
              <w:rPr>
                <w:sz w:val="22"/>
                <w:szCs w:val="22"/>
              </w:rPr>
              <w:t>7%</w:t>
            </w:r>
          </w:p>
        </w:tc>
        <w:tc>
          <w:tcPr>
            <w:tcW w:w="827" w:type="dxa"/>
            <w:tcBorders>
              <w:top w:val="nil"/>
              <w:bottom w:val="single" w:sz="4" w:space="0" w:color="auto"/>
            </w:tcBorders>
            <w:vAlign w:val="center"/>
          </w:tcPr>
          <w:p w:rsidR="00C67115" w:rsidRPr="0075497D" w:rsidRDefault="00C67115" w:rsidP="0075497D">
            <w:pPr>
              <w:pStyle w:val="Tablewriting"/>
              <w:jc w:val="center"/>
              <w:rPr>
                <w:sz w:val="22"/>
                <w:szCs w:val="22"/>
              </w:rPr>
            </w:pPr>
            <w:r w:rsidRPr="0075497D">
              <w:rPr>
                <w:sz w:val="22"/>
                <w:szCs w:val="22"/>
              </w:rPr>
              <w:t>15%</w:t>
            </w:r>
          </w:p>
        </w:tc>
        <w:tc>
          <w:tcPr>
            <w:tcW w:w="827" w:type="dxa"/>
            <w:tcBorders>
              <w:top w:val="nil"/>
              <w:bottom w:val="single" w:sz="4" w:space="0" w:color="auto"/>
            </w:tcBorders>
            <w:shd w:val="clear" w:color="auto" w:fill="auto"/>
            <w:noWrap/>
            <w:vAlign w:val="center"/>
          </w:tcPr>
          <w:p w:rsidR="00C67115" w:rsidRPr="0075497D" w:rsidRDefault="00C67115" w:rsidP="0075497D">
            <w:pPr>
              <w:pStyle w:val="Tablewriting"/>
              <w:jc w:val="center"/>
              <w:rPr>
                <w:sz w:val="22"/>
                <w:szCs w:val="22"/>
              </w:rPr>
            </w:pPr>
            <w:r w:rsidRPr="0075497D">
              <w:rPr>
                <w:sz w:val="22"/>
                <w:szCs w:val="22"/>
              </w:rPr>
              <w:t>4%</w:t>
            </w:r>
          </w:p>
        </w:tc>
        <w:tc>
          <w:tcPr>
            <w:tcW w:w="827" w:type="dxa"/>
            <w:tcBorders>
              <w:top w:val="nil"/>
              <w:bottom w:val="single" w:sz="4" w:space="0" w:color="auto"/>
            </w:tcBorders>
            <w:shd w:val="clear" w:color="auto" w:fill="auto"/>
            <w:noWrap/>
            <w:vAlign w:val="center"/>
          </w:tcPr>
          <w:p w:rsidR="00C67115" w:rsidRPr="0075497D" w:rsidRDefault="00C67115" w:rsidP="0075497D">
            <w:pPr>
              <w:pStyle w:val="Tablewriting"/>
              <w:jc w:val="center"/>
              <w:rPr>
                <w:sz w:val="22"/>
                <w:szCs w:val="22"/>
              </w:rPr>
            </w:pPr>
            <w:r w:rsidRPr="0075497D">
              <w:rPr>
                <w:sz w:val="22"/>
                <w:szCs w:val="22"/>
              </w:rPr>
              <w:t>10%</w:t>
            </w:r>
          </w:p>
        </w:tc>
      </w:tr>
    </w:tbl>
    <w:p w:rsidR="00C67115" w:rsidRDefault="00C67115" w:rsidP="00492694"/>
    <w:p w:rsidR="00C67115" w:rsidRPr="00417B3F" w:rsidRDefault="00417B3F" w:rsidP="00C85DA9">
      <w:pPr>
        <w:pStyle w:val="Heading3"/>
        <w:keepLines/>
      </w:pPr>
      <w:bookmarkStart w:id="258" w:name="_Toc382566495"/>
      <w:r w:rsidRPr="00417B3F">
        <w:lastRenderedPageBreak/>
        <w:t>4.4.</w:t>
      </w:r>
      <w:r w:rsidR="00C67115" w:rsidRPr="00417B3F">
        <w:t xml:space="preserve">4. </w:t>
      </w:r>
      <w:r w:rsidRPr="00417B3F">
        <w:t xml:space="preserve"> </w:t>
      </w:r>
      <w:r w:rsidR="00C67115" w:rsidRPr="00417B3F">
        <w:t>Co-administration</w:t>
      </w:r>
      <w:bookmarkEnd w:id="258"/>
    </w:p>
    <w:p w:rsidR="00417B3F" w:rsidRDefault="00C67115" w:rsidP="00C85DA9">
      <w:pPr>
        <w:pStyle w:val="BodyText1"/>
        <w:keepNext/>
        <w:keepLines/>
      </w:pPr>
      <w:r>
        <w:t xml:space="preserve">This analysis aimed to describe the medicine regimens of concessional patients who were supplied any diabetes medicine between February 2011 and May 2012. Throughout this period, the number of concessional </w:t>
      </w:r>
      <w:r w:rsidR="00056474">
        <w:t xml:space="preserve">patients on a </w:t>
      </w:r>
      <w:r w:rsidR="002772EC">
        <w:t>DPP-4 inhibitor</w:t>
      </w:r>
      <w:r w:rsidR="00056474">
        <w:t xml:space="preserve"> +</w:t>
      </w:r>
      <w:r>
        <w:t xml:space="preserve"> metformin FDC more than tripled, from around 5,000 patients to over 16,000 patients. In </w:t>
      </w:r>
      <w:r w:rsidRPr="00B93A3C">
        <w:t xml:space="preserve">the week beginning </w:t>
      </w:r>
      <w:r w:rsidR="00740024">
        <w:t>24</w:t>
      </w:r>
      <w:r w:rsidRPr="00B93A3C">
        <w:t xml:space="preserve"> May 2012 (the last week of the study period), </w:t>
      </w:r>
      <w:r>
        <w:t>84</w:t>
      </w:r>
      <w:r w:rsidRPr="00B93A3C">
        <w:t xml:space="preserve">% of </w:t>
      </w:r>
      <w:r>
        <w:t xml:space="preserve">diabetes </w:t>
      </w:r>
      <w:r w:rsidRPr="00B93A3C">
        <w:t>patients were using a regimen that did not contain a third line agent</w:t>
      </w:r>
      <w:r>
        <w:t>, and 61</w:t>
      </w:r>
      <w:r w:rsidRPr="00B93A3C">
        <w:t>%</w:t>
      </w:r>
      <w:r>
        <w:t xml:space="preserve"> of</w:t>
      </w:r>
      <w:r w:rsidRPr="00B93A3C">
        <w:t xml:space="preserve"> patients were using only metformin, a sulf</w:t>
      </w:r>
      <w:r>
        <w:t>onylurea, or both</w:t>
      </w:r>
      <w:r w:rsidRPr="00B93A3C">
        <w:t xml:space="preserve">. </w:t>
      </w:r>
      <w:r>
        <w:t>Almost</w:t>
      </w:r>
      <w:r w:rsidRPr="00B93A3C">
        <w:t xml:space="preserve"> 2%</w:t>
      </w:r>
      <w:r>
        <w:t xml:space="preserve"> of patients were using triple oral therapy involving metformin with a sulfonylurea and a </w:t>
      </w:r>
      <w:r w:rsidR="002772EC">
        <w:t>DPP-4 inhibitor</w:t>
      </w:r>
      <w:r>
        <w:t xml:space="preserve">, a regimen that does not comply with the PBS restrictions for </w:t>
      </w:r>
      <w:r w:rsidR="002772EC">
        <w:t>DPP-4 inhibitors</w:t>
      </w:r>
      <w:r>
        <w:t xml:space="preserve"> (data not shown). </w:t>
      </w:r>
    </w:p>
    <w:p w:rsidR="00C67115" w:rsidRDefault="00C67115" w:rsidP="00492694">
      <w:pPr>
        <w:pStyle w:val="BodyText1"/>
      </w:pPr>
      <w:r>
        <w:t xml:space="preserve">Regimens containing a </w:t>
      </w:r>
      <w:r w:rsidR="002772EC">
        <w:t>DPP-4 inhibitor</w:t>
      </w:r>
      <w:r>
        <w:t xml:space="preserve">, </w:t>
      </w:r>
      <w:r w:rsidR="006820B1">
        <w:t>TZD</w:t>
      </w:r>
      <w:r>
        <w:t xml:space="preserve"> or exenatide were then further assessed to determine compliance with PBS restrictions. Table </w:t>
      </w:r>
      <w:r w:rsidR="00CF7278">
        <w:t>4.</w:t>
      </w:r>
      <w:r>
        <w:t xml:space="preserve">7 shows the ten most common diabetes medicine regimens for concessional patients using a third line agent, with regimens non-compliant with the PBS restrictions highlighted. The total rate of compliance with PBS restrictions for medicine regimens that contain a </w:t>
      </w:r>
      <w:r w:rsidR="002772EC">
        <w:t>DPP-4 inhibitor</w:t>
      </w:r>
      <w:r>
        <w:t xml:space="preserve">, </w:t>
      </w:r>
      <w:r w:rsidR="006820B1">
        <w:t>TZD</w:t>
      </w:r>
      <w:r>
        <w:t xml:space="preserve"> or exenatide is presented in Table </w:t>
      </w:r>
      <w:r w:rsidR="00CF7278">
        <w:t>4.</w:t>
      </w:r>
      <w:r>
        <w:t>8.</w:t>
      </w:r>
    </w:p>
    <w:p w:rsidR="00C67115" w:rsidRDefault="00C67115" w:rsidP="00492694"/>
    <w:p w:rsidR="00C67115" w:rsidRPr="00CF7278" w:rsidRDefault="00C67115" w:rsidP="00492694">
      <w:pPr>
        <w:pStyle w:val="BodyText1"/>
        <w:rPr>
          <w:b/>
        </w:rPr>
      </w:pPr>
      <w:r w:rsidRPr="00CF7278">
        <w:rPr>
          <w:b/>
        </w:rPr>
        <w:t xml:space="preserve">Table </w:t>
      </w:r>
      <w:r w:rsidR="00417B3F" w:rsidRPr="00CF7278">
        <w:rPr>
          <w:b/>
        </w:rPr>
        <w:t>4.7.</w:t>
      </w:r>
      <w:r w:rsidRPr="00CF7278">
        <w:rPr>
          <w:b/>
        </w:rPr>
        <w:t xml:space="preserve"> Ten most common diabetes medicine regimens for concessional patients using a third line agent.</w:t>
      </w:r>
    </w:p>
    <w:tbl>
      <w:tblPr>
        <w:tblW w:w="710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5"/>
        <w:gridCol w:w="2268"/>
      </w:tblGrid>
      <w:tr w:rsidR="00C67115" w:rsidRPr="00C607DF" w:rsidTr="002772EC">
        <w:trPr>
          <w:trHeight w:val="255"/>
        </w:trPr>
        <w:tc>
          <w:tcPr>
            <w:tcW w:w="4835" w:type="dxa"/>
            <w:shd w:val="clear" w:color="auto" w:fill="BFBFBF"/>
            <w:noWrap/>
            <w:vAlign w:val="center"/>
          </w:tcPr>
          <w:p w:rsidR="00C67115" w:rsidRPr="00CF7278" w:rsidRDefault="00C67115" w:rsidP="00492694">
            <w:pPr>
              <w:rPr>
                <w:b/>
                <w:sz w:val="22"/>
                <w:szCs w:val="22"/>
              </w:rPr>
            </w:pPr>
            <w:r w:rsidRPr="00CF7278">
              <w:rPr>
                <w:b/>
                <w:sz w:val="22"/>
                <w:szCs w:val="22"/>
              </w:rPr>
              <w:t>Regimen</w:t>
            </w:r>
          </w:p>
        </w:tc>
        <w:tc>
          <w:tcPr>
            <w:tcW w:w="2268" w:type="dxa"/>
            <w:shd w:val="clear" w:color="auto" w:fill="BFBFBF"/>
            <w:noWrap/>
            <w:vAlign w:val="center"/>
          </w:tcPr>
          <w:p w:rsidR="00C67115" w:rsidRPr="00CF7278" w:rsidRDefault="00C67115" w:rsidP="00CF7278">
            <w:pPr>
              <w:jc w:val="center"/>
              <w:rPr>
                <w:b/>
                <w:sz w:val="22"/>
                <w:szCs w:val="22"/>
              </w:rPr>
            </w:pPr>
            <w:r w:rsidRPr="00CF7278">
              <w:rPr>
                <w:b/>
                <w:sz w:val="22"/>
                <w:szCs w:val="22"/>
              </w:rPr>
              <w:t>% of patients</w:t>
            </w:r>
          </w:p>
        </w:tc>
      </w:tr>
      <w:tr w:rsidR="00C67115" w:rsidRPr="00C607DF" w:rsidTr="002772EC">
        <w:trPr>
          <w:trHeight w:val="255"/>
        </w:trPr>
        <w:tc>
          <w:tcPr>
            <w:tcW w:w="4835" w:type="dxa"/>
            <w:shd w:val="clear" w:color="auto" w:fill="auto"/>
            <w:noWrap/>
            <w:vAlign w:val="center"/>
            <w:hideMark/>
          </w:tcPr>
          <w:p w:rsidR="00C67115" w:rsidRPr="00CF7278" w:rsidRDefault="00C67115" w:rsidP="00492694">
            <w:pPr>
              <w:rPr>
                <w:sz w:val="22"/>
                <w:szCs w:val="22"/>
              </w:rPr>
            </w:pPr>
            <w:r w:rsidRPr="00CF7278">
              <w:rPr>
                <w:sz w:val="22"/>
                <w:szCs w:val="22"/>
              </w:rPr>
              <w:t xml:space="preserve">Metformin + </w:t>
            </w:r>
            <w:r w:rsidR="002772EC">
              <w:rPr>
                <w:sz w:val="22"/>
                <w:szCs w:val="22"/>
              </w:rPr>
              <w:t>DPP-4 inhibitor</w:t>
            </w:r>
          </w:p>
        </w:tc>
        <w:tc>
          <w:tcPr>
            <w:tcW w:w="2268" w:type="dxa"/>
            <w:shd w:val="clear" w:color="auto" w:fill="auto"/>
            <w:noWrap/>
            <w:vAlign w:val="center"/>
            <w:hideMark/>
          </w:tcPr>
          <w:p w:rsidR="00C67115" w:rsidRPr="00CF7278" w:rsidRDefault="00C67115" w:rsidP="00CF7278">
            <w:pPr>
              <w:jc w:val="center"/>
              <w:rPr>
                <w:sz w:val="22"/>
                <w:szCs w:val="22"/>
              </w:rPr>
            </w:pPr>
            <w:r w:rsidRPr="00CF7278">
              <w:rPr>
                <w:sz w:val="22"/>
                <w:szCs w:val="22"/>
              </w:rPr>
              <w:t>36%</w:t>
            </w:r>
          </w:p>
        </w:tc>
      </w:tr>
      <w:tr w:rsidR="00C67115" w:rsidRPr="00C607DF" w:rsidTr="002772EC">
        <w:trPr>
          <w:trHeight w:val="255"/>
        </w:trPr>
        <w:tc>
          <w:tcPr>
            <w:tcW w:w="4835" w:type="dxa"/>
            <w:shd w:val="clear" w:color="auto" w:fill="D9D9D9"/>
            <w:noWrap/>
            <w:vAlign w:val="center"/>
            <w:hideMark/>
          </w:tcPr>
          <w:p w:rsidR="00C67115" w:rsidRPr="00CF7278" w:rsidRDefault="00C67115" w:rsidP="00492694">
            <w:pPr>
              <w:rPr>
                <w:sz w:val="22"/>
                <w:szCs w:val="22"/>
              </w:rPr>
            </w:pPr>
            <w:r w:rsidRPr="00CF7278">
              <w:rPr>
                <w:sz w:val="22"/>
                <w:szCs w:val="22"/>
              </w:rPr>
              <w:t xml:space="preserve">Metformin + Sulfonylurea + </w:t>
            </w:r>
            <w:r w:rsidR="002772EC">
              <w:rPr>
                <w:sz w:val="22"/>
                <w:szCs w:val="22"/>
              </w:rPr>
              <w:t>DPP-4 inhibitor</w:t>
            </w:r>
          </w:p>
        </w:tc>
        <w:tc>
          <w:tcPr>
            <w:tcW w:w="2268" w:type="dxa"/>
            <w:shd w:val="clear" w:color="auto" w:fill="D9D9D9"/>
            <w:noWrap/>
            <w:vAlign w:val="center"/>
            <w:hideMark/>
          </w:tcPr>
          <w:p w:rsidR="00C67115" w:rsidRPr="00CF7278" w:rsidRDefault="00C67115" w:rsidP="00CF7278">
            <w:pPr>
              <w:jc w:val="center"/>
              <w:rPr>
                <w:sz w:val="22"/>
                <w:szCs w:val="22"/>
              </w:rPr>
            </w:pPr>
            <w:r w:rsidRPr="00CF7278">
              <w:rPr>
                <w:sz w:val="22"/>
                <w:szCs w:val="22"/>
              </w:rPr>
              <w:t>12%</w:t>
            </w:r>
          </w:p>
        </w:tc>
      </w:tr>
      <w:tr w:rsidR="00C67115" w:rsidRPr="00C607DF" w:rsidTr="002772EC">
        <w:trPr>
          <w:trHeight w:val="255"/>
        </w:trPr>
        <w:tc>
          <w:tcPr>
            <w:tcW w:w="4835" w:type="dxa"/>
            <w:shd w:val="clear" w:color="auto" w:fill="auto"/>
            <w:noWrap/>
            <w:vAlign w:val="center"/>
            <w:hideMark/>
          </w:tcPr>
          <w:p w:rsidR="00C67115" w:rsidRPr="00CF7278" w:rsidRDefault="00C67115" w:rsidP="00492694">
            <w:pPr>
              <w:rPr>
                <w:sz w:val="22"/>
                <w:szCs w:val="22"/>
              </w:rPr>
            </w:pPr>
            <w:r w:rsidRPr="00CF7278">
              <w:rPr>
                <w:sz w:val="22"/>
                <w:szCs w:val="22"/>
              </w:rPr>
              <w:t>Metformin + Sulfonylurea + Pioglitazone</w:t>
            </w:r>
          </w:p>
        </w:tc>
        <w:tc>
          <w:tcPr>
            <w:tcW w:w="2268" w:type="dxa"/>
            <w:shd w:val="clear" w:color="auto" w:fill="auto"/>
            <w:noWrap/>
            <w:vAlign w:val="center"/>
            <w:hideMark/>
          </w:tcPr>
          <w:p w:rsidR="00C67115" w:rsidRPr="00CF7278" w:rsidRDefault="00C67115" w:rsidP="00CF7278">
            <w:pPr>
              <w:jc w:val="center"/>
              <w:rPr>
                <w:sz w:val="22"/>
                <w:szCs w:val="22"/>
              </w:rPr>
            </w:pPr>
            <w:r w:rsidRPr="00CF7278">
              <w:rPr>
                <w:sz w:val="22"/>
                <w:szCs w:val="22"/>
              </w:rPr>
              <w:t>12%</w:t>
            </w:r>
          </w:p>
        </w:tc>
      </w:tr>
      <w:tr w:rsidR="00C67115" w:rsidRPr="00C607DF" w:rsidTr="002772EC">
        <w:trPr>
          <w:trHeight w:val="255"/>
        </w:trPr>
        <w:tc>
          <w:tcPr>
            <w:tcW w:w="4835" w:type="dxa"/>
            <w:shd w:val="clear" w:color="auto" w:fill="auto"/>
            <w:noWrap/>
            <w:vAlign w:val="center"/>
            <w:hideMark/>
          </w:tcPr>
          <w:p w:rsidR="00C67115" w:rsidRPr="00CF7278" w:rsidRDefault="00C67115" w:rsidP="00492694">
            <w:pPr>
              <w:rPr>
                <w:sz w:val="22"/>
                <w:szCs w:val="22"/>
              </w:rPr>
            </w:pPr>
            <w:r w:rsidRPr="00CF7278">
              <w:rPr>
                <w:sz w:val="22"/>
                <w:szCs w:val="22"/>
              </w:rPr>
              <w:t xml:space="preserve">Sulfonylurea + </w:t>
            </w:r>
            <w:r w:rsidR="002772EC">
              <w:rPr>
                <w:sz w:val="22"/>
                <w:szCs w:val="22"/>
              </w:rPr>
              <w:t>DPP-4 inhibitor</w:t>
            </w:r>
          </w:p>
        </w:tc>
        <w:tc>
          <w:tcPr>
            <w:tcW w:w="2268" w:type="dxa"/>
            <w:shd w:val="clear" w:color="auto" w:fill="auto"/>
            <w:noWrap/>
            <w:vAlign w:val="center"/>
            <w:hideMark/>
          </w:tcPr>
          <w:p w:rsidR="00C67115" w:rsidRPr="00CF7278" w:rsidRDefault="00C67115" w:rsidP="00CF7278">
            <w:pPr>
              <w:jc w:val="center"/>
              <w:rPr>
                <w:sz w:val="22"/>
                <w:szCs w:val="22"/>
              </w:rPr>
            </w:pPr>
            <w:r w:rsidRPr="00CF7278">
              <w:rPr>
                <w:sz w:val="22"/>
                <w:szCs w:val="22"/>
              </w:rPr>
              <w:t>8%</w:t>
            </w:r>
          </w:p>
        </w:tc>
      </w:tr>
      <w:tr w:rsidR="00C67115" w:rsidRPr="00C607DF" w:rsidTr="002772EC">
        <w:trPr>
          <w:trHeight w:val="255"/>
        </w:trPr>
        <w:tc>
          <w:tcPr>
            <w:tcW w:w="4835" w:type="dxa"/>
            <w:shd w:val="clear" w:color="auto" w:fill="D9D9D9"/>
            <w:noWrap/>
            <w:vAlign w:val="center"/>
            <w:hideMark/>
          </w:tcPr>
          <w:p w:rsidR="00C67115" w:rsidRPr="00CF7278" w:rsidRDefault="002772EC" w:rsidP="00492694">
            <w:pPr>
              <w:rPr>
                <w:sz w:val="22"/>
                <w:szCs w:val="22"/>
              </w:rPr>
            </w:pPr>
            <w:r>
              <w:rPr>
                <w:sz w:val="22"/>
                <w:szCs w:val="22"/>
              </w:rPr>
              <w:t>DPP-4 inhibitor</w:t>
            </w:r>
          </w:p>
        </w:tc>
        <w:tc>
          <w:tcPr>
            <w:tcW w:w="2268" w:type="dxa"/>
            <w:shd w:val="clear" w:color="auto" w:fill="D9D9D9"/>
            <w:noWrap/>
            <w:vAlign w:val="center"/>
            <w:hideMark/>
          </w:tcPr>
          <w:p w:rsidR="00C67115" w:rsidRPr="00CF7278" w:rsidRDefault="00C67115" w:rsidP="00CF7278">
            <w:pPr>
              <w:jc w:val="center"/>
              <w:rPr>
                <w:sz w:val="22"/>
                <w:szCs w:val="22"/>
              </w:rPr>
            </w:pPr>
            <w:r w:rsidRPr="00CF7278">
              <w:rPr>
                <w:sz w:val="22"/>
                <w:szCs w:val="22"/>
              </w:rPr>
              <w:t>4%</w:t>
            </w:r>
          </w:p>
        </w:tc>
      </w:tr>
      <w:tr w:rsidR="00C67115" w:rsidRPr="00C607DF" w:rsidTr="002772EC">
        <w:trPr>
          <w:trHeight w:val="255"/>
        </w:trPr>
        <w:tc>
          <w:tcPr>
            <w:tcW w:w="4835" w:type="dxa"/>
            <w:shd w:val="clear" w:color="auto" w:fill="auto"/>
            <w:noWrap/>
            <w:vAlign w:val="center"/>
            <w:hideMark/>
          </w:tcPr>
          <w:p w:rsidR="00C67115" w:rsidRPr="00CF7278" w:rsidRDefault="00C67115" w:rsidP="00492694">
            <w:pPr>
              <w:rPr>
                <w:sz w:val="22"/>
                <w:szCs w:val="22"/>
              </w:rPr>
            </w:pPr>
            <w:r w:rsidRPr="00CF7278">
              <w:rPr>
                <w:sz w:val="22"/>
                <w:szCs w:val="22"/>
              </w:rPr>
              <w:t>Metformin + Pioglitazone</w:t>
            </w:r>
          </w:p>
        </w:tc>
        <w:tc>
          <w:tcPr>
            <w:tcW w:w="2268" w:type="dxa"/>
            <w:shd w:val="clear" w:color="auto" w:fill="auto"/>
            <w:noWrap/>
            <w:vAlign w:val="center"/>
            <w:hideMark/>
          </w:tcPr>
          <w:p w:rsidR="00C67115" w:rsidRPr="00CF7278" w:rsidRDefault="00C67115" w:rsidP="00CF7278">
            <w:pPr>
              <w:jc w:val="center"/>
              <w:rPr>
                <w:sz w:val="22"/>
                <w:szCs w:val="22"/>
              </w:rPr>
            </w:pPr>
            <w:r w:rsidRPr="00CF7278">
              <w:rPr>
                <w:sz w:val="22"/>
                <w:szCs w:val="22"/>
              </w:rPr>
              <w:t>4%</w:t>
            </w:r>
          </w:p>
        </w:tc>
      </w:tr>
      <w:tr w:rsidR="00C67115" w:rsidRPr="00C607DF" w:rsidTr="002772EC">
        <w:trPr>
          <w:trHeight w:val="255"/>
        </w:trPr>
        <w:tc>
          <w:tcPr>
            <w:tcW w:w="4835" w:type="dxa"/>
            <w:shd w:val="clear" w:color="auto" w:fill="auto"/>
            <w:noWrap/>
            <w:vAlign w:val="center"/>
            <w:hideMark/>
          </w:tcPr>
          <w:p w:rsidR="00C67115" w:rsidRPr="00CF7278" w:rsidRDefault="00C67115" w:rsidP="00492694">
            <w:pPr>
              <w:rPr>
                <w:sz w:val="22"/>
                <w:szCs w:val="22"/>
              </w:rPr>
            </w:pPr>
            <w:r w:rsidRPr="00CF7278">
              <w:rPr>
                <w:sz w:val="22"/>
                <w:szCs w:val="22"/>
              </w:rPr>
              <w:t>Sulfonylurea + Pioglitazone</w:t>
            </w:r>
          </w:p>
        </w:tc>
        <w:tc>
          <w:tcPr>
            <w:tcW w:w="2268" w:type="dxa"/>
            <w:shd w:val="clear" w:color="auto" w:fill="auto"/>
            <w:noWrap/>
            <w:vAlign w:val="center"/>
            <w:hideMark/>
          </w:tcPr>
          <w:p w:rsidR="00C67115" w:rsidRPr="00CF7278" w:rsidRDefault="00C67115" w:rsidP="00CF7278">
            <w:pPr>
              <w:jc w:val="center"/>
              <w:rPr>
                <w:sz w:val="22"/>
                <w:szCs w:val="22"/>
              </w:rPr>
            </w:pPr>
            <w:r w:rsidRPr="00CF7278">
              <w:rPr>
                <w:sz w:val="22"/>
                <w:szCs w:val="22"/>
              </w:rPr>
              <w:t>3%</w:t>
            </w:r>
          </w:p>
        </w:tc>
      </w:tr>
      <w:tr w:rsidR="00C67115" w:rsidRPr="00C607DF" w:rsidTr="002772EC">
        <w:trPr>
          <w:trHeight w:val="255"/>
        </w:trPr>
        <w:tc>
          <w:tcPr>
            <w:tcW w:w="4835" w:type="dxa"/>
            <w:shd w:val="clear" w:color="auto" w:fill="D9D9D9"/>
            <w:noWrap/>
            <w:vAlign w:val="center"/>
            <w:hideMark/>
          </w:tcPr>
          <w:p w:rsidR="00C67115" w:rsidRPr="00CF7278" w:rsidRDefault="00C67115" w:rsidP="00492694">
            <w:pPr>
              <w:rPr>
                <w:sz w:val="22"/>
                <w:szCs w:val="22"/>
              </w:rPr>
            </w:pPr>
            <w:r w:rsidRPr="00CF7278">
              <w:rPr>
                <w:sz w:val="22"/>
                <w:szCs w:val="22"/>
              </w:rPr>
              <w:t xml:space="preserve">Metformin + </w:t>
            </w:r>
            <w:r w:rsidR="002772EC">
              <w:rPr>
                <w:sz w:val="22"/>
                <w:szCs w:val="22"/>
              </w:rPr>
              <w:t>DPP-4 inhibitor</w:t>
            </w:r>
            <w:r w:rsidRPr="00CF7278">
              <w:rPr>
                <w:sz w:val="22"/>
                <w:szCs w:val="22"/>
              </w:rPr>
              <w:t xml:space="preserve"> + Insulin</w:t>
            </w:r>
          </w:p>
        </w:tc>
        <w:tc>
          <w:tcPr>
            <w:tcW w:w="2268" w:type="dxa"/>
            <w:shd w:val="clear" w:color="auto" w:fill="D9D9D9"/>
            <w:noWrap/>
            <w:vAlign w:val="center"/>
            <w:hideMark/>
          </w:tcPr>
          <w:p w:rsidR="00C67115" w:rsidRPr="00CF7278" w:rsidRDefault="00C67115" w:rsidP="00CF7278">
            <w:pPr>
              <w:jc w:val="center"/>
              <w:rPr>
                <w:sz w:val="22"/>
                <w:szCs w:val="22"/>
              </w:rPr>
            </w:pPr>
            <w:r w:rsidRPr="00CF7278">
              <w:rPr>
                <w:sz w:val="22"/>
                <w:szCs w:val="22"/>
              </w:rPr>
              <w:t>3%</w:t>
            </w:r>
          </w:p>
        </w:tc>
      </w:tr>
      <w:tr w:rsidR="00C67115" w:rsidRPr="00C607DF" w:rsidTr="002772EC">
        <w:trPr>
          <w:trHeight w:val="255"/>
        </w:trPr>
        <w:tc>
          <w:tcPr>
            <w:tcW w:w="4835" w:type="dxa"/>
            <w:shd w:val="clear" w:color="auto" w:fill="auto"/>
            <w:noWrap/>
            <w:vAlign w:val="center"/>
            <w:hideMark/>
          </w:tcPr>
          <w:p w:rsidR="00C67115" w:rsidRPr="00CF7278" w:rsidRDefault="00C67115" w:rsidP="00492694">
            <w:pPr>
              <w:rPr>
                <w:sz w:val="22"/>
                <w:szCs w:val="22"/>
              </w:rPr>
            </w:pPr>
            <w:r w:rsidRPr="00CF7278">
              <w:rPr>
                <w:sz w:val="22"/>
                <w:szCs w:val="22"/>
              </w:rPr>
              <w:t>Metformin + Sulfonylurea + Exenatide</w:t>
            </w:r>
          </w:p>
        </w:tc>
        <w:tc>
          <w:tcPr>
            <w:tcW w:w="2268" w:type="dxa"/>
            <w:shd w:val="clear" w:color="auto" w:fill="auto"/>
            <w:noWrap/>
            <w:vAlign w:val="center"/>
            <w:hideMark/>
          </w:tcPr>
          <w:p w:rsidR="00C67115" w:rsidRPr="00CF7278" w:rsidRDefault="00C67115" w:rsidP="00CF7278">
            <w:pPr>
              <w:jc w:val="center"/>
              <w:rPr>
                <w:sz w:val="22"/>
                <w:szCs w:val="22"/>
              </w:rPr>
            </w:pPr>
            <w:r w:rsidRPr="00CF7278">
              <w:rPr>
                <w:sz w:val="22"/>
                <w:szCs w:val="22"/>
              </w:rPr>
              <w:t>2%</w:t>
            </w:r>
          </w:p>
        </w:tc>
      </w:tr>
      <w:tr w:rsidR="00C67115" w:rsidRPr="00C607DF" w:rsidTr="002772EC">
        <w:trPr>
          <w:trHeight w:val="255"/>
        </w:trPr>
        <w:tc>
          <w:tcPr>
            <w:tcW w:w="4835" w:type="dxa"/>
            <w:shd w:val="clear" w:color="auto" w:fill="D9D9D9"/>
            <w:noWrap/>
            <w:vAlign w:val="center"/>
            <w:hideMark/>
          </w:tcPr>
          <w:p w:rsidR="00C67115" w:rsidRPr="00CF7278" w:rsidRDefault="00C67115" w:rsidP="00492694">
            <w:pPr>
              <w:rPr>
                <w:sz w:val="22"/>
                <w:szCs w:val="22"/>
              </w:rPr>
            </w:pPr>
            <w:r w:rsidRPr="00CF7278">
              <w:rPr>
                <w:sz w:val="22"/>
                <w:szCs w:val="22"/>
              </w:rPr>
              <w:t>Pioglitazone</w:t>
            </w:r>
          </w:p>
        </w:tc>
        <w:tc>
          <w:tcPr>
            <w:tcW w:w="2268" w:type="dxa"/>
            <w:shd w:val="clear" w:color="auto" w:fill="D9D9D9"/>
            <w:noWrap/>
            <w:vAlign w:val="center"/>
            <w:hideMark/>
          </w:tcPr>
          <w:p w:rsidR="00C67115" w:rsidRPr="00CF7278" w:rsidRDefault="00C67115" w:rsidP="00CF7278">
            <w:pPr>
              <w:jc w:val="center"/>
              <w:rPr>
                <w:sz w:val="22"/>
                <w:szCs w:val="22"/>
              </w:rPr>
            </w:pPr>
            <w:r w:rsidRPr="00CF7278">
              <w:rPr>
                <w:sz w:val="22"/>
                <w:szCs w:val="22"/>
              </w:rPr>
              <w:t>2%</w:t>
            </w:r>
          </w:p>
        </w:tc>
      </w:tr>
      <w:tr w:rsidR="00C67115" w:rsidRPr="00C607DF" w:rsidTr="002772EC">
        <w:trPr>
          <w:trHeight w:val="255"/>
        </w:trPr>
        <w:tc>
          <w:tcPr>
            <w:tcW w:w="4835" w:type="dxa"/>
            <w:shd w:val="clear" w:color="auto" w:fill="auto"/>
            <w:noWrap/>
            <w:vAlign w:val="center"/>
            <w:hideMark/>
          </w:tcPr>
          <w:p w:rsidR="00C67115" w:rsidRPr="00CF7278" w:rsidRDefault="00C67115" w:rsidP="00492694">
            <w:pPr>
              <w:rPr>
                <w:sz w:val="22"/>
                <w:szCs w:val="22"/>
              </w:rPr>
            </w:pPr>
            <w:r w:rsidRPr="00CF7278">
              <w:rPr>
                <w:sz w:val="22"/>
                <w:szCs w:val="22"/>
              </w:rPr>
              <w:t>Other regimens</w:t>
            </w:r>
          </w:p>
        </w:tc>
        <w:tc>
          <w:tcPr>
            <w:tcW w:w="2268" w:type="dxa"/>
            <w:shd w:val="clear" w:color="auto" w:fill="auto"/>
            <w:noWrap/>
            <w:vAlign w:val="center"/>
            <w:hideMark/>
          </w:tcPr>
          <w:p w:rsidR="00C67115" w:rsidRPr="00CF7278" w:rsidRDefault="00C67115" w:rsidP="00CF7278">
            <w:pPr>
              <w:jc w:val="center"/>
              <w:rPr>
                <w:sz w:val="22"/>
                <w:szCs w:val="22"/>
              </w:rPr>
            </w:pPr>
            <w:r w:rsidRPr="00CF7278">
              <w:rPr>
                <w:sz w:val="22"/>
                <w:szCs w:val="22"/>
              </w:rPr>
              <w:t>14%</w:t>
            </w:r>
          </w:p>
        </w:tc>
      </w:tr>
    </w:tbl>
    <w:p w:rsidR="00C67115" w:rsidRDefault="00C67115" w:rsidP="00646887">
      <w:pPr>
        <w:pStyle w:val="Notes"/>
      </w:pPr>
      <w:r>
        <w:t xml:space="preserve">Notes: </w:t>
      </w:r>
      <w:r>
        <w:tab/>
        <w:t xml:space="preserve">Data from week beginning </w:t>
      </w:r>
      <w:r w:rsidR="00740024">
        <w:t>24</w:t>
      </w:r>
      <w:r>
        <w:t xml:space="preserve"> May 2012. FDCs considered by their constituent medicines. Regimens non-compliant with PBS restrictions highlighted.</w:t>
      </w:r>
    </w:p>
    <w:p w:rsidR="00C67115" w:rsidRDefault="00C67115" w:rsidP="00492694"/>
    <w:p w:rsidR="00C67115" w:rsidRPr="00CF7278" w:rsidRDefault="00C67115" w:rsidP="00492694">
      <w:pPr>
        <w:pStyle w:val="BodyText1"/>
        <w:rPr>
          <w:b/>
        </w:rPr>
      </w:pPr>
      <w:r w:rsidRPr="00CF7278">
        <w:rPr>
          <w:b/>
        </w:rPr>
        <w:lastRenderedPageBreak/>
        <w:t xml:space="preserve">Table </w:t>
      </w:r>
      <w:r w:rsidR="00417B3F" w:rsidRPr="00CF7278">
        <w:rPr>
          <w:b/>
        </w:rPr>
        <w:t>4.8.</w:t>
      </w:r>
      <w:r w:rsidRPr="00CF7278">
        <w:rPr>
          <w:b/>
        </w:rPr>
        <w:t xml:space="preserve"> Patients on regimens containing a third line agent and the proportion that comply or do not comply with PBS restrictions for co</w:t>
      </w:r>
      <w:r w:rsidRPr="00CF7278">
        <w:rPr>
          <w:b/>
        </w:rPr>
        <w:noBreakHyphen/>
        <w:t>administered medicines (including a breakdown of non-compliant regimens).</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71"/>
        <w:gridCol w:w="1275"/>
        <w:gridCol w:w="1560"/>
      </w:tblGrid>
      <w:tr w:rsidR="00E46C82" w:rsidRPr="007501DD" w:rsidTr="0093424D">
        <w:trPr>
          <w:tblHeader/>
        </w:trPr>
        <w:tc>
          <w:tcPr>
            <w:tcW w:w="6771" w:type="dxa"/>
            <w:shd w:val="clear" w:color="auto" w:fill="A6A6A6"/>
          </w:tcPr>
          <w:p w:rsidR="00E46C82" w:rsidRPr="00CF7278" w:rsidRDefault="00E46C82" w:rsidP="00492694">
            <w:pPr>
              <w:pStyle w:val="Tableheading"/>
              <w:rPr>
                <w:sz w:val="22"/>
                <w:szCs w:val="22"/>
              </w:rPr>
            </w:pPr>
            <w:r w:rsidRPr="00CF7278">
              <w:rPr>
                <w:sz w:val="22"/>
                <w:szCs w:val="22"/>
              </w:rPr>
              <w:t>PBS restriction compliance status</w:t>
            </w:r>
          </w:p>
        </w:tc>
        <w:tc>
          <w:tcPr>
            <w:tcW w:w="1275" w:type="dxa"/>
            <w:shd w:val="clear" w:color="auto" w:fill="A6A6A6"/>
          </w:tcPr>
          <w:p w:rsidR="00E46C82" w:rsidRPr="00CF7278" w:rsidRDefault="00E46C82" w:rsidP="00CF7278">
            <w:pPr>
              <w:pStyle w:val="Tableheading"/>
              <w:rPr>
                <w:sz w:val="22"/>
                <w:szCs w:val="22"/>
              </w:rPr>
            </w:pPr>
            <w:r>
              <w:rPr>
                <w:sz w:val="22"/>
                <w:szCs w:val="22"/>
              </w:rPr>
              <w:t>No. of patients</w:t>
            </w:r>
          </w:p>
        </w:tc>
        <w:tc>
          <w:tcPr>
            <w:tcW w:w="1560" w:type="dxa"/>
            <w:shd w:val="clear" w:color="auto" w:fill="A6A6A6"/>
            <w:vAlign w:val="center"/>
          </w:tcPr>
          <w:p w:rsidR="00E46C82" w:rsidRPr="00CF7278" w:rsidRDefault="00E46C82" w:rsidP="00CF7278">
            <w:pPr>
              <w:pStyle w:val="Tableheading"/>
              <w:rPr>
                <w:sz w:val="22"/>
                <w:szCs w:val="22"/>
              </w:rPr>
            </w:pPr>
            <w:r w:rsidRPr="00CF7278">
              <w:rPr>
                <w:sz w:val="22"/>
                <w:szCs w:val="22"/>
              </w:rPr>
              <w:t>% of patient regimens</w:t>
            </w:r>
          </w:p>
        </w:tc>
      </w:tr>
      <w:tr w:rsidR="00E46C82" w:rsidRPr="007501DD" w:rsidTr="0093424D">
        <w:tc>
          <w:tcPr>
            <w:tcW w:w="6771" w:type="dxa"/>
            <w:shd w:val="clear" w:color="auto" w:fill="D9D9D9"/>
            <w:vAlign w:val="center"/>
          </w:tcPr>
          <w:p w:rsidR="00E46C82" w:rsidRPr="00CF7278" w:rsidRDefault="00E46C82" w:rsidP="00492694">
            <w:pPr>
              <w:pStyle w:val="Tablewriting"/>
              <w:rPr>
                <w:sz w:val="22"/>
                <w:szCs w:val="22"/>
              </w:rPr>
            </w:pPr>
            <w:r w:rsidRPr="00CF7278">
              <w:rPr>
                <w:sz w:val="22"/>
                <w:szCs w:val="22"/>
              </w:rPr>
              <w:t>Compliant (total)</w:t>
            </w:r>
          </w:p>
        </w:tc>
        <w:tc>
          <w:tcPr>
            <w:tcW w:w="1275" w:type="dxa"/>
            <w:shd w:val="clear" w:color="auto" w:fill="D9D9D9"/>
            <w:vAlign w:val="center"/>
          </w:tcPr>
          <w:p w:rsidR="00E46C82" w:rsidRPr="00CF7278" w:rsidRDefault="00740024">
            <w:pPr>
              <w:pStyle w:val="Tablewriting"/>
              <w:jc w:val="center"/>
              <w:rPr>
                <w:sz w:val="22"/>
                <w:szCs w:val="22"/>
              </w:rPr>
            </w:pPr>
            <w:r>
              <w:rPr>
                <w:sz w:val="22"/>
                <w:szCs w:val="22"/>
              </w:rPr>
              <w:t>57,317</w:t>
            </w:r>
          </w:p>
        </w:tc>
        <w:tc>
          <w:tcPr>
            <w:tcW w:w="1560" w:type="dxa"/>
            <w:shd w:val="clear" w:color="auto" w:fill="D9D9D9"/>
            <w:vAlign w:val="center"/>
          </w:tcPr>
          <w:p w:rsidR="00E46C82" w:rsidRPr="00CF7278" w:rsidRDefault="00E46C82">
            <w:pPr>
              <w:pStyle w:val="Tablewriting"/>
              <w:jc w:val="center"/>
              <w:rPr>
                <w:sz w:val="22"/>
                <w:szCs w:val="22"/>
              </w:rPr>
            </w:pPr>
            <w:r w:rsidRPr="00CF7278">
              <w:rPr>
                <w:sz w:val="22"/>
                <w:szCs w:val="22"/>
              </w:rPr>
              <w:t>72.1%</w:t>
            </w:r>
          </w:p>
        </w:tc>
      </w:tr>
      <w:tr w:rsidR="00E46C82" w:rsidRPr="007501DD" w:rsidTr="0093424D">
        <w:tc>
          <w:tcPr>
            <w:tcW w:w="6771" w:type="dxa"/>
            <w:shd w:val="clear" w:color="auto" w:fill="D9D9D9"/>
            <w:vAlign w:val="center"/>
          </w:tcPr>
          <w:p w:rsidR="00E46C82" w:rsidRPr="00CF7278" w:rsidRDefault="00E46C82" w:rsidP="00492694">
            <w:pPr>
              <w:pStyle w:val="Tablewriting"/>
              <w:rPr>
                <w:sz w:val="22"/>
                <w:szCs w:val="22"/>
              </w:rPr>
            </w:pPr>
            <w:r w:rsidRPr="00CF7278">
              <w:rPr>
                <w:sz w:val="22"/>
                <w:szCs w:val="22"/>
              </w:rPr>
              <w:t>Non-compliant (total)</w:t>
            </w:r>
          </w:p>
        </w:tc>
        <w:tc>
          <w:tcPr>
            <w:tcW w:w="1275" w:type="dxa"/>
            <w:shd w:val="clear" w:color="auto" w:fill="D9D9D9"/>
            <w:vAlign w:val="center"/>
          </w:tcPr>
          <w:p w:rsidR="00E46C82" w:rsidRPr="00CF7278" w:rsidRDefault="00740024">
            <w:pPr>
              <w:pStyle w:val="Tablewriting"/>
              <w:jc w:val="center"/>
              <w:rPr>
                <w:sz w:val="22"/>
                <w:szCs w:val="22"/>
              </w:rPr>
            </w:pPr>
            <w:r>
              <w:rPr>
                <w:sz w:val="22"/>
                <w:szCs w:val="22"/>
              </w:rPr>
              <w:t>22,229</w:t>
            </w:r>
          </w:p>
        </w:tc>
        <w:tc>
          <w:tcPr>
            <w:tcW w:w="1560" w:type="dxa"/>
            <w:shd w:val="clear" w:color="auto" w:fill="D9D9D9"/>
            <w:vAlign w:val="center"/>
          </w:tcPr>
          <w:p w:rsidR="00E46C82" w:rsidRPr="00CF7278" w:rsidRDefault="00E46C82">
            <w:pPr>
              <w:pStyle w:val="Tablewriting"/>
              <w:jc w:val="center"/>
              <w:rPr>
                <w:sz w:val="22"/>
                <w:szCs w:val="22"/>
              </w:rPr>
            </w:pPr>
            <w:r w:rsidRPr="00CF7278">
              <w:rPr>
                <w:sz w:val="22"/>
                <w:szCs w:val="22"/>
              </w:rPr>
              <w:t>27.9%</w:t>
            </w:r>
          </w:p>
        </w:tc>
      </w:tr>
      <w:tr w:rsidR="00E46C82" w:rsidRPr="007501DD" w:rsidTr="0093424D">
        <w:tc>
          <w:tcPr>
            <w:tcW w:w="6771" w:type="dxa"/>
            <w:shd w:val="clear" w:color="auto" w:fill="auto"/>
            <w:vAlign w:val="center"/>
          </w:tcPr>
          <w:p w:rsidR="00E46C82" w:rsidRPr="00CF7278" w:rsidRDefault="00E46C82" w:rsidP="0093424D">
            <w:pPr>
              <w:pStyle w:val="Bullets"/>
              <w:ind w:left="284" w:hanging="284"/>
              <w:rPr>
                <w:sz w:val="22"/>
                <w:szCs w:val="22"/>
              </w:rPr>
            </w:pPr>
            <w:r w:rsidRPr="00CF7278">
              <w:rPr>
                <w:sz w:val="22"/>
                <w:szCs w:val="22"/>
              </w:rPr>
              <w:t xml:space="preserve">Use of a </w:t>
            </w:r>
            <w:r>
              <w:rPr>
                <w:sz w:val="22"/>
                <w:szCs w:val="22"/>
              </w:rPr>
              <w:t>DPP-4 inhibitor</w:t>
            </w:r>
            <w:r w:rsidRPr="00CF7278">
              <w:rPr>
                <w:sz w:val="22"/>
                <w:szCs w:val="22"/>
              </w:rPr>
              <w:t xml:space="preserve"> or rosiglitazone with metformin </w:t>
            </w:r>
            <w:r w:rsidR="00523879">
              <w:rPr>
                <w:sz w:val="22"/>
                <w:szCs w:val="22"/>
              </w:rPr>
              <w:t xml:space="preserve">+ </w:t>
            </w:r>
            <w:r w:rsidRPr="00CF7278">
              <w:rPr>
                <w:sz w:val="22"/>
                <w:szCs w:val="22"/>
              </w:rPr>
              <w:t>sulfonylurea</w:t>
            </w:r>
          </w:p>
        </w:tc>
        <w:tc>
          <w:tcPr>
            <w:tcW w:w="1275" w:type="dxa"/>
            <w:vAlign w:val="center"/>
          </w:tcPr>
          <w:p w:rsidR="00E46C82" w:rsidRPr="00CF7278" w:rsidRDefault="00740024">
            <w:pPr>
              <w:pStyle w:val="Tablewriting"/>
              <w:jc w:val="center"/>
              <w:rPr>
                <w:sz w:val="22"/>
                <w:szCs w:val="22"/>
              </w:rPr>
            </w:pPr>
            <w:r>
              <w:rPr>
                <w:sz w:val="22"/>
                <w:szCs w:val="22"/>
              </w:rPr>
              <w:t>10,882</w:t>
            </w:r>
          </w:p>
        </w:tc>
        <w:tc>
          <w:tcPr>
            <w:tcW w:w="1560" w:type="dxa"/>
            <w:shd w:val="clear" w:color="auto" w:fill="auto"/>
            <w:vAlign w:val="center"/>
          </w:tcPr>
          <w:p w:rsidR="00E46C82" w:rsidRPr="00CF7278" w:rsidRDefault="00E46C82">
            <w:pPr>
              <w:pStyle w:val="Tablewriting"/>
              <w:jc w:val="center"/>
              <w:rPr>
                <w:sz w:val="22"/>
                <w:szCs w:val="22"/>
              </w:rPr>
            </w:pPr>
            <w:r w:rsidRPr="00CF7278">
              <w:rPr>
                <w:sz w:val="22"/>
                <w:szCs w:val="22"/>
              </w:rPr>
              <w:t>13.</w:t>
            </w:r>
            <w:r w:rsidR="00740024">
              <w:rPr>
                <w:sz w:val="22"/>
                <w:szCs w:val="22"/>
              </w:rPr>
              <w:t>7</w:t>
            </w:r>
            <w:r w:rsidRPr="00CF7278">
              <w:rPr>
                <w:sz w:val="22"/>
                <w:szCs w:val="22"/>
              </w:rPr>
              <w:t>%</w:t>
            </w:r>
          </w:p>
        </w:tc>
      </w:tr>
      <w:tr w:rsidR="00E46C82" w:rsidRPr="007501DD" w:rsidTr="0093424D">
        <w:tc>
          <w:tcPr>
            <w:tcW w:w="6771" w:type="dxa"/>
            <w:shd w:val="clear" w:color="auto" w:fill="auto"/>
            <w:vAlign w:val="center"/>
          </w:tcPr>
          <w:p w:rsidR="00E46C82" w:rsidRPr="00CF7278" w:rsidRDefault="00E46C82" w:rsidP="0093424D">
            <w:pPr>
              <w:pStyle w:val="Bullets"/>
              <w:ind w:left="284" w:hanging="284"/>
              <w:rPr>
                <w:sz w:val="22"/>
                <w:szCs w:val="22"/>
              </w:rPr>
            </w:pPr>
            <w:r w:rsidRPr="00CF7278">
              <w:rPr>
                <w:sz w:val="22"/>
                <w:szCs w:val="22"/>
              </w:rPr>
              <w:t xml:space="preserve">Use of insulin with a </w:t>
            </w:r>
            <w:r>
              <w:rPr>
                <w:sz w:val="22"/>
                <w:szCs w:val="22"/>
              </w:rPr>
              <w:t>DPP-4 inhibitor</w:t>
            </w:r>
            <w:r w:rsidRPr="00CF7278">
              <w:rPr>
                <w:sz w:val="22"/>
                <w:szCs w:val="22"/>
              </w:rPr>
              <w:t>, rosiglitazone or exenatide</w:t>
            </w:r>
          </w:p>
        </w:tc>
        <w:tc>
          <w:tcPr>
            <w:tcW w:w="1275" w:type="dxa"/>
            <w:vAlign w:val="center"/>
          </w:tcPr>
          <w:p w:rsidR="00E46C82" w:rsidRPr="00CF7278" w:rsidRDefault="00740024">
            <w:pPr>
              <w:pStyle w:val="Tablewriting"/>
              <w:jc w:val="center"/>
              <w:rPr>
                <w:sz w:val="22"/>
                <w:szCs w:val="22"/>
              </w:rPr>
            </w:pPr>
            <w:r>
              <w:rPr>
                <w:sz w:val="22"/>
                <w:szCs w:val="22"/>
              </w:rPr>
              <w:t>4,606</w:t>
            </w:r>
          </w:p>
        </w:tc>
        <w:tc>
          <w:tcPr>
            <w:tcW w:w="1560" w:type="dxa"/>
            <w:shd w:val="clear" w:color="auto" w:fill="auto"/>
            <w:vAlign w:val="center"/>
          </w:tcPr>
          <w:p w:rsidR="00E46C82" w:rsidRPr="00CF7278" w:rsidRDefault="00E46C82">
            <w:pPr>
              <w:pStyle w:val="Tablewriting"/>
              <w:jc w:val="center"/>
              <w:rPr>
                <w:sz w:val="22"/>
                <w:szCs w:val="22"/>
              </w:rPr>
            </w:pPr>
            <w:r w:rsidRPr="00CF7278">
              <w:rPr>
                <w:sz w:val="22"/>
                <w:szCs w:val="22"/>
              </w:rPr>
              <w:t>5.</w:t>
            </w:r>
            <w:r w:rsidR="00740024">
              <w:rPr>
                <w:sz w:val="22"/>
                <w:szCs w:val="22"/>
              </w:rPr>
              <w:t>8</w:t>
            </w:r>
            <w:r w:rsidRPr="00CF7278">
              <w:rPr>
                <w:sz w:val="22"/>
                <w:szCs w:val="22"/>
              </w:rPr>
              <w:t>%</w:t>
            </w:r>
          </w:p>
        </w:tc>
      </w:tr>
      <w:tr w:rsidR="00E46C82" w:rsidRPr="007501DD" w:rsidTr="0093424D">
        <w:tc>
          <w:tcPr>
            <w:tcW w:w="6771" w:type="dxa"/>
            <w:shd w:val="clear" w:color="auto" w:fill="auto"/>
            <w:vAlign w:val="center"/>
          </w:tcPr>
          <w:p w:rsidR="00E46C82" w:rsidRPr="00CF7278" w:rsidRDefault="00E46C82" w:rsidP="0093424D">
            <w:pPr>
              <w:pStyle w:val="Bullets"/>
              <w:ind w:left="284" w:hanging="284"/>
              <w:rPr>
                <w:sz w:val="22"/>
                <w:szCs w:val="22"/>
              </w:rPr>
            </w:pPr>
            <w:r w:rsidRPr="00CF7278">
              <w:rPr>
                <w:sz w:val="22"/>
                <w:szCs w:val="22"/>
              </w:rPr>
              <w:t xml:space="preserve">Use of a </w:t>
            </w:r>
            <w:r>
              <w:rPr>
                <w:sz w:val="22"/>
                <w:szCs w:val="22"/>
              </w:rPr>
              <w:t>DPP-4 inhibitor</w:t>
            </w:r>
            <w:r w:rsidRPr="00CF7278">
              <w:rPr>
                <w:sz w:val="22"/>
                <w:szCs w:val="22"/>
              </w:rPr>
              <w:t>, rosiglitazone or exenatide without metformin or a sulfonylurea</w:t>
            </w:r>
          </w:p>
        </w:tc>
        <w:tc>
          <w:tcPr>
            <w:tcW w:w="1275" w:type="dxa"/>
            <w:vAlign w:val="center"/>
          </w:tcPr>
          <w:p w:rsidR="00E46C82" w:rsidRPr="00CF7278" w:rsidRDefault="00740024">
            <w:pPr>
              <w:pStyle w:val="Tablewriting"/>
              <w:jc w:val="center"/>
              <w:rPr>
                <w:sz w:val="22"/>
                <w:szCs w:val="22"/>
              </w:rPr>
            </w:pPr>
            <w:r>
              <w:rPr>
                <w:sz w:val="22"/>
                <w:szCs w:val="22"/>
              </w:rPr>
              <w:t>3,779</w:t>
            </w:r>
          </w:p>
        </w:tc>
        <w:tc>
          <w:tcPr>
            <w:tcW w:w="1560" w:type="dxa"/>
            <w:shd w:val="clear" w:color="auto" w:fill="auto"/>
            <w:vAlign w:val="center"/>
          </w:tcPr>
          <w:p w:rsidR="00E46C82" w:rsidRPr="00CF7278" w:rsidRDefault="00E46C82">
            <w:pPr>
              <w:pStyle w:val="Tablewriting"/>
              <w:jc w:val="center"/>
              <w:rPr>
                <w:sz w:val="22"/>
                <w:szCs w:val="22"/>
              </w:rPr>
            </w:pPr>
            <w:r w:rsidRPr="00CF7278">
              <w:rPr>
                <w:sz w:val="22"/>
                <w:szCs w:val="22"/>
              </w:rPr>
              <w:t>4.8%</w:t>
            </w:r>
          </w:p>
        </w:tc>
      </w:tr>
      <w:tr w:rsidR="00523879" w:rsidRPr="007501DD" w:rsidTr="0093424D">
        <w:tc>
          <w:tcPr>
            <w:tcW w:w="6771" w:type="dxa"/>
            <w:shd w:val="clear" w:color="auto" w:fill="auto"/>
            <w:vAlign w:val="center"/>
          </w:tcPr>
          <w:p w:rsidR="00523879" w:rsidRPr="00CF7278" w:rsidRDefault="00523879" w:rsidP="0093424D">
            <w:pPr>
              <w:pStyle w:val="Bullets"/>
              <w:ind w:left="284" w:hanging="284"/>
              <w:rPr>
                <w:sz w:val="22"/>
                <w:szCs w:val="22"/>
              </w:rPr>
            </w:pPr>
            <w:r w:rsidRPr="00CF7278">
              <w:rPr>
                <w:sz w:val="22"/>
                <w:szCs w:val="22"/>
              </w:rPr>
              <w:t>Use of two or more of</w:t>
            </w:r>
            <w:r>
              <w:rPr>
                <w:sz w:val="22"/>
                <w:szCs w:val="22"/>
              </w:rPr>
              <w:t>:</w:t>
            </w:r>
            <w:r w:rsidRPr="00CF7278">
              <w:rPr>
                <w:sz w:val="22"/>
                <w:szCs w:val="22"/>
              </w:rPr>
              <w:t xml:space="preserve"> </w:t>
            </w:r>
            <w:r>
              <w:rPr>
                <w:sz w:val="22"/>
                <w:szCs w:val="22"/>
              </w:rPr>
              <w:t>DPP-4 inhibitors</w:t>
            </w:r>
            <w:r w:rsidRPr="00CF7278">
              <w:rPr>
                <w:sz w:val="22"/>
                <w:szCs w:val="22"/>
              </w:rPr>
              <w:t xml:space="preserve">, </w:t>
            </w:r>
            <w:r>
              <w:rPr>
                <w:sz w:val="22"/>
                <w:szCs w:val="22"/>
              </w:rPr>
              <w:t>TZDs</w:t>
            </w:r>
            <w:r w:rsidRPr="00CF7278">
              <w:rPr>
                <w:sz w:val="22"/>
                <w:szCs w:val="22"/>
              </w:rPr>
              <w:t xml:space="preserve"> and/or exenatide </w:t>
            </w:r>
          </w:p>
        </w:tc>
        <w:tc>
          <w:tcPr>
            <w:tcW w:w="1275" w:type="dxa"/>
            <w:vAlign w:val="center"/>
          </w:tcPr>
          <w:p w:rsidR="00523879" w:rsidRPr="00CF7278" w:rsidRDefault="00740024">
            <w:pPr>
              <w:pStyle w:val="Tablewriting"/>
              <w:jc w:val="center"/>
              <w:rPr>
                <w:sz w:val="22"/>
                <w:szCs w:val="22"/>
              </w:rPr>
            </w:pPr>
            <w:r>
              <w:rPr>
                <w:sz w:val="22"/>
                <w:szCs w:val="22"/>
              </w:rPr>
              <w:t>1,584</w:t>
            </w:r>
          </w:p>
        </w:tc>
        <w:tc>
          <w:tcPr>
            <w:tcW w:w="1560" w:type="dxa"/>
            <w:shd w:val="clear" w:color="auto" w:fill="auto"/>
            <w:vAlign w:val="center"/>
          </w:tcPr>
          <w:p w:rsidR="00523879" w:rsidRPr="00CF7278" w:rsidRDefault="00523879">
            <w:pPr>
              <w:pStyle w:val="Tablewriting"/>
              <w:jc w:val="center"/>
              <w:rPr>
                <w:sz w:val="22"/>
                <w:szCs w:val="22"/>
              </w:rPr>
            </w:pPr>
            <w:r w:rsidRPr="00CF7278">
              <w:rPr>
                <w:sz w:val="22"/>
                <w:szCs w:val="22"/>
              </w:rPr>
              <w:t>2.0%</w:t>
            </w:r>
          </w:p>
        </w:tc>
      </w:tr>
      <w:tr w:rsidR="00523879" w:rsidRPr="007501DD" w:rsidTr="00523879">
        <w:tc>
          <w:tcPr>
            <w:tcW w:w="6771" w:type="dxa"/>
            <w:shd w:val="clear" w:color="auto" w:fill="auto"/>
            <w:vAlign w:val="center"/>
          </w:tcPr>
          <w:p w:rsidR="00523879" w:rsidRPr="00CF7278" w:rsidRDefault="00523879" w:rsidP="00523879">
            <w:pPr>
              <w:pStyle w:val="Bullets"/>
              <w:ind w:left="284" w:hanging="284"/>
              <w:rPr>
                <w:sz w:val="22"/>
                <w:szCs w:val="22"/>
              </w:rPr>
            </w:pPr>
            <w:r w:rsidRPr="00CF7278">
              <w:rPr>
                <w:sz w:val="22"/>
                <w:szCs w:val="22"/>
              </w:rPr>
              <w:t>Use of pioglitazone without metformin, a sulfonylurea or insulin</w:t>
            </w:r>
          </w:p>
        </w:tc>
        <w:tc>
          <w:tcPr>
            <w:tcW w:w="1275" w:type="dxa"/>
            <w:vAlign w:val="center"/>
          </w:tcPr>
          <w:p w:rsidR="00523879" w:rsidRDefault="00740024" w:rsidP="00523879">
            <w:pPr>
              <w:pStyle w:val="Tablewriting"/>
              <w:jc w:val="center"/>
              <w:rPr>
                <w:sz w:val="22"/>
                <w:szCs w:val="22"/>
              </w:rPr>
            </w:pPr>
            <w:r>
              <w:rPr>
                <w:sz w:val="22"/>
                <w:szCs w:val="22"/>
              </w:rPr>
              <w:t>1,378</w:t>
            </w:r>
          </w:p>
        </w:tc>
        <w:tc>
          <w:tcPr>
            <w:tcW w:w="1560" w:type="dxa"/>
            <w:shd w:val="clear" w:color="auto" w:fill="auto"/>
            <w:vAlign w:val="center"/>
          </w:tcPr>
          <w:p w:rsidR="00523879" w:rsidRPr="00CF7278" w:rsidRDefault="00523879" w:rsidP="00523879">
            <w:pPr>
              <w:pStyle w:val="Tablewriting"/>
              <w:jc w:val="center"/>
              <w:rPr>
                <w:sz w:val="22"/>
                <w:szCs w:val="22"/>
              </w:rPr>
            </w:pPr>
            <w:r>
              <w:rPr>
                <w:sz w:val="22"/>
                <w:szCs w:val="22"/>
              </w:rPr>
              <w:t>1.</w:t>
            </w:r>
            <w:r w:rsidR="00740024">
              <w:rPr>
                <w:sz w:val="22"/>
                <w:szCs w:val="22"/>
              </w:rPr>
              <w:t>7</w:t>
            </w:r>
            <w:r w:rsidRPr="00CF7278">
              <w:rPr>
                <w:sz w:val="22"/>
                <w:szCs w:val="22"/>
              </w:rPr>
              <w:t>%</w:t>
            </w:r>
          </w:p>
        </w:tc>
      </w:tr>
    </w:tbl>
    <w:p w:rsidR="00C67115" w:rsidRDefault="00C67115" w:rsidP="00646887">
      <w:pPr>
        <w:pStyle w:val="Notes"/>
      </w:pPr>
      <w:r>
        <w:t>Note:</w:t>
      </w:r>
      <w:r>
        <w:tab/>
        <w:t xml:space="preserve">Data from week beginning </w:t>
      </w:r>
      <w:r w:rsidR="00740024">
        <w:t>24</w:t>
      </w:r>
      <w:r>
        <w:t xml:space="preserve"> May 2012.</w:t>
      </w:r>
      <w:r>
        <w:br/>
      </w:r>
    </w:p>
    <w:p w:rsidR="00C67115" w:rsidRDefault="00C67115" w:rsidP="00492694">
      <w:pPr>
        <w:pStyle w:val="BodyText1"/>
      </w:pPr>
      <w:r>
        <w:t xml:space="preserve">Compliance of patient regimens was then examined by third line agent. Table </w:t>
      </w:r>
      <w:r w:rsidR="00CF7278">
        <w:t>4.</w:t>
      </w:r>
      <w:r>
        <w:t xml:space="preserve">9 shows that the non-compliance rate was highest for regimens containing rosiglitazone at 48.4%, and lowest for regimens containing pioglitazone at 12.9%. For the </w:t>
      </w:r>
      <w:r w:rsidR="00C15997">
        <w:t>DPP-4 inhibitors</w:t>
      </w:r>
      <w:r>
        <w:t xml:space="preserve"> and rosiglitazone, use with metformin and a sulfonylurea was the most common non-compliant regimen. </w:t>
      </w:r>
      <w:r w:rsidRPr="00A4349A">
        <w:t>For exenatide, use with insulin was the most non-compliant regimen.</w:t>
      </w:r>
    </w:p>
    <w:p w:rsidR="00C67115" w:rsidRDefault="007808D8" w:rsidP="00492694">
      <w:pPr>
        <w:pStyle w:val="BodyText1"/>
      </w:pPr>
      <w:r>
        <w:t>T</w:t>
      </w:r>
      <w:r w:rsidR="00C67115">
        <w:t xml:space="preserve">his part of the analysis only considered agents co-administered in the current regimen and did not assess whether the pathway to treatment with the third line agent complied with PBS restrictions. Some regimens classified here as compliant with PBS restrictions, would not have complied with requirements to try metformin and a sulfonylurea unless contraindicated before initiating a third line agent. </w:t>
      </w:r>
    </w:p>
    <w:p w:rsidR="00C67115" w:rsidRPr="00F61B52" w:rsidRDefault="00C67115" w:rsidP="00492694"/>
    <w:p w:rsidR="00C67115" w:rsidRPr="00CF7278" w:rsidRDefault="00C67115" w:rsidP="00C85DA9">
      <w:pPr>
        <w:pStyle w:val="BodyText1"/>
        <w:keepNext/>
        <w:keepLines/>
        <w:rPr>
          <w:b/>
        </w:rPr>
      </w:pPr>
      <w:r w:rsidRPr="00CF7278">
        <w:rPr>
          <w:b/>
        </w:rPr>
        <w:lastRenderedPageBreak/>
        <w:t xml:space="preserve">Table </w:t>
      </w:r>
      <w:r w:rsidR="00417B3F" w:rsidRPr="00CF7278">
        <w:rPr>
          <w:b/>
        </w:rPr>
        <w:t>4.</w:t>
      </w:r>
      <w:r w:rsidRPr="00CF7278">
        <w:rPr>
          <w:b/>
        </w:rPr>
        <w:t>9</w:t>
      </w:r>
      <w:r w:rsidR="00417B3F" w:rsidRPr="00CF7278">
        <w:rPr>
          <w:b/>
        </w:rPr>
        <w:t>.</w:t>
      </w:r>
      <w:r w:rsidRPr="00CF7278">
        <w:rPr>
          <w:b/>
        </w:rPr>
        <w:t xml:space="preserve"> Patient regimens containing a third line agent and percentage compliance with PBS restrictions for co-prescribed medicines, by medicine or class (including a breakdown of non-compliant regimens).</w:t>
      </w:r>
    </w:p>
    <w:tbl>
      <w:tblPr>
        <w:tblW w:w="9796"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4"/>
        <w:gridCol w:w="1276"/>
        <w:gridCol w:w="1559"/>
        <w:gridCol w:w="1701"/>
        <w:gridCol w:w="1276"/>
      </w:tblGrid>
      <w:tr w:rsidR="00C67115" w:rsidRPr="007501DD" w:rsidTr="00C85DA9">
        <w:trPr>
          <w:cantSplit/>
          <w:trHeight w:val="255"/>
          <w:tblHeader/>
        </w:trPr>
        <w:tc>
          <w:tcPr>
            <w:tcW w:w="3984" w:type="dxa"/>
            <w:shd w:val="clear" w:color="auto" w:fill="BFBFBF"/>
            <w:noWrap/>
            <w:hideMark/>
          </w:tcPr>
          <w:p w:rsidR="00C67115" w:rsidRPr="00CF7278" w:rsidRDefault="00C67115" w:rsidP="00C85DA9">
            <w:pPr>
              <w:pStyle w:val="Tableheading"/>
              <w:keepNext/>
              <w:keepLines/>
              <w:rPr>
                <w:sz w:val="22"/>
                <w:szCs w:val="22"/>
              </w:rPr>
            </w:pPr>
            <w:r w:rsidRPr="00CF7278">
              <w:rPr>
                <w:sz w:val="22"/>
                <w:szCs w:val="22"/>
              </w:rPr>
              <w:t>Compliance status</w:t>
            </w:r>
          </w:p>
        </w:tc>
        <w:tc>
          <w:tcPr>
            <w:tcW w:w="1276" w:type="dxa"/>
            <w:tcBorders>
              <w:top w:val="single" w:sz="4" w:space="0" w:color="auto"/>
            </w:tcBorders>
            <w:shd w:val="clear" w:color="auto" w:fill="BFBFBF"/>
          </w:tcPr>
          <w:p w:rsidR="00C67115" w:rsidRPr="00CF7278" w:rsidRDefault="002772EC" w:rsidP="00C85DA9">
            <w:pPr>
              <w:pStyle w:val="Tableheading"/>
              <w:keepNext/>
              <w:keepLines/>
              <w:rPr>
                <w:sz w:val="22"/>
                <w:szCs w:val="22"/>
              </w:rPr>
            </w:pPr>
            <w:r>
              <w:rPr>
                <w:sz w:val="22"/>
                <w:szCs w:val="22"/>
              </w:rPr>
              <w:t>DPP-4 inhibitor</w:t>
            </w:r>
          </w:p>
        </w:tc>
        <w:tc>
          <w:tcPr>
            <w:tcW w:w="1559" w:type="dxa"/>
            <w:tcBorders>
              <w:top w:val="single" w:sz="4" w:space="0" w:color="auto"/>
            </w:tcBorders>
            <w:shd w:val="clear" w:color="auto" w:fill="BFBFBF"/>
          </w:tcPr>
          <w:p w:rsidR="00C67115" w:rsidRPr="00CF7278" w:rsidRDefault="00C67115" w:rsidP="00C85DA9">
            <w:pPr>
              <w:pStyle w:val="Tableheading"/>
              <w:keepNext/>
              <w:keepLines/>
              <w:rPr>
                <w:sz w:val="22"/>
                <w:szCs w:val="22"/>
              </w:rPr>
            </w:pPr>
            <w:r w:rsidRPr="00CF7278">
              <w:rPr>
                <w:sz w:val="22"/>
                <w:szCs w:val="22"/>
              </w:rPr>
              <w:t>Pioglitazone</w:t>
            </w:r>
          </w:p>
        </w:tc>
        <w:tc>
          <w:tcPr>
            <w:tcW w:w="1701" w:type="dxa"/>
            <w:tcBorders>
              <w:top w:val="single" w:sz="4" w:space="0" w:color="auto"/>
            </w:tcBorders>
            <w:shd w:val="clear" w:color="auto" w:fill="BFBFBF"/>
            <w:noWrap/>
            <w:hideMark/>
          </w:tcPr>
          <w:p w:rsidR="00C67115" w:rsidRPr="00CF7278" w:rsidRDefault="00C67115" w:rsidP="00C85DA9">
            <w:pPr>
              <w:pStyle w:val="Tableheading"/>
              <w:keepNext/>
              <w:keepLines/>
              <w:rPr>
                <w:sz w:val="22"/>
                <w:szCs w:val="22"/>
              </w:rPr>
            </w:pPr>
            <w:r w:rsidRPr="00CF7278">
              <w:rPr>
                <w:sz w:val="22"/>
                <w:szCs w:val="22"/>
              </w:rPr>
              <w:t>Rosiglitazone</w:t>
            </w:r>
          </w:p>
        </w:tc>
        <w:tc>
          <w:tcPr>
            <w:tcW w:w="1276" w:type="dxa"/>
            <w:tcBorders>
              <w:top w:val="single" w:sz="4" w:space="0" w:color="auto"/>
            </w:tcBorders>
            <w:shd w:val="clear" w:color="auto" w:fill="BFBFBF"/>
          </w:tcPr>
          <w:p w:rsidR="00C67115" w:rsidRPr="00CF7278" w:rsidRDefault="00C67115" w:rsidP="00C85DA9">
            <w:pPr>
              <w:pStyle w:val="Tableheading"/>
              <w:keepNext/>
              <w:keepLines/>
              <w:rPr>
                <w:sz w:val="22"/>
                <w:szCs w:val="22"/>
              </w:rPr>
            </w:pPr>
            <w:r w:rsidRPr="00CF7278">
              <w:rPr>
                <w:sz w:val="22"/>
                <w:szCs w:val="22"/>
              </w:rPr>
              <w:t>Exenatide</w:t>
            </w:r>
          </w:p>
        </w:tc>
      </w:tr>
      <w:tr w:rsidR="00C67115" w:rsidRPr="007501DD" w:rsidTr="00C85DA9">
        <w:trPr>
          <w:cantSplit/>
          <w:trHeight w:val="255"/>
          <w:tblHeader/>
        </w:trPr>
        <w:tc>
          <w:tcPr>
            <w:tcW w:w="3984" w:type="dxa"/>
            <w:shd w:val="pct10" w:color="auto" w:fill="auto"/>
            <w:noWrap/>
            <w:vAlign w:val="bottom"/>
            <w:hideMark/>
          </w:tcPr>
          <w:p w:rsidR="00C67115" w:rsidRPr="00CF7278" w:rsidRDefault="00C67115" w:rsidP="00C85DA9">
            <w:pPr>
              <w:pStyle w:val="Tablewriting"/>
              <w:keepNext/>
              <w:keepLines/>
              <w:rPr>
                <w:sz w:val="22"/>
                <w:szCs w:val="22"/>
              </w:rPr>
            </w:pPr>
            <w:r w:rsidRPr="00CF7278">
              <w:rPr>
                <w:sz w:val="22"/>
                <w:szCs w:val="22"/>
              </w:rPr>
              <w:t>Compliant (total)</w:t>
            </w:r>
          </w:p>
        </w:tc>
        <w:tc>
          <w:tcPr>
            <w:tcW w:w="1276" w:type="dxa"/>
            <w:shd w:val="pct10" w:color="auto" w:fill="auto"/>
            <w:vAlign w:val="center"/>
          </w:tcPr>
          <w:p w:rsidR="00C67115" w:rsidRPr="00CF7278" w:rsidRDefault="00C67115" w:rsidP="00C85DA9">
            <w:pPr>
              <w:pStyle w:val="Tablewriting"/>
              <w:keepNext/>
              <w:keepLines/>
              <w:jc w:val="center"/>
              <w:rPr>
                <w:sz w:val="22"/>
                <w:szCs w:val="22"/>
              </w:rPr>
            </w:pPr>
            <w:r w:rsidRPr="00CF7278">
              <w:rPr>
                <w:sz w:val="22"/>
                <w:szCs w:val="22"/>
              </w:rPr>
              <w:t>65.4%</w:t>
            </w:r>
          </w:p>
        </w:tc>
        <w:tc>
          <w:tcPr>
            <w:tcW w:w="1559" w:type="dxa"/>
            <w:shd w:val="pct10" w:color="auto" w:fill="auto"/>
            <w:vAlign w:val="center"/>
          </w:tcPr>
          <w:p w:rsidR="00C67115" w:rsidRPr="00CF7278" w:rsidRDefault="00C67115" w:rsidP="00C85DA9">
            <w:pPr>
              <w:pStyle w:val="Tablewriting"/>
              <w:keepNext/>
              <w:keepLines/>
              <w:jc w:val="center"/>
              <w:rPr>
                <w:sz w:val="22"/>
                <w:szCs w:val="22"/>
              </w:rPr>
            </w:pPr>
            <w:r w:rsidRPr="00CF7278">
              <w:rPr>
                <w:sz w:val="22"/>
                <w:szCs w:val="22"/>
              </w:rPr>
              <w:t>87.0%</w:t>
            </w:r>
          </w:p>
        </w:tc>
        <w:tc>
          <w:tcPr>
            <w:tcW w:w="1701" w:type="dxa"/>
            <w:shd w:val="pct10" w:color="auto" w:fill="auto"/>
            <w:noWrap/>
            <w:vAlign w:val="center"/>
          </w:tcPr>
          <w:p w:rsidR="00C67115" w:rsidRPr="00CF7278" w:rsidRDefault="00C67115" w:rsidP="00C85DA9">
            <w:pPr>
              <w:pStyle w:val="Tablewriting"/>
              <w:keepNext/>
              <w:keepLines/>
              <w:jc w:val="center"/>
              <w:rPr>
                <w:sz w:val="22"/>
                <w:szCs w:val="22"/>
              </w:rPr>
            </w:pPr>
            <w:r w:rsidRPr="00CF7278">
              <w:rPr>
                <w:sz w:val="22"/>
                <w:szCs w:val="22"/>
              </w:rPr>
              <w:t>51.7%</w:t>
            </w:r>
          </w:p>
        </w:tc>
        <w:tc>
          <w:tcPr>
            <w:tcW w:w="1276" w:type="dxa"/>
            <w:shd w:val="pct10" w:color="auto" w:fill="auto"/>
            <w:vAlign w:val="center"/>
          </w:tcPr>
          <w:p w:rsidR="00C67115" w:rsidRPr="00CF7278" w:rsidRDefault="00C67115" w:rsidP="00C85DA9">
            <w:pPr>
              <w:pStyle w:val="Tablewriting"/>
              <w:keepNext/>
              <w:keepLines/>
              <w:jc w:val="center"/>
              <w:rPr>
                <w:sz w:val="22"/>
                <w:szCs w:val="22"/>
              </w:rPr>
            </w:pPr>
            <w:r w:rsidRPr="00CF7278">
              <w:rPr>
                <w:sz w:val="22"/>
                <w:szCs w:val="22"/>
              </w:rPr>
              <w:t>70.4%</w:t>
            </w:r>
          </w:p>
        </w:tc>
      </w:tr>
      <w:tr w:rsidR="00C67115" w:rsidRPr="007501DD" w:rsidTr="00C85DA9">
        <w:trPr>
          <w:cantSplit/>
          <w:trHeight w:val="255"/>
          <w:tblHeader/>
        </w:trPr>
        <w:tc>
          <w:tcPr>
            <w:tcW w:w="3984" w:type="dxa"/>
            <w:shd w:val="pct10" w:color="auto" w:fill="auto"/>
            <w:noWrap/>
            <w:vAlign w:val="bottom"/>
            <w:hideMark/>
          </w:tcPr>
          <w:p w:rsidR="00C67115" w:rsidRPr="00CF7278" w:rsidRDefault="00C67115" w:rsidP="00C85DA9">
            <w:pPr>
              <w:pStyle w:val="Tablewriting"/>
              <w:keepNext/>
              <w:keepLines/>
              <w:rPr>
                <w:sz w:val="22"/>
                <w:szCs w:val="22"/>
              </w:rPr>
            </w:pPr>
            <w:r w:rsidRPr="00CF7278">
              <w:rPr>
                <w:sz w:val="22"/>
                <w:szCs w:val="22"/>
              </w:rPr>
              <w:t>Non-compliant (total)</w:t>
            </w:r>
          </w:p>
        </w:tc>
        <w:tc>
          <w:tcPr>
            <w:tcW w:w="1276" w:type="dxa"/>
            <w:shd w:val="pct10" w:color="auto" w:fill="auto"/>
            <w:vAlign w:val="center"/>
          </w:tcPr>
          <w:p w:rsidR="00C67115" w:rsidRPr="00CF7278" w:rsidRDefault="00C67115" w:rsidP="00C85DA9">
            <w:pPr>
              <w:pStyle w:val="Tablewriting"/>
              <w:keepNext/>
              <w:keepLines/>
              <w:jc w:val="center"/>
              <w:rPr>
                <w:sz w:val="22"/>
                <w:szCs w:val="22"/>
              </w:rPr>
            </w:pPr>
            <w:r w:rsidRPr="00CF7278">
              <w:rPr>
                <w:sz w:val="22"/>
                <w:szCs w:val="22"/>
              </w:rPr>
              <w:t>34.6%</w:t>
            </w:r>
          </w:p>
        </w:tc>
        <w:tc>
          <w:tcPr>
            <w:tcW w:w="1559" w:type="dxa"/>
            <w:shd w:val="pct10" w:color="auto" w:fill="auto"/>
            <w:vAlign w:val="center"/>
          </w:tcPr>
          <w:p w:rsidR="00C67115" w:rsidRPr="00CF7278" w:rsidRDefault="00C67115" w:rsidP="00C85DA9">
            <w:pPr>
              <w:pStyle w:val="Tablewriting"/>
              <w:keepNext/>
              <w:keepLines/>
              <w:jc w:val="center"/>
              <w:rPr>
                <w:sz w:val="22"/>
                <w:szCs w:val="22"/>
              </w:rPr>
            </w:pPr>
            <w:r w:rsidRPr="00CF7278">
              <w:rPr>
                <w:sz w:val="22"/>
                <w:szCs w:val="22"/>
              </w:rPr>
              <w:t>13.0%</w:t>
            </w:r>
          </w:p>
        </w:tc>
        <w:tc>
          <w:tcPr>
            <w:tcW w:w="1701" w:type="dxa"/>
            <w:shd w:val="pct10" w:color="auto" w:fill="auto"/>
            <w:noWrap/>
            <w:vAlign w:val="center"/>
          </w:tcPr>
          <w:p w:rsidR="00C67115" w:rsidRPr="00CF7278" w:rsidRDefault="00C67115" w:rsidP="00C85DA9">
            <w:pPr>
              <w:pStyle w:val="Tablewriting"/>
              <w:keepNext/>
              <w:keepLines/>
              <w:jc w:val="center"/>
              <w:rPr>
                <w:sz w:val="22"/>
                <w:szCs w:val="22"/>
              </w:rPr>
            </w:pPr>
            <w:r w:rsidRPr="00CF7278">
              <w:rPr>
                <w:sz w:val="22"/>
                <w:szCs w:val="22"/>
              </w:rPr>
              <w:t>48.3%</w:t>
            </w:r>
          </w:p>
        </w:tc>
        <w:tc>
          <w:tcPr>
            <w:tcW w:w="1276" w:type="dxa"/>
            <w:shd w:val="pct10" w:color="auto" w:fill="auto"/>
            <w:vAlign w:val="center"/>
          </w:tcPr>
          <w:p w:rsidR="00C67115" w:rsidRPr="00CF7278" w:rsidRDefault="00C67115" w:rsidP="00C85DA9">
            <w:pPr>
              <w:pStyle w:val="Tablewriting"/>
              <w:keepNext/>
              <w:keepLines/>
              <w:jc w:val="center"/>
              <w:rPr>
                <w:sz w:val="22"/>
                <w:szCs w:val="22"/>
              </w:rPr>
            </w:pPr>
            <w:r w:rsidRPr="00CF7278">
              <w:rPr>
                <w:sz w:val="22"/>
                <w:szCs w:val="22"/>
              </w:rPr>
              <w:t>29.6%</w:t>
            </w:r>
          </w:p>
        </w:tc>
      </w:tr>
      <w:tr w:rsidR="00C67115" w:rsidRPr="007501DD" w:rsidTr="00C85DA9">
        <w:trPr>
          <w:cantSplit/>
          <w:trHeight w:val="255"/>
          <w:tblHeader/>
        </w:trPr>
        <w:tc>
          <w:tcPr>
            <w:tcW w:w="3984" w:type="dxa"/>
            <w:shd w:val="clear" w:color="auto" w:fill="auto"/>
            <w:noWrap/>
            <w:vAlign w:val="bottom"/>
            <w:hideMark/>
          </w:tcPr>
          <w:p w:rsidR="00C67115" w:rsidRPr="00CF7278" w:rsidRDefault="00C67115" w:rsidP="00C85DA9">
            <w:pPr>
              <w:pStyle w:val="Tablewriting"/>
              <w:keepNext/>
              <w:keepLines/>
              <w:numPr>
                <w:ilvl w:val="0"/>
                <w:numId w:val="16"/>
              </w:numPr>
              <w:ind w:left="333" w:hanging="284"/>
              <w:rPr>
                <w:sz w:val="22"/>
                <w:szCs w:val="22"/>
              </w:rPr>
            </w:pPr>
            <w:r w:rsidRPr="00CF7278">
              <w:rPr>
                <w:sz w:val="22"/>
                <w:szCs w:val="22"/>
              </w:rPr>
              <w:t>Use with metformin and a sulfonylurea</w:t>
            </w:r>
          </w:p>
        </w:tc>
        <w:tc>
          <w:tcPr>
            <w:tcW w:w="1276" w:type="dxa"/>
            <w:vAlign w:val="center"/>
          </w:tcPr>
          <w:p w:rsidR="00C67115" w:rsidRPr="00CF7278" w:rsidRDefault="00C67115" w:rsidP="00C85DA9">
            <w:pPr>
              <w:pStyle w:val="Tablewriting"/>
              <w:keepNext/>
              <w:keepLines/>
              <w:jc w:val="center"/>
              <w:rPr>
                <w:sz w:val="22"/>
                <w:szCs w:val="22"/>
              </w:rPr>
            </w:pPr>
            <w:r w:rsidRPr="00CF7278">
              <w:rPr>
                <w:sz w:val="22"/>
                <w:szCs w:val="22"/>
              </w:rPr>
              <w:t>18.5%</w:t>
            </w:r>
          </w:p>
        </w:tc>
        <w:tc>
          <w:tcPr>
            <w:tcW w:w="1559" w:type="dxa"/>
            <w:vAlign w:val="center"/>
          </w:tcPr>
          <w:p w:rsidR="00C67115" w:rsidRPr="00CF7278" w:rsidRDefault="00C67115" w:rsidP="00C85DA9">
            <w:pPr>
              <w:pStyle w:val="Tablewriting"/>
              <w:keepNext/>
              <w:keepLines/>
              <w:jc w:val="center"/>
              <w:rPr>
                <w:sz w:val="22"/>
                <w:szCs w:val="22"/>
              </w:rPr>
            </w:pPr>
            <w:r w:rsidRPr="00CF7278">
              <w:rPr>
                <w:sz w:val="22"/>
                <w:szCs w:val="22"/>
              </w:rPr>
              <w:t>Compliant</w:t>
            </w:r>
          </w:p>
        </w:tc>
        <w:tc>
          <w:tcPr>
            <w:tcW w:w="1701" w:type="dxa"/>
            <w:shd w:val="clear" w:color="auto" w:fill="auto"/>
            <w:noWrap/>
            <w:vAlign w:val="center"/>
          </w:tcPr>
          <w:p w:rsidR="00C67115" w:rsidRPr="00CF7278" w:rsidRDefault="00C67115" w:rsidP="00C85DA9">
            <w:pPr>
              <w:pStyle w:val="Tablewriting"/>
              <w:keepNext/>
              <w:keepLines/>
              <w:jc w:val="center"/>
              <w:rPr>
                <w:sz w:val="22"/>
                <w:szCs w:val="22"/>
              </w:rPr>
            </w:pPr>
            <w:r w:rsidRPr="00CF7278">
              <w:rPr>
                <w:sz w:val="22"/>
                <w:szCs w:val="22"/>
              </w:rPr>
              <w:t>33.3%</w:t>
            </w:r>
          </w:p>
        </w:tc>
        <w:tc>
          <w:tcPr>
            <w:tcW w:w="1276" w:type="dxa"/>
            <w:vAlign w:val="center"/>
          </w:tcPr>
          <w:p w:rsidR="00C67115" w:rsidRPr="00CF7278" w:rsidRDefault="00C67115" w:rsidP="00C85DA9">
            <w:pPr>
              <w:pStyle w:val="Tablewriting"/>
              <w:keepNext/>
              <w:keepLines/>
              <w:jc w:val="center"/>
              <w:rPr>
                <w:sz w:val="22"/>
                <w:szCs w:val="22"/>
              </w:rPr>
            </w:pPr>
            <w:r w:rsidRPr="00CF7278">
              <w:rPr>
                <w:sz w:val="22"/>
                <w:szCs w:val="22"/>
              </w:rPr>
              <w:t>Compliant</w:t>
            </w:r>
          </w:p>
        </w:tc>
      </w:tr>
      <w:tr w:rsidR="00C67115" w:rsidRPr="007501DD" w:rsidTr="00C85DA9">
        <w:trPr>
          <w:cantSplit/>
          <w:trHeight w:val="255"/>
          <w:tblHeader/>
        </w:trPr>
        <w:tc>
          <w:tcPr>
            <w:tcW w:w="3984" w:type="dxa"/>
            <w:shd w:val="clear" w:color="auto" w:fill="auto"/>
            <w:noWrap/>
            <w:vAlign w:val="bottom"/>
            <w:hideMark/>
          </w:tcPr>
          <w:p w:rsidR="00C67115" w:rsidRPr="00CF7278" w:rsidRDefault="00F31523" w:rsidP="00C85DA9">
            <w:pPr>
              <w:pStyle w:val="Tablewriting"/>
              <w:keepNext/>
              <w:keepLines/>
              <w:numPr>
                <w:ilvl w:val="0"/>
                <w:numId w:val="16"/>
              </w:numPr>
              <w:ind w:left="333" w:hanging="284"/>
              <w:rPr>
                <w:sz w:val="22"/>
                <w:szCs w:val="22"/>
              </w:rPr>
            </w:pPr>
            <w:r w:rsidRPr="00CF7278">
              <w:rPr>
                <w:sz w:val="22"/>
                <w:szCs w:val="22"/>
              </w:rPr>
              <w:t>Use of insulin with a third</w:t>
            </w:r>
            <w:r w:rsidR="00C67115" w:rsidRPr="00CF7278">
              <w:rPr>
                <w:sz w:val="22"/>
                <w:szCs w:val="22"/>
              </w:rPr>
              <w:t xml:space="preserve"> line agent </w:t>
            </w:r>
          </w:p>
        </w:tc>
        <w:tc>
          <w:tcPr>
            <w:tcW w:w="1276" w:type="dxa"/>
            <w:vAlign w:val="center"/>
          </w:tcPr>
          <w:p w:rsidR="00C67115" w:rsidRPr="00CF7278" w:rsidRDefault="00C67115" w:rsidP="00C85DA9">
            <w:pPr>
              <w:pStyle w:val="Tablewriting"/>
              <w:keepNext/>
              <w:keepLines/>
              <w:jc w:val="center"/>
              <w:rPr>
                <w:sz w:val="22"/>
                <w:szCs w:val="22"/>
              </w:rPr>
            </w:pPr>
            <w:r w:rsidRPr="00CF7278">
              <w:rPr>
                <w:sz w:val="22"/>
                <w:szCs w:val="22"/>
              </w:rPr>
              <w:t>7.1%</w:t>
            </w:r>
          </w:p>
        </w:tc>
        <w:tc>
          <w:tcPr>
            <w:tcW w:w="1559" w:type="dxa"/>
            <w:vAlign w:val="center"/>
          </w:tcPr>
          <w:p w:rsidR="00C67115" w:rsidRPr="00CF7278" w:rsidRDefault="00C67115" w:rsidP="00C85DA9">
            <w:pPr>
              <w:pStyle w:val="Tablewriting"/>
              <w:keepNext/>
              <w:keepLines/>
              <w:jc w:val="center"/>
              <w:rPr>
                <w:sz w:val="22"/>
                <w:szCs w:val="22"/>
              </w:rPr>
            </w:pPr>
            <w:r w:rsidRPr="00CF7278">
              <w:rPr>
                <w:sz w:val="22"/>
                <w:szCs w:val="22"/>
              </w:rPr>
              <w:t>Compliant</w:t>
            </w:r>
          </w:p>
        </w:tc>
        <w:tc>
          <w:tcPr>
            <w:tcW w:w="1701" w:type="dxa"/>
            <w:shd w:val="clear" w:color="auto" w:fill="auto"/>
            <w:noWrap/>
            <w:vAlign w:val="center"/>
          </w:tcPr>
          <w:p w:rsidR="00C67115" w:rsidRPr="00CF7278" w:rsidRDefault="00C67115" w:rsidP="00C85DA9">
            <w:pPr>
              <w:pStyle w:val="Tablewriting"/>
              <w:keepNext/>
              <w:keepLines/>
              <w:jc w:val="center"/>
              <w:rPr>
                <w:sz w:val="22"/>
                <w:szCs w:val="22"/>
              </w:rPr>
            </w:pPr>
            <w:r w:rsidRPr="00CF7278">
              <w:rPr>
                <w:sz w:val="22"/>
                <w:szCs w:val="22"/>
              </w:rPr>
              <w:t>4.9%</w:t>
            </w:r>
          </w:p>
        </w:tc>
        <w:tc>
          <w:tcPr>
            <w:tcW w:w="1276" w:type="dxa"/>
            <w:vAlign w:val="center"/>
          </w:tcPr>
          <w:p w:rsidR="00C67115" w:rsidRPr="00CF7278" w:rsidRDefault="00C67115" w:rsidP="00C85DA9">
            <w:pPr>
              <w:pStyle w:val="Tablewriting"/>
              <w:keepNext/>
              <w:keepLines/>
              <w:jc w:val="center"/>
              <w:rPr>
                <w:sz w:val="22"/>
                <w:szCs w:val="22"/>
              </w:rPr>
            </w:pPr>
            <w:r w:rsidRPr="00CF7278">
              <w:rPr>
                <w:sz w:val="22"/>
                <w:szCs w:val="22"/>
              </w:rPr>
              <w:t>16.1%</w:t>
            </w:r>
          </w:p>
        </w:tc>
      </w:tr>
      <w:tr w:rsidR="00C67115" w:rsidRPr="007501DD" w:rsidTr="00C85DA9">
        <w:trPr>
          <w:cantSplit/>
          <w:trHeight w:val="255"/>
          <w:tblHeader/>
        </w:trPr>
        <w:tc>
          <w:tcPr>
            <w:tcW w:w="3984" w:type="dxa"/>
            <w:shd w:val="clear" w:color="auto" w:fill="auto"/>
            <w:noWrap/>
            <w:vAlign w:val="bottom"/>
            <w:hideMark/>
          </w:tcPr>
          <w:p w:rsidR="00C67115" w:rsidRPr="00CF7278" w:rsidRDefault="00C67115" w:rsidP="00C85DA9">
            <w:pPr>
              <w:pStyle w:val="Tablewriting"/>
              <w:keepNext/>
              <w:keepLines/>
              <w:numPr>
                <w:ilvl w:val="0"/>
                <w:numId w:val="16"/>
              </w:numPr>
              <w:ind w:left="333" w:hanging="284"/>
              <w:rPr>
                <w:sz w:val="22"/>
                <w:szCs w:val="22"/>
              </w:rPr>
            </w:pPr>
            <w:r w:rsidRPr="00CF7278">
              <w:rPr>
                <w:sz w:val="22"/>
                <w:szCs w:val="22"/>
              </w:rPr>
              <w:t>Use without metformin or a sulfonylurea</w:t>
            </w:r>
          </w:p>
        </w:tc>
        <w:tc>
          <w:tcPr>
            <w:tcW w:w="1276" w:type="dxa"/>
            <w:vAlign w:val="center"/>
          </w:tcPr>
          <w:p w:rsidR="00C67115" w:rsidRPr="00CF7278" w:rsidRDefault="00C67115" w:rsidP="00C85DA9">
            <w:pPr>
              <w:pStyle w:val="Tablewriting"/>
              <w:keepNext/>
              <w:keepLines/>
              <w:jc w:val="center"/>
              <w:rPr>
                <w:sz w:val="22"/>
                <w:szCs w:val="22"/>
              </w:rPr>
            </w:pPr>
            <w:r w:rsidRPr="00CF7278">
              <w:rPr>
                <w:sz w:val="22"/>
                <w:szCs w:val="22"/>
              </w:rPr>
              <w:t>6.3%</w:t>
            </w:r>
          </w:p>
        </w:tc>
        <w:tc>
          <w:tcPr>
            <w:tcW w:w="1559" w:type="dxa"/>
            <w:vAlign w:val="center"/>
          </w:tcPr>
          <w:p w:rsidR="00C67115" w:rsidRPr="00CF7278" w:rsidRDefault="00C67115" w:rsidP="00C85DA9">
            <w:pPr>
              <w:pStyle w:val="Tablewriting"/>
              <w:keepNext/>
              <w:keepLines/>
              <w:jc w:val="center"/>
              <w:rPr>
                <w:sz w:val="22"/>
                <w:szCs w:val="22"/>
              </w:rPr>
            </w:pPr>
            <w:r w:rsidRPr="00CF7278">
              <w:rPr>
                <w:sz w:val="22"/>
                <w:szCs w:val="22"/>
              </w:rPr>
              <w:t>Compliant</w:t>
            </w:r>
          </w:p>
        </w:tc>
        <w:tc>
          <w:tcPr>
            <w:tcW w:w="1701" w:type="dxa"/>
            <w:shd w:val="clear" w:color="auto" w:fill="auto"/>
            <w:noWrap/>
            <w:vAlign w:val="center"/>
          </w:tcPr>
          <w:p w:rsidR="00C67115" w:rsidRPr="00CF7278" w:rsidRDefault="00C67115" w:rsidP="00C85DA9">
            <w:pPr>
              <w:pStyle w:val="Tablewriting"/>
              <w:keepNext/>
              <w:keepLines/>
              <w:jc w:val="center"/>
              <w:rPr>
                <w:sz w:val="22"/>
                <w:szCs w:val="22"/>
              </w:rPr>
            </w:pPr>
            <w:r w:rsidRPr="00CF7278">
              <w:rPr>
                <w:sz w:val="22"/>
                <w:szCs w:val="22"/>
              </w:rPr>
              <w:t>5.6%</w:t>
            </w:r>
          </w:p>
        </w:tc>
        <w:tc>
          <w:tcPr>
            <w:tcW w:w="1276" w:type="dxa"/>
            <w:vAlign w:val="center"/>
          </w:tcPr>
          <w:p w:rsidR="00C67115" w:rsidRPr="00CF7278" w:rsidRDefault="00C67115" w:rsidP="00C85DA9">
            <w:pPr>
              <w:pStyle w:val="Tablewriting"/>
              <w:keepNext/>
              <w:keepLines/>
              <w:jc w:val="center"/>
              <w:rPr>
                <w:sz w:val="22"/>
                <w:szCs w:val="22"/>
              </w:rPr>
            </w:pPr>
            <w:r w:rsidRPr="00CF7278">
              <w:rPr>
                <w:sz w:val="22"/>
                <w:szCs w:val="22"/>
              </w:rPr>
              <w:t>5.9%</w:t>
            </w:r>
          </w:p>
        </w:tc>
      </w:tr>
      <w:tr w:rsidR="00C67115" w:rsidRPr="007501DD" w:rsidTr="00C85DA9">
        <w:trPr>
          <w:cantSplit/>
          <w:trHeight w:val="255"/>
          <w:tblHeader/>
        </w:trPr>
        <w:tc>
          <w:tcPr>
            <w:tcW w:w="3984" w:type="dxa"/>
            <w:shd w:val="clear" w:color="auto" w:fill="auto"/>
            <w:noWrap/>
            <w:vAlign w:val="bottom"/>
            <w:hideMark/>
          </w:tcPr>
          <w:p w:rsidR="00C67115" w:rsidRPr="00CF7278" w:rsidRDefault="00C67115" w:rsidP="00C85DA9">
            <w:pPr>
              <w:pStyle w:val="Tablewriting"/>
              <w:keepNext/>
              <w:keepLines/>
              <w:numPr>
                <w:ilvl w:val="0"/>
                <w:numId w:val="16"/>
              </w:numPr>
              <w:ind w:left="333" w:hanging="284"/>
              <w:rPr>
                <w:sz w:val="22"/>
                <w:szCs w:val="22"/>
              </w:rPr>
            </w:pPr>
            <w:r w:rsidRPr="00CF7278">
              <w:rPr>
                <w:sz w:val="22"/>
                <w:szCs w:val="22"/>
              </w:rPr>
              <w:t>Use without metformin, a sulfonylurea or insulin</w:t>
            </w:r>
          </w:p>
        </w:tc>
        <w:tc>
          <w:tcPr>
            <w:tcW w:w="1276" w:type="dxa"/>
            <w:vAlign w:val="center"/>
          </w:tcPr>
          <w:p w:rsidR="00C67115" w:rsidRPr="00CF7278" w:rsidRDefault="00C67115" w:rsidP="00C85DA9">
            <w:pPr>
              <w:pStyle w:val="Tablewriting"/>
              <w:keepNext/>
              <w:keepLines/>
              <w:jc w:val="center"/>
              <w:rPr>
                <w:sz w:val="22"/>
                <w:szCs w:val="22"/>
              </w:rPr>
            </w:pPr>
            <w:r w:rsidRPr="00CF7278">
              <w:rPr>
                <w:sz w:val="22"/>
                <w:szCs w:val="22"/>
              </w:rPr>
              <w:t>Compliant</w:t>
            </w:r>
          </w:p>
        </w:tc>
        <w:tc>
          <w:tcPr>
            <w:tcW w:w="1559" w:type="dxa"/>
            <w:vAlign w:val="center"/>
          </w:tcPr>
          <w:p w:rsidR="00C67115" w:rsidRPr="00CF7278" w:rsidRDefault="00C67115" w:rsidP="00C85DA9">
            <w:pPr>
              <w:pStyle w:val="Tablewriting"/>
              <w:keepNext/>
              <w:keepLines/>
              <w:jc w:val="center"/>
              <w:rPr>
                <w:sz w:val="22"/>
                <w:szCs w:val="22"/>
              </w:rPr>
            </w:pPr>
            <w:r w:rsidRPr="00CF7278">
              <w:rPr>
                <w:sz w:val="22"/>
                <w:szCs w:val="22"/>
              </w:rPr>
              <w:t>6.7%</w:t>
            </w:r>
          </w:p>
        </w:tc>
        <w:tc>
          <w:tcPr>
            <w:tcW w:w="1701" w:type="dxa"/>
            <w:shd w:val="clear" w:color="auto" w:fill="auto"/>
            <w:noWrap/>
            <w:vAlign w:val="center"/>
          </w:tcPr>
          <w:p w:rsidR="00C67115" w:rsidRPr="00CF7278" w:rsidRDefault="00C67115" w:rsidP="00C85DA9">
            <w:pPr>
              <w:pStyle w:val="Tablewriting"/>
              <w:keepNext/>
              <w:keepLines/>
              <w:jc w:val="center"/>
              <w:rPr>
                <w:sz w:val="22"/>
                <w:szCs w:val="22"/>
              </w:rPr>
            </w:pPr>
            <w:r w:rsidRPr="00CF7278">
              <w:rPr>
                <w:sz w:val="22"/>
                <w:szCs w:val="22"/>
              </w:rPr>
              <w:t>Compliant</w:t>
            </w:r>
          </w:p>
        </w:tc>
        <w:tc>
          <w:tcPr>
            <w:tcW w:w="1276" w:type="dxa"/>
            <w:vAlign w:val="center"/>
          </w:tcPr>
          <w:p w:rsidR="00C67115" w:rsidRPr="00CF7278" w:rsidRDefault="00C67115" w:rsidP="00C85DA9">
            <w:pPr>
              <w:pStyle w:val="Tablewriting"/>
              <w:keepNext/>
              <w:keepLines/>
              <w:jc w:val="center"/>
              <w:rPr>
                <w:sz w:val="22"/>
                <w:szCs w:val="22"/>
              </w:rPr>
            </w:pPr>
            <w:r w:rsidRPr="00CF7278">
              <w:rPr>
                <w:sz w:val="22"/>
                <w:szCs w:val="22"/>
              </w:rPr>
              <w:t>Compliant</w:t>
            </w:r>
          </w:p>
        </w:tc>
      </w:tr>
      <w:tr w:rsidR="00C67115" w:rsidRPr="007501DD" w:rsidTr="00C85DA9">
        <w:trPr>
          <w:cantSplit/>
          <w:trHeight w:val="255"/>
          <w:tblHeader/>
        </w:trPr>
        <w:tc>
          <w:tcPr>
            <w:tcW w:w="3984" w:type="dxa"/>
            <w:shd w:val="clear" w:color="auto" w:fill="auto"/>
            <w:noWrap/>
            <w:vAlign w:val="bottom"/>
          </w:tcPr>
          <w:p w:rsidR="00C67115" w:rsidRPr="00CF7278" w:rsidRDefault="00C67115" w:rsidP="00C85DA9">
            <w:pPr>
              <w:pStyle w:val="Tablewriting"/>
              <w:keepNext/>
              <w:keepLines/>
              <w:numPr>
                <w:ilvl w:val="0"/>
                <w:numId w:val="16"/>
              </w:numPr>
              <w:ind w:left="333" w:hanging="284"/>
              <w:rPr>
                <w:sz w:val="22"/>
                <w:szCs w:val="22"/>
              </w:rPr>
            </w:pPr>
            <w:r w:rsidRPr="00CF7278">
              <w:rPr>
                <w:sz w:val="22"/>
                <w:szCs w:val="22"/>
              </w:rPr>
              <w:t>Use of two or more third line agents</w:t>
            </w:r>
          </w:p>
        </w:tc>
        <w:tc>
          <w:tcPr>
            <w:tcW w:w="1276" w:type="dxa"/>
            <w:vAlign w:val="center"/>
          </w:tcPr>
          <w:p w:rsidR="00C67115" w:rsidRPr="00CF7278" w:rsidRDefault="00C67115" w:rsidP="00C85DA9">
            <w:pPr>
              <w:pStyle w:val="Tablewriting"/>
              <w:keepNext/>
              <w:keepLines/>
              <w:jc w:val="center"/>
              <w:rPr>
                <w:sz w:val="22"/>
                <w:szCs w:val="22"/>
              </w:rPr>
            </w:pPr>
            <w:r w:rsidRPr="00CF7278">
              <w:rPr>
                <w:sz w:val="22"/>
                <w:szCs w:val="22"/>
              </w:rPr>
              <w:t>2.7%</w:t>
            </w:r>
          </w:p>
        </w:tc>
        <w:tc>
          <w:tcPr>
            <w:tcW w:w="1559" w:type="dxa"/>
            <w:vAlign w:val="center"/>
          </w:tcPr>
          <w:p w:rsidR="00C67115" w:rsidRPr="00CF7278" w:rsidRDefault="00C67115" w:rsidP="00C85DA9">
            <w:pPr>
              <w:pStyle w:val="Tablewriting"/>
              <w:keepNext/>
              <w:keepLines/>
              <w:jc w:val="center"/>
              <w:rPr>
                <w:sz w:val="22"/>
                <w:szCs w:val="22"/>
              </w:rPr>
            </w:pPr>
            <w:r w:rsidRPr="00CF7278">
              <w:rPr>
                <w:sz w:val="22"/>
                <w:szCs w:val="22"/>
              </w:rPr>
              <w:t>6.2%</w:t>
            </w:r>
          </w:p>
        </w:tc>
        <w:tc>
          <w:tcPr>
            <w:tcW w:w="1701" w:type="dxa"/>
            <w:shd w:val="clear" w:color="auto" w:fill="auto"/>
            <w:noWrap/>
            <w:vAlign w:val="center"/>
          </w:tcPr>
          <w:p w:rsidR="00C67115" w:rsidRPr="00CF7278" w:rsidRDefault="00C67115" w:rsidP="00C85DA9">
            <w:pPr>
              <w:pStyle w:val="Tablewriting"/>
              <w:keepNext/>
              <w:keepLines/>
              <w:jc w:val="center"/>
              <w:rPr>
                <w:sz w:val="22"/>
                <w:szCs w:val="22"/>
              </w:rPr>
            </w:pPr>
            <w:r w:rsidRPr="00CF7278">
              <w:rPr>
                <w:sz w:val="22"/>
                <w:szCs w:val="22"/>
              </w:rPr>
              <w:t>4.6%</w:t>
            </w:r>
          </w:p>
        </w:tc>
        <w:tc>
          <w:tcPr>
            <w:tcW w:w="1276" w:type="dxa"/>
            <w:vAlign w:val="center"/>
          </w:tcPr>
          <w:p w:rsidR="00C67115" w:rsidRPr="00CF7278" w:rsidRDefault="00C67115" w:rsidP="00C85DA9">
            <w:pPr>
              <w:pStyle w:val="Tablewriting"/>
              <w:keepNext/>
              <w:keepLines/>
              <w:jc w:val="center"/>
              <w:rPr>
                <w:sz w:val="22"/>
                <w:szCs w:val="22"/>
              </w:rPr>
            </w:pPr>
            <w:r w:rsidRPr="00CF7278">
              <w:rPr>
                <w:sz w:val="22"/>
                <w:szCs w:val="22"/>
              </w:rPr>
              <w:t>7.7%</w:t>
            </w:r>
          </w:p>
        </w:tc>
      </w:tr>
    </w:tbl>
    <w:p w:rsidR="00C67115" w:rsidRDefault="00C67115" w:rsidP="00C85DA9">
      <w:pPr>
        <w:pStyle w:val="Notes"/>
        <w:keepNext/>
        <w:keepLines/>
      </w:pPr>
      <w:r>
        <w:t xml:space="preserve">Notes: </w:t>
      </w:r>
      <w:r>
        <w:tab/>
        <w:t xml:space="preserve">Data for the week beginning </w:t>
      </w:r>
      <w:r w:rsidR="00740024">
        <w:t>24</w:t>
      </w:r>
      <w:r>
        <w:t xml:space="preserve"> May 2012. </w:t>
      </w:r>
      <w:r w:rsidR="00C15997">
        <w:t>DPP-4 inhibitors</w:t>
      </w:r>
      <w:r>
        <w:t xml:space="preserve"> and rosiglitazone includes the single component products and the FDCs.</w:t>
      </w:r>
    </w:p>
    <w:p w:rsidR="00C67115" w:rsidRDefault="00C67115" w:rsidP="00492694">
      <w:pPr>
        <w:pStyle w:val="BodyText1"/>
      </w:pPr>
    </w:p>
    <w:p w:rsidR="00C67115" w:rsidRPr="00417B3F" w:rsidRDefault="00417B3F" w:rsidP="00492694">
      <w:pPr>
        <w:pStyle w:val="Heading2"/>
      </w:pPr>
      <w:bookmarkStart w:id="259" w:name="_Toc382566496"/>
      <w:bookmarkStart w:id="260" w:name="_Toc397947717"/>
      <w:bookmarkStart w:id="261" w:name="_Toc403399558"/>
      <w:r w:rsidRPr="00417B3F">
        <w:t>4.5</w:t>
      </w:r>
      <w:r w:rsidRPr="00417B3F">
        <w:tab/>
      </w:r>
      <w:r w:rsidR="00520162">
        <w:t>Conclusion and DUSC C</w:t>
      </w:r>
      <w:r w:rsidR="00C67115" w:rsidRPr="00417B3F">
        <w:t>ommentary</w:t>
      </w:r>
      <w:bookmarkEnd w:id="259"/>
      <w:bookmarkEnd w:id="260"/>
      <w:bookmarkEnd w:id="261"/>
    </w:p>
    <w:p w:rsidR="00C67115" w:rsidRDefault="00C67115" w:rsidP="00492694">
      <w:pPr>
        <w:pStyle w:val="BodyText1"/>
      </w:pPr>
      <w:r>
        <w:t xml:space="preserve">The DUSC suggested that a flow chart of PBS restrictions for type 2 diabetes medicines, similar to Figure </w:t>
      </w:r>
      <w:r w:rsidR="007808D8">
        <w:t>4.</w:t>
      </w:r>
      <w:r>
        <w:t xml:space="preserve">1, could be included in </w:t>
      </w:r>
      <w:r w:rsidR="007808D8">
        <w:t xml:space="preserve">the </w:t>
      </w:r>
      <w:r>
        <w:t>PBS Schedule to reduce confusion regarding the current complex wording.</w:t>
      </w:r>
      <w:r w:rsidRPr="00322E77">
        <w:t xml:space="preserve"> </w:t>
      </w:r>
      <w:r w:rsidRPr="00E96AC6">
        <w:t>This approach would be similar to the ‘general statement for lipid lowering drugs prescribed as pharmaceutical</w:t>
      </w:r>
      <w:r w:rsidR="00417B3F">
        <w:t xml:space="preserve"> benefits’.</w:t>
      </w:r>
    </w:p>
    <w:p w:rsidR="00C67115" w:rsidRDefault="00C67115" w:rsidP="00492694">
      <w:pPr>
        <w:pStyle w:val="BodyText1"/>
      </w:pPr>
      <w:r>
        <w:t>In the first 3.5 years of pharmacological treatment for type 2 diabetes, the vast majority of patients initiating treatment were treated in accordance with the PBS restrictions and clinical guidelines. Most patients initiate pharmacotherapy for type 2 diabetes with metformin (around 80% in 2009/10), which is consistent with</w:t>
      </w:r>
      <w:r w:rsidRPr="004B0003">
        <w:t xml:space="preserve"> clinical guidelines</w:t>
      </w:r>
      <w:r>
        <w:t>, and most (60–65%) do not add or switch therapy in the first 3.5 years. Of those who switched or added, less than 5% did so outside the PBS restrictions. However, the DUSC was concerned that the proportion of use outside of the PBS restrictions had grown over time and was likely to be more extensive in patients who had been treated for diabetes for longer than 3.5 years. The DUSC requested analyses to assess the proportion of use of third line agents that is in accordance with PBS restrictions, for both prior therapies and co-prescribed medicines (analyses 3 and 4).</w:t>
      </w:r>
    </w:p>
    <w:p w:rsidR="00C67115" w:rsidRDefault="00C67115" w:rsidP="00492694">
      <w:pPr>
        <w:pStyle w:val="BodyText1"/>
      </w:pPr>
      <w:r>
        <w:t xml:space="preserve">For concessional patients who initiated a </w:t>
      </w:r>
      <w:r w:rsidR="002772EC">
        <w:t>DPP-4 inhibitor</w:t>
      </w:r>
      <w:r>
        <w:t xml:space="preserve">, </w:t>
      </w:r>
      <w:r w:rsidR="006820B1">
        <w:t>TZD</w:t>
      </w:r>
      <w:r>
        <w:t xml:space="preserve"> or exenatide between July and December 2011,</w:t>
      </w:r>
      <w:r w:rsidRPr="007F198A">
        <w:t xml:space="preserve"> 47.</w:t>
      </w:r>
      <w:r>
        <w:t xml:space="preserve">7% </w:t>
      </w:r>
      <w:r w:rsidRPr="007F198A">
        <w:t xml:space="preserve">had not received a supply of both metformin and a sulfonylurea in the preceding </w:t>
      </w:r>
      <w:r>
        <w:t>two</w:t>
      </w:r>
      <w:r w:rsidRPr="007F198A">
        <w:t xml:space="preserve"> </w:t>
      </w:r>
      <w:r w:rsidRPr="000140A4">
        <w:t>years</w:t>
      </w:r>
      <w:r w:rsidR="00C85DA9">
        <w:t>. T</w:t>
      </w:r>
      <w:r>
        <w:t>he PBS restrictions for these medicines during the study period</w:t>
      </w:r>
      <w:r w:rsidR="00C85DA9">
        <w:t xml:space="preserve"> required a prior trial of metformin and a sulfonylurea, except </w:t>
      </w:r>
      <w:r w:rsidR="00C85DA9">
        <w:lastRenderedPageBreak/>
        <w:t>where contraindicated</w:t>
      </w:r>
      <w:r w:rsidRPr="000140A4">
        <w:t xml:space="preserve">. When the prior history period </w:t>
      </w:r>
      <w:r>
        <w:t>wa</w:t>
      </w:r>
      <w:r w:rsidRPr="000140A4">
        <w:t xml:space="preserve">s extended to </w:t>
      </w:r>
      <w:r>
        <w:t>five</w:t>
      </w:r>
      <w:r w:rsidRPr="000140A4">
        <w:t xml:space="preserve"> years, 44.6% of patient</w:t>
      </w:r>
      <w:r>
        <w:t>s</w:t>
      </w:r>
      <w:r w:rsidRPr="000140A4">
        <w:t xml:space="preserve"> had not received metformin and a sul</w:t>
      </w:r>
      <w:r>
        <w:t>f</w:t>
      </w:r>
      <w:r w:rsidRPr="000140A4">
        <w:t>onylurea</w:t>
      </w:r>
      <w:r>
        <w:t xml:space="preserve"> (data not shown)</w:t>
      </w:r>
      <w:r w:rsidRPr="000140A4">
        <w:t>.</w:t>
      </w:r>
      <w:r w:rsidRPr="007F198A">
        <w:rPr>
          <w:i/>
        </w:rPr>
        <w:t xml:space="preserve"> </w:t>
      </w:r>
    </w:p>
    <w:p w:rsidR="00C67115" w:rsidRDefault="00C67115" w:rsidP="00492694">
      <w:pPr>
        <w:pStyle w:val="BodyText1"/>
      </w:pPr>
      <w:r w:rsidRPr="00C01264">
        <w:t xml:space="preserve">The </w:t>
      </w:r>
      <w:r>
        <w:t xml:space="preserve">DUSC considered that the </w:t>
      </w:r>
      <w:r w:rsidRPr="00C01264">
        <w:t xml:space="preserve">proportion of people </w:t>
      </w:r>
      <w:r>
        <w:t xml:space="preserve">who did not take </w:t>
      </w:r>
      <w:r w:rsidRPr="00C01264">
        <w:t xml:space="preserve">metformin </w:t>
      </w:r>
      <w:r>
        <w:t xml:space="preserve">before initiating </w:t>
      </w:r>
      <w:r w:rsidRPr="00C01264">
        <w:t xml:space="preserve">a </w:t>
      </w:r>
      <w:r>
        <w:t xml:space="preserve">third line agent </w:t>
      </w:r>
      <w:r w:rsidRPr="00C01264">
        <w:t>(6.7%) appear</w:t>
      </w:r>
      <w:r>
        <w:t>ed</w:t>
      </w:r>
      <w:r w:rsidRPr="00C01264">
        <w:t xml:space="preserve"> reasonable based on reported rates of metformin contraindication</w:t>
      </w:r>
      <w:r>
        <w:t xml:space="preserve"> in patients with type 2 diabetes.</w:t>
      </w:r>
      <w:r w:rsidR="0093455B" w:rsidRPr="00DF4210">
        <w:rPr>
          <w:vertAlign w:val="superscript"/>
        </w:rPr>
        <w:t>54</w:t>
      </w:r>
      <w:r>
        <w:t xml:space="preserve"> However, t</w:t>
      </w:r>
      <w:r w:rsidRPr="00B50819">
        <w:t>he high percentage of patients</w:t>
      </w:r>
      <w:r>
        <w:t xml:space="preserve"> </w:t>
      </w:r>
      <w:r w:rsidRPr="00B50819">
        <w:t>(</w:t>
      </w:r>
      <w:r>
        <w:t>41</w:t>
      </w:r>
      <w:r w:rsidRPr="00B50819">
        <w:t xml:space="preserve">%) who started third line agents without a trial of </w:t>
      </w:r>
      <w:r>
        <w:t xml:space="preserve">a </w:t>
      </w:r>
      <w:r w:rsidRPr="00B50819">
        <w:t>sul</w:t>
      </w:r>
      <w:r>
        <w:t>f</w:t>
      </w:r>
      <w:r w:rsidRPr="00B50819">
        <w:t>onylurea appear</w:t>
      </w:r>
      <w:r>
        <w:t>ed</w:t>
      </w:r>
      <w:r w:rsidRPr="00B50819">
        <w:t xml:space="preserve"> to represent substantial use outside of the anticipated listing</w:t>
      </w:r>
      <w:r>
        <w:t xml:space="preserve"> and expected cost-effective use</w:t>
      </w:r>
      <w:r w:rsidRPr="00B50819">
        <w:t xml:space="preserve">. This pattern of prescribing </w:t>
      </w:r>
      <w:r>
        <w:t>wa</w:t>
      </w:r>
      <w:r w:rsidRPr="00B50819">
        <w:t xml:space="preserve">s most extensive with </w:t>
      </w:r>
      <w:r w:rsidR="002772EC">
        <w:t>DPP-4 inhibitor</w:t>
      </w:r>
      <w:r w:rsidRPr="00B50819">
        <w:t xml:space="preserve"> + metformin </w:t>
      </w:r>
      <w:r>
        <w:t>FDCs (53</w:t>
      </w:r>
      <w:r w:rsidRPr="00B50819">
        <w:t xml:space="preserve">%), rosiglitazone + metformin </w:t>
      </w:r>
      <w:r>
        <w:t>FDC (44</w:t>
      </w:r>
      <w:r w:rsidRPr="00B50819">
        <w:t>%),</w:t>
      </w:r>
      <w:r>
        <w:t xml:space="preserve"> and </w:t>
      </w:r>
      <w:r w:rsidR="002772EC">
        <w:t>DPP-4 inhibitor</w:t>
      </w:r>
      <w:r>
        <w:t xml:space="preserve"> single agents (38</w:t>
      </w:r>
      <w:r w:rsidRPr="00B50819">
        <w:t>%).</w:t>
      </w:r>
      <w:r w:rsidR="00417B3F">
        <w:t xml:space="preserve"> </w:t>
      </w:r>
    </w:p>
    <w:p w:rsidR="00C67115" w:rsidRDefault="00C67115" w:rsidP="00492694">
      <w:pPr>
        <w:pStyle w:val="BodyText1"/>
      </w:pPr>
      <w:r>
        <w:t xml:space="preserve">The DUSC considered that the prevalence of true contraindication </w:t>
      </w:r>
      <w:r w:rsidRPr="00B50819">
        <w:t xml:space="preserve">to </w:t>
      </w:r>
      <w:r>
        <w:t xml:space="preserve">a </w:t>
      </w:r>
      <w:r w:rsidRPr="00B50819">
        <w:t>sul</w:t>
      </w:r>
      <w:r>
        <w:t>f</w:t>
      </w:r>
      <w:r w:rsidRPr="00B50819">
        <w:t xml:space="preserve">onylurea </w:t>
      </w:r>
      <w:r>
        <w:t xml:space="preserve">(primarily </w:t>
      </w:r>
      <w:r w:rsidRPr="00B50819">
        <w:t>severe hepatic dysfunction and severe renal impairment</w:t>
      </w:r>
      <w:r>
        <w:t xml:space="preserve"> according to the Product Information) is low. In addition, a </w:t>
      </w:r>
      <w:r w:rsidRPr="00B50819">
        <w:t>trial of the medicine is required</w:t>
      </w:r>
      <w:r>
        <w:t xml:space="preserve"> to demonstrate intolerance to a sulfonylurea</w:t>
      </w:r>
      <w:r w:rsidRPr="00B50819">
        <w:t xml:space="preserve">. </w:t>
      </w:r>
      <w:r>
        <w:t xml:space="preserve">The </w:t>
      </w:r>
      <w:r w:rsidRPr="00B50819">
        <w:t>proportion of patients</w:t>
      </w:r>
      <w:r>
        <w:t xml:space="preserve"> </w:t>
      </w:r>
      <w:r w:rsidRPr="00B50819">
        <w:t>co</w:t>
      </w:r>
      <w:r>
        <w:noBreakHyphen/>
      </w:r>
      <w:r w:rsidRPr="00B50819">
        <w:t>administered metformin with a sul</w:t>
      </w:r>
      <w:r>
        <w:t>f</w:t>
      </w:r>
      <w:r w:rsidRPr="00B50819">
        <w:t>onylurea for a short period of time</w:t>
      </w:r>
      <w:r>
        <w:t>, which would be consistent with a trial of treatment,</w:t>
      </w:r>
      <w:r w:rsidRPr="00B50819">
        <w:t xml:space="preserve"> was very low</w:t>
      </w:r>
      <w:r>
        <w:t xml:space="preserve"> at 2%</w:t>
      </w:r>
      <w:r w:rsidRPr="00B50819">
        <w:t>.</w:t>
      </w:r>
      <w:r>
        <w:t xml:space="preserve"> The DUSC concluded that ‘intolerant’ to a sulfonylurea appears to be interpreted more liberally in clinical practice than was anticipated. </w:t>
      </w:r>
    </w:p>
    <w:p w:rsidR="00C67115" w:rsidRDefault="00C67115" w:rsidP="00492694">
      <w:pPr>
        <w:pStyle w:val="BodyText1"/>
      </w:pPr>
      <w:r>
        <w:t xml:space="preserve">The DUSC considered that the use of third line agents </w:t>
      </w:r>
      <w:r w:rsidRPr="00B50819">
        <w:t xml:space="preserve">in lieu of </w:t>
      </w:r>
      <w:r>
        <w:t xml:space="preserve">a </w:t>
      </w:r>
      <w:r w:rsidRPr="00B50819">
        <w:t>sul</w:t>
      </w:r>
      <w:r>
        <w:t>f</w:t>
      </w:r>
      <w:r w:rsidRPr="00B50819">
        <w:t>onylurea</w:t>
      </w:r>
      <w:r>
        <w:t xml:space="preserve"> has </w:t>
      </w:r>
      <w:r w:rsidRPr="00857766">
        <w:t>not been established</w:t>
      </w:r>
      <w:r>
        <w:t xml:space="preserve"> as cost-effective and would almost certainly not represent cost-effective use. These medicines a</w:t>
      </w:r>
      <w:r w:rsidRPr="00B50819">
        <w:t xml:space="preserve">re much more </w:t>
      </w:r>
      <w:r>
        <w:t xml:space="preserve">expensive </w:t>
      </w:r>
      <w:r w:rsidRPr="00B50819">
        <w:t>tha</w:t>
      </w:r>
      <w:r>
        <w:t>n</w:t>
      </w:r>
      <w:r w:rsidRPr="00B50819">
        <w:t xml:space="preserve"> sul</w:t>
      </w:r>
      <w:r>
        <w:t>f</w:t>
      </w:r>
      <w:r w:rsidRPr="00B50819">
        <w:t xml:space="preserve">onylureas and </w:t>
      </w:r>
      <w:r>
        <w:t>we</w:t>
      </w:r>
      <w:r w:rsidRPr="00B50819">
        <w:t>re not PBS listed as an alternative to</w:t>
      </w:r>
      <w:r>
        <w:t xml:space="preserve"> those medicines at the time of the analysis,</w:t>
      </w:r>
      <w:r w:rsidRPr="00B50819">
        <w:t xml:space="preserve"> unless there </w:t>
      </w:r>
      <w:r>
        <w:t>wa</w:t>
      </w:r>
      <w:r w:rsidRPr="00B50819">
        <w:t>s a contraindication or intolerance.</w:t>
      </w:r>
      <w:r>
        <w:t xml:space="preserve"> </w:t>
      </w:r>
    </w:p>
    <w:p w:rsidR="00C67115" w:rsidRDefault="00C67115" w:rsidP="00492694">
      <w:pPr>
        <w:pStyle w:val="BodyText1"/>
      </w:pPr>
      <w:r>
        <w:t xml:space="preserve">A </w:t>
      </w:r>
      <w:r w:rsidRPr="00B50819">
        <w:t xml:space="preserve">proportion of patients classified </w:t>
      </w:r>
      <w:r>
        <w:t xml:space="preserve">in this analysis </w:t>
      </w:r>
      <w:r w:rsidRPr="00B50819">
        <w:t xml:space="preserve">as meeting the PBS restriction for a </w:t>
      </w:r>
      <w:r w:rsidR="002772EC">
        <w:t>DPP-4 inhibitor</w:t>
      </w:r>
      <w:r w:rsidRPr="00B50819">
        <w:t xml:space="preserve"> due to previous history of co-administered metformin and a sul</w:t>
      </w:r>
      <w:r>
        <w:t>f</w:t>
      </w:r>
      <w:r w:rsidRPr="00B50819">
        <w:t xml:space="preserve">onylurea for </w:t>
      </w:r>
      <w:r>
        <w:t xml:space="preserve">more than 5 </w:t>
      </w:r>
      <w:r w:rsidRPr="00B50819">
        <w:t>weeks</w:t>
      </w:r>
      <w:r>
        <w:t>,</w:t>
      </w:r>
      <w:r w:rsidRPr="00B50819">
        <w:t xml:space="preserve"> may have switched to a </w:t>
      </w:r>
      <w:r w:rsidR="002772EC">
        <w:t>DPP-4 inhibitor</w:t>
      </w:r>
      <w:r w:rsidRPr="00B50819">
        <w:t xml:space="preserve"> for reasons other than genuine intolerance. The extent of this use beyond PBS criteria </w:t>
      </w:r>
      <w:r>
        <w:t xml:space="preserve">could not </w:t>
      </w:r>
      <w:r w:rsidRPr="00B50819">
        <w:t xml:space="preserve">be captured with prescription data. </w:t>
      </w:r>
      <w:r>
        <w:t>Therefore, t</w:t>
      </w:r>
      <w:r w:rsidRPr="00B50819">
        <w:t xml:space="preserve">he rate of </w:t>
      </w:r>
      <w:r>
        <w:t xml:space="preserve">non-compliant prescribing based on </w:t>
      </w:r>
      <w:r w:rsidRPr="00B50819">
        <w:t>PBS subsidy criteria</w:t>
      </w:r>
      <w:r>
        <w:t xml:space="preserve"> </w:t>
      </w:r>
      <w:r w:rsidRPr="00B50819">
        <w:t>is likely to be a conservative estimate.</w:t>
      </w:r>
    </w:p>
    <w:p w:rsidR="00C67115" w:rsidRPr="00B50819" w:rsidRDefault="00C67115" w:rsidP="00492694">
      <w:pPr>
        <w:pStyle w:val="BodyText1"/>
      </w:pPr>
      <w:r>
        <w:t>The DUSC noted that u</w:t>
      </w:r>
      <w:r w:rsidRPr="005A727D">
        <w:t xml:space="preserve">se beyond </w:t>
      </w:r>
      <w:r>
        <w:t xml:space="preserve">the </w:t>
      </w:r>
      <w:r w:rsidRPr="005A727D">
        <w:t>PBS restrictions appears to be greater with FDC products, than when concomitant a</w:t>
      </w:r>
      <w:r>
        <w:t>gents are supplied and that t</w:t>
      </w:r>
      <w:r w:rsidRPr="005A727D">
        <w:t>he availability of FDC products may be contributing to patterns of use.</w:t>
      </w:r>
      <w:r>
        <w:t xml:space="preserve"> Only one FDC of metformin with a</w:t>
      </w:r>
      <w:r w:rsidRPr="005A727D">
        <w:t xml:space="preserve"> sulphonylurea (glibencla</w:t>
      </w:r>
      <w:r>
        <w:t>mide) is available on the PBS, and g</w:t>
      </w:r>
      <w:r w:rsidRPr="005A727D">
        <w:t xml:space="preserve">libenclamide is not the sulphonylurea of choice for many patients as it has a higher reported rate of hypoglycaemia than glimepiride or gliclazide. Pioglitazone is not available in a FDC. </w:t>
      </w:r>
      <w:r>
        <w:t xml:space="preserve">There were two </w:t>
      </w:r>
      <w:r w:rsidR="002772EC">
        <w:t>DPP-4 inhibitor</w:t>
      </w:r>
      <w:r>
        <w:t xml:space="preserve"> with metformin FDCs available during the study period, and since that time an additional three have been included on the PBS.</w:t>
      </w:r>
    </w:p>
    <w:p w:rsidR="00C67115" w:rsidRDefault="00C67115" w:rsidP="00492694">
      <w:pPr>
        <w:pStyle w:val="BodyText1"/>
      </w:pPr>
      <w:r>
        <w:t xml:space="preserve">In an analysis of a prevalent cohort of concessional patients prescribed a third line agent between February 2011 and May 2012, at least </w:t>
      </w:r>
      <w:r w:rsidRPr="005F6FDE">
        <w:t xml:space="preserve">27.9% of patients </w:t>
      </w:r>
      <w:r>
        <w:t xml:space="preserve">were prescribed the third line agent </w:t>
      </w:r>
      <w:r w:rsidRPr="005F6FDE">
        <w:t>in a regimen of co-prescribed therapies that d</w:t>
      </w:r>
      <w:r>
        <w:t>id</w:t>
      </w:r>
      <w:r w:rsidRPr="005F6FDE">
        <w:t xml:space="preserve"> not co</w:t>
      </w:r>
      <w:r>
        <w:t xml:space="preserve">mply with </w:t>
      </w:r>
      <w:r>
        <w:lastRenderedPageBreak/>
        <w:t>PBS subsidy criteria. The DUSC noted that 27.9% was the lower estimate of use outside the PBS restrictions, as the pathway to third line therapy was not assessed in this analysis, and a proportion of regimens would be reached via a pathway inconsistent with PBS criteria.</w:t>
      </w:r>
    </w:p>
    <w:p w:rsidR="00C67115" w:rsidRPr="000140A4" w:rsidRDefault="00C67115" w:rsidP="00492694">
      <w:pPr>
        <w:pStyle w:val="BodyText1"/>
      </w:pPr>
      <w:r>
        <w:t>Of the third line agents, p</w:t>
      </w:r>
      <w:r w:rsidRPr="000140A4">
        <w:t>ioglitazone ha</w:t>
      </w:r>
      <w:r>
        <w:t>d</w:t>
      </w:r>
      <w:r w:rsidRPr="000140A4">
        <w:t xml:space="preserve"> the least u</w:t>
      </w:r>
      <w:r>
        <w:t>se beyond the PBS restriction</w:t>
      </w:r>
      <w:r w:rsidRPr="000140A4">
        <w:t>s</w:t>
      </w:r>
      <w:r>
        <w:t xml:space="preserve"> with only 13.0% of patient regimens non-compliant</w:t>
      </w:r>
      <w:r w:rsidRPr="000140A4">
        <w:t>, and the greatest alignment between PBS restrictions and clinical guidelines.</w:t>
      </w:r>
      <w:r w:rsidRPr="008B6482">
        <w:t xml:space="preserve"> </w:t>
      </w:r>
      <w:r>
        <w:t>T</w:t>
      </w:r>
      <w:r w:rsidRPr="00B6590D">
        <w:t xml:space="preserve">he </w:t>
      </w:r>
      <w:r>
        <w:t>highest</w:t>
      </w:r>
      <w:r w:rsidRPr="00B6590D">
        <w:t xml:space="preserve"> rate of</w:t>
      </w:r>
      <w:r>
        <w:t xml:space="preserve"> use outside of the restrictions wa</w:t>
      </w:r>
      <w:r w:rsidRPr="00B6590D">
        <w:t>s with rosiglitazone</w:t>
      </w:r>
      <w:r>
        <w:t xml:space="preserve"> (48.4%); h</w:t>
      </w:r>
      <w:r w:rsidRPr="00B6590D">
        <w:t>owever</w:t>
      </w:r>
      <w:r>
        <w:t xml:space="preserve">, </w:t>
      </w:r>
      <w:r w:rsidRPr="00B6590D">
        <w:t xml:space="preserve">total utilisation of rosiglitazone </w:t>
      </w:r>
      <w:r>
        <w:t>wa</w:t>
      </w:r>
      <w:r w:rsidRPr="00B6590D">
        <w:t xml:space="preserve">s very low and </w:t>
      </w:r>
      <w:r>
        <w:t>declining</w:t>
      </w:r>
      <w:r w:rsidRPr="00B6590D">
        <w:t>.</w:t>
      </w:r>
      <w:r>
        <w:t xml:space="preserve"> </w:t>
      </w:r>
      <w:r w:rsidRPr="007504AF">
        <w:t xml:space="preserve">Use outside of the restriction may </w:t>
      </w:r>
      <w:r>
        <w:t xml:space="preserve">have </w:t>
      </w:r>
      <w:r w:rsidRPr="007504AF">
        <w:t>reflect</w:t>
      </w:r>
      <w:r>
        <w:t>ed</w:t>
      </w:r>
      <w:r w:rsidRPr="007504AF">
        <w:t xml:space="preserve"> patients who remain</w:t>
      </w:r>
      <w:r>
        <w:t>ed</w:t>
      </w:r>
      <w:r w:rsidRPr="007504AF">
        <w:t xml:space="preserve"> on a regimen that no longer met </w:t>
      </w:r>
      <w:r>
        <w:t xml:space="preserve">the current </w:t>
      </w:r>
      <w:r w:rsidRPr="007504AF">
        <w:t>PBS restriction</w:t>
      </w:r>
      <w:r>
        <w:t>, refractory patients, or prescriber confusion due to multiple changes to the restrictions for rosiglitazone.</w:t>
      </w:r>
    </w:p>
    <w:p w:rsidR="00C67115" w:rsidRDefault="00C67115" w:rsidP="00492694">
      <w:pPr>
        <w:pStyle w:val="BodyText1"/>
      </w:pPr>
      <w:r>
        <w:t xml:space="preserve">The use of triple oral therapy with a </w:t>
      </w:r>
      <w:r w:rsidR="002772EC">
        <w:t>DPP-4 inhibitor</w:t>
      </w:r>
      <w:r>
        <w:t xml:space="preserve">, </w:t>
      </w:r>
      <w:r w:rsidRPr="004B0003">
        <w:t>metformin and a sul</w:t>
      </w:r>
      <w:r>
        <w:t>f</w:t>
      </w:r>
      <w:r w:rsidRPr="004B0003">
        <w:t>onylurea contribut</w:t>
      </w:r>
      <w:r>
        <w:t xml:space="preserve">ed most </w:t>
      </w:r>
      <w:r w:rsidRPr="004B0003">
        <w:t xml:space="preserve">to use outside </w:t>
      </w:r>
      <w:r>
        <w:t xml:space="preserve">the </w:t>
      </w:r>
      <w:r w:rsidRPr="004B0003">
        <w:t>restriction</w:t>
      </w:r>
      <w:r>
        <w:t>s</w:t>
      </w:r>
      <w:r w:rsidRPr="004B0003">
        <w:t xml:space="preserve">. </w:t>
      </w:r>
      <w:r>
        <w:t>U</w:t>
      </w:r>
      <w:r w:rsidRPr="004B0003">
        <w:t xml:space="preserve">se of </w:t>
      </w:r>
      <w:r w:rsidR="002772EC">
        <w:t>DPP-4 inhibitor</w:t>
      </w:r>
      <w:r w:rsidRPr="004B0003">
        <w:t xml:space="preserve"> monotherapy </w:t>
      </w:r>
      <w:r>
        <w:t>wa</w:t>
      </w:r>
      <w:r w:rsidRPr="004B0003">
        <w:t>s also evident</w:t>
      </w:r>
      <w:r>
        <w:t xml:space="preserve"> (6.3% of all patient using a </w:t>
      </w:r>
      <w:r w:rsidR="002772EC">
        <w:t>DPP-4 inhibitor</w:t>
      </w:r>
      <w:r>
        <w:t>)</w:t>
      </w:r>
      <w:r w:rsidRPr="00D56E56">
        <w:t xml:space="preserve">. </w:t>
      </w:r>
      <w:r w:rsidR="00C15997">
        <w:t>DPP-4 inhibitors</w:t>
      </w:r>
      <w:r w:rsidRPr="00D56E56">
        <w:t xml:space="preserve"> </w:t>
      </w:r>
      <w:r>
        <w:t>wer</w:t>
      </w:r>
      <w:r w:rsidRPr="00D56E56">
        <w:t xml:space="preserve">e being used in a number of ways that </w:t>
      </w:r>
      <w:r>
        <w:t>either</w:t>
      </w:r>
      <w:r w:rsidRPr="00D56E56">
        <w:t xml:space="preserve"> </w:t>
      </w:r>
      <w:r>
        <w:t xml:space="preserve">had </w:t>
      </w:r>
      <w:r w:rsidRPr="00D56E56">
        <w:t xml:space="preserve">not </w:t>
      </w:r>
      <w:r>
        <w:t xml:space="preserve">been </w:t>
      </w:r>
      <w:r w:rsidRPr="00D56E56">
        <w:t>considered</w:t>
      </w:r>
      <w:r>
        <w:t>,</w:t>
      </w:r>
      <w:r w:rsidRPr="00D56E56">
        <w:t xml:space="preserve"> or</w:t>
      </w:r>
      <w:r>
        <w:t xml:space="preserve"> had not been </w:t>
      </w:r>
      <w:r w:rsidRPr="00D56E56">
        <w:t>accepted t</w:t>
      </w:r>
      <w:r>
        <w:t>o be</w:t>
      </w:r>
      <w:r w:rsidRPr="00D56E56">
        <w:t xml:space="preserve"> cost-effective</w:t>
      </w:r>
      <w:r>
        <w:t>,</w:t>
      </w:r>
      <w:r w:rsidRPr="00D56E56">
        <w:t xml:space="preserve"> by PBAC. </w:t>
      </w:r>
      <w:r w:rsidRPr="00486AFF">
        <w:t>The</w:t>
      </w:r>
      <w:r>
        <w:t xml:space="preserve"> DUSC also considered that the </w:t>
      </w:r>
      <w:r w:rsidR="00A26D2D">
        <w:t>long term</w:t>
      </w:r>
      <w:r w:rsidRPr="00486AFF">
        <w:t xml:space="preserve"> </w:t>
      </w:r>
      <w:r>
        <w:t>safety of th</w:t>
      </w:r>
      <w:r w:rsidRPr="00D56E56">
        <w:t>is relatively new class of agents</w:t>
      </w:r>
      <w:r>
        <w:t xml:space="preserve"> had not been established. </w:t>
      </w:r>
      <w:r w:rsidR="00C15997">
        <w:t>DPP-4 inhibitors</w:t>
      </w:r>
      <w:r>
        <w:t xml:space="preserve"> were of</w:t>
      </w:r>
      <w:r w:rsidRPr="00D56E56">
        <w:t xml:space="preserve"> high cost compared to some of the therapies they </w:t>
      </w:r>
      <w:r>
        <w:t>we</w:t>
      </w:r>
      <w:r w:rsidRPr="00D56E56">
        <w:t>re substituting in practice (</w:t>
      </w:r>
      <w:r>
        <w:t>such as sulfonylurea</w:t>
      </w:r>
      <w:r w:rsidRPr="00D56E56">
        <w:t>s</w:t>
      </w:r>
      <w:r>
        <w:t xml:space="preserve"> and pioglitazone</w:t>
      </w:r>
      <w:r w:rsidRPr="00D56E56">
        <w:t>)</w:t>
      </w:r>
      <w:r>
        <w:t xml:space="preserve">. The PBAC rejected an application for PBS listing of a </w:t>
      </w:r>
      <w:r w:rsidR="002772EC">
        <w:t>DPP-4 inhibitor</w:t>
      </w:r>
      <w:r>
        <w:t xml:space="preserve"> and metformin FDC for use in triple oral therapy with a sulfonylurea in July 2013, on the basis that no appropriate evidence was presented to inform efficacy/safety in triple therapy. </w:t>
      </w:r>
    </w:p>
    <w:p w:rsidR="00C67115" w:rsidRPr="00417B3F" w:rsidRDefault="00C67115" w:rsidP="00492694">
      <w:pPr>
        <w:pStyle w:val="BodyText1"/>
        <w:rPr>
          <w:i/>
        </w:rPr>
      </w:pPr>
      <w:r w:rsidRPr="004B0003">
        <w:t>For exenatide</w:t>
      </w:r>
      <w:r>
        <w:t>,</w:t>
      </w:r>
      <w:r w:rsidRPr="000140A4">
        <w:t xml:space="preserve"> some use beyond PBS restrictions </w:t>
      </w:r>
      <w:r>
        <w:t>wa</w:t>
      </w:r>
      <w:r w:rsidRPr="000140A4">
        <w:t xml:space="preserve">s apparent, most of which </w:t>
      </w:r>
      <w:r>
        <w:t>wa</w:t>
      </w:r>
      <w:r w:rsidRPr="000140A4">
        <w:t>s combination use with insulin</w:t>
      </w:r>
      <w:r>
        <w:t xml:space="preserve"> (16.1% of patients using exenatide), or use with other third line agents (7.7% of patients supplied exenatide)</w:t>
      </w:r>
      <w:r w:rsidRPr="000140A4">
        <w:t xml:space="preserve">. </w:t>
      </w:r>
      <w:r>
        <w:t>The cost-effectiveness of this use has</w:t>
      </w:r>
      <w:r w:rsidRPr="000140A4">
        <w:t xml:space="preserve"> not been assessed by the PBAC.</w:t>
      </w:r>
    </w:p>
    <w:p w:rsidR="00C67115" w:rsidRDefault="00C67115" w:rsidP="00492694">
      <w:pPr>
        <w:pStyle w:val="BodyText1"/>
      </w:pPr>
      <w:r>
        <w:t xml:space="preserve">Of patients using third line agents, </w:t>
      </w:r>
      <w:r w:rsidRPr="005A727D">
        <w:t xml:space="preserve">27.9% </w:t>
      </w:r>
      <w:r>
        <w:t>are being prescribed a combination of medicines</w:t>
      </w:r>
      <w:r w:rsidRPr="005A727D">
        <w:t xml:space="preserve"> not indicated in the PBS restriction, and 47.7% have not been treated with both a metformin and a sulphonylurea (a small proportion </w:t>
      </w:r>
      <w:r>
        <w:t xml:space="preserve">of </w:t>
      </w:r>
      <w:r w:rsidRPr="005A727D">
        <w:t>who</w:t>
      </w:r>
      <w:r>
        <w:t>m</w:t>
      </w:r>
      <w:r w:rsidRPr="005A727D">
        <w:t xml:space="preserve"> would have a genuine contraindication)</w:t>
      </w:r>
      <w:r>
        <w:t>. Taking this into consideration, the DUSC concluded</w:t>
      </w:r>
      <w:r w:rsidRPr="005A727D">
        <w:t xml:space="preserve"> </w:t>
      </w:r>
      <w:r>
        <w:t xml:space="preserve">that </w:t>
      </w:r>
      <w:r w:rsidRPr="005A727D">
        <w:t>the overall rate of use beyond the PBS restriction</w:t>
      </w:r>
      <w:r>
        <w:t>s</w:t>
      </w:r>
      <w:r w:rsidRPr="005A727D">
        <w:t xml:space="preserve"> in relation to third line agents </w:t>
      </w:r>
      <w:r>
        <w:t xml:space="preserve">is </w:t>
      </w:r>
      <w:r w:rsidRPr="005A727D">
        <w:t xml:space="preserve">at least 30%. </w:t>
      </w:r>
      <w:r>
        <w:t>The committee</w:t>
      </w:r>
      <w:r w:rsidRPr="005A727D">
        <w:t xml:space="preserve"> suggested that this is a conservative estimate of non-cost-effective use.</w:t>
      </w:r>
    </w:p>
    <w:p w:rsidR="00C67115" w:rsidRPr="00C67115" w:rsidRDefault="00C67115" w:rsidP="00492694"/>
    <w:p w:rsidR="000E65B5" w:rsidRDefault="009F45BB" w:rsidP="00492694">
      <w:pPr>
        <w:pStyle w:val="Heading1"/>
      </w:pPr>
      <w:bookmarkStart w:id="262" w:name="_Part_5_–"/>
      <w:bookmarkEnd w:id="262"/>
      <w:r>
        <w:br w:type="page"/>
      </w:r>
      <w:bookmarkStart w:id="263" w:name="_Toc382906738"/>
      <w:bookmarkStart w:id="264" w:name="_Toc397947718"/>
      <w:bookmarkStart w:id="265" w:name="_Toc403399559"/>
      <w:r>
        <w:lastRenderedPageBreak/>
        <w:t xml:space="preserve">Part 5 – </w:t>
      </w:r>
      <w:r w:rsidR="00101507">
        <w:t>PBS Listing of</w:t>
      </w:r>
      <w:r w:rsidR="00F244DE">
        <w:t xml:space="preserve"> Type 2 Diabetes Medicines (ToR </w:t>
      </w:r>
      <w:r w:rsidR="00101507">
        <w:t>3)</w:t>
      </w:r>
      <w:bookmarkEnd w:id="263"/>
      <w:bookmarkEnd w:id="264"/>
      <w:bookmarkEnd w:id="265"/>
      <w:r w:rsidR="00101507">
        <w:t xml:space="preserve"> </w:t>
      </w:r>
      <w:r>
        <w:t xml:space="preserve"> </w:t>
      </w:r>
      <w:r w:rsidR="00234112" w:rsidRPr="00DF5874">
        <w:t xml:space="preserve"> </w:t>
      </w:r>
    </w:p>
    <w:p w:rsidR="009F3469" w:rsidRPr="009F3469" w:rsidRDefault="009F3469" w:rsidP="009F3469"/>
    <w:p w:rsidR="0002590C" w:rsidRPr="009F3469" w:rsidRDefault="0002590C" w:rsidP="000259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i/>
        </w:rPr>
      </w:pPr>
      <w:bookmarkStart w:id="266" w:name="_Part_6_–"/>
      <w:bookmarkStart w:id="267" w:name="_Part_6_–New"/>
      <w:bookmarkEnd w:id="266"/>
      <w:bookmarkEnd w:id="267"/>
      <w:r>
        <w:rPr>
          <w:b/>
          <w:i/>
        </w:rPr>
        <w:t>ToR 3</w:t>
      </w:r>
      <w:r w:rsidRPr="009F3469">
        <w:rPr>
          <w:b/>
          <w:i/>
        </w:rPr>
        <w:t>:</w:t>
      </w:r>
      <w:r w:rsidRPr="009F3469">
        <w:rPr>
          <w:i/>
        </w:rPr>
        <w:t xml:space="preserve"> Consolidate the clinical trial evidence used to support PBS listings of diabet</w:t>
      </w:r>
      <w:r>
        <w:rPr>
          <w:i/>
        </w:rPr>
        <w:t>es medicines listed since 2002.</w:t>
      </w:r>
    </w:p>
    <w:p w:rsidR="0002590C" w:rsidRDefault="0002590C" w:rsidP="0002590C"/>
    <w:p w:rsidR="008A23F4" w:rsidRDefault="00520162" w:rsidP="008A23F4">
      <w:pPr>
        <w:pStyle w:val="Heading2"/>
      </w:pPr>
      <w:bookmarkStart w:id="268" w:name="_Toc397947719"/>
      <w:bookmarkStart w:id="269" w:name="_Toc403399560"/>
      <w:r>
        <w:t>5.1</w:t>
      </w:r>
      <w:r>
        <w:tab/>
      </w:r>
      <w:r w:rsidR="008A23F4">
        <w:t>Key Findings</w:t>
      </w:r>
      <w:bookmarkEnd w:id="268"/>
      <w:bookmarkEnd w:id="269"/>
    </w:p>
    <w:p w:rsidR="005E6319" w:rsidRDefault="005E6319" w:rsidP="00921696">
      <w:pPr>
        <w:pStyle w:val="ListParagraph"/>
        <w:numPr>
          <w:ilvl w:val="0"/>
          <w:numId w:val="16"/>
        </w:numPr>
        <w:shd w:val="clear" w:color="auto" w:fill="D9D9D9" w:themeFill="background1" w:themeFillShade="D9"/>
        <w:ind w:left="284" w:hanging="284"/>
      </w:pPr>
      <w:r>
        <w:t xml:space="preserve">TGA-approved indications not subsidised by the PBS include use of newer type 2 diabetes medicines as: monotherapy; </w:t>
      </w:r>
      <w:r w:rsidR="006820B1">
        <w:t>TZD</w:t>
      </w:r>
      <w:r w:rsidR="00434A11">
        <w:t xml:space="preserve"> + </w:t>
      </w:r>
      <w:r w:rsidR="00921696">
        <w:t>DPP-4 inhibitor/</w:t>
      </w:r>
      <w:r w:rsidR="00434A11">
        <w:t>SGLT2 inhibitor</w:t>
      </w:r>
      <w:r>
        <w:t xml:space="preserve"> combinations;</w:t>
      </w:r>
      <w:r w:rsidRPr="0025559B">
        <w:t xml:space="preserve"> triple therapy with metformin </w:t>
      </w:r>
      <w:r>
        <w:t>+ sulfonylurea</w:t>
      </w:r>
      <w:r w:rsidR="00921696">
        <w:t xml:space="preserve"> + DPP-4 inhibitor/SGLT2 inhibitor</w:t>
      </w:r>
      <w:r>
        <w:t>;</w:t>
      </w:r>
      <w:r w:rsidRPr="0025559B">
        <w:t xml:space="preserve"> </w:t>
      </w:r>
      <w:r>
        <w:t xml:space="preserve">insulin </w:t>
      </w:r>
      <w:r w:rsidR="00921696">
        <w:t xml:space="preserve">+ </w:t>
      </w:r>
      <w:r w:rsidR="002772EC">
        <w:t>DPP-4 inhibitor</w:t>
      </w:r>
      <w:r w:rsidR="00921696">
        <w:t>/</w:t>
      </w:r>
      <w:r w:rsidR="00434A11">
        <w:t>SGLT2 inhibitor</w:t>
      </w:r>
      <w:r w:rsidR="00921696">
        <w:t>/</w:t>
      </w:r>
      <w:r w:rsidRPr="0025559B">
        <w:t xml:space="preserve">GLP-1 </w:t>
      </w:r>
      <w:r w:rsidR="00921696">
        <w:t>receptor agonist combinations</w:t>
      </w:r>
      <w:r w:rsidR="00780C3E">
        <w:t xml:space="preserve">; and </w:t>
      </w:r>
      <w:r w:rsidR="00780C3E" w:rsidRPr="0006018C">
        <w:t xml:space="preserve">initial use of </w:t>
      </w:r>
      <w:r w:rsidR="002772EC">
        <w:t>DPP-4 inhibitor</w:t>
      </w:r>
      <w:r w:rsidR="00921696">
        <w:t>/</w:t>
      </w:r>
      <w:r w:rsidR="00434A11">
        <w:t>SGLT2 inhibitor</w:t>
      </w:r>
      <w:r w:rsidR="00780C3E">
        <w:t xml:space="preserve"> with metformin</w:t>
      </w:r>
      <w:r>
        <w:t>.</w:t>
      </w:r>
    </w:p>
    <w:p w:rsidR="00F64EAC" w:rsidRDefault="005E6319" w:rsidP="00780C3E">
      <w:pPr>
        <w:pStyle w:val="ListParagraph"/>
        <w:numPr>
          <w:ilvl w:val="0"/>
          <w:numId w:val="16"/>
        </w:numPr>
        <w:shd w:val="clear" w:color="auto" w:fill="D9D9D9" w:themeFill="background1" w:themeFillShade="D9"/>
        <w:ind w:left="284" w:hanging="284"/>
      </w:pPr>
      <w:r>
        <w:t xml:space="preserve">A total of 177 clinical studies/systematic reviews assessing the newer type 2 diabetes medicines or the nominated comparators, were identified from 47 submissions to the PBAC. </w:t>
      </w:r>
    </w:p>
    <w:p w:rsidR="005E6319" w:rsidRDefault="0050380E" w:rsidP="00780C3E">
      <w:pPr>
        <w:pStyle w:val="ListParagraph"/>
        <w:numPr>
          <w:ilvl w:val="0"/>
          <w:numId w:val="16"/>
        </w:numPr>
        <w:shd w:val="clear" w:color="auto" w:fill="D9D9D9" w:themeFill="background1" w:themeFillShade="D9"/>
        <w:ind w:left="284" w:hanging="284"/>
      </w:pPr>
      <w:r>
        <w:t xml:space="preserve">Only </w:t>
      </w:r>
      <w:r w:rsidR="005E6319">
        <w:t>17 submissions provided direct head-to-head evidence against the main comparator.</w:t>
      </w:r>
    </w:p>
    <w:p w:rsidR="0050380E" w:rsidRDefault="0050380E" w:rsidP="00780C3E">
      <w:pPr>
        <w:pStyle w:val="ListParagraph"/>
        <w:numPr>
          <w:ilvl w:val="0"/>
          <w:numId w:val="16"/>
        </w:numPr>
        <w:shd w:val="clear" w:color="auto" w:fill="D9D9D9" w:themeFill="background1" w:themeFillShade="D9"/>
        <w:ind w:left="284" w:hanging="284"/>
      </w:pPr>
      <w:r>
        <w:t>The newer diabetes medicines have been positioned after the use of metformin and/or a sulfonylurea based on a series of non-inferiority comparisons originating from insulin.</w:t>
      </w:r>
    </w:p>
    <w:p w:rsidR="0050380E" w:rsidRDefault="0050380E" w:rsidP="00780C3E">
      <w:pPr>
        <w:pStyle w:val="ListParagraph"/>
        <w:numPr>
          <w:ilvl w:val="0"/>
          <w:numId w:val="16"/>
        </w:numPr>
        <w:shd w:val="clear" w:color="auto" w:fill="D9D9D9" w:themeFill="background1" w:themeFillShade="D9"/>
        <w:ind w:left="284" w:hanging="284"/>
      </w:pPr>
      <w:r>
        <w:t>Superiority claims were made in 14 submissions. No submission received a positive recommendation on the basis of a clinical claim of superiority.</w:t>
      </w:r>
    </w:p>
    <w:p w:rsidR="0050380E" w:rsidRDefault="0050380E" w:rsidP="00780C3E">
      <w:pPr>
        <w:pStyle w:val="ListParagraph"/>
        <w:numPr>
          <w:ilvl w:val="0"/>
          <w:numId w:val="16"/>
        </w:numPr>
        <w:shd w:val="clear" w:color="auto" w:fill="D9D9D9" w:themeFill="background1" w:themeFillShade="D9"/>
        <w:ind w:left="284" w:hanging="284"/>
      </w:pPr>
      <w:r>
        <w:t>The PBAC has acknowledged marginal differences in change in HbA</w:t>
      </w:r>
      <w:r w:rsidRPr="0050380E">
        <w:rPr>
          <w:vertAlign w:val="subscript"/>
        </w:rPr>
        <w:t>1c</w:t>
      </w:r>
      <w:r>
        <w:rPr>
          <w:vertAlign w:val="subscript"/>
        </w:rPr>
        <w:t xml:space="preserve"> </w:t>
      </w:r>
      <w:r w:rsidRPr="0050380E">
        <w:t>between</w:t>
      </w:r>
      <w:r>
        <w:rPr>
          <w:vertAlign w:val="subscript"/>
        </w:rPr>
        <w:t xml:space="preserve"> </w:t>
      </w:r>
      <w:r>
        <w:t>medicines, but has never accepted a claim of superiority due to the difficulty in translating these differences to clinical outcomes. When presented, the nominated HbA</w:t>
      </w:r>
      <w:r w:rsidRPr="0050380E">
        <w:rPr>
          <w:vertAlign w:val="subscript"/>
        </w:rPr>
        <w:t>1c</w:t>
      </w:r>
      <w:r>
        <w:t xml:space="preserve"> non-inferior</w:t>
      </w:r>
      <w:r w:rsidR="00921696">
        <w:t>ity margin was generally 0.3–</w:t>
      </w:r>
      <w:r>
        <w:t>0.4%</w:t>
      </w:r>
      <w:r w:rsidR="00921696">
        <w:t xml:space="preserve"> (3–4 mmol/mol)</w:t>
      </w:r>
      <w:r>
        <w:t xml:space="preserve">. </w:t>
      </w:r>
    </w:p>
    <w:p w:rsidR="0050380E" w:rsidRDefault="0050380E" w:rsidP="00780C3E">
      <w:pPr>
        <w:pStyle w:val="ListParagraph"/>
        <w:numPr>
          <w:ilvl w:val="0"/>
          <w:numId w:val="16"/>
        </w:numPr>
        <w:shd w:val="clear" w:color="auto" w:fill="D9D9D9" w:themeFill="background1" w:themeFillShade="D9"/>
        <w:ind w:left="284" w:hanging="284"/>
      </w:pPr>
      <w:r>
        <w:t>The PBAC has acknowledged that there may be differences between treatments in weight management and hypoglycaemia outcomes, but the magnitude and clinical importance of these differences has not been adequately demonstrated.</w:t>
      </w:r>
    </w:p>
    <w:p w:rsidR="0050380E" w:rsidRPr="00E93548" w:rsidRDefault="0050380E" w:rsidP="00780C3E">
      <w:pPr>
        <w:pStyle w:val="ListParagraph"/>
        <w:numPr>
          <w:ilvl w:val="0"/>
          <w:numId w:val="16"/>
        </w:numPr>
        <w:shd w:val="clear" w:color="auto" w:fill="D9D9D9" w:themeFill="background1" w:themeFillShade="D9"/>
        <w:ind w:left="284" w:hanging="284"/>
      </w:pPr>
      <w:r w:rsidRPr="00E93548">
        <w:t xml:space="preserve">None of the newer diabetes medicine submissions has presented microvascular/ macrovascular events as a key outcome. </w:t>
      </w:r>
    </w:p>
    <w:p w:rsidR="0050380E" w:rsidRPr="008A23F4" w:rsidRDefault="00F64EAC" w:rsidP="00780C3E">
      <w:pPr>
        <w:pStyle w:val="ListParagraph"/>
        <w:numPr>
          <w:ilvl w:val="0"/>
          <w:numId w:val="16"/>
        </w:numPr>
        <w:shd w:val="clear" w:color="auto" w:fill="D9D9D9" w:themeFill="background1" w:themeFillShade="D9"/>
        <w:ind w:left="284" w:hanging="284"/>
      </w:pPr>
      <w:r>
        <w:t>The PBAC has noted the lack of long term safety data for many of these medicines, particularly given the safety issues that arose after the listing of rosiglitazone. T</w:t>
      </w:r>
      <w:r w:rsidRPr="00E93548">
        <w:t xml:space="preserve">he PBAC has considered additional cardiovascular safety </w:t>
      </w:r>
      <w:r>
        <w:t xml:space="preserve">data </w:t>
      </w:r>
      <w:r w:rsidRPr="00E93548">
        <w:t xml:space="preserve">for two </w:t>
      </w:r>
      <w:r w:rsidR="00C15997">
        <w:t>DPP-4 inhibitors</w:t>
      </w:r>
      <w:r w:rsidRPr="00E93548">
        <w:t>.</w:t>
      </w:r>
    </w:p>
    <w:p w:rsidR="00F64EAC" w:rsidRDefault="00F64EAC" w:rsidP="008A23F4">
      <w:pPr>
        <w:pStyle w:val="Heading2"/>
      </w:pPr>
      <w:r>
        <w:br w:type="page"/>
      </w:r>
    </w:p>
    <w:p w:rsidR="008A23F4" w:rsidRDefault="00520162" w:rsidP="008A23F4">
      <w:pPr>
        <w:pStyle w:val="Heading2"/>
      </w:pPr>
      <w:bookmarkStart w:id="270" w:name="_Toc397947720"/>
      <w:bookmarkStart w:id="271" w:name="_Toc403399561"/>
      <w:r>
        <w:lastRenderedPageBreak/>
        <w:t>5.2</w:t>
      </w:r>
      <w:r>
        <w:tab/>
      </w:r>
      <w:r w:rsidR="008A23F4">
        <w:t>Introduction</w:t>
      </w:r>
      <w:r w:rsidR="00ED78DE">
        <w:t xml:space="preserve"> and Scope</w:t>
      </w:r>
      <w:bookmarkEnd w:id="270"/>
      <w:bookmarkEnd w:id="271"/>
    </w:p>
    <w:p w:rsidR="008A23F4" w:rsidRDefault="008A23F4" w:rsidP="008A23F4">
      <w:r>
        <w:t xml:space="preserve">This section summarises the report developed by the University of Newcastle </w:t>
      </w:r>
      <w:r w:rsidR="0092384C">
        <w:t>to address ToR 3 of the Review.</w:t>
      </w:r>
    </w:p>
    <w:p w:rsidR="0092384C" w:rsidRDefault="0092384C" w:rsidP="0092384C">
      <w:r>
        <w:t>This report considered submissions for</w:t>
      </w:r>
      <w:r w:rsidRPr="003A1AEC">
        <w:t xml:space="preserve"> PBS listing for </w:t>
      </w:r>
      <w:r>
        <w:t xml:space="preserve">type 2 diabetes </w:t>
      </w:r>
      <w:r w:rsidRPr="003A1AEC">
        <w:t xml:space="preserve">medicines </w:t>
      </w:r>
      <w:r>
        <w:t xml:space="preserve">for which prescribing restrictions apply (restricted listings), </w:t>
      </w:r>
      <w:r w:rsidRPr="003A1AEC">
        <w:t>dating from 2002 to 201</w:t>
      </w:r>
      <w:r>
        <w:t>3</w:t>
      </w:r>
      <w:r w:rsidRPr="003A1AEC">
        <w:t xml:space="preserve">. </w:t>
      </w:r>
      <w:r>
        <w:t>P</w:t>
      </w:r>
      <w:r w:rsidRPr="003A1AEC">
        <w:t>ioglitazone and rosiglitazone submissions considered prior to 2002</w:t>
      </w:r>
      <w:r>
        <w:t xml:space="preserve"> are also included,</w:t>
      </w:r>
      <w:r w:rsidRPr="003A1AEC">
        <w:t xml:space="preserve"> as both of these agents have been used as comparators for subsequent diabetes medicine submissions.</w:t>
      </w:r>
      <w:r>
        <w:t xml:space="preserve"> The submissions for insulins were not considered, as insulin is </w:t>
      </w:r>
      <w:r w:rsidRPr="003A1AEC">
        <w:t xml:space="preserve">beyond the scope of the </w:t>
      </w:r>
      <w:r>
        <w:t>R</w:t>
      </w:r>
      <w:r w:rsidRPr="003A1AEC">
        <w:t>eview.</w:t>
      </w:r>
      <w:r>
        <w:t xml:space="preserve"> </w:t>
      </w:r>
    </w:p>
    <w:p w:rsidR="0092384C" w:rsidRPr="00422AD1" w:rsidRDefault="0092384C" w:rsidP="0092384C">
      <w:r>
        <w:t>The included type 2 diabetes medicines, referred to as the newer diabetes medicines in this section of the Report, are:</w:t>
      </w:r>
    </w:p>
    <w:p w:rsidR="0092384C" w:rsidRPr="00394425" w:rsidRDefault="0092384C" w:rsidP="00780C3E">
      <w:pPr>
        <w:pStyle w:val="ListParagraph"/>
        <w:numPr>
          <w:ilvl w:val="0"/>
          <w:numId w:val="16"/>
        </w:numPr>
      </w:pPr>
      <w:r w:rsidRPr="0092384C">
        <w:rPr>
          <w:i/>
        </w:rPr>
        <w:t>Thiazolidinediones (glitazones)</w:t>
      </w:r>
      <w:r w:rsidRPr="00394425">
        <w:t xml:space="preserve"> – rosiglitazone, pioglitazone, and the related </w:t>
      </w:r>
      <w:r w:rsidR="003776A5">
        <w:t xml:space="preserve">FDC </w:t>
      </w:r>
      <w:r w:rsidRPr="00394425">
        <w:t>product metformin</w:t>
      </w:r>
      <w:r>
        <w:t xml:space="preserve"> + rosiglitazone.</w:t>
      </w:r>
    </w:p>
    <w:p w:rsidR="0092384C" w:rsidRPr="00394425" w:rsidRDefault="0092384C" w:rsidP="00780C3E">
      <w:pPr>
        <w:pStyle w:val="ListParagraph"/>
        <w:numPr>
          <w:ilvl w:val="0"/>
          <w:numId w:val="16"/>
        </w:numPr>
      </w:pPr>
      <w:r>
        <w:rPr>
          <w:i/>
        </w:rPr>
        <w:t>DPP-4</w:t>
      </w:r>
      <w:r w:rsidRPr="0092384C">
        <w:rPr>
          <w:i/>
        </w:rPr>
        <w:t xml:space="preserve"> inhibitors (gliptins)</w:t>
      </w:r>
      <w:r w:rsidRPr="00394425">
        <w:t xml:space="preserve"> – sitagliptin, saxagliptin, vildagliptin, linagliptin, alogliptin and the related </w:t>
      </w:r>
      <w:r w:rsidR="003776A5">
        <w:t xml:space="preserve">FDC </w:t>
      </w:r>
      <w:r w:rsidRPr="00394425">
        <w:t>products metformin</w:t>
      </w:r>
      <w:r>
        <w:t xml:space="preserve"> </w:t>
      </w:r>
      <w:r w:rsidRPr="00394425">
        <w:t>+</w:t>
      </w:r>
      <w:r>
        <w:t xml:space="preserve"> </w:t>
      </w:r>
      <w:r w:rsidRPr="00394425">
        <w:t>sitagliptin, metformin</w:t>
      </w:r>
      <w:r>
        <w:t xml:space="preserve"> </w:t>
      </w:r>
      <w:r w:rsidRPr="00394425">
        <w:t>+</w:t>
      </w:r>
      <w:r>
        <w:t xml:space="preserve"> </w:t>
      </w:r>
      <w:r w:rsidRPr="00394425">
        <w:t>vildagliptin, simvastatin</w:t>
      </w:r>
      <w:r>
        <w:t xml:space="preserve"> </w:t>
      </w:r>
      <w:r w:rsidRPr="00394425">
        <w:t>+</w:t>
      </w:r>
      <w:r>
        <w:t xml:space="preserve"> </w:t>
      </w:r>
      <w:r w:rsidRPr="00394425">
        <w:t>sitagliptin, linagliptin</w:t>
      </w:r>
      <w:r>
        <w:t xml:space="preserve"> </w:t>
      </w:r>
      <w:r w:rsidRPr="00394425">
        <w:t>+ metformin, metformin</w:t>
      </w:r>
      <w:r>
        <w:t xml:space="preserve"> </w:t>
      </w:r>
      <w:r w:rsidRPr="00394425">
        <w:t>+</w:t>
      </w:r>
      <w:r>
        <w:t xml:space="preserve"> </w:t>
      </w:r>
      <w:r w:rsidRPr="00394425">
        <w:t>saxagliptin, alogliptin</w:t>
      </w:r>
      <w:r>
        <w:t xml:space="preserve"> </w:t>
      </w:r>
      <w:r w:rsidRPr="00394425">
        <w:t>+</w:t>
      </w:r>
      <w:r>
        <w:t xml:space="preserve"> </w:t>
      </w:r>
      <w:r w:rsidRPr="00394425">
        <w:t>metformin, metformin XR</w:t>
      </w:r>
      <w:r>
        <w:t xml:space="preserve"> </w:t>
      </w:r>
      <w:r w:rsidRPr="00394425">
        <w:t>+</w:t>
      </w:r>
      <w:r>
        <w:t xml:space="preserve"> </w:t>
      </w:r>
      <w:r w:rsidRPr="00394425">
        <w:t>sitagliptin and metformin XR</w:t>
      </w:r>
      <w:r>
        <w:t xml:space="preserve"> </w:t>
      </w:r>
      <w:r w:rsidRPr="00394425">
        <w:t>+</w:t>
      </w:r>
      <w:r>
        <w:t xml:space="preserve"> saxagliptin.</w:t>
      </w:r>
    </w:p>
    <w:p w:rsidR="0092384C" w:rsidRPr="0092384C" w:rsidRDefault="00653D7E" w:rsidP="00780C3E">
      <w:pPr>
        <w:pStyle w:val="ListParagraph"/>
        <w:numPr>
          <w:ilvl w:val="0"/>
          <w:numId w:val="16"/>
        </w:numPr>
        <w:rPr>
          <w:i/>
        </w:rPr>
      </w:pPr>
      <w:r>
        <w:rPr>
          <w:i/>
        </w:rPr>
        <w:t>SGLT</w:t>
      </w:r>
      <w:r w:rsidR="0092384C" w:rsidRPr="0092384C">
        <w:rPr>
          <w:i/>
        </w:rPr>
        <w:t>2 inhibitors (gliflozins)</w:t>
      </w:r>
      <w:r w:rsidR="0092384C">
        <w:t xml:space="preserve"> – dapagliflozin and canagliflozin.</w:t>
      </w:r>
    </w:p>
    <w:p w:rsidR="0092384C" w:rsidRDefault="0092384C" w:rsidP="00780C3E">
      <w:pPr>
        <w:pStyle w:val="ListParagraph"/>
        <w:numPr>
          <w:ilvl w:val="0"/>
          <w:numId w:val="16"/>
        </w:numPr>
      </w:pPr>
      <w:r>
        <w:rPr>
          <w:i/>
        </w:rPr>
        <w:t>GLP-1</w:t>
      </w:r>
      <w:r w:rsidRPr="0092384C">
        <w:rPr>
          <w:i/>
        </w:rPr>
        <w:t xml:space="preserve"> analogues – </w:t>
      </w:r>
      <w:r w:rsidRPr="004C3DD8">
        <w:t>exenatide, exenatide long-acting (LA) and liraglutide.</w:t>
      </w:r>
    </w:p>
    <w:p w:rsidR="00ED78DE" w:rsidRPr="00422AD1" w:rsidRDefault="00ED78DE" w:rsidP="00ED78DE">
      <w:r>
        <w:t xml:space="preserve">The review collated and consolidated data based on the </w:t>
      </w:r>
      <w:r w:rsidRPr="003A1AEC">
        <w:t>following issues:</w:t>
      </w:r>
    </w:p>
    <w:p w:rsidR="00ED78DE" w:rsidRPr="00422AD1" w:rsidRDefault="00ED78DE" w:rsidP="007156EB">
      <w:pPr>
        <w:pStyle w:val="ListParagraph"/>
        <w:numPr>
          <w:ilvl w:val="0"/>
          <w:numId w:val="33"/>
        </w:numPr>
      </w:pPr>
      <w:r w:rsidRPr="003A1AEC">
        <w:t>Types of PBS restrictions applied for individual medicines and classes of medicines.</w:t>
      </w:r>
    </w:p>
    <w:p w:rsidR="00ED78DE" w:rsidRPr="00422AD1" w:rsidRDefault="00ED78DE" w:rsidP="007156EB">
      <w:pPr>
        <w:pStyle w:val="ListParagraph"/>
        <w:numPr>
          <w:ilvl w:val="0"/>
          <w:numId w:val="33"/>
        </w:numPr>
      </w:pPr>
      <w:r w:rsidRPr="003A1AEC">
        <w:t>Differences between TGA approved indications and PBS listings for individual agents.</w:t>
      </w:r>
    </w:p>
    <w:p w:rsidR="00ED78DE" w:rsidRPr="00422AD1" w:rsidRDefault="00ED78DE" w:rsidP="007156EB">
      <w:pPr>
        <w:pStyle w:val="ListParagraph"/>
        <w:numPr>
          <w:ilvl w:val="0"/>
          <w:numId w:val="33"/>
        </w:numPr>
      </w:pPr>
      <w:r w:rsidRPr="003A1AEC">
        <w:t>Comparators used in the applications for listing.</w:t>
      </w:r>
    </w:p>
    <w:p w:rsidR="00ED78DE" w:rsidRPr="00422AD1" w:rsidRDefault="00ED78DE" w:rsidP="007156EB">
      <w:pPr>
        <w:pStyle w:val="ListParagraph"/>
        <w:numPr>
          <w:ilvl w:val="0"/>
          <w:numId w:val="33"/>
        </w:numPr>
      </w:pPr>
      <w:r w:rsidRPr="003A1AEC">
        <w:t xml:space="preserve">The clinical </w:t>
      </w:r>
      <w:r>
        <w:t>evidence</w:t>
      </w:r>
      <w:r w:rsidRPr="003A1AEC">
        <w:t xml:space="preserve"> used </w:t>
      </w:r>
      <w:r>
        <w:t xml:space="preserve">by the submissions </w:t>
      </w:r>
      <w:r w:rsidRPr="003A1AEC">
        <w:t>to support the applications for listing.</w:t>
      </w:r>
    </w:p>
    <w:p w:rsidR="00ED78DE" w:rsidRPr="00422AD1" w:rsidRDefault="00ED78DE" w:rsidP="007156EB">
      <w:pPr>
        <w:pStyle w:val="ListParagraph"/>
        <w:numPr>
          <w:ilvl w:val="0"/>
          <w:numId w:val="33"/>
        </w:numPr>
      </w:pPr>
      <w:r>
        <w:t>Reasons for rejection by the PBAC relating to the clinical evidence presented</w:t>
      </w:r>
      <w:r w:rsidRPr="003A1AEC">
        <w:t>.</w:t>
      </w:r>
    </w:p>
    <w:p w:rsidR="00FC7AC6" w:rsidRPr="009460FB" w:rsidRDefault="00FC7AC6" w:rsidP="00FC7AC6">
      <w:r w:rsidRPr="003A1AEC">
        <w:t xml:space="preserve">Agents </w:t>
      </w:r>
      <w:r>
        <w:t>considered</w:t>
      </w:r>
      <w:r w:rsidRPr="003A1AEC">
        <w:t xml:space="preserve"> that are not currently PBS-listed </w:t>
      </w:r>
      <w:r>
        <w:t xml:space="preserve">(as of 1 January 2014) </w:t>
      </w:r>
      <w:r w:rsidRPr="003A1AEC">
        <w:t>are liraglutide, exenatide LA and the combination</w:t>
      </w:r>
      <w:r>
        <w:t xml:space="preserve">s of alogliptin + metformin, linagliptin + metformin, </w:t>
      </w:r>
      <w:r w:rsidRPr="009460FB">
        <w:t>metformin</w:t>
      </w:r>
      <w:r>
        <w:t xml:space="preserve"> </w:t>
      </w:r>
      <w:r w:rsidRPr="009460FB">
        <w:t>+</w:t>
      </w:r>
      <w:r>
        <w:t xml:space="preserve"> </w:t>
      </w:r>
      <w:r w:rsidRPr="009460FB">
        <w:t>saxagliptin, metformin XR</w:t>
      </w:r>
      <w:r>
        <w:t xml:space="preserve"> </w:t>
      </w:r>
      <w:r w:rsidRPr="009460FB">
        <w:t>+</w:t>
      </w:r>
      <w:r>
        <w:t xml:space="preserve"> </w:t>
      </w:r>
      <w:r w:rsidRPr="009460FB">
        <w:t>saxagliptin and metformin XR</w:t>
      </w:r>
      <w:r>
        <w:t xml:space="preserve"> </w:t>
      </w:r>
      <w:r w:rsidRPr="009460FB">
        <w:t>+</w:t>
      </w:r>
      <w:r>
        <w:t xml:space="preserve"> </w:t>
      </w:r>
      <w:r w:rsidRPr="009460FB">
        <w:t>sitagliptin.</w:t>
      </w:r>
    </w:p>
    <w:p w:rsidR="006827CA" w:rsidRDefault="006827CA" w:rsidP="006827CA"/>
    <w:p w:rsidR="0092384C" w:rsidRDefault="00520162" w:rsidP="0092384C">
      <w:pPr>
        <w:pStyle w:val="Heading2"/>
      </w:pPr>
      <w:bookmarkStart w:id="272" w:name="_Toc397947721"/>
      <w:bookmarkStart w:id="273" w:name="_Toc403399562"/>
      <w:r>
        <w:t>5.3</w:t>
      </w:r>
      <w:r>
        <w:tab/>
      </w:r>
      <w:r w:rsidR="0092384C">
        <w:t>Methods</w:t>
      </w:r>
      <w:bookmarkEnd w:id="272"/>
      <w:bookmarkEnd w:id="273"/>
    </w:p>
    <w:p w:rsidR="00ED78DE" w:rsidRDefault="005C40F8" w:rsidP="00ED78DE">
      <w:r w:rsidRPr="003A1AEC">
        <w:t xml:space="preserve">A manual search was undertaken to </w:t>
      </w:r>
      <w:r w:rsidRPr="0008362D">
        <w:t>identify all of the newer</w:t>
      </w:r>
      <w:r>
        <w:t xml:space="preserve"> </w:t>
      </w:r>
      <w:r w:rsidRPr="003A1AEC">
        <w:t xml:space="preserve">diabetes medicines submissions reviewed by the PBAC </w:t>
      </w:r>
      <w:r>
        <w:t>from</w:t>
      </w:r>
      <w:r w:rsidRPr="003A1AEC">
        <w:t xml:space="preserve"> 2002 to 201</w:t>
      </w:r>
      <w:r>
        <w:t xml:space="preserve">3, and earlier submissions of the </w:t>
      </w:r>
      <w:r w:rsidR="006820B1">
        <w:t>TZDs</w:t>
      </w:r>
      <w:r w:rsidRPr="003A1AEC">
        <w:t>. The data sources include the 2012 DUSC Review</w:t>
      </w:r>
      <w:r>
        <w:t xml:space="preserve"> (</w:t>
      </w:r>
      <w:hyperlink w:anchor="_Part_4_–_1" w:history="1">
        <w:r w:rsidRPr="006E1080">
          <w:rPr>
            <w:rStyle w:val="Hyperlink"/>
          </w:rPr>
          <w:t>Part 4</w:t>
        </w:r>
      </w:hyperlink>
      <w:r>
        <w:t>)</w:t>
      </w:r>
      <w:r w:rsidRPr="003A1AEC">
        <w:t xml:space="preserve">, published </w:t>
      </w:r>
      <w:r w:rsidRPr="0028026D">
        <w:t xml:space="preserve">PBS </w:t>
      </w:r>
      <w:r w:rsidRPr="0028026D">
        <w:lastRenderedPageBreak/>
        <w:t>Schedules</w:t>
      </w:r>
      <w:r w:rsidRPr="003A1AEC">
        <w:t xml:space="preserve">, PBAC </w:t>
      </w:r>
      <w:r>
        <w:t xml:space="preserve">meeting </w:t>
      </w:r>
      <w:r w:rsidRPr="003A1AEC">
        <w:t xml:space="preserve">minutes, </w:t>
      </w:r>
      <w:r>
        <w:t>Pharmaceutical Evaluation Section (</w:t>
      </w:r>
      <w:r w:rsidRPr="003A1AEC">
        <w:t>PES</w:t>
      </w:r>
      <w:r>
        <w:t>)</w:t>
      </w:r>
      <w:r w:rsidRPr="003A1AEC">
        <w:t xml:space="preserve"> commentaries</w:t>
      </w:r>
      <w:r>
        <w:t>,</w:t>
      </w:r>
      <w:r w:rsidRPr="003A1AEC">
        <w:t xml:space="preserve"> Public Summary Documents </w:t>
      </w:r>
      <w:r>
        <w:t>and</w:t>
      </w:r>
      <w:r w:rsidRPr="00516425">
        <w:t xml:space="preserve"> </w:t>
      </w:r>
      <w:r>
        <w:t xml:space="preserve">the </w:t>
      </w:r>
      <w:r w:rsidRPr="0028026D">
        <w:t>TGA eBusiness Services</w:t>
      </w:r>
      <w:r>
        <w:t xml:space="preserve"> website</w:t>
      </w:r>
      <w:r w:rsidR="00ED78DE">
        <w:t xml:space="preserve"> (to access Product Information documents</w:t>
      </w:r>
      <w:r w:rsidRPr="003A1AEC">
        <w:t xml:space="preserve">. </w:t>
      </w:r>
      <w:r w:rsidR="00ED78DE" w:rsidRPr="003A1AEC">
        <w:t xml:space="preserve">The documents informing this review were those that were available up to </w:t>
      </w:r>
      <w:r w:rsidR="00ED78DE">
        <w:t>January 2014</w:t>
      </w:r>
      <w:r w:rsidR="00ED78DE" w:rsidRPr="003A1AEC">
        <w:t>.</w:t>
      </w:r>
    </w:p>
    <w:p w:rsidR="00ED78DE" w:rsidRDefault="005C40F8" w:rsidP="00ED78DE">
      <w:r>
        <w:t>These data were supplemented by additional searches to reconcile trial identifiers with subsequently published studies</w:t>
      </w:r>
      <w:r w:rsidRPr="003A1AEC">
        <w:t>.</w:t>
      </w:r>
      <w:r>
        <w:t xml:space="preserve"> </w:t>
      </w:r>
      <w:r w:rsidR="00ED78DE" w:rsidRPr="003A1AEC">
        <w:t xml:space="preserve">This included literature searches using trial identifiers and information on trial interventions as search terms. </w:t>
      </w:r>
      <w:r w:rsidR="00ED78DE" w:rsidRPr="003A1AEC">
        <w:rPr>
          <w:kern w:val="16"/>
        </w:rPr>
        <w:t xml:space="preserve">The </w:t>
      </w:r>
      <w:r w:rsidR="00ED78DE">
        <w:rPr>
          <w:kern w:val="16"/>
        </w:rPr>
        <w:t>PubMed</w:t>
      </w:r>
      <w:r w:rsidR="00ED78DE" w:rsidRPr="003A1AEC">
        <w:rPr>
          <w:kern w:val="16"/>
        </w:rPr>
        <w:t xml:space="preserve"> database and </w:t>
      </w:r>
      <w:r w:rsidR="00ED78DE">
        <w:rPr>
          <w:kern w:val="16"/>
        </w:rPr>
        <w:t xml:space="preserve">the ClinicalTrials.gov </w:t>
      </w:r>
      <w:r w:rsidR="00ED78DE" w:rsidRPr="003A1AEC">
        <w:t>registr</w:t>
      </w:r>
      <w:r w:rsidR="00ED78DE">
        <w:t>y</w:t>
      </w:r>
      <w:r w:rsidR="00ED78DE" w:rsidRPr="003A1AEC">
        <w:t xml:space="preserve"> were searched for records of the clinical trials. A Google search was also undertaken to identify trials not indexed in the nominated databases.</w:t>
      </w:r>
    </w:p>
    <w:p w:rsidR="00ED78DE" w:rsidRPr="00422AD1" w:rsidRDefault="00ED78DE" w:rsidP="00FC7AC6">
      <w:r w:rsidRPr="003A1AEC">
        <w:t>All of the identi</w:t>
      </w:r>
      <w:r>
        <w:t xml:space="preserve">fied documents were reviewed </w:t>
      </w:r>
      <w:r w:rsidRPr="003A1AEC">
        <w:t xml:space="preserve">to extract the relevant data. The key information extracted and examined </w:t>
      </w:r>
      <w:r w:rsidR="00D55941">
        <w:t xml:space="preserve">regarding the </w:t>
      </w:r>
      <w:r w:rsidRPr="003A1AEC">
        <w:t>PBAC submissions</w:t>
      </w:r>
      <w:r w:rsidR="00D55941">
        <w:t xml:space="preserve"> were</w:t>
      </w:r>
      <w:r w:rsidRPr="003A1AEC">
        <w:t xml:space="preserve">: meeting date, requested listing, comparator, clinical evidence presented, </w:t>
      </w:r>
      <w:r>
        <w:t>clinical claim(s)</w:t>
      </w:r>
      <w:r w:rsidRPr="003A1AEC">
        <w:t>, type of economic evaluation (cost-minimisation or cost-effectiveness an</w:t>
      </w:r>
      <w:r>
        <w:t>alysis) and PBAC recommendation.</w:t>
      </w:r>
    </w:p>
    <w:p w:rsidR="00D55941" w:rsidRDefault="00D55941" w:rsidP="00FC7AC6">
      <w:r>
        <w:t>C</w:t>
      </w:r>
      <w:r w:rsidRPr="003A1AEC">
        <w:t xml:space="preserve">linical </w:t>
      </w:r>
      <w:r>
        <w:t xml:space="preserve">trial </w:t>
      </w:r>
      <w:r w:rsidRPr="003A1AEC">
        <w:t xml:space="preserve">evidence </w:t>
      </w:r>
      <w:r>
        <w:t xml:space="preserve">was </w:t>
      </w:r>
      <w:r w:rsidRPr="003A1AEC">
        <w:t>classified into three classes: direct randomised trials providing direct comparisons, indirect comparisons and supp</w:t>
      </w:r>
      <w:r>
        <w:t>lementary</w:t>
      </w:r>
      <w:r w:rsidRPr="003A1AEC">
        <w:t xml:space="preserve"> data. For the purposes of this review, direct ra</w:t>
      </w:r>
      <w:r>
        <w:t>ndomised trials were defined as h</w:t>
      </w:r>
      <w:r w:rsidRPr="003A1AEC">
        <w:t>ead-to-head co</w:t>
      </w:r>
      <w:r>
        <w:t>mparisons of active treatments (</w:t>
      </w:r>
      <w:r w:rsidRPr="003A1AEC">
        <w:t>with differences often assessed using a pre-specified non-inferiority margin</w:t>
      </w:r>
      <w:r>
        <w:t>)</w:t>
      </w:r>
      <w:r w:rsidRPr="003A1AEC">
        <w:t xml:space="preserve"> or</w:t>
      </w:r>
      <w:r>
        <w:t xml:space="preserve"> c</w:t>
      </w:r>
      <w:r w:rsidRPr="003A1AEC">
        <w:t>omparisons of active treatments where the outcome was demonstration of superiority of o</w:t>
      </w:r>
      <w:r>
        <w:t>ne treatment arm over the other</w:t>
      </w:r>
      <w:r w:rsidRPr="003A1AEC">
        <w:t>.</w:t>
      </w:r>
      <w:r>
        <w:t xml:space="preserve"> </w:t>
      </w:r>
      <w:r w:rsidRPr="003A1AEC">
        <w:t xml:space="preserve">For </w:t>
      </w:r>
      <w:r w:rsidR="003776A5">
        <w:t xml:space="preserve">FDC </w:t>
      </w:r>
      <w:r w:rsidRPr="003A1AEC">
        <w:t>products, bioequivalence studies were also presented.</w:t>
      </w:r>
    </w:p>
    <w:p w:rsidR="00B31901" w:rsidRDefault="00B31901" w:rsidP="005C40F8"/>
    <w:p w:rsidR="006D3A17" w:rsidRDefault="00520162" w:rsidP="00496C6E">
      <w:pPr>
        <w:pStyle w:val="Heading2"/>
      </w:pPr>
      <w:bookmarkStart w:id="274" w:name="_Toc397947722"/>
      <w:bookmarkStart w:id="275" w:name="_Toc403399563"/>
      <w:r>
        <w:t>5.4</w:t>
      </w:r>
      <w:r>
        <w:tab/>
      </w:r>
      <w:r w:rsidR="006D3A17">
        <w:t>Results and Discussion</w:t>
      </w:r>
      <w:bookmarkEnd w:id="274"/>
      <w:bookmarkEnd w:id="275"/>
    </w:p>
    <w:p w:rsidR="00B31901" w:rsidRPr="00B31901" w:rsidRDefault="006D3A17" w:rsidP="00496C6E">
      <w:pPr>
        <w:pStyle w:val="Heading3"/>
        <w:keepLines/>
      </w:pPr>
      <w:r>
        <w:t xml:space="preserve">5.4.1 </w:t>
      </w:r>
      <w:r w:rsidR="00FD0DD7">
        <w:t>PBS Restrictions</w:t>
      </w:r>
      <w:r w:rsidR="00496C6E">
        <w:t xml:space="preserve"> and TGA I</w:t>
      </w:r>
      <w:r>
        <w:t>ndications</w:t>
      </w:r>
    </w:p>
    <w:p w:rsidR="006D3A17" w:rsidRDefault="00496C6E" w:rsidP="00496C6E">
      <w:pPr>
        <w:pStyle w:val="Heading5"/>
        <w:keepNext/>
        <w:keepLines/>
      </w:pPr>
      <w:r>
        <w:t>PBS R</w:t>
      </w:r>
      <w:r w:rsidR="006D3A17">
        <w:t>estrictions</w:t>
      </w:r>
    </w:p>
    <w:p w:rsidR="00FC7AC6" w:rsidRPr="00806F98" w:rsidRDefault="00FC7AC6" w:rsidP="00496C6E">
      <w:pPr>
        <w:keepNext/>
        <w:keepLines/>
        <w:rPr>
          <w:i/>
        </w:rPr>
      </w:pPr>
      <w:r w:rsidRPr="00806F98">
        <w:rPr>
          <w:i/>
        </w:rPr>
        <w:t>Note: This section of the report was updated to reflect PBS restrictions as of 1 July 2014.</w:t>
      </w:r>
      <w:r w:rsidR="00FD0DD7" w:rsidRPr="00806F98">
        <w:rPr>
          <w:i/>
        </w:rPr>
        <w:t xml:space="preserve"> For further information on PBS restrictions for type 2 diabetes medicines refer to </w:t>
      </w:r>
      <w:hyperlink w:anchor="_2.8__PBS" w:history="1">
        <w:r w:rsidR="00FD0DD7" w:rsidRPr="006E1080">
          <w:rPr>
            <w:rStyle w:val="Hyperlink"/>
            <w:i/>
          </w:rPr>
          <w:t>Part  2.8</w:t>
        </w:r>
      </w:hyperlink>
      <w:r w:rsidR="00FD0DD7" w:rsidRPr="00806F98">
        <w:rPr>
          <w:i/>
        </w:rPr>
        <w:t>.</w:t>
      </w:r>
      <w:r w:rsidRPr="00806F98">
        <w:rPr>
          <w:i/>
        </w:rPr>
        <w:t xml:space="preserve">  </w:t>
      </w:r>
    </w:p>
    <w:p w:rsidR="005C40F8" w:rsidRDefault="00FD0DD7" w:rsidP="005C40F8">
      <w:r>
        <w:t>The wording of the current PBS restrictions for the newer diabetes medicines includes detailed criteria regarding initiation rules, switching rules and permit</w:t>
      </w:r>
      <w:r w:rsidR="00806F98">
        <w:t xml:space="preserve">ted co-administered therapies. </w:t>
      </w:r>
      <w:r w:rsidR="005C40F8" w:rsidRPr="003A1AEC">
        <w:t xml:space="preserve">All of the identified </w:t>
      </w:r>
      <w:r w:rsidR="005C40F8">
        <w:t xml:space="preserve">newer </w:t>
      </w:r>
      <w:r w:rsidR="005C40F8" w:rsidRPr="003A1AEC">
        <w:t>PBS-listed diabetes medicines (</w:t>
      </w:r>
      <w:r w:rsidR="006820B1">
        <w:t>TZDs</w:t>
      </w:r>
      <w:r w:rsidR="005C40F8" w:rsidRPr="003A1AEC">
        <w:t xml:space="preserve">, </w:t>
      </w:r>
      <w:r w:rsidR="00C15997">
        <w:t>DPP-4 inhibitors</w:t>
      </w:r>
      <w:r w:rsidR="005C40F8">
        <w:t xml:space="preserve">, </w:t>
      </w:r>
      <w:r w:rsidR="00434A11">
        <w:t>SGLT2 inhibitor</w:t>
      </w:r>
      <w:r w:rsidR="005C40F8">
        <w:t>s</w:t>
      </w:r>
      <w:r w:rsidR="005C40F8" w:rsidRPr="003A1AEC">
        <w:t xml:space="preserve"> and GLP-1 analogues) may be used in dual combination therapy with metformin or a sulfonylurea in </w:t>
      </w:r>
      <w:r w:rsidR="00B31901">
        <w:t>t</w:t>
      </w:r>
      <w:r w:rsidR="005C40F8">
        <w:t>ype 2 diabetes</w:t>
      </w:r>
      <w:r w:rsidR="005C40F8" w:rsidRPr="003A1AEC">
        <w:t xml:space="preserve"> patients. </w:t>
      </w:r>
      <w:r w:rsidR="0057515B">
        <w:t>As of July</w:t>
      </w:r>
      <w:r w:rsidR="005C40F8">
        <w:t xml:space="preserve"> </w:t>
      </w:r>
      <w:r w:rsidR="00B31901">
        <w:t>2014, there we</w:t>
      </w:r>
      <w:r w:rsidR="005C40F8">
        <w:t>re three dual therapy restrictions for combination therapy w</w:t>
      </w:r>
      <w:r w:rsidR="00B31901">
        <w:t>ith metformin or a sulfonylurea:</w:t>
      </w:r>
      <w:r w:rsidR="005C40F8">
        <w:t xml:space="preserve"> </w:t>
      </w:r>
    </w:p>
    <w:p w:rsidR="005C40F8" w:rsidRDefault="006820B1" w:rsidP="007156EB">
      <w:pPr>
        <w:pStyle w:val="ListParagraph"/>
        <w:numPr>
          <w:ilvl w:val="0"/>
          <w:numId w:val="34"/>
        </w:numPr>
      </w:pPr>
      <w:r>
        <w:rPr>
          <w:i/>
        </w:rPr>
        <w:t>TZDs</w:t>
      </w:r>
      <w:r w:rsidR="00B31901" w:rsidRPr="00FC7AC6">
        <w:rPr>
          <w:i/>
        </w:rPr>
        <w:t xml:space="preserve"> and GLP-1 analogues</w:t>
      </w:r>
      <w:r w:rsidR="00B31901">
        <w:t xml:space="preserve">: </w:t>
      </w:r>
      <w:r w:rsidR="005C40F8" w:rsidRPr="00094587">
        <w:t>Dual therapy with metformin or a sulfonylurea, where HbA</w:t>
      </w:r>
      <w:r w:rsidR="005C40F8" w:rsidRPr="00EF4F3A">
        <w:rPr>
          <w:vertAlign w:val="subscript"/>
        </w:rPr>
        <w:t>1c</w:t>
      </w:r>
      <w:r w:rsidR="005C40F8" w:rsidRPr="00094587">
        <w:t xml:space="preserve"> is &gt;7% despite treatment with metformin or a sulfonylurea</w:t>
      </w:r>
      <w:r w:rsidR="00B31901">
        <w:t>,</w:t>
      </w:r>
      <w:r w:rsidR="005C40F8" w:rsidRPr="00094587">
        <w:t xml:space="preserve"> and </w:t>
      </w:r>
      <w:r w:rsidR="005C40F8" w:rsidRPr="00094587">
        <w:lastRenderedPageBreak/>
        <w:t xml:space="preserve">where a combination of metformin </w:t>
      </w:r>
      <w:r w:rsidR="00B31901">
        <w:t xml:space="preserve">and a </w:t>
      </w:r>
      <w:r w:rsidR="005C40F8" w:rsidRPr="00094587">
        <w:t>sulfonylurea is contraindicated or not tolerated</w:t>
      </w:r>
      <w:r w:rsidR="005C40F8">
        <w:t xml:space="preserve">. </w:t>
      </w:r>
    </w:p>
    <w:p w:rsidR="005C40F8" w:rsidRDefault="00434A11" w:rsidP="007156EB">
      <w:pPr>
        <w:pStyle w:val="ListParagraph"/>
        <w:numPr>
          <w:ilvl w:val="0"/>
          <w:numId w:val="34"/>
        </w:numPr>
      </w:pPr>
      <w:r>
        <w:rPr>
          <w:i/>
        </w:rPr>
        <w:t>SGLT2 inhibitor</w:t>
      </w:r>
      <w:r w:rsidR="00B31901" w:rsidRPr="00FC7AC6">
        <w:rPr>
          <w:i/>
        </w:rPr>
        <w:t>s</w:t>
      </w:r>
      <w:r w:rsidR="00B31901">
        <w:t>: D</w:t>
      </w:r>
      <w:r w:rsidR="005C40F8" w:rsidRPr="000E6EDD">
        <w:t>ual therapy with metformin or a sulfonylurea, where HbA</w:t>
      </w:r>
      <w:r w:rsidR="005C40F8" w:rsidRPr="00EF4F3A">
        <w:rPr>
          <w:vertAlign w:val="subscript"/>
        </w:rPr>
        <w:t xml:space="preserve">1c </w:t>
      </w:r>
      <w:r w:rsidR="005C40F8" w:rsidRPr="000E6EDD">
        <w:t>is &gt;7% despite treatment with metformin or a sulfonylurea, and the condition is unable to be adequately controlled by treatment wi</w:t>
      </w:r>
      <w:r w:rsidR="005C40F8">
        <w:t xml:space="preserve">th metformin and a sulfonylurea. </w:t>
      </w:r>
      <w:r w:rsidR="00B31901">
        <w:t xml:space="preserve">(During the July 2013 meeting, the PBAC recommended </w:t>
      </w:r>
      <w:r w:rsidR="00B31901" w:rsidRPr="00C961C3">
        <w:t xml:space="preserve">the restriction </w:t>
      </w:r>
      <w:r w:rsidR="00B31901">
        <w:t xml:space="preserve">for </w:t>
      </w:r>
      <w:r>
        <w:t>SGLT2 inhibitor</w:t>
      </w:r>
      <w:r w:rsidR="00B31901">
        <w:t xml:space="preserve">s </w:t>
      </w:r>
      <w:r w:rsidR="00B31901" w:rsidRPr="00C961C3">
        <w:t>be modified to better reflect current clinical practice in which patients whose diabetes cannot be successfully managed with a combination of metformin and a sulfonylurea, irrespective of reason, are moved to dual therapy</w:t>
      </w:r>
      <w:r w:rsidR="00B31901">
        <w:t>).</w:t>
      </w:r>
    </w:p>
    <w:p w:rsidR="005C40F8" w:rsidRDefault="00C15997" w:rsidP="007156EB">
      <w:pPr>
        <w:pStyle w:val="ListParagraph"/>
        <w:numPr>
          <w:ilvl w:val="0"/>
          <w:numId w:val="34"/>
        </w:numPr>
      </w:pPr>
      <w:r>
        <w:rPr>
          <w:i/>
        </w:rPr>
        <w:t>DPP-4 inhibitors</w:t>
      </w:r>
      <w:r w:rsidR="00B31901">
        <w:t>: Dual therapy with metformin or a sulfonylurea</w:t>
      </w:r>
      <w:r w:rsidR="00EF4F3A">
        <w:t>,</w:t>
      </w:r>
      <w:r w:rsidR="00B31901">
        <w:t xml:space="preserve"> where</w:t>
      </w:r>
      <w:r w:rsidR="00EF4F3A" w:rsidRPr="00EF4F3A">
        <w:t xml:space="preserve"> </w:t>
      </w:r>
      <w:r w:rsidR="00EF4F3A" w:rsidRPr="00AB749E">
        <w:t xml:space="preserve">where </w:t>
      </w:r>
      <w:r w:rsidR="00EF4F3A">
        <w:t>HbA</w:t>
      </w:r>
      <w:r w:rsidR="00EF4F3A" w:rsidRPr="00EF4F3A">
        <w:rPr>
          <w:vertAlign w:val="subscript"/>
        </w:rPr>
        <w:t>1c</w:t>
      </w:r>
      <w:r w:rsidR="00EF4F3A" w:rsidRPr="00AB749E">
        <w:t xml:space="preserve"> is &gt;7% despite treatment with metformin or a sulfonylurea</w:t>
      </w:r>
      <w:r w:rsidR="00EF4F3A">
        <w:t>. (</w:t>
      </w:r>
      <w:r w:rsidR="005C40F8">
        <w:t xml:space="preserve">During the July 2013 meeting, the PBAC </w:t>
      </w:r>
      <w:r w:rsidR="005C40F8" w:rsidRPr="007D3131">
        <w:t xml:space="preserve">recommended </w:t>
      </w:r>
      <w:r w:rsidR="00EF4F3A">
        <w:t xml:space="preserve">this restriction for </w:t>
      </w:r>
      <w:r w:rsidR="005C40F8" w:rsidRPr="007D3131">
        <w:t>alogliptin</w:t>
      </w:r>
      <w:r w:rsidR="00EF4F3A">
        <w:t>.</w:t>
      </w:r>
      <w:r w:rsidR="005C40F8" w:rsidRPr="007D3131">
        <w:t xml:space="preserve"> </w:t>
      </w:r>
      <w:r w:rsidR="00EF4F3A">
        <w:t xml:space="preserve">As of April 2014, the restriction for </w:t>
      </w:r>
      <w:r w:rsidR="0057515B">
        <w:t xml:space="preserve">the </w:t>
      </w:r>
      <w:r w:rsidR="00EF4F3A">
        <w:t xml:space="preserve">remaining </w:t>
      </w:r>
      <w:r>
        <w:t>DPP-4 inhibitors</w:t>
      </w:r>
      <w:r w:rsidR="00EF4F3A">
        <w:t xml:space="preserve"> wa</w:t>
      </w:r>
      <w:r w:rsidR="0057515B">
        <w:t>s</w:t>
      </w:r>
      <w:r w:rsidR="00EF4F3A">
        <w:t xml:space="preserve"> altered to remove </w:t>
      </w:r>
      <w:r w:rsidR="005C40F8" w:rsidRPr="007D3131">
        <w:t>the requirement for patients to have contraindications to, or be intolerant of</w:t>
      </w:r>
      <w:r w:rsidR="0057515B">
        <w:t>,</w:t>
      </w:r>
      <w:r w:rsidR="005C40F8" w:rsidRPr="007D3131">
        <w:t xml:space="preserve"> a combination </w:t>
      </w:r>
      <w:r w:rsidR="0057515B">
        <w:t>of metformin +</w:t>
      </w:r>
      <w:r w:rsidR="00EF4F3A">
        <w:t xml:space="preserve"> sulfonylurea)</w:t>
      </w:r>
      <w:r w:rsidR="005C40F8">
        <w:t>.</w:t>
      </w:r>
    </w:p>
    <w:p w:rsidR="00FD0DD7" w:rsidRDefault="00FD0DD7" w:rsidP="00FD0DD7">
      <w:r>
        <w:t>F</w:t>
      </w:r>
      <w:r w:rsidRPr="003A1AEC">
        <w:t xml:space="preserve">ew </w:t>
      </w:r>
      <w:r w:rsidR="00414FD9">
        <w:t xml:space="preserve">of the newer type 2 diabetes </w:t>
      </w:r>
      <w:r w:rsidRPr="003A1AEC">
        <w:t>medications are PBS-listed for use</w:t>
      </w:r>
      <w:r>
        <w:t xml:space="preserve"> in triple combination therapy with metformin + sulfonylurea (pioglitazone and</w:t>
      </w:r>
      <w:r w:rsidRPr="003A1AEC">
        <w:t xml:space="preserve"> exenatide</w:t>
      </w:r>
      <w:r>
        <w:t xml:space="preserve"> only</w:t>
      </w:r>
      <w:r w:rsidRPr="003A1AEC">
        <w:t xml:space="preserve">) and only </w:t>
      </w:r>
      <w:r>
        <w:t xml:space="preserve">pioglitazone </w:t>
      </w:r>
      <w:r w:rsidRPr="003A1AEC">
        <w:t>is currently PBS-listed for use in combination with insulin.</w:t>
      </w:r>
    </w:p>
    <w:p w:rsidR="00FD0DD7" w:rsidRDefault="00496C6E" w:rsidP="00496C6E">
      <w:pPr>
        <w:pStyle w:val="Heading5"/>
        <w:keepNext/>
        <w:keepLines/>
      </w:pPr>
      <w:r>
        <w:t>Comparison between PBS R</w:t>
      </w:r>
      <w:r w:rsidR="006D3A17">
        <w:t>estric</w:t>
      </w:r>
      <w:r>
        <w:t>tions and TGA I</w:t>
      </w:r>
      <w:r w:rsidR="00FD0DD7">
        <w:t>ndications</w:t>
      </w:r>
    </w:p>
    <w:p w:rsidR="005D613B" w:rsidRDefault="005D613B" w:rsidP="00496C6E">
      <w:pPr>
        <w:pStyle w:val="BodyText1"/>
        <w:keepNext/>
        <w:keepLines/>
      </w:pPr>
      <w:r>
        <w:t xml:space="preserve">Table 5.1 (older medicines) and Table 5.2 (newer medicines) highlight the </w:t>
      </w:r>
      <w:r w:rsidR="00FD0DD7">
        <w:t>differences between the TGA-a</w:t>
      </w:r>
      <w:r w:rsidR="00FD0DD7" w:rsidRPr="0006018C">
        <w:t xml:space="preserve">pproved indications and PBS listings for </w:t>
      </w:r>
      <w:r>
        <w:t>type 2 diabetes medicines (cells shaded in grey).</w:t>
      </w:r>
      <w:r w:rsidR="00FD0DD7">
        <w:t xml:space="preserve"> </w:t>
      </w:r>
    </w:p>
    <w:p w:rsidR="005D613B" w:rsidRPr="00B05C21" w:rsidRDefault="005D613B" w:rsidP="005D613B">
      <w:pPr>
        <w:pStyle w:val="BodyText1"/>
      </w:pPr>
      <w:r>
        <w:rPr>
          <w:b/>
        </w:rPr>
        <w:t>Table 5.1</w:t>
      </w:r>
      <w:r>
        <w:t>.</w:t>
      </w:r>
      <w:r w:rsidRPr="002B78B5">
        <w:t xml:space="preserve"> </w:t>
      </w:r>
      <w:r w:rsidRPr="00A304F0">
        <w:rPr>
          <w:b/>
        </w:rPr>
        <w:t>Older diabetes medicines - TGA-approved indications versus PBS listings (a</w:t>
      </w:r>
      <w:r>
        <w:rPr>
          <w:b/>
        </w:rPr>
        <w:t>s at 1 January</w:t>
      </w:r>
      <w:r w:rsidRPr="00A304F0">
        <w:rPr>
          <w:b/>
        </w:rPr>
        <w:t xml:space="preserve"> 2014).</w:t>
      </w:r>
      <w:r w:rsidRPr="00B05C21">
        <w:t xml:space="preserve"> </w:t>
      </w:r>
    </w:p>
    <w:tbl>
      <w:tblPr>
        <w:tblW w:w="507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519"/>
        <w:gridCol w:w="759"/>
        <w:gridCol w:w="1372"/>
        <w:gridCol w:w="1372"/>
        <w:gridCol w:w="1415"/>
        <w:gridCol w:w="1331"/>
        <w:gridCol w:w="1504"/>
      </w:tblGrid>
      <w:tr w:rsidR="005D613B" w:rsidRPr="00422AD1" w:rsidTr="00501D67">
        <w:trPr>
          <w:tblHeader/>
        </w:trPr>
        <w:tc>
          <w:tcPr>
            <w:tcW w:w="2277" w:type="dxa"/>
            <w:gridSpan w:val="2"/>
            <w:tcBorders>
              <w:bottom w:val="single" w:sz="4" w:space="0" w:color="000000"/>
            </w:tcBorders>
            <w:vAlign w:val="center"/>
          </w:tcPr>
          <w:p w:rsidR="005D613B" w:rsidRPr="00A304F0" w:rsidRDefault="005D613B" w:rsidP="00501D67">
            <w:pPr>
              <w:pStyle w:val="DIABtabletext"/>
              <w:rPr>
                <w:rFonts w:ascii="Cambria" w:hAnsi="Cambria"/>
                <w:sz w:val="22"/>
                <w:szCs w:val="22"/>
              </w:rPr>
            </w:pPr>
          </w:p>
        </w:tc>
        <w:tc>
          <w:tcPr>
            <w:tcW w:w="1372" w:type="dxa"/>
            <w:tcBorders>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Mono-</w:t>
            </w:r>
          </w:p>
          <w:p w:rsidR="005D613B" w:rsidRPr="00A304F0" w:rsidRDefault="005D613B" w:rsidP="00501D67">
            <w:pPr>
              <w:pStyle w:val="DIABtabletext"/>
              <w:rPr>
                <w:rFonts w:ascii="Cambria" w:hAnsi="Cambria"/>
                <w:sz w:val="22"/>
                <w:szCs w:val="22"/>
              </w:rPr>
            </w:pPr>
            <w:r w:rsidRPr="00A304F0">
              <w:rPr>
                <w:rFonts w:ascii="Cambria" w:hAnsi="Cambria"/>
                <w:sz w:val="22"/>
                <w:szCs w:val="22"/>
              </w:rPr>
              <w:t>therapy</w:t>
            </w:r>
          </w:p>
        </w:tc>
        <w:tc>
          <w:tcPr>
            <w:tcW w:w="1372" w:type="dxa"/>
            <w:tcBorders>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Dual</w:t>
            </w:r>
          </w:p>
          <w:p w:rsidR="005D613B" w:rsidRPr="00A304F0" w:rsidRDefault="005D613B" w:rsidP="00501D67">
            <w:pPr>
              <w:pStyle w:val="DIABtabletext"/>
              <w:rPr>
                <w:rFonts w:ascii="Cambria" w:hAnsi="Cambria"/>
                <w:sz w:val="22"/>
                <w:szCs w:val="22"/>
              </w:rPr>
            </w:pPr>
            <w:r w:rsidRPr="00A304F0">
              <w:rPr>
                <w:rFonts w:ascii="Cambria" w:hAnsi="Cambria"/>
                <w:sz w:val="22"/>
                <w:szCs w:val="22"/>
              </w:rPr>
              <w:t>therapy</w:t>
            </w:r>
          </w:p>
          <w:p w:rsidR="005D613B" w:rsidRPr="00A304F0" w:rsidRDefault="005D613B" w:rsidP="00501D67">
            <w:pPr>
              <w:pStyle w:val="DIABtabletext"/>
              <w:rPr>
                <w:rFonts w:ascii="Cambria" w:hAnsi="Cambria"/>
                <w:sz w:val="22"/>
                <w:szCs w:val="22"/>
              </w:rPr>
            </w:pPr>
            <w:r w:rsidRPr="00A304F0">
              <w:rPr>
                <w:rFonts w:ascii="Cambria" w:hAnsi="Cambria"/>
                <w:sz w:val="22"/>
                <w:szCs w:val="22"/>
              </w:rPr>
              <w:t>[+MET/SU]</w:t>
            </w:r>
          </w:p>
        </w:tc>
        <w:tc>
          <w:tcPr>
            <w:tcW w:w="1415" w:type="dxa"/>
            <w:tcBorders>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Dual therapy</w:t>
            </w:r>
          </w:p>
          <w:p w:rsidR="005D613B" w:rsidRPr="00A304F0" w:rsidRDefault="005D613B" w:rsidP="00501D67">
            <w:pPr>
              <w:pStyle w:val="DIABtabletext"/>
              <w:rPr>
                <w:rFonts w:ascii="Cambria" w:hAnsi="Cambria"/>
                <w:sz w:val="22"/>
                <w:szCs w:val="22"/>
              </w:rPr>
            </w:pPr>
            <w:r w:rsidRPr="00A304F0">
              <w:rPr>
                <w:rFonts w:ascii="Cambria" w:hAnsi="Cambria"/>
                <w:sz w:val="22"/>
                <w:szCs w:val="22"/>
              </w:rPr>
              <w:t>[+</w:t>
            </w:r>
            <w:r w:rsidR="006820B1">
              <w:rPr>
                <w:rFonts w:ascii="Cambria" w:hAnsi="Cambria"/>
                <w:sz w:val="22"/>
                <w:szCs w:val="22"/>
              </w:rPr>
              <w:t>TZD</w:t>
            </w:r>
            <w:r w:rsidRPr="00A304F0">
              <w:rPr>
                <w:rFonts w:ascii="Cambria" w:hAnsi="Cambria"/>
                <w:sz w:val="22"/>
                <w:szCs w:val="22"/>
              </w:rPr>
              <w:t>]</w:t>
            </w:r>
          </w:p>
        </w:tc>
        <w:tc>
          <w:tcPr>
            <w:tcW w:w="1331" w:type="dxa"/>
            <w:tcBorders>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Triple</w:t>
            </w:r>
          </w:p>
          <w:p w:rsidR="005D613B" w:rsidRPr="00A304F0" w:rsidRDefault="005D613B" w:rsidP="00501D67">
            <w:pPr>
              <w:pStyle w:val="DIABtabletext"/>
              <w:rPr>
                <w:rFonts w:ascii="Cambria" w:hAnsi="Cambria"/>
                <w:sz w:val="22"/>
                <w:szCs w:val="22"/>
              </w:rPr>
            </w:pPr>
            <w:r w:rsidRPr="00A304F0">
              <w:rPr>
                <w:rFonts w:ascii="Cambria" w:hAnsi="Cambria"/>
                <w:sz w:val="22"/>
                <w:szCs w:val="22"/>
              </w:rPr>
              <w:t>therapy</w:t>
            </w:r>
          </w:p>
          <w:p w:rsidR="005D613B" w:rsidRPr="00A304F0" w:rsidRDefault="005D613B" w:rsidP="00501D67">
            <w:pPr>
              <w:pStyle w:val="DIABtabletext"/>
              <w:rPr>
                <w:rFonts w:ascii="Cambria" w:hAnsi="Cambria"/>
                <w:sz w:val="22"/>
                <w:szCs w:val="22"/>
              </w:rPr>
            </w:pPr>
            <w:r w:rsidRPr="00A304F0">
              <w:rPr>
                <w:rFonts w:ascii="Cambria" w:hAnsi="Cambria"/>
                <w:sz w:val="22"/>
                <w:szCs w:val="22"/>
              </w:rPr>
              <w:t>[+MET+SU]</w:t>
            </w:r>
          </w:p>
        </w:tc>
        <w:tc>
          <w:tcPr>
            <w:tcW w:w="1504" w:type="dxa"/>
            <w:tcBorders>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Insulin combination</w:t>
            </w:r>
          </w:p>
        </w:tc>
      </w:tr>
      <w:tr w:rsidR="005D613B" w:rsidRPr="00422AD1" w:rsidTr="00501D67">
        <w:tc>
          <w:tcPr>
            <w:tcW w:w="9271" w:type="dxa"/>
            <w:gridSpan w:val="7"/>
            <w:tcBorders>
              <w:top w:val="single" w:sz="4" w:space="0" w:color="000000"/>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Biguanides</w:t>
            </w:r>
          </w:p>
        </w:tc>
      </w:tr>
      <w:tr w:rsidR="005D613B" w:rsidRPr="00422AD1" w:rsidTr="00501D67">
        <w:tc>
          <w:tcPr>
            <w:tcW w:w="1518" w:type="dxa"/>
            <w:vMerge w:val="restart"/>
            <w:tcBorders>
              <w:top w:val="single" w:sz="4" w:space="0" w:color="000000"/>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Metformin/ Metformin XR</w:t>
            </w:r>
          </w:p>
        </w:tc>
        <w:tc>
          <w:tcPr>
            <w:tcW w:w="759"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 xml:space="preserve">TGA </w:t>
            </w:r>
          </w:p>
        </w:tc>
        <w:tc>
          <w:tcPr>
            <w:tcW w:w="1372"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72"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415"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31"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504"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r>
      <w:tr w:rsidR="005D613B" w:rsidRPr="00422AD1" w:rsidTr="00501D67">
        <w:tc>
          <w:tcPr>
            <w:tcW w:w="1518" w:type="dxa"/>
            <w:vMerge/>
            <w:tcBorders>
              <w:top w:val="single" w:sz="4" w:space="0" w:color="000000"/>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Cambria" w:hAnsi="Cambria"/>
                <w:sz w:val="22"/>
                <w:szCs w:val="22"/>
              </w:rPr>
            </w:pPr>
          </w:p>
        </w:tc>
        <w:tc>
          <w:tcPr>
            <w:tcW w:w="759"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PBS</w:t>
            </w:r>
          </w:p>
        </w:tc>
        <w:tc>
          <w:tcPr>
            <w:tcW w:w="1372"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72"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415"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31"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504"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r>
      <w:tr w:rsidR="005D613B" w:rsidRPr="00422AD1" w:rsidTr="00501D67">
        <w:tc>
          <w:tcPr>
            <w:tcW w:w="9271" w:type="dxa"/>
            <w:gridSpan w:val="7"/>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Sulfonylureas</w:t>
            </w:r>
          </w:p>
        </w:tc>
      </w:tr>
      <w:tr w:rsidR="005D613B" w:rsidRPr="00422AD1" w:rsidTr="00501D67">
        <w:tc>
          <w:tcPr>
            <w:tcW w:w="1518" w:type="dxa"/>
            <w:vMerge w:val="restart"/>
            <w:tcBorders>
              <w:top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Glibenclamide</w:t>
            </w:r>
          </w:p>
        </w:tc>
        <w:tc>
          <w:tcPr>
            <w:tcW w:w="759"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 xml:space="preserve">TGA </w:t>
            </w:r>
          </w:p>
        </w:tc>
        <w:tc>
          <w:tcPr>
            <w:tcW w:w="1372"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72"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415"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31"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504"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r>
      <w:tr w:rsidR="005D613B" w:rsidRPr="00422AD1" w:rsidTr="00501D67">
        <w:tc>
          <w:tcPr>
            <w:tcW w:w="1518" w:type="dxa"/>
            <w:vMerge/>
            <w:tcBorders>
              <w:bottom w:val="single" w:sz="4" w:space="0" w:color="000000"/>
            </w:tcBorders>
            <w:vAlign w:val="center"/>
          </w:tcPr>
          <w:p w:rsidR="005D613B" w:rsidRPr="00A304F0" w:rsidRDefault="005D613B" w:rsidP="00501D67">
            <w:pPr>
              <w:pStyle w:val="DIABtabletext"/>
              <w:rPr>
                <w:rFonts w:ascii="Cambria" w:hAnsi="Cambria"/>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PBS</w:t>
            </w:r>
          </w:p>
        </w:tc>
        <w:tc>
          <w:tcPr>
            <w:tcW w:w="1372"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72"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415"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31"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504"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r>
      <w:tr w:rsidR="005D613B" w:rsidRPr="00422AD1" w:rsidTr="00501D67">
        <w:tc>
          <w:tcPr>
            <w:tcW w:w="1518" w:type="dxa"/>
            <w:vMerge w:val="restart"/>
            <w:tcBorders>
              <w:top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Gliclazide</w:t>
            </w:r>
          </w:p>
        </w:tc>
        <w:tc>
          <w:tcPr>
            <w:tcW w:w="759"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 xml:space="preserve">TGA </w:t>
            </w:r>
          </w:p>
        </w:tc>
        <w:tc>
          <w:tcPr>
            <w:tcW w:w="1372"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72"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415"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31"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504"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r>
      <w:tr w:rsidR="005D613B" w:rsidRPr="00422AD1" w:rsidTr="00501D67">
        <w:tc>
          <w:tcPr>
            <w:tcW w:w="1518" w:type="dxa"/>
            <w:vMerge/>
            <w:tcBorders>
              <w:bottom w:val="single" w:sz="4" w:space="0" w:color="000000"/>
            </w:tcBorders>
            <w:vAlign w:val="center"/>
          </w:tcPr>
          <w:p w:rsidR="005D613B" w:rsidRPr="00A304F0" w:rsidRDefault="005D613B" w:rsidP="00501D67">
            <w:pPr>
              <w:pStyle w:val="DIABtabletext"/>
              <w:rPr>
                <w:rFonts w:ascii="Cambria" w:hAnsi="Cambria"/>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PBS</w:t>
            </w:r>
          </w:p>
        </w:tc>
        <w:tc>
          <w:tcPr>
            <w:tcW w:w="1372"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72"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415"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31"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504"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r>
      <w:tr w:rsidR="005D613B" w:rsidRPr="00422AD1" w:rsidTr="00501D67">
        <w:tc>
          <w:tcPr>
            <w:tcW w:w="1518" w:type="dxa"/>
            <w:vMerge w:val="restart"/>
            <w:tcBorders>
              <w:top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Glimepiride</w:t>
            </w:r>
          </w:p>
        </w:tc>
        <w:tc>
          <w:tcPr>
            <w:tcW w:w="759"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 xml:space="preserve">TGA </w:t>
            </w:r>
          </w:p>
        </w:tc>
        <w:tc>
          <w:tcPr>
            <w:tcW w:w="1372"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72"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415"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31"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504"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r>
      <w:tr w:rsidR="005D613B" w:rsidRPr="00422AD1" w:rsidTr="00501D67">
        <w:tc>
          <w:tcPr>
            <w:tcW w:w="1518" w:type="dxa"/>
            <w:vMerge/>
            <w:tcBorders>
              <w:bottom w:val="single" w:sz="4" w:space="0" w:color="000000"/>
            </w:tcBorders>
            <w:vAlign w:val="center"/>
          </w:tcPr>
          <w:p w:rsidR="005D613B" w:rsidRPr="00A304F0" w:rsidRDefault="005D613B" w:rsidP="00501D67">
            <w:pPr>
              <w:pStyle w:val="DIABtabletext"/>
              <w:rPr>
                <w:rFonts w:ascii="Cambria" w:hAnsi="Cambria"/>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PBS</w:t>
            </w:r>
          </w:p>
        </w:tc>
        <w:tc>
          <w:tcPr>
            <w:tcW w:w="1372"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72"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415"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31"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504"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r>
      <w:tr w:rsidR="005D613B" w:rsidRPr="00422AD1" w:rsidTr="00501D67">
        <w:tc>
          <w:tcPr>
            <w:tcW w:w="1518" w:type="dxa"/>
            <w:vMerge w:val="restart"/>
            <w:tcBorders>
              <w:top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Glipizide</w:t>
            </w:r>
          </w:p>
        </w:tc>
        <w:tc>
          <w:tcPr>
            <w:tcW w:w="759"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 xml:space="preserve">TGA </w:t>
            </w:r>
          </w:p>
        </w:tc>
        <w:tc>
          <w:tcPr>
            <w:tcW w:w="1372"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72"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415"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31"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504"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r>
      <w:tr w:rsidR="005D613B" w:rsidRPr="00422AD1" w:rsidTr="00501D67">
        <w:tc>
          <w:tcPr>
            <w:tcW w:w="1518" w:type="dxa"/>
            <w:vMerge/>
            <w:tcBorders>
              <w:bottom w:val="single" w:sz="4" w:space="0" w:color="000000"/>
            </w:tcBorders>
            <w:vAlign w:val="center"/>
          </w:tcPr>
          <w:p w:rsidR="005D613B" w:rsidRPr="00A304F0" w:rsidRDefault="005D613B" w:rsidP="00501D67">
            <w:pPr>
              <w:pStyle w:val="DIABtabletext"/>
              <w:rPr>
                <w:rFonts w:ascii="Cambria" w:hAnsi="Cambria"/>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PBS</w:t>
            </w:r>
          </w:p>
        </w:tc>
        <w:tc>
          <w:tcPr>
            <w:tcW w:w="1372"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72"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415"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31"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504"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r>
      <w:tr w:rsidR="005D613B" w:rsidRPr="00422AD1" w:rsidTr="00501D67">
        <w:tc>
          <w:tcPr>
            <w:tcW w:w="9271" w:type="dxa"/>
            <w:gridSpan w:val="7"/>
            <w:tcBorders>
              <w:top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Alpha glucosidase inhibitors</w:t>
            </w:r>
          </w:p>
        </w:tc>
      </w:tr>
      <w:tr w:rsidR="005D613B" w:rsidRPr="00422AD1" w:rsidTr="00501D67">
        <w:tc>
          <w:tcPr>
            <w:tcW w:w="1518" w:type="dxa"/>
            <w:vMerge w:val="restart"/>
            <w:tcBorders>
              <w:top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Acarbose</w:t>
            </w:r>
          </w:p>
        </w:tc>
        <w:tc>
          <w:tcPr>
            <w:tcW w:w="759"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 xml:space="preserve">TGA </w:t>
            </w:r>
          </w:p>
        </w:tc>
        <w:tc>
          <w:tcPr>
            <w:tcW w:w="1372"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72" w:type="dxa"/>
            <w:tcBorders>
              <w:top w:val="single" w:sz="4" w:space="0" w:color="000000"/>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415" w:type="dxa"/>
            <w:tcBorders>
              <w:bottom w:val="nil"/>
            </w:tcBorders>
            <w:shd w:val="pct25" w:color="auto" w:fill="auto"/>
            <w:vAlign w:val="center"/>
          </w:tcPr>
          <w:p w:rsidR="005D613B" w:rsidRPr="00A304F0" w:rsidRDefault="005D613B" w:rsidP="00501D67">
            <w:pPr>
              <w:pStyle w:val="DIABtabletext"/>
              <w:rPr>
                <w:rFonts w:ascii="Cambria" w:hAnsi="Cambria"/>
                <w:sz w:val="22"/>
                <w:szCs w:val="22"/>
                <w:vertAlign w:val="superscript"/>
              </w:rPr>
            </w:pPr>
            <w:r w:rsidRPr="00A304F0">
              <w:rPr>
                <w:rFonts w:ascii="Cambria" w:hAnsi="Cambria"/>
                <w:sz w:val="22"/>
                <w:szCs w:val="22"/>
              </w:rPr>
              <w:sym w:font="Wingdings" w:char="F0FC"/>
            </w:r>
            <w:r w:rsidRPr="00A304F0">
              <w:rPr>
                <w:rFonts w:ascii="Cambria" w:hAnsi="Cambria"/>
                <w:sz w:val="22"/>
                <w:szCs w:val="22"/>
                <w:vertAlign w:val="superscript"/>
              </w:rPr>
              <w:t>a</w:t>
            </w:r>
          </w:p>
        </w:tc>
        <w:tc>
          <w:tcPr>
            <w:tcW w:w="1331"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504" w:type="dxa"/>
            <w:tcBorders>
              <w:bottom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r>
      <w:tr w:rsidR="005D613B" w:rsidRPr="00422AD1" w:rsidTr="00501D67">
        <w:tc>
          <w:tcPr>
            <w:tcW w:w="1518" w:type="dxa"/>
            <w:vMerge/>
            <w:tcBorders>
              <w:bottom w:val="single" w:sz="4" w:space="0" w:color="000000"/>
            </w:tcBorders>
            <w:vAlign w:val="center"/>
          </w:tcPr>
          <w:p w:rsidR="005D613B" w:rsidRPr="00A304F0" w:rsidRDefault="005D613B" w:rsidP="00501D67">
            <w:pPr>
              <w:pStyle w:val="DIABtabletext"/>
              <w:rPr>
                <w:rFonts w:ascii="Cambria" w:hAnsi="Cambria"/>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t>PBS</w:t>
            </w:r>
          </w:p>
        </w:tc>
        <w:tc>
          <w:tcPr>
            <w:tcW w:w="1372"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372" w:type="dxa"/>
            <w:tcBorders>
              <w:top w:val="nil"/>
              <w:bottom w:val="single" w:sz="4" w:space="0" w:color="000000"/>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415" w:type="dxa"/>
            <w:tcBorders>
              <w:top w:val="nil"/>
            </w:tcBorders>
            <w:shd w:val="pct25" w:color="auto" w:fill="auto"/>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B"/>
            </w:r>
          </w:p>
        </w:tc>
        <w:tc>
          <w:tcPr>
            <w:tcW w:w="1331"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c>
          <w:tcPr>
            <w:tcW w:w="1504" w:type="dxa"/>
            <w:tcBorders>
              <w:top w:val="nil"/>
            </w:tcBorders>
            <w:vAlign w:val="center"/>
          </w:tcPr>
          <w:p w:rsidR="005D613B" w:rsidRPr="00A304F0" w:rsidRDefault="005D613B" w:rsidP="00501D67">
            <w:pPr>
              <w:pStyle w:val="DIABtabletext"/>
              <w:rPr>
                <w:rFonts w:ascii="Cambria" w:hAnsi="Cambria"/>
                <w:sz w:val="22"/>
                <w:szCs w:val="22"/>
              </w:rPr>
            </w:pPr>
            <w:r w:rsidRPr="00A304F0">
              <w:rPr>
                <w:rFonts w:ascii="Cambria" w:hAnsi="Cambria"/>
                <w:sz w:val="22"/>
                <w:szCs w:val="22"/>
              </w:rPr>
              <w:sym w:font="Wingdings" w:char="F0FC"/>
            </w:r>
          </w:p>
        </w:tc>
      </w:tr>
    </w:tbl>
    <w:p w:rsidR="005D613B" w:rsidRPr="00B05C21" w:rsidRDefault="005D613B" w:rsidP="005D613B">
      <w:pPr>
        <w:pStyle w:val="Notes"/>
      </w:pPr>
      <w:r w:rsidRPr="00B05C21">
        <w:lastRenderedPageBreak/>
        <w:t xml:space="preserve">Source: Schedule of Pharmaceutical Benefits (January 2014) and Product Information documents. </w:t>
      </w:r>
    </w:p>
    <w:p w:rsidR="005D613B" w:rsidRPr="00B05C21" w:rsidRDefault="005D613B" w:rsidP="005D613B">
      <w:pPr>
        <w:pStyle w:val="Notes"/>
      </w:pPr>
      <w:r w:rsidRPr="00B05C21">
        <w:t>Abbreviations: MET, metformin; PBS, Pharmaceutical Benefits Scheme; SU, sulfonylurea; TGA, Therapeutic Goods Administration</w:t>
      </w:r>
    </w:p>
    <w:p w:rsidR="005D613B" w:rsidRPr="00B05C21" w:rsidRDefault="005D613B" w:rsidP="005D613B">
      <w:pPr>
        <w:pStyle w:val="Notes"/>
      </w:pPr>
      <w:r w:rsidRPr="00B05C21">
        <w:t>Note: The references to mono-, dual and triple therapy are in relation to the active ingredient(s), not products. The (</w:t>
      </w:r>
      <w:r w:rsidRPr="00B05C21">
        <w:sym w:font="Wingdings" w:char="F0FC"/>
      </w:r>
      <w:r w:rsidRPr="00B05C21">
        <w:t>) indicates that the drug has been TGA-approved or PBS listed (as appropriate) for this indication. Cells in grey highlight differences between TGA/PBS indications</w:t>
      </w:r>
    </w:p>
    <w:p w:rsidR="005D613B" w:rsidRPr="00B05C21" w:rsidRDefault="005D613B" w:rsidP="005D613B">
      <w:pPr>
        <w:pStyle w:val="Notes"/>
      </w:pPr>
      <w:r w:rsidRPr="00B05C21">
        <w:rPr>
          <w:vertAlign w:val="superscript"/>
        </w:rPr>
        <w:t>a</w:t>
      </w:r>
      <w:r w:rsidRPr="00B05C21">
        <w:t xml:space="preserve"> Acarbose is TGA-approved as adjunct therapy. However, the </w:t>
      </w:r>
      <w:r w:rsidR="006820B1">
        <w:t>TZDs</w:t>
      </w:r>
      <w:r w:rsidRPr="00B05C21">
        <w:t xml:space="preserve"> are not TGA-approved or PBS-listed for use with acarbose.</w:t>
      </w:r>
    </w:p>
    <w:p w:rsidR="005D613B" w:rsidRDefault="005D613B" w:rsidP="005D613B">
      <w:pPr>
        <w:pStyle w:val="BodyText1"/>
      </w:pPr>
    </w:p>
    <w:p w:rsidR="005D613B" w:rsidRPr="005C7467" w:rsidRDefault="005D613B" w:rsidP="005D613B">
      <w:pPr>
        <w:pStyle w:val="BodyText1"/>
        <w:rPr>
          <w:b/>
        </w:rPr>
      </w:pPr>
      <w:r>
        <w:rPr>
          <w:b/>
        </w:rPr>
        <w:t>Table 5.2</w:t>
      </w:r>
      <w:r>
        <w:t xml:space="preserve">. </w:t>
      </w:r>
      <w:r w:rsidRPr="00A304F0">
        <w:rPr>
          <w:b/>
        </w:rPr>
        <w:t>Newer diabetes medicines - TGA-approved indications versus PBS listings (at 1 January 2014).</w:t>
      </w:r>
      <w:r w:rsidRPr="00B05C21">
        <w:t xml:space="preserve"> </w:t>
      </w:r>
    </w:p>
    <w:tbl>
      <w:tblPr>
        <w:tblW w:w="5118" w:type="pct"/>
        <w:tblInd w:w="-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603"/>
        <w:gridCol w:w="759"/>
        <w:gridCol w:w="1372"/>
        <w:gridCol w:w="1372"/>
        <w:gridCol w:w="1415"/>
        <w:gridCol w:w="1331"/>
        <w:gridCol w:w="1504"/>
      </w:tblGrid>
      <w:tr w:rsidR="005D613B" w:rsidRPr="00BA7592" w:rsidTr="00501D67">
        <w:trPr>
          <w:tblHeader/>
        </w:trPr>
        <w:tc>
          <w:tcPr>
            <w:tcW w:w="2362" w:type="dxa"/>
            <w:gridSpan w:val="2"/>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72" w:type="dxa"/>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Mono-</w:t>
            </w:r>
          </w:p>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therapy</w:t>
            </w:r>
          </w:p>
        </w:tc>
        <w:tc>
          <w:tcPr>
            <w:tcW w:w="1372" w:type="dxa"/>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Dual</w:t>
            </w:r>
          </w:p>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therapy</w:t>
            </w:r>
          </w:p>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[+MET/SU]</w:t>
            </w:r>
          </w:p>
        </w:tc>
        <w:tc>
          <w:tcPr>
            <w:tcW w:w="1415" w:type="dxa"/>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Dual therapy</w:t>
            </w:r>
          </w:p>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w:t>
            </w:r>
            <w:r w:rsidR="006820B1">
              <w:rPr>
                <w:rFonts w:asciiTheme="majorHAnsi" w:hAnsiTheme="majorHAnsi"/>
                <w:sz w:val="22"/>
                <w:szCs w:val="22"/>
              </w:rPr>
              <w:t>TZD</w:t>
            </w:r>
            <w:r w:rsidRPr="00A304F0">
              <w:rPr>
                <w:rFonts w:asciiTheme="majorHAnsi" w:hAnsiTheme="majorHAnsi"/>
                <w:sz w:val="22"/>
                <w:szCs w:val="22"/>
              </w:rPr>
              <w:t>]</w:t>
            </w:r>
          </w:p>
        </w:tc>
        <w:tc>
          <w:tcPr>
            <w:tcW w:w="1331" w:type="dxa"/>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Triple</w:t>
            </w:r>
          </w:p>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therapy</w:t>
            </w:r>
          </w:p>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[+MET+SU]</w:t>
            </w:r>
          </w:p>
        </w:tc>
        <w:tc>
          <w:tcPr>
            <w:tcW w:w="1504" w:type="dxa"/>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Insulin combination</w:t>
            </w:r>
          </w:p>
        </w:tc>
      </w:tr>
      <w:tr w:rsidR="005D613B" w:rsidRPr="00422AD1" w:rsidTr="00501D67">
        <w:tc>
          <w:tcPr>
            <w:tcW w:w="9356" w:type="dxa"/>
            <w:gridSpan w:val="7"/>
            <w:tcBorders>
              <w:top w:val="single" w:sz="4" w:space="0" w:color="000000"/>
              <w:bottom w:val="single" w:sz="4" w:space="0" w:color="000000"/>
            </w:tcBorders>
            <w:vAlign w:val="center"/>
          </w:tcPr>
          <w:p w:rsidR="005D613B" w:rsidRPr="00A304F0" w:rsidRDefault="00653D7E" w:rsidP="00501D67">
            <w:pPr>
              <w:pStyle w:val="DIABtabletext"/>
              <w:rPr>
                <w:rFonts w:asciiTheme="majorHAnsi" w:hAnsiTheme="majorHAnsi"/>
                <w:sz w:val="22"/>
                <w:szCs w:val="22"/>
              </w:rPr>
            </w:pPr>
            <w:r>
              <w:rPr>
                <w:rFonts w:asciiTheme="majorHAnsi" w:hAnsiTheme="majorHAnsi"/>
                <w:sz w:val="22"/>
                <w:szCs w:val="22"/>
              </w:rPr>
              <w:t xml:space="preserve">TZDs </w:t>
            </w:r>
            <w:r w:rsidR="005D613B" w:rsidRPr="00A304F0">
              <w:rPr>
                <w:rFonts w:asciiTheme="majorHAnsi" w:hAnsiTheme="majorHAnsi"/>
                <w:sz w:val="22"/>
                <w:szCs w:val="22"/>
              </w:rPr>
              <w:t>(Glitazones)</w:t>
            </w:r>
          </w:p>
        </w:tc>
      </w:tr>
      <w:tr w:rsidR="005D613B" w:rsidRPr="00422AD1" w:rsidTr="00501D67">
        <w:tc>
          <w:tcPr>
            <w:tcW w:w="1603" w:type="dxa"/>
            <w:vMerge w:val="restart"/>
            <w:tcBorders>
              <w:top w:val="single" w:sz="4" w:space="0" w:color="000000"/>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Rosiglitazone</w:t>
            </w:r>
          </w:p>
        </w:tc>
        <w:tc>
          <w:tcPr>
            <w:tcW w:w="759"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tcBorders>
              <w:top w:val="nil"/>
              <w:left w:val="single" w:sz="4" w:space="0" w:color="000000"/>
              <w:bottom w:val="nil"/>
              <w:right w:val="single" w:sz="4" w:space="0" w:color="000000"/>
            </w:tcBorders>
            <w:shd w:val="clear" w:color="auto" w:fill="BFBF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372"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vMerge w:val="restart"/>
            <w:tcBorders>
              <w:top w:val="nil"/>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31"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tcBorders>
              <w:top w:val="single" w:sz="4" w:space="0" w:color="000000"/>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tcBorders>
              <w:top w:val="nil"/>
              <w:left w:val="single" w:sz="4" w:space="0" w:color="000000"/>
              <w:bottom w:val="single" w:sz="4" w:space="0" w:color="000000"/>
              <w:right w:val="single" w:sz="4" w:space="0" w:color="000000"/>
            </w:tcBorders>
            <w:shd w:val="clear" w:color="auto" w:fill="BFBF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vMerge/>
            <w:tcBorders>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31"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restart"/>
            <w:tcBorders>
              <w:top w:val="single" w:sz="4" w:space="0" w:color="000000"/>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Pioglitazone</w:t>
            </w:r>
          </w:p>
        </w:tc>
        <w:tc>
          <w:tcPr>
            <w:tcW w:w="759"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tcBorders>
              <w:top w:val="single" w:sz="4" w:space="0" w:color="000000"/>
              <w:left w:val="single" w:sz="4" w:space="0" w:color="000000"/>
              <w:bottom w:val="nil"/>
              <w:right w:val="single" w:sz="4" w:space="0" w:color="000000"/>
            </w:tcBorders>
            <w:shd w:val="clear" w:color="auto" w:fill="BFBF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372"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31"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top w:val="single" w:sz="4" w:space="0" w:color="000000"/>
              <w:left w:val="single" w:sz="4" w:space="0" w:color="000000"/>
              <w:bottom w:val="nil"/>
              <w:right w:val="single" w:sz="4" w:space="0" w:color="000000"/>
            </w:tcBorders>
            <w:shd w:val="pct25" w:color="auto" w:fill="auto"/>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a</w:t>
            </w:r>
          </w:p>
        </w:tc>
      </w:tr>
      <w:tr w:rsidR="005D613B" w:rsidRPr="00422AD1" w:rsidTr="00501D67">
        <w:tc>
          <w:tcPr>
            <w:tcW w:w="1603" w:type="dxa"/>
            <w:vMerge/>
            <w:tcBorders>
              <w:top w:val="single" w:sz="4" w:space="0" w:color="000000"/>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tcBorders>
              <w:top w:val="nil"/>
              <w:left w:val="single" w:sz="4" w:space="0" w:color="000000"/>
              <w:bottom w:val="single" w:sz="4" w:space="0" w:color="000000"/>
              <w:right w:val="single" w:sz="4" w:space="0" w:color="000000"/>
            </w:tcBorders>
            <w:shd w:val="clear" w:color="auto" w:fill="BFBF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vMerge/>
            <w:tcBorders>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31"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top w:val="nil"/>
              <w:left w:val="single" w:sz="4" w:space="0" w:color="000000"/>
              <w:bottom w:val="single" w:sz="4" w:space="0" w:color="000000"/>
              <w:right w:val="single" w:sz="4" w:space="0" w:color="000000"/>
            </w:tcBorders>
            <w:shd w:val="pct25" w:color="auto" w:fill="auto"/>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a</w:t>
            </w:r>
          </w:p>
        </w:tc>
      </w:tr>
      <w:tr w:rsidR="005D613B" w:rsidRPr="00422AD1" w:rsidTr="00501D67">
        <w:tc>
          <w:tcPr>
            <w:tcW w:w="9356" w:type="dxa"/>
            <w:gridSpan w:val="7"/>
            <w:tcBorders>
              <w:top w:val="nil"/>
            </w:tcBorders>
            <w:vAlign w:val="center"/>
          </w:tcPr>
          <w:p w:rsidR="005D613B" w:rsidRPr="00A304F0" w:rsidRDefault="00653D7E" w:rsidP="00501D67">
            <w:pPr>
              <w:pStyle w:val="DIABtabletext"/>
              <w:rPr>
                <w:rFonts w:asciiTheme="majorHAnsi" w:hAnsiTheme="majorHAnsi"/>
                <w:sz w:val="22"/>
                <w:szCs w:val="22"/>
              </w:rPr>
            </w:pPr>
            <w:r>
              <w:rPr>
                <w:rFonts w:asciiTheme="majorHAnsi" w:hAnsiTheme="majorHAnsi"/>
                <w:sz w:val="22"/>
                <w:szCs w:val="22"/>
              </w:rPr>
              <w:t>DPP-4</w:t>
            </w:r>
            <w:r w:rsidR="005D613B" w:rsidRPr="00A304F0">
              <w:rPr>
                <w:rFonts w:asciiTheme="majorHAnsi" w:hAnsiTheme="majorHAnsi"/>
                <w:sz w:val="22"/>
                <w:szCs w:val="22"/>
              </w:rPr>
              <w:t xml:space="preserve"> inhibitors (Gliptins)</w:t>
            </w:r>
          </w:p>
        </w:tc>
      </w:tr>
      <w:tr w:rsidR="005D613B" w:rsidRPr="00422AD1" w:rsidTr="00501D67">
        <w:tc>
          <w:tcPr>
            <w:tcW w:w="1603" w:type="dxa"/>
            <w:vMerge w:val="restart"/>
            <w:tcBorders>
              <w:top w:val="single" w:sz="4" w:space="0" w:color="000000"/>
            </w:tcBorders>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t>Sitagliptin</w:t>
            </w:r>
          </w:p>
        </w:tc>
        <w:tc>
          <w:tcPr>
            <w:tcW w:w="759"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tcBorders>
              <w:top w:val="single" w:sz="4" w:space="0" w:color="000000"/>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f</w:t>
            </w:r>
          </w:p>
        </w:tc>
        <w:tc>
          <w:tcPr>
            <w:tcW w:w="1372"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C"/>
            </w:r>
          </w:p>
        </w:tc>
        <w:tc>
          <w:tcPr>
            <w:tcW w:w="1415" w:type="dxa"/>
            <w:tcBorders>
              <w:bottom w:val="nil"/>
            </w:tcBorders>
            <w:shd w:val="clear" w:color="auto" w:fill="BFBF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b</w:t>
            </w:r>
          </w:p>
        </w:tc>
        <w:tc>
          <w:tcPr>
            <w:tcW w:w="1331" w:type="dxa"/>
            <w:tcBorders>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tcBorders>
              <w:top w:val="nil"/>
              <w:bottom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top w:val="nil"/>
            </w:tcBorders>
            <w:shd w:val="clear" w:color="auto" w:fill="BFBF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bottom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restart"/>
            <w:tcBorders>
              <w:top w:val="single" w:sz="4" w:space="0" w:color="000000"/>
            </w:tcBorders>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t>Saxagliptin</w:t>
            </w:r>
          </w:p>
        </w:tc>
        <w:tc>
          <w:tcPr>
            <w:tcW w:w="759"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d</w:t>
            </w:r>
          </w:p>
        </w:tc>
        <w:tc>
          <w:tcPr>
            <w:tcW w:w="1415" w:type="dxa"/>
            <w:tcBorders>
              <w:bottom w:val="nil"/>
            </w:tcBorders>
            <w:shd w:val="clear" w:color="auto" w:fill="BFBF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b</w:t>
            </w:r>
          </w:p>
        </w:tc>
        <w:tc>
          <w:tcPr>
            <w:tcW w:w="1331" w:type="dxa"/>
            <w:tcBorders>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bottom w:val="nil"/>
            </w:tcBorders>
            <w:shd w:val="pct25"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d</w:t>
            </w:r>
          </w:p>
        </w:tc>
        <w:tc>
          <w:tcPr>
            <w:tcW w:w="1415" w:type="dxa"/>
            <w:tcBorders>
              <w:top w:val="nil"/>
            </w:tcBorders>
            <w:shd w:val="clear" w:color="auto" w:fill="BFBF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tcBorders>
            <w:shd w:val="pct25"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restart"/>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Vildagliptin</w:t>
            </w:r>
          </w:p>
        </w:tc>
        <w:tc>
          <w:tcPr>
            <w:tcW w:w="759" w:type="dxa"/>
            <w:tcBorders>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tcBorders>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bottom w:val="nil"/>
            </w:tcBorders>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C"/>
            </w:r>
          </w:p>
        </w:tc>
        <w:tc>
          <w:tcPr>
            <w:tcW w:w="1415" w:type="dxa"/>
            <w:tcBorders>
              <w:bottom w:val="nil"/>
            </w:tcBorders>
            <w:shd w:val="clear" w:color="auto" w:fill="BFBF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b,c</w:t>
            </w:r>
          </w:p>
        </w:tc>
        <w:tc>
          <w:tcPr>
            <w:tcW w:w="1331" w:type="dxa"/>
            <w:tcBorders>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top w:val="nil"/>
            </w:tcBorders>
            <w:shd w:val="clear" w:color="auto" w:fill="BFBF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nil"/>
              <w:bottom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restart"/>
            <w:tcBorders>
              <w:top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Linagliptin</w:t>
            </w:r>
          </w:p>
        </w:tc>
        <w:tc>
          <w:tcPr>
            <w:tcW w:w="759"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tcBorders>
              <w:top w:val="single" w:sz="4" w:space="0" w:color="000000"/>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f</w:t>
            </w:r>
          </w:p>
        </w:tc>
        <w:tc>
          <w:tcPr>
            <w:tcW w:w="1372"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bottom w:val="nil"/>
            </w:tcBorders>
            <w:shd w:val="pct25"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tcBorders>
              <w:top w:val="nil"/>
              <w:bottom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top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nil"/>
            </w:tcBorders>
            <w:shd w:val="pct25"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restart"/>
            <w:tcBorders>
              <w:top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Alogliptin</w:t>
            </w:r>
          </w:p>
        </w:tc>
        <w:tc>
          <w:tcPr>
            <w:tcW w:w="759"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b</w:t>
            </w:r>
          </w:p>
        </w:tc>
        <w:tc>
          <w:tcPr>
            <w:tcW w:w="1331" w:type="dxa"/>
            <w:tcBorders>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r w:rsidRPr="00A304F0">
              <w:rPr>
                <w:rFonts w:asciiTheme="majorHAnsi" w:hAnsiTheme="majorHAnsi"/>
                <w:sz w:val="22"/>
                <w:szCs w:val="22"/>
                <w:vertAlign w:val="superscript"/>
              </w:rPr>
              <w:t xml:space="preserve"> </w:t>
            </w:r>
          </w:p>
        </w:tc>
        <w:tc>
          <w:tcPr>
            <w:tcW w:w="1372"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top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9356" w:type="dxa"/>
            <w:gridSpan w:val="7"/>
            <w:vAlign w:val="center"/>
          </w:tcPr>
          <w:p w:rsidR="005D613B" w:rsidRPr="00A304F0" w:rsidRDefault="00653D7E" w:rsidP="00501D67">
            <w:pPr>
              <w:pStyle w:val="DIABtabletext"/>
              <w:rPr>
                <w:rFonts w:asciiTheme="majorHAnsi" w:hAnsiTheme="majorHAnsi"/>
                <w:sz w:val="22"/>
                <w:szCs w:val="22"/>
              </w:rPr>
            </w:pPr>
            <w:r>
              <w:rPr>
                <w:rFonts w:asciiTheme="majorHAnsi" w:hAnsiTheme="majorHAnsi"/>
                <w:sz w:val="22"/>
                <w:szCs w:val="22"/>
              </w:rPr>
              <w:t>SGLT2</w:t>
            </w:r>
            <w:r w:rsidR="005D613B" w:rsidRPr="00A304F0">
              <w:rPr>
                <w:rFonts w:asciiTheme="majorHAnsi" w:hAnsiTheme="majorHAnsi"/>
                <w:sz w:val="22"/>
                <w:szCs w:val="22"/>
              </w:rPr>
              <w:t xml:space="preserve"> inhibitors (gliflozins)</w:t>
            </w:r>
          </w:p>
        </w:tc>
      </w:tr>
      <w:tr w:rsidR="005D613B" w:rsidRPr="00422AD1" w:rsidTr="00501D67">
        <w:tc>
          <w:tcPr>
            <w:tcW w:w="1603" w:type="dxa"/>
            <w:vMerge w:val="restart"/>
            <w:tcBorders>
              <w:top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Dapagliflozin</w:t>
            </w:r>
          </w:p>
        </w:tc>
        <w:tc>
          <w:tcPr>
            <w:tcW w:w="759"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tcBorders>
              <w:top w:val="single" w:sz="4" w:space="0" w:color="000000"/>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f</w:t>
            </w:r>
          </w:p>
        </w:tc>
        <w:tc>
          <w:tcPr>
            <w:tcW w:w="1372" w:type="dxa"/>
            <w:tcBorders>
              <w:top w:val="single" w:sz="4" w:space="0" w:color="000000"/>
              <w:bottom w:val="nil"/>
            </w:tcBorders>
            <w:shd w:val="clear" w:color="auto" w:fill="FFFFFF" w:themeFill="background1"/>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top w:val="single" w:sz="4" w:space="0" w:color="000000"/>
              <w:bottom w:val="nil"/>
            </w:tcBorders>
            <w:shd w:val="clear" w:color="auto" w:fill="FFFFFF" w:themeFill="background1"/>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single" w:sz="4" w:space="0" w:color="000000"/>
              <w:bottom w:val="nil"/>
            </w:tcBorders>
            <w:shd w:val="clear" w:color="auto" w:fill="FFFFFF" w:themeFill="background1"/>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single" w:sz="4" w:space="0" w:color="000000"/>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r w:rsidRPr="00A304F0">
              <w:rPr>
                <w:rFonts w:asciiTheme="majorHAnsi" w:hAnsiTheme="majorHAnsi"/>
                <w:sz w:val="22"/>
                <w:szCs w:val="22"/>
                <w:vertAlign w:val="superscript"/>
              </w:rPr>
              <w:t xml:space="preserve"> </w:t>
            </w:r>
          </w:p>
        </w:tc>
        <w:tc>
          <w:tcPr>
            <w:tcW w:w="1372" w:type="dxa"/>
            <w:tcBorders>
              <w:top w:val="nil"/>
              <w:bottom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bottom w:val="single" w:sz="4" w:space="0" w:color="000000"/>
            </w:tcBorders>
            <w:shd w:val="clear" w:color="auto" w:fill="FFFFFF" w:themeFill="background1"/>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top w:val="nil"/>
              <w:bottom w:val="single" w:sz="4" w:space="0" w:color="000000"/>
            </w:tcBorders>
            <w:shd w:val="clear" w:color="auto" w:fill="FFFFFF" w:themeFill="background1"/>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nil"/>
              <w:bottom w:val="single" w:sz="4" w:space="0" w:color="000000"/>
            </w:tcBorders>
            <w:shd w:val="clear" w:color="auto" w:fill="FFFFFF" w:themeFill="background1"/>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bottom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restart"/>
            <w:tcBorders>
              <w:top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Canagliflozin</w:t>
            </w:r>
          </w:p>
        </w:tc>
        <w:tc>
          <w:tcPr>
            <w:tcW w:w="759"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tcBorders>
              <w:top w:val="single" w:sz="4" w:space="0" w:color="000000"/>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f</w:t>
            </w:r>
          </w:p>
        </w:tc>
        <w:tc>
          <w:tcPr>
            <w:tcW w:w="1372" w:type="dxa"/>
            <w:tcBorders>
              <w:top w:val="single" w:sz="4" w:space="0" w:color="000000"/>
              <w:bottom w:val="nil"/>
            </w:tcBorders>
            <w:shd w:val="clear" w:color="auto" w:fill="FFFFFF" w:themeFill="background1"/>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top w:val="single" w:sz="4" w:space="0" w:color="000000"/>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331" w:type="dxa"/>
            <w:tcBorders>
              <w:top w:val="single" w:sz="4" w:space="0" w:color="000000"/>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top w:val="single" w:sz="4" w:space="0" w:color="000000"/>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r w:rsidRPr="00A304F0">
              <w:rPr>
                <w:rFonts w:asciiTheme="majorHAnsi" w:hAnsiTheme="majorHAnsi"/>
                <w:sz w:val="22"/>
                <w:szCs w:val="22"/>
                <w:vertAlign w:val="superscript"/>
              </w:rPr>
              <w:t xml:space="preserve"> </w:t>
            </w:r>
          </w:p>
        </w:tc>
        <w:tc>
          <w:tcPr>
            <w:tcW w:w="1372" w:type="dxa"/>
            <w:tcBorders>
              <w:top w:val="nil"/>
              <w:bottom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bottom w:val="single" w:sz="4" w:space="0" w:color="000000"/>
            </w:tcBorders>
            <w:shd w:val="clear" w:color="auto" w:fill="FFFFFF" w:themeFill="background1"/>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top w:val="nil"/>
              <w:bottom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nil"/>
              <w:bottom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bottom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9356" w:type="dxa"/>
            <w:gridSpan w:val="7"/>
            <w:tcBorders>
              <w:top w:val="single" w:sz="4" w:space="0" w:color="000000"/>
            </w:tcBorders>
            <w:vAlign w:val="center"/>
          </w:tcPr>
          <w:p w:rsidR="005D613B" w:rsidRPr="00A304F0" w:rsidRDefault="005D613B" w:rsidP="00653D7E">
            <w:pPr>
              <w:pStyle w:val="DIABtabletext"/>
              <w:rPr>
                <w:rFonts w:asciiTheme="majorHAnsi" w:hAnsiTheme="majorHAnsi"/>
                <w:sz w:val="22"/>
                <w:szCs w:val="22"/>
              </w:rPr>
            </w:pPr>
            <w:r w:rsidRPr="00A304F0">
              <w:rPr>
                <w:rFonts w:asciiTheme="majorHAnsi" w:hAnsiTheme="majorHAnsi"/>
                <w:sz w:val="22"/>
                <w:szCs w:val="22"/>
              </w:rPr>
              <w:t xml:space="preserve">GLP-1 </w:t>
            </w:r>
            <w:r w:rsidR="00653D7E">
              <w:rPr>
                <w:rFonts w:asciiTheme="majorHAnsi" w:hAnsiTheme="majorHAnsi"/>
                <w:sz w:val="22"/>
                <w:szCs w:val="22"/>
              </w:rPr>
              <w:t>receptor agonists</w:t>
            </w:r>
          </w:p>
        </w:tc>
      </w:tr>
      <w:tr w:rsidR="005D613B" w:rsidRPr="00422AD1" w:rsidTr="00501D67">
        <w:tc>
          <w:tcPr>
            <w:tcW w:w="1603" w:type="dxa"/>
            <w:vMerge w:val="restart"/>
            <w:tcBorders>
              <w:top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Exenatide </w:t>
            </w:r>
          </w:p>
        </w:tc>
        <w:tc>
          <w:tcPr>
            <w:tcW w:w="759"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bottom w:val="nil"/>
            </w:tcBorders>
            <w:shd w:val="pct25"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top w:val="nil"/>
              <w:bottom w:val="single" w:sz="4" w:space="0" w:color="000000"/>
            </w:tcBorders>
            <w:shd w:val="pct25"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restart"/>
            <w:tcBorders>
              <w:top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Exenatide LA</w:t>
            </w:r>
          </w:p>
        </w:tc>
        <w:tc>
          <w:tcPr>
            <w:tcW w:w="759"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single" w:sz="4" w:space="0" w:color="000000"/>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bottom w:val="nil"/>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bottom w:val="nil"/>
            </w:tcBorders>
            <w:shd w:val="clear"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bottom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r w:rsidRPr="00A304F0">
              <w:rPr>
                <w:rFonts w:asciiTheme="majorHAnsi" w:hAnsiTheme="majorHAnsi"/>
                <w:sz w:val="22"/>
                <w:szCs w:val="22"/>
                <w:vertAlign w:val="superscript"/>
              </w:rPr>
              <w:t>e</w:t>
            </w:r>
          </w:p>
        </w:tc>
        <w:tc>
          <w:tcPr>
            <w:tcW w:w="1415"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nil"/>
              <w:bottom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r w:rsidRPr="00A304F0">
              <w:rPr>
                <w:rFonts w:asciiTheme="majorHAnsi" w:hAnsiTheme="majorHAnsi"/>
                <w:sz w:val="22"/>
                <w:szCs w:val="22"/>
                <w:vertAlign w:val="superscript"/>
              </w:rPr>
              <w:t>e</w:t>
            </w:r>
          </w:p>
        </w:tc>
        <w:tc>
          <w:tcPr>
            <w:tcW w:w="1504" w:type="dxa"/>
            <w:tcBorders>
              <w:top w:val="nil"/>
              <w:bottom w:val="single" w:sz="4" w:space="0" w:color="000000"/>
            </w:tcBorders>
            <w:shd w:val="clear"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restart"/>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Liraglutide</w:t>
            </w:r>
          </w:p>
        </w:tc>
        <w:tc>
          <w:tcPr>
            <w:tcW w:w="759"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single" w:sz="4" w:space="0" w:color="000000"/>
              <w:bottom w:val="nil"/>
            </w:tcBorders>
            <w:shd w:val="pct25"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single" w:sz="4" w:space="0" w:color="000000"/>
              <w:bottom w:val="nil"/>
            </w:tcBorders>
            <w:shd w:val="pct25"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bottom w:val="single" w:sz="4" w:space="0" w:color="000000"/>
            </w:tcBorders>
            <w:shd w:val="pct25"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r w:rsidRPr="00A304F0">
              <w:rPr>
                <w:rFonts w:asciiTheme="majorHAnsi" w:hAnsiTheme="majorHAnsi"/>
                <w:sz w:val="22"/>
                <w:szCs w:val="22"/>
                <w:vertAlign w:val="superscript"/>
              </w:rPr>
              <w:t>e</w:t>
            </w:r>
          </w:p>
        </w:tc>
        <w:tc>
          <w:tcPr>
            <w:tcW w:w="1415"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nil"/>
              <w:bottom w:val="single" w:sz="4" w:space="0" w:color="000000"/>
            </w:tcBorders>
            <w:shd w:val="pct25"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r w:rsidRPr="00A304F0">
              <w:rPr>
                <w:rFonts w:asciiTheme="majorHAnsi" w:hAnsiTheme="majorHAnsi"/>
                <w:sz w:val="22"/>
                <w:szCs w:val="22"/>
                <w:vertAlign w:val="superscript"/>
              </w:rPr>
              <w:t>e</w:t>
            </w:r>
          </w:p>
        </w:tc>
        <w:tc>
          <w:tcPr>
            <w:tcW w:w="1504"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9356" w:type="dxa"/>
            <w:gridSpan w:val="7"/>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Others</w:t>
            </w:r>
          </w:p>
        </w:tc>
      </w:tr>
      <w:tr w:rsidR="005D613B" w:rsidRPr="00422AD1" w:rsidTr="00501D67">
        <w:tc>
          <w:tcPr>
            <w:tcW w:w="1603" w:type="dxa"/>
            <w:vMerge w:val="restart"/>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Repaglinide</w:t>
            </w:r>
          </w:p>
        </w:tc>
        <w:tc>
          <w:tcPr>
            <w:tcW w:w="759" w:type="dxa"/>
            <w:tcBorders>
              <w:top w:val="nil"/>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tcBorders>
              <w:top w:val="nil"/>
              <w:bottom w:val="nil"/>
            </w:tcBorders>
            <w:shd w:val="clear"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bottom w:val="nil"/>
            </w:tcBorders>
            <w:shd w:val="pct25" w:color="auto" w:fill="auto"/>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g</w:t>
            </w:r>
          </w:p>
        </w:tc>
        <w:tc>
          <w:tcPr>
            <w:tcW w:w="1415" w:type="dxa"/>
            <w:tcBorders>
              <w:top w:val="nil"/>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nil"/>
              <w:bottom w:val="nil"/>
            </w:tcBorders>
            <w:shd w:val="clear"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bottom w:val="nil"/>
            </w:tcBorders>
            <w:shd w:val="pct25" w:color="auto" w:fill="auto"/>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h</w:t>
            </w:r>
          </w:p>
        </w:tc>
      </w:tr>
      <w:tr w:rsidR="005D613B" w:rsidRPr="00422AD1" w:rsidTr="00501D67">
        <w:tc>
          <w:tcPr>
            <w:tcW w:w="1603" w:type="dxa"/>
            <w:vMerge/>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tcBorders>
              <w:top w:val="nil"/>
              <w:bottom w:val="single" w:sz="4" w:space="0" w:color="000000"/>
            </w:tcBorders>
            <w:shd w:val="clear"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72" w:type="dxa"/>
            <w:tcBorders>
              <w:top w:val="nil"/>
              <w:bottom w:val="single" w:sz="4" w:space="0" w:color="000000"/>
            </w:tcBorders>
            <w:shd w:val="pct25"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415"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nil"/>
              <w:bottom w:val="single" w:sz="4" w:space="0" w:color="000000"/>
            </w:tcBorders>
            <w:shd w:val="clear"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bottom w:val="single" w:sz="4" w:space="0" w:color="000000"/>
            </w:tcBorders>
            <w:shd w:val="pct25"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BA7592" w:rsidTr="00501D67">
        <w:tc>
          <w:tcPr>
            <w:tcW w:w="9356" w:type="dxa"/>
            <w:gridSpan w:val="7"/>
            <w:vAlign w:val="center"/>
          </w:tcPr>
          <w:p w:rsidR="005D613B" w:rsidRPr="00A304F0" w:rsidRDefault="005D613B" w:rsidP="00653D7E">
            <w:pPr>
              <w:pStyle w:val="DIABtabletext"/>
              <w:keepNext/>
              <w:keepLines/>
              <w:rPr>
                <w:rFonts w:asciiTheme="majorHAnsi" w:hAnsiTheme="majorHAnsi"/>
                <w:sz w:val="22"/>
                <w:szCs w:val="22"/>
              </w:rPr>
            </w:pPr>
            <w:r w:rsidRPr="00A304F0">
              <w:rPr>
                <w:rFonts w:asciiTheme="majorHAnsi" w:hAnsiTheme="majorHAnsi"/>
                <w:sz w:val="22"/>
                <w:szCs w:val="22"/>
              </w:rPr>
              <w:t xml:space="preserve">Fixed dose combinations </w:t>
            </w:r>
          </w:p>
        </w:tc>
      </w:tr>
      <w:tr w:rsidR="005D613B" w:rsidRPr="00422AD1" w:rsidTr="00501D67">
        <w:tc>
          <w:tcPr>
            <w:tcW w:w="1603" w:type="dxa"/>
            <w:vMerge w:val="restart"/>
            <w:tcBorders>
              <w:top w:val="single" w:sz="4" w:space="0" w:color="000000"/>
            </w:tcBorders>
            <w:vAlign w:val="center"/>
          </w:tcPr>
          <w:p w:rsidR="005D613B" w:rsidRPr="00A304F0" w:rsidRDefault="005D613B" w:rsidP="00653D7E">
            <w:pPr>
              <w:pStyle w:val="DIABtabletext"/>
              <w:keepNext/>
              <w:keepLines/>
              <w:rPr>
                <w:rFonts w:asciiTheme="majorHAnsi" w:hAnsiTheme="majorHAnsi"/>
                <w:sz w:val="22"/>
                <w:szCs w:val="22"/>
              </w:rPr>
            </w:pPr>
            <w:r w:rsidRPr="00A304F0">
              <w:rPr>
                <w:rFonts w:asciiTheme="majorHAnsi" w:hAnsiTheme="majorHAnsi"/>
                <w:sz w:val="22"/>
                <w:szCs w:val="22"/>
              </w:rPr>
              <w:t>Glibenclamide+ metformin</w:t>
            </w:r>
          </w:p>
        </w:tc>
        <w:tc>
          <w:tcPr>
            <w:tcW w:w="759"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vMerge w:val="restart"/>
            <w:tcBorders>
              <w:top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72" w:type="dxa"/>
            <w:tcBorders>
              <w:top w:val="single" w:sz="4" w:space="0" w:color="000000"/>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vMerge w:val="restart"/>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31" w:type="dxa"/>
            <w:vMerge w:val="restart"/>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504" w:type="dxa"/>
            <w:tcBorders>
              <w:bottom w:val="nil"/>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vMerge/>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72"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vMerge/>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31" w:type="dxa"/>
            <w:vMerge/>
            <w:tcBorders>
              <w:bottom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504" w:type="dxa"/>
            <w:tcBorders>
              <w:top w:val="nil"/>
              <w:bottom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val="restart"/>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Metformin+ rosiglitazone</w:t>
            </w:r>
          </w:p>
        </w:tc>
        <w:tc>
          <w:tcPr>
            <w:tcW w:w="759"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72"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331" w:type="dxa"/>
            <w:tcBorders>
              <w:top w:val="single" w:sz="4" w:space="0" w:color="000000"/>
              <w:left w:val="single" w:sz="4" w:space="0" w:color="000000"/>
              <w:bottom w:val="nil"/>
              <w:right w:val="single" w:sz="4" w:space="0" w:color="000000"/>
            </w:tcBorders>
            <w:shd w:val="clear"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vMerge/>
            <w:tcBorders>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72"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g</w:t>
            </w:r>
          </w:p>
        </w:tc>
        <w:tc>
          <w:tcPr>
            <w:tcW w:w="1415"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g</w:t>
            </w:r>
          </w:p>
        </w:tc>
        <w:tc>
          <w:tcPr>
            <w:tcW w:w="1331" w:type="dxa"/>
            <w:tcBorders>
              <w:top w:val="nil"/>
              <w:left w:val="single" w:sz="4" w:space="0" w:color="000000"/>
              <w:bottom w:val="single" w:sz="4" w:space="0" w:color="000000"/>
              <w:right w:val="single" w:sz="4" w:space="0" w:color="000000"/>
            </w:tcBorders>
            <w:shd w:val="clear"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rPr>
          <w:trHeight w:val="113"/>
        </w:trPr>
        <w:tc>
          <w:tcPr>
            <w:tcW w:w="1603" w:type="dxa"/>
            <w:vMerge w:val="restart"/>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Metformin+ </w:t>
            </w:r>
            <w:r w:rsidRPr="00A304F0">
              <w:rPr>
                <w:rFonts w:asciiTheme="majorHAnsi" w:hAnsiTheme="majorHAnsi"/>
                <w:sz w:val="22"/>
                <w:szCs w:val="22"/>
              </w:rPr>
              <w:lastRenderedPageBreak/>
              <w:t>sitagliptin</w:t>
            </w:r>
          </w:p>
        </w:tc>
        <w:tc>
          <w:tcPr>
            <w:tcW w:w="759"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lastRenderedPageBreak/>
              <w:t xml:space="preserve">TGA </w:t>
            </w:r>
          </w:p>
        </w:tc>
        <w:tc>
          <w:tcPr>
            <w:tcW w:w="1372"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72"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31"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vMerge/>
            <w:tcBorders>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72"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g</w:t>
            </w:r>
          </w:p>
        </w:tc>
        <w:tc>
          <w:tcPr>
            <w:tcW w:w="1415" w:type="dxa"/>
            <w:vMerge/>
            <w:tcBorders>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31" w:type="dxa"/>
            <w:tcBorders>
              <w:top w:val="nil"/>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restart"/>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lastRenderedPageBreak/>
              <w:t>Metformin+ vildagliptin</w:t>
            </w:r>
          </w:p>
        </w:tc>
        <w:tc>
          <w:tcPr>
            <w:tcW w:w="759"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72"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31"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vMerge/>
            <w:tcBorders>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72"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C"/>
            </w:r>
            <w:r w:rsidRPr="00A304F0">
              <w:rPr>
                <w:rFonts w:asciiTheme="majorHAnsi" w:hAnsiTheme="majorHAnsi"/>
                <w:sz w:val="22"/>
                <w:szCs w:val="22"/>
                <w:vertAlign w:val="superscript"/>
              </w:rPr>
              <w:t>g</w:t>
            </w:r>
          </w:p>
        </w:tc>
        <w:tc>
          <w:tcPr>
            <w:tcW w:w="1415" w:type="dxa"/>
            <w:vMerge/>
            <w:tcBorders>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31" w:type="dxa"/>
            <w:tcBorders>
              <w:top w:val="nil"/>
              <w:left w:val="single" w:sz="4" w:space="0" w:color="000000"/>
              <w:bottom w:val="single" w:sz="4" w:space="0" w:color="000000"/>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left w:val="single" w:sz="4" w:space="0" w:color="000000"/>
              <w:bottom w:val="single" w:sz="4" w:space="0" w:color="000000"/>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rPr>
          <w:trHeight w:val="113"/>
        </w:trPr>
        <w:tc>
          <w:tcPr>
            <w:tcW w:w="1603" w:type="dxa"/>
            <w:vMerge w:val="restart"/>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Simvastatin+ sitagliptin</w:t>
            </w:r>
          </w:p>
        </w:tc>
        <w:tc>
          <w:tcPr>
            <w:tcW w:w="759"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72"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331"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vMerge/>
            <w:tcBorders>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72"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C"/>
            </w:r>
          </w:p>
        </w:tc>
        <w:tc>
          <w:tcPr>
            <w:tcW w:w="1415" w:type="dxa"/>
            <w:tcBorders>
              <w:top w:val="nil"/>
              <w:left w:val="single" w:sz="4" w:space="0" w:color="000000"/>
              <w:bottom w:val="single" w:sz="4" w:space="0" w:color="000000"/>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331"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rPr>
          <w:trHeight w:val="113"/>
        </w:trPr>
        <w:tc>
          <w:tcPr>
            <w:tcW w:w="1603" w:type="dxa"/>
            <w:vMerge w:val="restart"/>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Metformin+ saxagliptin</w:t>
            </w:r>
          </w:p>
        </w:tc>
        <w:tc>
          <w:tcPr>
            <w:tcW w:w="759"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72"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31"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left w:val="single" w:sz="4" w:space="0" w:color="000000"/>
              <w:bottom w:val="single" w:sz="4" w:space="0" w:color="auto"/>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r w:rsidRPr="00A304F0">
              <w:rPr>
                <w:rFonts w:asciiTheme="majorHAnsi" w:hAnsiTheme="majorHAnsi"/>
                <w:sz w:val="22"/>
                <w:szCs w:val="22"/>
                <w:vertAlign w:val="superscript"/>
              </w:rPr>
              <w:t xml:space="preserve"> </w:t>
            </w:r>
          </w:p>
        </w:tc>
        <w:tc>
          <w:tcPr>
            <w:tcW w:w="1372" w:type="dxa"/>
            <w:vMerge/>
            <w:tcBorders>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72" w:type="dxa"/>
            <w:tcBorders>
              <w:top w:val="nil"/>
              <w:left w:val="single" w:sz="4" w:space="0" w:color="000000"/>
              <w:bottom w:val="single" w:sz="4" w:space="0" w:color="auto"/>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B"/>
            </w:r>
            <w:r w:rsidRPr="00A304F0">
              <w:rPr>
                <w:rFonts w:asciiTheme="majorHAnsi" w:hAnsiTheme="majorHAnsi"/>
                <w:sz w:val="22"/>
                <w:szCs w:val="22"/>
                <w:vertAlign w:val="superscript"/>
              </w:rPr>
              <w:t>e</w:t>
            </w:r>
          </w:p>
        </w:tc>
        <w:tc>
          <w:tcPr>
            <w:tcW w:w="1415" w:type="dxa"/>
            <w:vMerge/>
            <w:tcBorders>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31" w:type="dxa"/>
            <w:tcBorders>
              <w:top w:val="nil"/>
              <w:left w:val="single" w:sz="4" w:space="0" w:color="000000"/>
              <w:bottom w:val="single" w:sz="4" w:space="0" w:color="000000"/>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left w:val="single" w:sz="4" w:space="0" w:color="000000"/>
              <w:bottom w:val="single" w:sz="4" w:space="0" w:color="000000"/>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restart"/>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Linagliptin+ metformin</w:t>
            </w:r>
          </w:p>
        </w:tc>
        <w:tc>
          <w:tcPr>
            <w:tcW w:w="759" w:type="dxa"/>
            <w:tcBorders>
              <w:top w:val="single" w:sz="4" w:space="0" w:color="auto"/>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vMerge w:val="restart"/>
            <w:tcBorders>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72" w:type="dxa"/>
            <w:tcBorders>
              <w:top w:val="single" w:sz="4" w:space="0" w:color="auto"/>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vMerge w:val="restart"/>
            <w:tcBorders>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31"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top w:val="single" w:sz="4" w:space="0" w:color="000000"/>
              <w:left w:val="single" w:sz="4" w:space="0" w:color="000000"/>
              <w:bottom w:val="nil"/>
              <w:right w:val="single" w:sz="4" w:space="0" w:color="000000"/>
            </w:tcBorders>
            <w:shd w:val="clear"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r w:rsidRPr="00A304F0">
              <w:rPr>
                <w:rFonts w:asciiTheme="majorHAnsi" w:hAnsiTheme="majorHAnsi"/>
                <w:sz w:val="22"/>
                <w:szCs w:val="22"/>
                <w:vertAlign w:val="superscript"/>
              </w:rPr>
              <w:t xml:space="preserve"> </w:t>
            </w:r>
          </w:p>
        </w:tc>
        <w:tc>
          <w:tcPr>
            <w:tcW w:w="1372" w:type="dxa"/>
            <w:vMerge/>
            <w:tcBorders>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72" w:type="dxa"/>
            <w:tcBorders>
              <w:top w:val="nil"/>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r w:rsidRPr="00A304F0">
              <w:rPr>
                <w:rFonts w:asciiTheme="majorHAnsi" w:hAnsiTheme="majorHAnsi"/>
                <w:sz w:val="22"/>
                <w:szCs w:val="22"/>
                <w:vertAlign w:val="superscript"/>
              </w:rPr>
              <w:t xml:space="preserve"> e</w:t>
            </w:r>
          </w:p>
        </w:tc>
        <w:tc>
          <w:tcPr>
            <w:tcW w:w="1415" w:type="dxa"/>
            <w:vMerge/>
            <w:tcBorders>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31" w:type="dxa"/>
            <w:tcBorders>
              <w:top w:val="nil"/>
              <w:left w:val="single" w:sz="4" w:space="0" w:color="000000"/>
              <w:bottom w:val="single" w:sz="4" w:space="0" w:color="000000"/>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left w:val="single" w:sz="4" w:space="0" w:color="000000"/>
              <w:bottom w:val="single" w:sz="4" w:space="0" w:color="000000"/>
              <w:right w:val="single" w:sz="4" w:space="0" w:color="000000"/>
            </w:tcBorders>
            <w:shd w:val="clear" w:color="auto" w:fill="auto"/>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rPr>
          <w:trHeight w:val="113"/>
        </w:trPr>
        <w:tc>
          <w:tcPr>
            <w:tcW w:w="1603" w:type="dxa"/>
            <w:vMerge w:val="restart"/>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Alogliptin+ metformin</w:t>
            </w:r>
          </w:p>
        </w:tc>
        <w:tc>
          <w:tcPr>
            <w:tcW w:w="759"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72"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31"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vMerge/>
            <w:tcBorders>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72" w:type="dxa"/>
            <w:tcBorders>
              <w:top w:val="nil"/>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B"/>
            </w:r>
            <w:r w:rsidRPr="00A304F0">
              <w:rPr>
                <w:rFonts w:asciiTheme="majorHAnsi" w:hAnsiTheme="majorHAnsi"/>
                <w:sz w:val="22"/>
                <w:szCs w:val="22"/>
                <w:vertAlign w:val="superscript"/>
              </w:rPr>
              <w:t>e</w:t>
            </w:r>
          </w:p>
        </w:tc>
        <w:tc>
          <w:tcPr>
            <w:tcW w:w="1415" w:type="dxa"/>
            <w:vMerge/>
            <w:tcBorders>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31" w:type="dxa"/>
            <w:tcBorders>
              <w:top w:val="nil"/>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rPr>
          <w:trHeight w:val="113"/>
        </w:trPr>
        <w:tc>
          <w:tcPr>
            <w:tcW w:w="1603" w:type="dxa"/>
            <w:vMerge w:val="restart"/>
            <w:vAlign w:val="center"/>
          </w:tcPr>
          <w:p w:rsidR="005D613B" w:rsidRPr="00A304F0" w:rsidRDefault="005D613B" w:rsidP="00501D67">
            <w:pPr>
              <w:pStyle w:val="DIABtabletext"/>
              <w:jc w:val="left"/>
              <w:rPr>
                <w:rFonts w:asciiTheme="majorHAnsi" w:hAnsiTheme="majorHAnsi"/>
                <w:sz w:val="22"/>
                <w:szCs w:val="22"/>
              </w:rPr>
            </w:pPr>
            <w:r>
              <w:rPr>
                <w:rFonts w:asciiTheme="majorHAnsi" w:hAnsiTheme="majorHAnsi"/>
                <w:sz w:val="22"/>
                <w:szCs w:val="22"/>
              </w:rPr>
              <w:t xml:space="preserve">Metformin </w:t>
            </w:r>
            <w:r w:rsidRPr="00A304F0">
              <w:rPr>
                <w:rFonts w:asciiTheme="majorHAnsi" w:hAnsiTheme="majorHAnsi"/>
                <w:sz w:val="22"/>
                <w:szCs w:val="22"/>
              </w:rPr>
              <w:t>XR+ saxagliptin</w:t>
            </w:r>
          </w:p>
        </w:tc>
        <w:tc>
          <w:tcPr>
            <w:tcW w:w="759"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72"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31"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vMerge/>
            <w:tcBorders>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72" w:type="dxa"/>
            <w:tcBorders>
              <w:top w:val="nil"/>
              <w:left w:val="single" w:sz="4" w:space="0" w:color="000000"/>
              <w:bottom w:val="single" w:sz="4" w:space="0" w:color="000000"/>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B"/>
            </w:r>
            <w:r w:rsidRPr="00A304F0">
              <w:rPr>
                <w:rFonts w:asciiTheme="majorHAnsi" w:hAnsiTheme="majorHAnsi"/>
                <w:sz w:val="22"/>
                <w:szCs w:val="22"/>
                <w:vertAlign w:val="superscript"/>
              </w:rPr>
              <w:t>e</w:t>
            </w:r>
          </w:p>
        </w:tc>
        <w:tc>
          <w:tcPr>
            <w:tcW w:w="1415" w:type="dxa"/>
            <w:vMerge/>
            <w:tcBorders>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31" w:type="dxa"/>
            <w:tcBorders>
              <w:top w:val="nil"/>
              <w:left w:val="single" w:sz="4" w:space="0" w:color="000000"/>
              <w:bottom w:val="single" w:sz="4" w:space="0" w:color="000000"/>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left w:val="single" w:sz="4" w:space="0" w:color="000000"/>
              <w:bottom w:val="single" w:sz="4" w:space="0" w:color="000000"/>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r w:rsidR="005D613B" w:rsidRPr="00422AD1" w:rsidTr="00501D67">
        <w:trPr>
          <w:trHeight w:val="113"/>
        </w:trPr>
        <w:tc>
          <w:tcPr>
            <w:tcW w:w="1603" w:type="dxa"/>
            <w:vMerge w:val="restart"/>
            <w:vAlign w:val="center"/>
          </w:tcPr>
          <w:p w:rsidR="005D613B" w:rsidRPr="00A304F0" w:rsidRDefault="005D613B" w:rsidP="00501D67">
            <w:pPr>
              <w:pStyle w:val="DIABtabletext"/>
              <w:jc w:val="left"/>
              <w:rPr>
                <w:rFonts w:asciiTheme="majorHAnsi" w:hAnsiTheme="majorHAnsi"/>
                <w:sz w:val="22"/>
                <w:szCs w:val="22"/>
              </w:rPr>
            </w:pPr>
            <w:r w:rsidRPr="00A304F0">
              <w:rPr>
                <w:rFonts w:asciiTheme="majorHAnsi" w:hAnsiTheme="majorHAnsi"/>
                <w:sz w:val="22"/>
                <w:szCs w:val="22"/>
              </w:rPr>
              <w:t>Metformin XR+ sitagliptin</w:t>
            </w:r>
          </w:p>
        </w:tc>
        <w:tc>
          <w:tcPr>
            <w:tcW w:w="759" w:type="dxa"/>
            <w:tcBorders>
              <w:top w:val="single" w:sz="4" w:space="0" w:color="000000"/>
              <w:left w:val="single" w:sz="4" w:space="0" w:color="000000"/>
              <w:bottom w:val="nil"/>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 xml:space="preserve">TGA </w:t>
            </w:r>
          </w:p>
        </w:tc>
        <w:tc>
          <w:tcPr>
            <w:tcW w:w="1372"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72"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415" w:type="dxa"/>
            <w:vMerge w:val="restart"/>
            <w:tcBorders>
              <w:top w:val="single" w:sz="4" w:space="0" w:color="000000"/>
              <w:left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N/A</w:t>
            </w:r>
          </w:p>
        </w:tc>
        <w:tc>
          <w:tcPr>
            <w:tcW w:w="1331"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c>
          <w:tcPr>
            <w:tcW w:w="1504" w:type="dxa"/>
            <w:tcBorders>
              <w:top w:val="single" w:sz="4" w:space="0" w:color="000000"/>
              <w:left w:val="single" w:sz="4" w:space="0" w:color="000000"/>
              <w:bottom w:val="nil"/>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C"/>
            </w:r>
          </w:p>
        </w:tc>
      </w:tr>
      <w:tr w:rsidR="005D613B" w:rsidRPr="00422AD1" w:rsidTr="00501D67">
        <w:tc>
          <w:tcPr>
            <w:tcW w:w="1603" w:type="dxa"/>
            <w:vMerge/>
            <w:vAlign w:val="center"/>
          </w:tcPr>
          <w:p w:rsidR="005D613B" w:rsidRPr="00A304F0" w:rsidRDefault="005D613B" w:rsidP="00501D67">
            <w:pPr>
              <w:pStyle w:val="DIABtabletext"/>
              <w:rPr>
                <w:rFonts w:asciiTheme="majorHAnsi" w:hAnsiTheme="majorHAnsi"/>
                <w:sz w:val="22"/>
                <w:szCs w:val="22"/>
              </w:rPr>
            </w:pPr>
          </w:p>
        </w:tc>
        <w:tc>
          <w:tcPr>
            <w:tcW w:w="759" w:type="dxa"/>
            <w:tcBorders>
              <w:top w:val="nil"/>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t>PBS</w:t>
            </w:r>
          </w:p>
        </w:tc>
        <w:tc>
          <w:tcPr>
            <w:tcW w:w="1372" w:type="dxa"/>
            <w:vMerge/>
            <w:tcBorders>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72" w:type="dxa"/>
            <w:tcBorders>
              <w:top w:val="nil"/>
              <w:left w:val="single" w:sz="4" w:space="0" w:color="000000"/>
              <w:bottom w:val="single" w:sz="4" w:space="0" w:color="000000"/>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vertAlign w:val="superscript"/>
              </w:rPr>
            </w:pPr>
            <w:r w:rsidRPr="00A304F0">
              <w:rPr>
                <w:rFonts w:asciiTheme="majorHAnsi" w:hAnsiTheme="majorHAnsi"/>
                <w:sz w:val="22"/>
                <w:szCs w:val="22"/>
              </w:rPr>
              <w:sym w:font="Wingdings" w:char="F0FB"/>
            </w:r>
            <w:r w:rsidRPr="00A304F0">
              <w:rPr>
                <w:rFonts w:asciiTheme="majorHAnsi" w:hAnsiTheme="majorHAnsi"/>
                <w:sz w:val="22"/>
                <w:szCs w:val="22"/>
                <w:vertAlign w:val="superscript"/>
              </w:rPr>
              <w:t>e</w:t>
            </w:r>
          </w:p>
        </w:tc>
        <w:tc>
          <w:tcPr>
            <w:tcW w:w="1415" w:type="dxa"/>
            <w:vMerge/>
            <w:tcBorders>
              <w:left w:val="single" w:sz="4" w:space="0" w:color="000000"/>
              <w:bottom w:val="single" w:sz="4" w:space="0" w:color="000000"/>
              <w:right w:val="single" w:sz="4" w:space="0" w:color="000000"/>
            </w:tcBorders>
            <w:vAlign w:val="center"/>
          </w:tcPr>
          <w:p w:rsidR="005D613B" w:rsidRPr="00A304F0" w:rsidRDefault="005D613B" w:rsidP="00501D67">
            <w:pPr>
              <w:pStyle w:val="DIABtabletext"/>
              <w:rPr>
                <w:rFonts w:asciiTheme="majorHAnsi" w:hAnsiTheme="majorHAnsi"/>
                <w:sz w:val="22"/>
                <w:szCs w:val="22"/>
              </w:rPr>
            </w:pPr>
          </w:p>
        </w:tc>
        <w:tc>
          <w:tcPr>
            <w:tcW w:w="1331" w:type="dxa"/>
            <w:tcBorders>
              <w:top w:val="nil"/>
              <w:left w:val="single" w:sz="4" w:space="0" w:color="000000"/>
              <w:bottom w:val="single" w:sz="4" w:space="0" w:color="000000"/>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c>
          <w:tcPr>
            <w:tcW w:w="1504" w:type="dxa"/>
            <w:tcBorders>
              <w:top w:val="nil"/>
              <w:left w:val="single" w:sz="4" w:space="0" w:color="000000"/>
              <w:bottom w:val="single" w:sz="4" w:space="0" w:color="000000"/>
              <w:right w:val="single" w:sz="4" w:space="0" w:color="000000"/>
            </w:tcBorders>
            <w:shd w:val="clear" w:color="auto" w:fill="BFBFBF" w:themeFill="background1" w:themeFillShade="BF"/>
            <w:vAlign w:val="center"/>
          </w:tcPr>
          <w:p w:rsidR="005D613B" w:rsidRPr="00A304F0" w:rsidRDefault="005D613B" w:rsidP="00501D67">
            <w:pPr>
              <w:pStyle w:val="DIABtabletext"/>
              <w:rPr>
                <w:rFonts w:asciiTheme="majorHAnsi" w:hAnsiTheme="majorHAnsi"/>
                <w:sz w:val="22"/>
                <w:szCs w:val="22"/>
              </w:rPr>
            </w:pPr>
            <w:r w:rsidRPr="00A304F0">
              <w:rPr>
                <w:rFonts w:asciiTheme="majorHAnsi" w:hAnsiTheme="majorHAnsi"/>
                <w:sz w:val="22"/>
                <w:szCs w:val="22"/>
              </w:rPr>
              <w:sym w:font="Wingdings" w:char="F0FB"/>
            </w:r>
          </w:p>
        </w:tc>
      </w:tr>
    </w:tbl>
    <w:p w:rsidR="005D613B" w:rsidRPr="00B05C21" w:rsidRDefault="005D613B" w:rsidP="005D613B">
      <w:pPr>
        <w:pStyle w:val="Notes"/>
      </w:pPr>
      <w:r w:rsidRPr="00B05C21">
        <w:t xml:space="preserve">Source: Schedule of Pharmaceutical Benefits (January 2014) and Product Information documents. </w:t>
      </w:r>
    </w:p>
    <w:p w:rsidR="005D613B" w:rsidRPr="00B05C21" w:rsidRDefault="00806F98" w:rsidP="005D613B">
      <w:pPr>
        <w:pStyle w:val="Notes"/>
      </w:pPr>
      <w:r>
        <w:t>Abbreviations: LA = long acting; MET = metformin; N/A = not applicable; and SU = sulfonylurea</w:t>
      </w:r>
      <w:r w:rsidR="005D613B" w:rsidRPr="00B05C21">
        <w:t xml:space="preserve">. </w:t>
      </w:r>
    </w:p>
    <w:p w:rsidR="005D613B" w:rsidRPr="00B05C21" w:rsidRDefault="005D613B" w:rsidP="005D613B">
      <w:pPr>
        <w:pStyle w:val="Notes"/>
      </w:pPr>
      <w:r w:rsidRPr="00B05C21">
        <w:t>Note: The references to mono-, dual and triple therapy are in relation to the active ingredient(s), not products. The (</w:t>
      </w:r>
      <w:r w:rsidRPr="00B05C21">
        <w:sym w:font="Wingdings" w:char="F0FC"/>
      </w:r>
      <w:r w:rsidRPr="00B05C21">
        <w:t>) indicates that the drug has been TGA-approved or PBS listed (as appropriate) for this indication.</w:t>
      </w:r>
      <w:r w:rsidR="00806F98">
        <w:t xml:space="preserve"> Cells in grey highlight differences between the TGA-approved and PBS listed indications.</w:t>
      </w:r>
    </w:p>
    <w:p w:rsidR="005D613B" w:rsidRPr="00B05C21" w:rsidRDefault="005D613B" w:rsidP="005D613B">
      <w:pPr>
        <w:pStyle w:val="Notes"/>
      </w:pPr>
      <w:r w:rsidRPr="00B05C21">
        <w:rPr>
          <w:vertAlign w:val="superscript"/>
        </w:rPr>
        <w:t>a</w:t>
      </w:r>
      <w:r w:rsidRPr="00B05C21">
        <w:t xml:space="preserve"> TGA-approved for dual therapy in combination with insulin. However, the PBS-listing does not specify the diabetes medicines to be used in combination with insulin and appears broader.</w:t>
      </w:r>
    </w:p>
    <w:p w:rsidR="005D613B" w:rsidRPr="00B05C21" w:rsidRDefault="005D613B" w:rsidP="005D613B">
      <w:pPr>
        <w:pStyle w:val="Notes"/>
      </w:pPr>
      <w:r w:rsidRPr="00B05C21">
        <w:rPr>
          <w:vertAlign w:val="superscript"/>
        </w:rPr>
        <w:t>b</w:t>
      </w:r>
      <w:r w:rsidRPr="00B05C21">
        <w:t xml:space="preserve"> TGA-approved for dual therapy in combination with </w:t>
      </w:r>
      <w:r w:rsidR="006820B1">
        <w:t>TZDs</w:t>
      </w:r>
      <w:r w:rsidRPr="00B05C21">
        <w:t xml:space="preserve">. However, </w:t>
      </w:r>
      <w:r w:rsidR="006820B1">
        <w:t>TZDs</w:t>
      </w:r>
      <w:r w:rsidRPr="00B05C21">
        <w:t xml:space="preserve"> are not TGA-approved for use with </w:t>
      </w:r>
      <w:r w:rsidR="00C15997">
        <w:t>DPP-4 inhibitors</w:t>
      </w:r>
      <w:r w:rsidRPr="00B05C21">
        <w:t>.</w:t>
      </w:r>
    </w:p>
    <w:p w:rsidR="005D613B" w:rsidRPr="00B05C21" w:rsidRDefault="005D613B" w:rsidP="005D613B">
      <w:pPr>
        <w:pStyle w:val="Notes"/>
      </w:pPr>
      <w:r w:rsidRPr="00B05C21">
        <w:rPr>
          <w:vertAlign w:val="superscript"/>
        </w:rPr>
        <w:t>c</w:t>
      </w:r>
      <w:r w:rsidRPr="00B05C21">
        <w:t xml:space="preserve"> Pioglitazone only.</w:t>
      </w:r>
    </w:p>
    <w:p w:rsidR="005D613B" w:rsidRPr="00B05C21" w:rsidRDefault="005D613B" w:rsidP="005D613B">
      <w:pPr>
        <w:pStyle w:val="Notes"/>
      </w:pPr>
      <w:r w:rsidRPr="00B05C21">
        <w:rPr>
          <w:vertAlign w:val="superscript"/>
        </w:rPr>
        <w:t>d</w:t>
      </w:r>
      <w:r w:rsidRPr="00B05C21">
        <w:t xml:space="preserve"> The TGA-approved indication is wider, as includes use as initial combination therapy when dual metformin and saxagliptin therapy is appropriate</w:t>
      </w:r>
    </w:p>
    <w:p w:rsidR="005D613B" w:rsidRPr="00B05C21" w:rsidRDefault="005D613B" w:rsidP="005D613B">
      <w:pPr>
        <w:pStyle w:val="Notes"/>
      </w:pPr>
      <w:r w:rsidRPr="00B05C21">
        <w:rPr>
          <w:vertAlign w:val="superscript"/>
        </w:rPr>
        <w:t>e</w:t>
      </w:r>
      <w:r w:rsidRPr="00B05C21">
        <w:t xml:space="preserve"> Recommended for listing only. PBS listing not available at January 2014.</w:t>
      </w:r>
    </w:p>
    <w:p w:rsidR="005D613B" w:rsidRPr="00B05C21" w:rsidRDefault="005D613B" w:rsidP="005D613B">
      <w:pPr>
        <w:pStyle w:val="Notes"/>
      </w:pPr>
      <w:r w:rsidRPr="00B05C21">
        <w:rPr>
          <w:vertAlign w:val="superscript"/>
        </w:rPr>
        <w:t xml:space="preserve">f </w:t>
      </w:r>
      <w:r w:rsidRPr="00B05C21">
        <w:t>If metformin is not suitable (the exception is linagliptin, where both metformin and sulfonylureas are specified).</w:t>
      </w:r>
    </w:p>
    <w:p w:rsidR="005D613B" w:rsidRPr="00B05C21" w:rsidRDefault="005D613B" w:rsidP="005D613B">
      <w:pPr>
        <w:pStyle w:val="Notes"/>
      </w:pPr>
      <w:r w:rsidRPr="00B05C21">
        <w:rPr>
          <w:vertAlign w:val="superscript"/>
        </w:rPr>
        <w:t>g</w:t>
      </w:r>
      <w:r w:rsidRPr="00B05C21">
        <w:t xml:space="preserve"> Only dual therapy with metformin allowed. </w:t>
      </w:r>
    </w:p>
    <w:p w:rsidR="005D613B" w:rsidRPr="00B05C21" w:rsidRDefault="005D613B" w:rsidP="005D613B">
      <w:pPr>
        <w:pStyle w:val="Notes"/>
      </w:pPr>
      <w:r w:rsidRPr="00B05C21">
        <w:rPr>
          <w:vertAlign w:val="superscript"/>
        </w:rPr>
        <w:t>h</w:t>
      </w:r>
      <w:r w:rsidRPr="00B05C21">
        <w:t xml:space="preserve"> Not satisfactorily controlled on sulfonylureas or repaglinide alone.</w:t>
      </w:r>
    </w:p>
    <w:p w:rsidR="005D613B" w:rsidRDefault="005D613B" w:rsidP="00FD0DD7"/>
    <w:p w:rsidR="005D613B" w:rsidRDefault="005D613B" w:rsidP="005D613B">
      <w:pPr>
        <w:pStyle w:val="BodyText1"/>
      </w:pPr>
      <w:r w:rsidRPr="003A1AEC">
        <w:t>There are a number of differences between TGA-approved indications for use and PBS listings</w:t>
      </w:r>
      <w:r>
        <w:t xml:space="preserve"> for the newer diabetes medicines</w:t>
      </w:r>
      <w:r w:rsidRPr="003A1AEC">
        <w:t>. The PBS</w:t>
      </w:r>
      <w:r>
        <w:t xml:space="preserve"> </w:t>
      </w:r>
      <w:r w:rsidRPr="003A1AEC">
        <w:t>listings are influenced by the requested listings and evidence presented to the PBAC by the sponsor</w:t>
      </w:r>
      <w:r>
        <w:t>, including evidence on cost-effectiveness</w:t>
      </w:r>
      <w:r w:rsidRPr="003A1AEC">
        <w:t xml:space="preserve">. Where clinical practice guidelines are </w:t>
      </w:r>
      <w:r>
        <w:t>consistent with</w:t>
      </w:r>
      <w:r w:rsidRPr="003A1AEC">
        <w:t xml:space="preserve"> TGA-approved indications, there is the potential for </w:t>
      </w:r>
      <w:r w:rsidR="00806F98">
        <w:t xml:space="preserve">PBS </w:t>
      </w:r>
      <w:r w:rsidRPr="003A1AEC">
        <w:t>restrictions to limit access to medicines recommended in clinical guidelines.</w:t>
      </w:r>
    </w:p>
    <w:p w:rsidR="00FD0DD7" w:rsidRDefault="005D613B" w:rsidP="00FD0DD7">
      <w:r>
        <w:t>Some of the</w:t>
      </w:r>
      <w:r w:rsidR="00FD0DD7" w:rsidRPr="0006018C">
        <w:t xml:space="preserve"> </w:t>
      </w:r>
      <w:r>
        <w:t xml:space="preserve">TGA-approved </w:t>
      </w:r>
      <w:r w:rsidR="00FD0DD7" w:rsidRPr="0006018C">
        <w:t xml:space="preserve">indications </w:t>
      </w:r>
      <w:r>
        <w:t xml:space="preserve">for use of the newer diabetes medicines </w:t>
      </w:r>
      <w:r w:rsidR="00FD0DD7" w:rsidRPr="0006018C">
        <w:t>hav</w:t>
      </w:r>
      <w:r w:rsidR="00FD0DD7">
        <w:t xml:space="preserve">e been considered and rejected by the PBAC, whereas others have yet to be submitted to the PBAC. These include the lack of PBS </w:t>
      </w:r>
      <w:r w:rsidR="00FD0DD7" w:rsidRPr="0006018C">
        <w:t>sub</w:t>
      </w:r>
      <w:r w:rsidR="00FD0DD7">
        <w:t>sidy for the TGA indications of:</w:t>
      </w:r>
    </w:p>
    <w:p w:rsidR="00FD0DD7" w:rsidRDefault="00FD0DD7" w:rsidP="007156EB">
      <w:pPr>
        <w:pStyle w:val="ListParagraph"/>
        <w:numPr>
          <w:ilvl w:val="0"/>
          <w:numId w:val="35"/>
        </w:numPr>
      </w:pPr>
      <w:r w:rsidRPr="0006018C">
        <w:t>monotherapy wit</w:t>
      </w:r>
      <w:r>
        <w:t>h the newer diabetes medicines</w:t>
      </w:r>
    </w:p>
    <w:p w:rsidR="00FD0DD7" w:rsidRDefault="006820B1" w:rsidP="007156EB">
      <w:pPr>
        <w:pStyle w:val="ListParagraph"/>
        <w:numPr>
          <w:ilvl w:val="0"/>
          <w:numId w:val="35"/>
        </w:numPr>
      </w:pPr>
      <w:r>
        <w:t xml:space="preserve">TZD + </w:t>
      </w:r>
      <w:r w:rsidR="002772EC">
        <w:t>DPP-4 inhibitor</w:t>
      </w:r>
      <w:r w:rsidR="00FD0DD7">
        <w:t xml:space="preserve"> combinations</w:t>
      </w:r>
    </w:p>
    <w:p w:rsidR="00FD0DD7" w:rsidRDefault="006820B1" w:rsidP="007156EB">
      <w:pPr>
        <w:pStyle w:val="ListParagraph"/>
        <w:numPr>
          <w:ilvl w:val="0"/>
          <w:numId w:val="35"/>
        </w:numPr>
      </w:pPr>
      <w:r>
        <w:t xml:space="preserve">TZD + </w:t>
      </w:r>
      <w:r w:rsidR="00434A11">
        <w:t>SGLT2 inhibitor</w:t>
      </w:r>
      <w:r w:rsidR="00FD0DD7">
        <w:t xml:space="preserve"> combinations</w:t>
      </w:r>
    </w:p>
    <w:p w:rsidR="00FD0DD7" w:rsidRDefault="00806F98" w:rsidP="007156EB">
      <w:pPr>
        <w:pStyle w:val="ListParagraph"/>
        <w:numPr>
          <w:ilvl w:val="0"/>
          <w:numId w:val="35"/>
        </w:numPr>
      </w:pPr>
      <w:r w:rsidRPr="0006018C">
        <w:t>trip</w:t>
      </w:r>
      <w:r>
        <w:t xml:space="preserve">le therapy with metformin + sulfonylurea + </w:t>
      </w:r>
      <w:r w:rsidR="002772EC">
        <w:t>DPP-4 inhibitor</w:t>
      </w:r>
      <w:r>
        <w:t>/</w:t>
      </w:r>
      <w:r w:rsidR="00434A11">
        <w:t>SGLT2 inhibitor</w:t>
      </w:r>
      <w:r w:rsidR="00FD0DD7">
        <w:t xml:space="preserve"> </w:t>
      </w:r>
    </w:p>
    <w:p w:rsidR="00E4249D" w:rsidRDefault="00FD0DD7" w:rsidP="007156EB">
      <w:pPr>
        <w:pStyle w:val="ListParagraph"/>
        <w:numPr>
          <w:ilvl w:val="0"/>
          <w:numId w:val="35"/>
        </w:numPr>
      </w:pPr>
      <w:r w:rsidRPr="0006018C">
        <w:lastRenderedPageBreak/>
        <w:t>insulin</w:t>
      </w:r>
      <w:r w:rsidR="00806F98">
        <w:t xml:space="preserve"> + DPP-4 inhibitor/</w:t>
      </w:r>
      <w:r w:rsidR="00434A11">
        <w:t>SGLT2 inhibitor</w:t>
      </w:r>
      <w:r w:rsidR="00806F98">
        <w:t>/</w:t>
      </w:r>
      <w:r>
        <w:t xml:space="preserve">GLP-1 </w:t>
      </w:r>
      <w:r w:rsidR="00806F98">
        <w:t>receptor agonist combinations</w:t>
      </w:r>
    </w:p>
    <w:p w:rsidR="00FD0DD7" w:rsidRDefault="00E4249D" w:rsidP="007156EB">
      <w:pPr>
        <w:pStyle w:val="ListParagraph"/>
        <w:numPr>
          <w:ilvl w:val="0"/>
          <w:numId w:val="35"/>
        </w:numPr>
      </w:pPr>
      <w:r w:rsidRPr="0006018C">
        <w:t xml:space="preserve">initial use of </w:t>
      </w:r>
      <w:r w:rsidR="00806F98">
        <w:t xml:space="preserve">metformin + </w:t>
      </w:r>
      <w:r w:rsidR="002772EC">
        <w:t>DPP-4 inhibitor</w:t>
      </w:r>
      <w:r w:rsidR="00806F98">
        <w:t>/</w:t>
      </w:r>
      <w:r w:rsidR="00434A11">
        <w:t>SGLT2 inhibitor</w:t>
      </w:r>
      <w:r w:rsidR="00FD0DD7">
        <w:t xml:space="preserve">. </w:t>
      </w:r>
    </w:p>
    <w:p w:rsidR="00FB496A" w:rsidRDefault="00FB496A" w:rsidP="00FB496A">
      <w:pPr>
        <w:pStyle w:val="BodyText1"/>
      </w:pPr>
      <w:r>
        <w:t xml:space="preserve">While the PBS listings are generally more restrictive, the PBS listing for pioglitazone appears broader than the TGA indication. The current PBS listing allows use in any combination with insulin, while the TGA indication specifies dual therapy with pioglitazone and insulin only. Similarly, acarbose has an unrestricted listing on the PBS, while the TGA-indication specifies only use alone or with other oral agents. In addition, TZDs, an oral agent, are neither TGA-approved nor PBS-listed for use in combination with acarbose. </w:t>
      </w:r>
    </w:p>
    <w:p w:rsidR="00520162" w:rsidRDefault="00520162" w:rsidP="00FB496A"/>
    <w:p w:rsidR="006B3BE4" w:rsidRPr="00496C6E" w:rsidRDefault="00496C6E" w:rsidP="00496C6E">
      <w:pPr>
        <w:pStyle w:val="Heading3"/>
      </w:pPr>
      <w:r w:rsidRPr="00496C6E">
        <w:t xml:space="preserve">5.4.2 </w:t>
      </w:r>
      <w:r>
        <w:t xml:space="preserve"> </w:t>
      </w:r>
      <w:r w:rsidR="006B3BE4" w:rsidRPr="00496C6E">
        <w:t>Included submissions</w:t>
      </w:r>
      <w:r w:rsidR="0037187C" w:rsidRPr="00496C6E">
        <w:t xml:space="preserve"> and comparators</w:t>
      </w:r>
    </w:p>
    <w:p w:rsidR="006B3BE4" w:rsidRDefault="006B3BE4" w:rsidP="006B3BE4">
      <w:r>
        <w:t xml:space="preserve">The clinical trial evidence was consolidated from a total of </w:t>
      </w:r>
      <w:r w:rsidRPr="0006018C">
        <w:t>47 submissions for newer</w:t>
      </w:r>
      <w:r>
        <w:t xml:space="preserve"> diabetes medicines considered by the PBAC. Some of the submissions requested multiple listings, nominated more than one co</w:t>
      </w:r>
      <w:r w:rsidRPr="0006018C">
        <w:t>mparator and/or presented various comparisons. Twenty-six (55%) of the included submissions received positive recommendations, 17 (36%) submissions were rejected and four (9%) submissions were deferred by the PBAC.</w:t>
      </w:r>
    </w:p>
    <w:p w:rsidR="0037187C" w:rsidRDefault="0037187C" w:rsidP="0037187C">
      <w:r>
        <w:t xml:space="preserve">Superiority claims in terms of comparative efficacy were made in 14 submissions. No submission has received a positive recommendation on the basis of a clinical claim of superiority. Non-inferiority or equivalence claims were made in 24 submissions (some submissions made both superiority and non-inferiority/equivalence claims) and there were 12 </w:t>
      </w:r>
      <w:r w:rsidR="003776A5">
        <w:t xml:space="preserve">FDC </w:t>
      </w:r>
      <w:r>
        <w:t>submissions with bioequivalence data.</w:t>
      </w:r>
    </w:p>
    <w:p w:rsidR="0037187C" w:rsidRDefault="0037187C" w:rsidP="0037187C">
      <w:r>
        <w:t xml:space="preserve">The newer diabetes medicines have been positioned after the use of metformin and/or a sulfonylurea based on a series of non-inferiority comparisons originating from insulin: </w:t>
      </w:r>
    </w:p>
    <w:p w:rsidR="0037187C" w:rsidRDefault="006820B1" w:rsidP="007156EB">
      <w:pPr>
        <w:pStyle w:val="ListParagraph"/>
        <w:numPr>
          <w:ilvl w:val="0"/>
          <w:numId w:val="36"/>
        </w:numPr>
      </w:pPr>
      <w:r>
        <w:t>TZDs</w:t>
      </w:r>
      <w:r w:rsidR="0037187C">
        <w:t xml:space="preserve"> were listed for dual therapy, triple therapy and combination with insulin based on comparisons against insulin (or comparisons against another </w:t>
      </w:r>
      <w:r>
        <w:t>TZD</w:t>
      </w:r>
      <w:r w:rsidR="0037187C">
        <w:t xml:space="preserve"> alr</w:t>
      </w:r>
      <w:r w:rsidR="00496C6E">
        <w:t>eady listed for the indication).</w:t>
      </w:r>
    </w:p>
    <w:p w:rsidR="0037187C" w:rsidRDefault="0037187C" w:rsidP="007156EB">
      <w:pPr>
        <w:pStyle w:val="ListParagraph"/>
        <w:numPr>
          <w:ilvl w:val="0"/>
          <w:numId w:val="36"/>
        </w:numPr>
      </w:pPr>
      <w:r>
        <w:t xml:space="preserve">The first </w:t>
      </w:r>
      <w:r w:rsidR="002772EC">
        <w:t>DPP-4 inhibitor</w:t>
      </w:r>
      <w:r>
        <w:t xml:space="preserve"> was listed for dual therapy based on comparisons against the </w:t>
      </w:r>
      <w:r w:rsidR="006820B1">
        <w:t>TZDs</w:t>
      </w:r>
      <w:r>
        <w:t xml:space="preserve">. Subsequent </w:t>
      </w:r>
      <w:r w:rsidR="00C15997">
        <w:t>DPP-4 inhibitors</w:t>
      </w:r>
      <w:r>
        <w:t xml:space="preserve"> were listed based on comparisons with the first </w:t>
      </w:r>
      <w:r w:rsidR="002772EC">
        <w:t>DPP-4 inhibitor</w:t>
      </w:r>
      <w:r>
        <w:t xml:space="preserve">. </w:t>
      </w:r>
      <w:r w:rsidR="00C15997">
        <w:t>DPP-4 inhibitors</w:t>
      </w:r>
      <w:r>
        <w:t xml:space="preserve"> have failed to demonstrate non-inferiority to </w:t>
      </w:r>
      <w:r w:rsidR="006820B1">
        <w:t>TZDs</w:t>
      </w:r>
      <w:r>
        <w:t xml:space="preserve"> for the triple therapy and co</w:t>
      </w:r>
      <w:r w:rsidR="00496C6E">
        <w:t>mbination with insulin listings.</w:t>
      </w:r>
      <w:r>
        <w:t xml:space="preserve"> </w:t>
      </w:r>
    </w:p>
    <w:p w:rsidR="0037187C" w:rsidRDefault="00434A11" w:rsidP="007156EB">
      <w:pPr>
        <w:pStyle w:val="ListParagraph"/>
        <w:numPr>
          <w:ilvl w:val="0"/>
          <w:numId w:val="36"/>
        </w:numPr>
      </w:pPr>
      <w:r>
        <w:t>SGLT2 inhibitor</w:t>
      </w:r>
      <w:r w:rsidR="0037187C">
        <w:t xml:space="preserve">s were listed for dual therapy based on comparisons against the first </w:t>
      </w:r>
      <w:r w:rsidR="002772EC">
        <w:t>DPP-4 inhibitor</w:t>
      </w:r>
      <w:r w:rsidR="0037187C">
        <w:t xml:space="preserve">. There has been no submission for use in triple therapy. </w:t>
      </w:r>
      <w:r>
        <w:t>SGLT2 inhibitor</w:t>
      </w:r>
      <w:r w:rsidR="0037187C">
        <w:t xml:space="preserve">s have failed to demonstrate non-inferiority to the </w:t>
      </w:r>
      <w:r w:rsidR="006820B1">
        <w:t>TZDs</w:t>
      </w:r>
      <w:r w:rsidR="0037187C">
        <w:t xml:space="preserve"> for use </w:t>
      </w:r>
      <w:r w:rsidR="00496C6E">
        <w:t>in combination with insulin.</w:t>
      </w:r>
      <w:r w:rsidR="0037187C">
        <w:t xml:space="preserve"> </w:t>
      </w:r>
    </w:p>
    <w:p w:rsidR="0037187C" w:rsidRDefault="0037187C" w:rsidP="007156EB">
      <w:pPr>
        <w:pStyle w:val="ListParagraph"/>
        <w:numPr>
          <w:ilvl w:val="0"/>
          <w:numId w:val="36"/>
        </w:numPr>
      </w:pPr>
      <w:r>
        <w:t>The first GLP-1 analogue was listed for dual therapy and triple therapy based on comparisons with insulin glargine/</w:t>
      </w:r>
      <w:r w:rsidR="006820B1">
        <w:t>TZDs</w:t>
      </w:r>
      <w:r>
        <w:t>. The subsequent GLP-1 analogues were recommended for listing based on comparisons with the first GLP-1 analogue. There has been no submission for use in combination with insulin.</w:t>
      </w:r>
    </w:p>
    <w:p w:rsidR="00520162" w:rsidRDefault="00520162" w:rsidP="00520162"/>
    <w:p w:rsidR="006B3BE4" w:rsidRPr="006B3BE4" w:rsidRDefault="00496C6E" w:rsidP="006B3BE4">
      <w:pPr>
        <w:pStyle w:val="Heading3"/>
      </w:pPr>
      <w:r>
        <w:t xml:space="preserve">5.4.3  </w:t>
      </w:r>
      <w:r w:rsidR="006B3BE4">
        <w:t>Clinical trial evidence</w:t>
      </w:r>
    </w:p>
    <w:p w:rsidR="0037187C" w:rsidRDefault="0037187C" w:rsidP="0037187C">
      <w:r w:rsidRPr="0006018C">
        <w:t xml:space="preserve">A total of 177 clinical studies/systematic reviews assessing </w:t>
      </w:r>
      <w:r w:rsidR="00496C6E">
        <w:t xml:space="preserve">the newer type 2 diabetes medicines </w:t>
      </w:r>
      <w:r w:rsidRPr="0006018C">
        <w:t xml:space="preserve">or the nominated comparators, were identified from </w:t>
      </w:r>
      <w:r w:rsidR="00496C6E">
        <w:t xml:space="preserve">the </w:t>
      </w:r>
      <w:r w:rsidRPr="0006018C">
        <w:t>47 submissions. Seventeen submissions (36%) presented some direct head-to-head evidence against the main comparator. Other submissions relied on either formal indirect comparisons (14 submissions; 30%) or informal indirect</w:t>
      </w:r>
      <w:r w:rsidR="00243DC4">
        <w:t xml:space="preserve"> comparison of treatments (3</w:t>
      </w:r>
      <w:r w:rsidRPr="0006018C">
        <w:t xml:space="preserve"> submissions; 6%). Twelve submissions (26%) for </w:t>
      </w:r>
      <w:r w:rsidR="003776A5">
        <w:t>FDC</w:t>
      </w:r>
      <w:r w:rsidRPr="0006018C">
        <w:t>s presented bioequivalence and some clinical data. One submission (</w:t>
      </w:r>
      <w:r>
        <w:t>2</w:t>
      </w:r>
      <w:r w:rsidRPr="0006018C">
        <w:t>%) did not present clinical data versus the comparator.</w:t>
      </w:r>
      <w:r>
        <w:t xml:space="preserve"> </w:t>
      </w:r>
    </w:p>
    <w:p w:rsidR="00243DC4" w:rsidRDefault="0037187C" w:rsidP="0037187C">
      <w:r>
        <w:t>Given the large volume of clinical evidence, this review organised the clinical trial evidence presented in the submissions based on the categories of</w:t>
      </w:r>
      <w:r w:rsidR="00243DC4">
        <w:t>:</w:t>
      </w:r>
    </w:p>
    <w:p w:rsidR="00243DC4" w:rsidRDefault="00243DC4" w:rsidP="007156EB">
      <w:pPr>
        <w:pStyle w:val="ListParagraph"/>
        <w:numPr>
          <w:ilvl w:val="0"/>
          <w:numId w:val="37"/>
        </w:numPr>
      </w:pPr>
      <w:r>
        <w:t>monotherapy</w:t>
      </w:r>
    </w:p>
    <w:p w:rsidR="00243DC4" w:rsidRDefault="0037187C" w:rsidP="007156EB">
      <w:pPr>
        <w:pStyle w:val="ListParagraph"/>
        <w:numPr>
          <w:ilvl w:val="0"/>
          <w:numId w:val="37"/>
        </w:numPr>
      </w:pPr>
      <w:r>
        <w:t>dual combination therapy wi</w:t>
      </w:r>
      <w:r w:rsidR="00243DC4">
        <w:t>th metformin or a sulfonylurea</w:t>
      </w:r>
    </w:p>
    <w:p w:rsidR="00243DC4" w:rsidRDefault="0037187C" w:rsidP="007156EB">
      <w:pPr>
        <w:pStyle w:val="ListParagraph"/>
        <w:numPr>
          <w:ilvl w:val="0"/>
          <w:numId w:val="37"/>
        </w:numPr>
      </w:pPr>
      <w:r>
        <w:t>triple combination therapy wit</w:t>
      </w:r>
      <w:r w:rsidR="00243DC4">
        <w:t>h metformin and a sulfonylurea</w:t>
      </w:r>
    </w:p>
    <w:p w:rsidR="00243DC4" w:rsidRDefault="00243DC4" w:rsidP="007156EB">
      <w:pPr>
        <w:pStyle w:val="ListParagraph"/>
        <w:numPr>
          <w:ilvl w:val="0"/>
          <w:numId w:val="37"/>
        </w:numPr>
      </w:pPr>
      <w:r>
        <w:t xml:space="preserve">combination with insulin </w:t>
      </w:r>
    </w:p>
    <w:p w:rsidR="0037187C" w:rsidRDefault="003776A5" w:rsidP="007156EB">
      <w:pPr>
        <w:pStyle w:val="ListParagraph"/>
        <w:numPr>
          <w:ilvl w:val="0"/>
          <w:numId w:val="37"/>
        </w:numPr>
      </w:pPr>
      <w:r>
        <w:t>FDC</w:t>
      </w:r>
      <w:r w:rsidR="0037187C">
        <w:t>s.</w:t>
      </w:r>
    </w:p>
    <w:p w:rsidR="00243DC4" w:rsidRDefault="00243DC4" w:rsidP="00243DC4">
      <w:pPr>
        <w:pStyle w:val="Heading5"/>
        <w:keepNext/>
        <w:keepLines/>
      </w:pPr>
      <w:r>
        <w:t>Monotherapy</w:t>
      </w:r>
    </w:p>
    <w:p w:rsidR="00243DC4" w:rsidRDefault="00243DC4" w:rsidP="00243DC4">
      <w:pPr>
        <w:keepNext/>
        <w:keepLines/>
        <w:rPr>
          <w:lang w:eastAsia="en-AU"/>
        </w:rPr>
      </w:pPr>
      <w:r>
        <w:t xml:space="preserve">None of the newer diabetes medicines has been recommended for use as monotherapy. </w:t>
      </w:r>
      <w:r w:rsidRPr="003A1AEC">
        <w:t xml:space="preserve">The PBAC considered </w:t>
      </w:r>
      <w:r>
        <w:t xml:space="preserve">a request to list </w:t>
      </w:r>
      <w:r w:rsidRPr="003A1AEC">
        <w:t xml:space="preserve">rosiglitazone for use as monotherapy </w:t>
      </w:r>
      <w:r>
        <w:t>in November 2007.</w:t>
      </w:r>
      <w:r w:rsidRPr="00243DC4">
        <w:rPr>
          <w:lang w:eastAsia="en-AU"/>
        </w:rPr>
        <w:t xml:space="preserve"> </w:t>
      </w:r>
      <w:r>
        <w:rPr>
          <w:lang w:eastAsia="en-AU"/>
        </w:rPr>
        <w:t>Sulfonylureas were nominated as the comparator and a direct comparison of rosiglitazone and a sulfonylurea was presented. The PBAC rejected the submission on the basis of considerable concerns about safety, uncertain clinical benefit and uncertain cost-effectiveness.</w:t>
      </w:r>
    </w:p>
    <w:p w:rsidR="00243DC4" w:rsidRDefault="00243DC4" w:rsidP="00243DC4">
      <w:pPr>
        <w:pStyle w:val="Heading5"/>
        <w:rPr>
          <w:lang w:eastAsia="en-AU"/>
        </w:rPr>
      </w:pPr>
      <w:r>
        <w:rPr>
          <w:lang w:eastAsia="en-AU"/>
        </w:rPr>
        <w:t>Dual therapy with metformin or a sulfonylurea</w:t>
      </w:r>
    </w:p>
    <w:p w:rsidR="00323CC5" w:rsidRDefault="00131616" w:rsidP="00131616">
      <w:pPr>
        <w:rPr>
          <w:lang w:eastAsia="en-AU"/>
        </w:rPr>
      </w:pPr>
      <w:r>
        <w:t xml:space="preserve">A history of the </w:t>
      </w:r>
      <w:r>
        <w:rPr>
          <w:lang w:eastAsia="en-AU"/>
        </w:rPr>
        <w:t>submissions for</w:t>
      </w:r>
      <w:r w:rsidRPr="003A1AEC">
        <w:rPr>
          <w:lang w:eastAsia="en-AU"/>
        </w:rPr>
        <w:t xml:space="preserve"> dual therapy with either metformin or a sulfonylurea </w:t>
      </w:r>
      <w:r>
        <w:rPr>
          <w:lang w:eastAsia="en-AU"/>
        </w:rPr>
        <w:t>that have been</w:t>
      </w:r>
      <w:r w:rsidRPr="003A1AEC">
        <w:rPr>
          <w:lang w:eastAsia="en-AU"/>
        </w:rPr>
        <w:t xml:space="preserve"> recommended by the PBAC are</w:t>
      </w:r>
      <w:r>
        <w:rPr>
          <w:lang w:eastAsia="en-AU"/>
        </w:rPr>
        <w:t xml:space="preserve"> shown in Table 5.3.</w:t>
      </w:r>
    </w:p>
    <w:p w:rsidR="002F2FBF" w:rsidRDefault="002F2FBF" w:rsidP="00131616">
      <w:pPr>
        <w:rPr>
          <w:lang w:eastAsia="en-AU"/>
        </w:rPr>
      </w:pPr>
      <w:r>
        <w:t>The sponsors for two of the newer diabetes medicines (rosiglitazone, sitagliptin) have provided cost-effectiveness analyses for second-line treatment as an alternative to sulfonylureas. However, both submissions failed to demonstrate superiority compared to sulfonylureas.</w:t>
      </w:r>
    </w:p>
    <w:p w:rsidR="00B11D2E" w:rsidRDefault="00B11D2E" w:rsidP="00520162">
      <w:pPr>
        <w:pStyle w:val="Heading5"/>
        <w:keepNext/>
        <w:keepLines/>
        <w:rPr>
          <w:lang w:eastAsia="en-AU"/>
        </w:rPr>
      </w:pPr>
      <w:r>
        <w:rPr>
          <w:lang w:eastAsia="en-AU"/>
        </w:rPr>
        <w:lastRenderedPageBreak/>
        <w:t>Triple therapy with metformin and a sulfonylurea</w:t>
      </w:r>
    </w:p>
    <w:p w:rsidR="009E3CAC" w:rsidRDefault="00B11D2E" w:rsidP="00520162">
      <w:pPr>
        <w:keepNext/>
        <w:keepLines/>
      </w:pPr>
      <w:r w:rsidRPr="00B05C21">
        <w:t>Pioglitazone and exenatide are the only newer diabetes medicines currently listed for tri</w:t>
      </w:r>
      <w:r w:rsidR="009E3CAC">
        <w:t>ple therapy with metformin +</w:t>
      </w:r>
      <w:r w:rsidRPr="00B05C21">
        <w:t xml:space="preserve"> sulfonylurea, while exenatide LA and liraglutide have been recommended, but are not yet listed on the PBS. </w:t>
      </w:r>
      <w:r w:rsidR="009E3CAC">
        <w:t xml:space="preserve">A history of the </w:t>
      </w:r>
      <w:r w:rsidR="009E3CAC">
        <w:rPr>
          <w:lang w:eastAsia="en-AU"/>
        </w:rPr>
        <w:t>submissions for</w:t>
      </w:r>
      <w:r w:rsidR="009E3CAC" w:rsidRPr="003A1AEC">
        <w:rPr>
          <w:lang w:eastAsia="en-AU"/>
        </w:rPr>
        <w:t xml:space="preserve"> </w:t>
      </w:r>
      <w:r w:rsidR="009E3CAC">
        <w:rPr>
          <w:lang w:eastAsia="en-AU"/>
        </w:rPr>
        <w:t xml:space="preserve">triple </w:t>
      </w:r>
      <w:r w:rsidR="009E3CAC" w:rsidRPr="003A1AEC">
        <w:rPr>
          <w:lang w:eastAsia="en-AU"/>
        </w:rPr>
        <w:t xml:space="preserve">therapy with </w:t>
      </w:r>
      <w:r w:rsidR="009E3CAC">
        <w:rPr>
          <w:lang w:eastAsia="en-AU"/>
        </w:rPr>
        <w:t>metformin +</w:t>
      </w:r>
      <w:r w:rsidR="009E3CAC" w:rsidRPr="003A1AEC">
        <w:rPr>
          <w:lang w:eastAsia="en-AU"/>
        </w:rPr>
        <w:t xml:space="preserve"> sulfonylurea </w:t>
      </w:r>
      <w:r w:rsidR="009E3CAC">
        <w:rPr>
          <w:lang w:eastAsia="en-AU"/>
        </w:rPr>
        <w:t>that have been</w:t>
      </w:r>
      <w:r w:rsidR="009E3CAC" w:rsidRPr="003A1AEC">
        <w:rPr>
          <w:lang w:eastAsia="en-AU"/>
        </w:rPr>
        <w:t xml:space="preserve"> recommended by the PBAC are</w:t>
      </w:r>
      <w:r w:rsidR="009E3CAC">
        <w:rPr>
          <w:lang w:eastAsia="en-AU"/>
        </w:rPr>
        <w:t xml:space="preserve"> shown in Table 5.4.</w:t>
      </w:r>
    </w:p>
    <w:p w:rsidR="00425509" w:rsidRDefault="00425509" w:rsidP="00425509">
      <w:pPr>
        <w:rPr>
          <w:lang w:eastAsia="en-AU"/>
        </w:rPr>
      </w:pPr>
      <w:r>
        <w:rPr>
          <w:lang w:eastAsia="en-AU"/>
        </w:rPr>
        <w:t>Linagliptin was considered for triple therapy in July 2012. Pioglitazone was accepted as the appropriate comparator, as it was the only product listed at the time for triple oral therapy. The submission was based on an indirect comparison. T</w:t>
      </w:r>
      <w:r w:rsidRPr="00A53C22">
        <w:rPr>
          <w:lang w:eastAsia="en-AU"/>
        </w:rPr>
        <w:t>he PBAC rejected the submission on the basis of uncertain comparative clinical effectiveness and considerable economic uncertainty.</w:t>
      </w:r>
    </w:p>
    <w:p w:rsidR="00425509" w:rsidRDefault="00425509" w:rsidP="00425509">
      <w:pPr>
        <w:rPr>
          <w:lang w:eastAsia="en-AU"/>
        </w:rPr>
      </w:pPr>
      <w:r>
        <w:rPr>
          <w:lang w:eastAsia="en-AU"/>
        </w:rPr>
        <w:t xml:space="preserve">Vildagliptin was considered for triple therapy at the July 2013 meeting. </w:t>
      </w:r>
      <w:r>
        <w:t xml:space="preserve">The PBAC rejected the submission </w:t>
      </w:r>
      <w:r w:rsidRPr="00D10FCD">
        <w:t>due to the inappropriate comparator.</w:t>
      </w:r>
      <w:r>
        <w:t xml:space="preserve"> T</w:t>
      </w:r>
      <w:r w:rsidRPr="00B90FE8">
        <w:t>he PBAC considered that an appropriate comparator would need to be a mixed comparator of sulfonylurea, acarbose, insulin and exenatide.</w:t>
      </w:r>
      <w:r>
        <w:t xml:space="preserve"> In addition, the PBAC considered that the evidence did not support the submission’s claim for equivalence in efficacy and safety to pioglitazone, linagliptin and exenatide. </w:t>
      </w:r>
    </w:p>
    <w:p w:rsidR="00400E16" w:rsidRPr="00400E16" w:rsidRDefault="00400E16" w:rsidP="00400E16">
      <w:pPr>
        <w:pStyle w:val="Heading5"/>
        <w:sectPr w:rsidR="00400E16" w:rsidRPr="00400E16" w:rsidSect="00CA37C0">
          <w:headerReference w:type="default" r:id="rId25"/>
          <w:footerReference w:type="default" r:id="rId26"/>
          <w:pgSz w:w="11906" w:h="16838"/>
          <w:pgMar w:top="1440" w:right="1440" w:bottom="1440" w:left="1440" w:header="708" w:footer="708" w:gutter="0"/>
          <w:cols w:space="708"/>
          <w:titlePg/>
          <w:docGrid w:linePitch="360"/>
        </w:sectPr>
      </w:pPr>
    </w:p>
    <w:p w:rsidR="000C442B" w:rsidRDefault="000C442B" w:rsidP="00131616">
      <w:pPr>
        <w:rPr>
          <w:lang w:eastAsia="en-AU"/>
        </w:rPr>
      </w:pPr>
    </w:p>
    <w:p w:rsidR="00131616" w:rsidRPr="00B068DE" w:rsidRDefault="00B068DE" w:rsidP="000C442B">
      <w:pPr>
        <w:ind w:left="-567" w:right="-501"/>
        <w:rPr>
          <w:b/>
          <w:lang w:eastAsia="en-AU"/>
        </w:rPr>
      </w:pPr>
      <w:r w:rsidRPr="00B068DE">
        <w:rPr>
          <w:b/>
          <w:lang w:eastAsia="en-AU"/>
        </w:rPr>
        <w:t>Table 5.3. History of PBAC recommended subm</w:t>
      </w:r>
      <w:r w:rsidR="00565210">
        <w:rPr>
          <w:b/>
          <w:lang w:eastAsia="en-AU"/>
        </w:rPr>
        <w:t>i</w:t>
      </w:r>
      <w:r w:rsidRPr="00B068DE">
        <w:rPr>
          <w:b/>
          <w:lang w:eastAsia="en-AU"/>
        </w:rPr>
        <w:t>ssions for dual therapy use of newer diabetes medicines with metformin or a sulfonylurea.</w:t>
      </w:r>
    </w:p>
    <w:tbl>
      <w:tblPr>
        <w:tblStyle w:val="TableGrid"/>
        <w:tblW w:w="15168" w:type="dxa"/>
        <w:tblInd w:w="-601" w:type="dxa"/>
        <w:tblLayout w:type="fixed"/>
        <w:tblLook w:val="04A0" w:firstRow="1" w:lastRow="0" w:firstColumn="1" w:lastColumn="0" w:noHBand="0" w:noVBand="1"/>
      </w:tblPr>
      <w:tblGrid>
        <w:gridCol w:w="1587"/>
        <w:gridCol w:w="1390"/>
        <w:gridCol w:w="1701"/>
        <w:gridCol w:w="1276"/>
        <w:gridCol w:w="9214"/>
      </w:tblGrid>
      <w:tr w:rsidR="009E3CAC" w:rsidTr="009E3CAC">
        <w:tc>
          <w:tcPr>
            <w:tcW w:w="1587" w:type="dxa"/>
            <w:shd w:val="clear" w:color="auto" w:fill="D9D9D9" w:themeFill="background1" w:themeFillShade="D9"/>
            <w:vAlign w:val="center"/>
          </w:tcPr>
          <w:p w:rsidR="000C442B" w:rsidRPr="00131616" w:rsidRDefault="000C442B" w:rsidP="00501D67">
            <w:pPr>
              <w:spacing w:before="60" w:after="60"/>
              <w:rPr>
                <w:b/>
                <w:sz w:val="22"/>
                <w:szCs w:val="22"/>
                <w:lang w:eastAsia="en-AU"/>
              </w:rPr>
            </w:pPr>
            <w:r w:rsidRPr="00131616">
              <w:rPr>
                <w:b/>
                <w:sz w:val="22"/>
                <w:szCs w:val="22"/>
                <w:lang w:eastAsia="en-AU"/>
              </w:rPr>
              <w:t>Medicine</w:t>
            </w:r>
          </w:p>
        </w:tc>
        <w:tc>
          <w:tcPr>
            <w:tcW w:w="1390" w:type="dxa"/>
            <w:shd w:val="clear" w:color="auto" w:fill="D9D9D9" w:themeFill="background1" w:themeFillShade="D9"/>
            <w:vAlign w:val="center"/>
          </w:tcPr>
          <w:p w:rsidR="000C442B" w:rsidRPr="00131616" w:rsidRDefault="009E3CAC" w:rsidP="009E3CAC">
            <w:pPr>
              <w:spacing w:before="60" w:after="60"/>
              <w:rPr>
                <w:b/>
                <w:sz w:val="22"/>
                <w:szCs w:val="22"/>
                <w:lang w:eastAsia="en-AU"/>
              </w:rPr>
            </w:pPr>
            <w:r>
              <w:rPr>
                <w:b/>
                <w:sz w:val="22"/>
                <w:szCs w:val="22"/>
                <w:lang w:eastAsia="en-AU"/>
              </w:rPr>
              <w:t>Meeting</w:t>
            </w:r>
          </w:p>
        </w:tc>
        <w:tc>
          <w:tcPr>
            <w:tcW w:w="1701" w:type="dxa"/>
            <w:shd w:val="clear" w:color="auto" w:fill="D9D9D9" w:themeFill="background1" w:themeFillShade="D9"/>
            <w:vAlign w:val="center"/>
          </w:tcPr>
          <w:p w:rsidR="000C442B" w:rsidRDefault="000C442B" w:rsidP="00501D67">
            <w:pPr>
              <w:spacing w:before="60" w:after="60"/>
              <w:rPr>
                <w:b/>
                <w:sz w:val="22"/>
                <w:szCs w:val="22"/>
                <w:lang w:eastAsia="en-AU"/>
              </w:rPr>
            </w:pPr>
            <w:r w:rsidRPr="00131616">
              <w:rPr>
                <w:b/>
                <w:sz w:val="22"/>
                <w:szCs w:val="22"/>
                <w:lang w:eastAsia="en-AU"/>
              </w:rPr>
              <w:t>Comparator</w:t>
            </w:r>
          </w:p>
          <w:p w:rsidR="000C442B" w:rsidRPr="00131616" w:rsidRDefault="000C442B" w:rsidP="00501D67">
            <w:pPr>
              <w:spacing w:before="60" w:after="60"/>
              <w:rPr>
                <w:b/>
                <w:sz w:val="22"/>
                <w:szCs w:val="22"/>
                <w:lang w:eastAsia="en-AU"/>
              </w:rPr>
            </w:pPr>
            <w:r>
              <w:rPr>
                <w:b/>
                <w:sz w:val="22"/>
                <w:szCs w:val="22"/>
                <w:lang w:eastAsia="en-AU"/>
              </w:rPr>
              <w:t>(Secondary)</w:t>
            </w:r>
          </w:p>
        </w:tc>
        <w:tc>
          <w:tcPr>
            <w:tcW w:w="1276" w:type="dxa"/>
            <w:shd w:val="clear" w:color="auto" w:fill="D9D9D9" w:themeFill="background1" w:themeFillShade="D9"/>
            <w:vAlign w:val="center"/>
          </w:tcPr>
          <w:p w:rsidR="000C442B" w:rsidRPr="00131616" w:rsidRDefault="000C442B" w:rsidP="00501D67">
            <w:pPr>
              <w:spacing w:before="60" w:after="60"/>
              <w:rPr>
                <w:b/>
                <w:sz w:val="22"/>
                <w:szCs w:val="22"/>
                <w:lang w:eastAsia="en-AU"/>
              </w:rPr>
            </w:pPr>
            <w:r>
              <w:rPr>
                <w:b/>
                <w:sz w:val="22"/>
                <w:szCs w:val="22"/>
                <w:lang w:eastAsia="en-AU"/>
              </w:rPr>
              <w:t>CMA/CEA</w:t>
            </w:r>
          </w:p>
        </w:tc>
        <w:tc>
          <w:tcPr>
            <w:tcW w:w="9214" w:type="dxa"/>
            <w:shd w:val="clear" w:color="auto" w:fill="D9D9D9" w:themeFill="background1" w:themeFillShade="D9"/>
            <w:vAlign w:val="center"/>
          </w:tcPr>
          <w:p w:rsidR="000C442B" w:rsidRPr="00CB6E0E" w:rsidRDefault="000C442B" w:rsidP="00501D67">
            <w:pPr>
              <w:spacing w:before="60" w:after="60"/>
              <w:rPr>
                <w:b/>
                <w:sz w:val="22"/>
                <w:szCs w:val="22"/>
                <w:lang w:eastAsia="en-AU"/>
              </w:rPr>
            </w:pPr>
            <w:r w:rsidRPr="00CB6E0E">
              <w:rPr>
                <w:b/>
                <w:sz w:val="22"/>
                <w:szCs w:val="22"/>
                <w:lang w:eastAsia="en-AU"/>
              </w:rPr>
              <w:t>Notes</w:t>
            </w:r>
          </w:p>
        </w:tc>
      </w:tr>
      <w:tr w:rsidR="009E3CAC" w:rsidTr="009E3CAC">
        <w:tc>
          <w:tcPr>
            <w:tcW w:w="1587" w:type="dxa"/>
          </w:tcPr>
          <w:p w:rsidR="000C442B" w:rsidRPr="000C442B" w:rsidRDefault="000C442B" w:rsidP="00501D67">
            <w:pPr>
              <w:spacing w:before="60" w:after="60"/>
              <w:rPr>
                <w:b/>
                <w:sz w:val="22"/>
                <w:szCs w:val="22"/>
                <w:lang w:eastAsia="en-AU"/>
              </w:rPr>
            </w:pPr>
            <w:r w:rsidRPr="000C442B">
              <w:rPr>
                <w:b/>
                <w:sz w:val="22"/>
                <w:szCs w:val="22"/>
                <w:lang w:eastAsia="en-AU"/>
              </w:rPr>
              <w:t>Rosiglitazone</w:t>
            </w:r>
          </w:p>
        </w:tc>
        <w:tc>
          <w:tcPr>
            <w:tcW w:w="1390" w:type="dxa"/>
          </w:tcPr>
          <w:p w:rsidR="000C442B" w:rsidRPr="00131616" w:rsidRDefault="009E3CAC" w:rsidP="00501D67">
            <w:pPr>
              <w:spacing w:before="60" w:after="60"/>
              <w:rPr>
                <w:sz w:val="22"/>
                <w:szCs w:val="22"/>
                <w:lang w:eastAsia="en-AU"/>
              </w:rPr>
            </w:pPr>
            <w:r>
              <w:rPr>
                <w:sz w:val="22"/>
                <w:szCs w:val="22"/>
                <w:lang w:eastAsia="en-AU"/>
              </w:rPr>
              <w:t>March</w:t>
            </w:r>
            <w:r w:rsidR="000C442B">
              <w:rPr>
                <w:sz w:val="22"/>
                <w:szCs w:val="22"/>
                <w:lang w:eastAsia="en-AU"/>
              </w:rPr>
              <w:t xml:space="preserve"> 2001</w:t>
            </w:r>
          </w:p>
        </w:tc>
        <w:tc>
          <w:tcPr>
            <w:tcW w:w="1701" w:type="dxa"/>
          </w:tcPr>
          <w:p w:rsidR="000C442B" w:rsidRPr="00131616" w:rsidRDefault="000C442B" w:rsidP="00501D67">
            <w:pPr>
              <w:spacing w:before="60" w:after="60"/>
              <w:rPr>
                <w:sz w:val="22"/>
                <w:szCs w:val="22"/>
                <w:lang w:eastAsia="en-AU"/>
              </w:rPr>
            </w:pPr>
            <w:r>
              <w:rPr>
                <w:sz w:val="22"/>
                <w:szCs w:val="22"/>
                <w:lang w:eastAsia="en-AU"/>
              </w:rPr>
              <w:t>Insulin</w:t>
            </w:r>
          </w:p>
        </w:tc>
        <w:tc>
          <w:tcPr>
            <w:tcW w:w="1276" w:type="dxa"/>
          </w:tcPr>
          <w:p w:rsidR="000C442B" w:rsidRDefault="007F64FB" w:rsidP="00501D67">
            <w:pPr>
              <w:spacing w:before="60" w:after="60"/>
              <w:rPr>
                <w:sz w:val="22"/>
                <w:szCs w:val="22"/>
                <w:lang w:eastAsia="en-AU"/>
              </w:rPr>
            </w:pPr>
            <w:r>
              <w:rPr>
                <w:sz w:val="22"/>
                <w:szCs w:val="22"/>
                <w:lang w:eastAsia="en-AU"/>
              </w:rPr>
              <w:t>CMA</w:t>
            </w:r>
          </w:p>
        </w:tc>
        <w:tc>
          <w:tcPr>
            <w:tcW w:w="9214" w:type="dxa"/>
            <w:vAlign w:val="center"/>
          </w:tcPr>
          <w:p w:rsidR="000C442B" w:rsidRPr="007811C3" w:rsidRDefault="000C442B" w:rsidP="007156EB">
            <w:pPr>
              <w:pStyle w:val="ListParagraph"/>
              <w:numPr>
                <w:ilvl w:val="0"/>
                <w:numId w:val="39"/>
              </w:numPr>
              <w:spacing w:line="240" w:lineRule="auto"/>
              <w:ind w:left="317" w:hanging="317"/>
              <w:rPr>
                <w:sz w:val="22"/>
                <w:szCs w:val="22"/>
                <w:lang w:eastAsia="en-AU"/>
              </w:rPr>
            </w:pPr>
            <w:r w:rsidRPr="007811C3">
              <w:rPr>
                <w:sz w:val="22"/>
                <w:szCs w:val="22"/>
                <w:lang w:eastAsia="en-AU"/>
              </w:rPr>
              <w:t>A</w:t>
            </w:r>
            <w:r w:rsidR="009E3CAC">
              <w:rPr>
                <w:sz w:val="22"/>
                <w:szCs w:val="22"/>
                <w:lang w:eastAsia="en-AU"/>
              </w:rPr>
              <w:t xml:space="preserve"> subsequent submission (Nov</w:t>
            </w:r>
            <w:r w:rsidRPr="007811C3">
              <w:rPr>
                <w:sz w:val="22"/>
                <w:szCs w:val="22"/>
                <w:lang w:eastAsia="en-AU"/>
              </w:rPr>
              <w:t xml:space="preserve"> 2007) to remove the need for patients to be contraindicated or intolerant to sulfonylureas was rejected on the basis of considerable safety concerns, uncertain clinical benefit and uncertain cost-effectiveness.</w:t>
            </w:r>
          </w:p>
        </w:tc>
      </w:tr>
      <w:tr w:rsidR="009E3CAC" w:rsidTr="009E3CAC">
        <w:tc>
          <w:tcPr>
            <w:tcW w:w="1587" w:type="dxa"/>
          </w:tcPr>
          <w:p w:rsidR="000C442B" w:rsidRPr="000C442B" w:rsidRDefault="000C442B" w:rsidP="00501D67">
            <w:pPr>
              <w:spacing w:before="60" w:after="60"/>
              <w:rPr>
                <w:b/>
                <w:sz w:val="22"/>
                <w:szCs w:val="22"/>
                <w:lang w:eastAsia="en-AU"/>
              </w:rPr>
            </w:pPr>
            <w:r w:rsidRPr="000C442B">
              <w:rPr>
                <w:b/>
                <w:sz w:val="22"/>
                <w:szCs w:val="22"/>
                <w:lang w:eastAsia="en-AU"/>
              </w:rPr>
              <w:t>Pioglitazone</w:t>
            </w:r>
          </w:p>
        </w:tc>
        <w:tc>
          <w:tcPr>
            <w:tcW w:w="1390" w:type="dxa"/>
          </w:tcPr>
          <w:p w:rsidR="000C442B" w:rsidRPr="00131616" w:rsidRDefault="000C442B" w:rsidP="00501D67">
            <w:pPr>
              <w:spacing w:before="60" w:after="60"/>
              <w:rPr>
                <w:sz w:val="22"/>
                <w:szCs w:val="22"/>
                <w:lang w:eastAsia="en-AU"/>
              </w:rPr>
            </w:pPr>
            <w:r>
              <w:rPr>
                <w:sz w:val="22"/>
                <w:szCs w:val="22"/>
                <w:lang w:eastAsia="en-AU"/>
              </w:rPr>
              <w:t>Sept 2001</w:t>
            </w:r>
          </w:p>
        </w:tc>
        <w:tc>
          <w:tcPr>
            <w:tcW w:w="1701" w:type="dxa"/>
          </w:tcPr>
          <w:p w:rsidR="000C442B" w:rsidRPr="00131616" w:rsidRDefault="000C442B" w:rsidP="00501D67">
            <w:pPr>
              <w:spacing w:before="60" w:after="60"/>
              <w:rPr>
                <w:sz w:val="22"/>
                <w:szCs w:val="22"/>
                <w:lang w:eastAsia="en-AU"/>
              </w:rPr>
            </w:pPr>
            <w:r>
              <w:rPr>
                <w:sz w:val="22"/>
                <w:szCs w:val="22"/>
                <w:lang w:eastAsia="en-AU"/>
              </w:rPr>
              <w:t>Rosiglitazone</w:t>
            </w:r>
          </w:p>
        </w:tc>
        <w:tc>
          <w:tcPr>
            <w:tcW w:w="1276" w:type="dxa"/>
          </w:tcPr>
          <w:p w:rsidR="000C442B" w:rsidRDefault="007F64FB" w:rsidP="00501D67">
            <w:pPr>
              <w:spacing w:before="60" w:after="60"/>
              <w:rPr>
                <w:sz w:val="22"/>
                <w:szCs w:val="22"/>
                <w:lang w:eastAsia="en-AU"/>
              </w:rPr>
            </w:pPr>
            <w:r>
              <w:rPr>
                <w:sz w:val="22"/>
                <w:szCs w:val="22"/>
                <w:lang w:eastAsia="en-AU"/>
              </w:rPr>
              <w:t>CMA</w:t>
            </w:r>
          </w:p>
        </w:tc>
        <w:tc>
          <w:tcPr>
            <w:tcW w:w="9214" w:type="dxa"/>
            <w:vAlign w:val="center"/>
          </w:tcPr>
          <w:p w:rsidR="000C442B" w:rsidRPr="007811C3" w:rsidRDefault="000C442B" w:rsidP="00501D67">
            <w:pPr>
              <w:spacing w:before="60" w:after="60"/>
              <w:ind w:left="317" w:hanging="317"/>
              <w:rPr>
                <w:sz w:val="22"/>
                <w:szCs w:val="22"/>
                <w:lang w:eastAsia="en-AU"/>
              </w:rPr>
            </w:pPr>
          </w:p>
        </w:tc>
      </w:tr>
      <w:tr w:rsidR="009E3CAC" w:rsidTr="009E3CAC">
        <w:tc>
          <w:tcPr>
            <w:tcW w:w="1587" w:type="dxa"/>
          </w:tcPr>
          <w:p w:rsidR="000C442B" w:rsidRPr="000C442B" w:rsidRDefault="000C442B" w:rsidP="00501D67">
            <w:pPr>
              <w:spacing w:before="60" w:after="60"/>
              <w:rPr>
                <w:b/>
                <w:sz w:val="22"/>
                <w:szCs w:val="22"/>
                <w:lang w:eastAsia="en-AU"/>
              </w:rPr>
            </w:pPr>
            <w:r w:rsidRPr="000C442B">
              <w:rPr>
                <w:b/>
                <w:sz w:val="22"/>
                <w:szCs w:val="22"/>
                <w:lang w:eastAsia="en-AU"/>
              </w:rPr>
              <w:t>Sitagliptin</w:t>
            </w:r>
          </w:p>
        </w:tc>
        <w:tc>
          <w:tcPr>
            <w:tcW w:w="1390" w:type="dxa"/>
          </w:tcPr>
          <w:p w:rsidR="000C442B" w:rsidRPr="00131616" w:rsidRDefault="009E3CAC" w:rsidP="00501D67">
            <w:pPr>
              <w:spacing w:before="60" w:after="60"/>
              <w:rPr>
                <w:sz w:val="22"/>
                <w:szCs w:val="22"/>
                <w:lang w:eastAsia="en-AU"/>
              </w:rPr>
            </w:pPr>
            <w:r>
              <w:rPr>
                <w:sz w:val="22"/>
                <w:szCs w:val="22"/>
                <w:lang w:eastAsia="en-AU"/>
              </w:rPr>
              <w:t>March</w:t>
            </w:r>
            <w:r w:rsidR="000C442B">
              <w:rPr>
                <w:sz w:val="22"/>
                <w:szCs w:val="22"/>
                <w:lang w:eastAsia="en-AU"/>
              </w:rPr>
              <w:t xml:space="preserve"> 2008</w:t>
            </w:r>
          </w:p>
        </w:tc>
        <w:tc>
          <w:tcPr>
            <w:tcW w:w="1701" w:type="dxa"/>
          </w:tcPr>
          <w:p w:rsidR="000C442B" w:rsidRPr="00131616" w:rsidRDefault="000C442B" w:rsidP="00501D67">
            <w:pPr>
              <w:spacing w:before="60" w:after="60"/>
              <w:rPr>
                <w:sz w:val="22"/>
                <w:szCs w:val="22"/>
                <w:lang w:eastAsia="en-AU"/>
              </w:rPr>
            </w:pPr>
            <w:r>
              <w:rPr>
                <w:sz w:val="22"/>
                <w:szCs w:val="22"/>
                <w:lang w:eastAsia="en-AU"/>
              </w:rPr>
              <w:t>Rosiglitazone</w:t>
            </w:r>
          </w:p>
        </w:tc>
        <w:tc>
          <w:tcPr>
            <w:tcW w:w="1276" w:type="dxa"/>
          </w:tcPr>
          <w:p w:rsidR="000C442B" w:rsidRDefault="000C442B" w:rsidP="00501D67">
            <w:pPr>
              <w:spacing w:before="60" w:after="60"/>
              <w:rPr>
                <w:sz w:val="22"/>
                <w:szCs w:val="22"/>
                <w:lang w:eastAsia="en-AU"/>
              </w:rPr>
            </w:pPr>
            <w:r>
              <w:rPr>
                <w:sz w:val="22"/>
                <w:szCs w:val="22"/>
                <w:lang w:eastAsia="en-AU"/>
              </w:rPr>
              <w:t>CMA</w:t>
            </w:r>
          </w:p>
        </w:tc>
        <w:tc>
          <w:tcPr>
            <w:tcW w:w="9214" w:type="dxa"/>
            <w:vAlign w:val="center"/>
          </w:tcPr>
          <w:p w:rsidR="000C442B" w:rsidRPr="007811C3" w:rsidRDefault="000C442B" w:rsidP="007156EB">
            <w:pPr>
              <w:pStyle w:val="ListParagraph"/>
              <w:numPr>
                <w:ilvl w:val="0"/>
                <w:numId w:val="40"/>
              </w:numPr>
              <w:spacing w:before="60" w:after="60" w:line="240" w:lineRule="auto"/>
              <w:ind w:left="317" w:hanging="317"/>
              <w:rPr>
                <w:sz w:val="22"/>
                <w:szCs w:val="22"/>
                <w:lang w:eastAsia="en-AU"/>
              </w:rPr>
            </w:pPr>
            <w:r w:rsidRPr="007811C3">
              <w:rPr>
                <w:sz w:val="22"/>
                <w:szCs w:val="22"/>
              </w:rPr>
              <w:t>PBAC noted that the data available suggest that sitagliptin may be associated with less weight gain; however, there are no longer term data to confirm persistence of these effects. The data on changes in systolic blood pressure are limited and it was unclear that these changes represent clinically meaningful differences.</w:t>
            </w:r>
          </w:p>
          <w:p w:rsidR="000C442B" w:rsidRPr="007811C3" w:rsidRDefault="000C442B" w:rsidP="007156EB">
            <w:pPr>
              <w:pStyle w:val="ListParagraph"/>
              <w:numPr>
                <w:ilvl w:val="0"/>
                <w:numId w:val="40"/>
              </w:numPr>
              <w:spacing w:line="240" w:lineRule="auto"/>
              <w:ind w:left="317" w:hanging="317"/>
              <w:rPr>
                <w:sz w:val="22"/>
                <w:szCs w:val="22"/>
                <w:lang w:eastAsia="en-AU"/>
              </w:rPr>
            </w:pPr>
            <w:r w:rsidRPr="007811C3">
              <w:rPr>
                <w:sz w:val="22"/>
                <w:szCs w:val="22"/>
                <w:lang w:eastAsia="en-AU"/>
              </w:rPr>
              <w:t>A</w:t>
            </w:r>
            <w:r w:rsidR="009E3CAC">
              <w:rPr>
                <w:sz w:val="22"/>
                <w:szCs w:val="22"/>
                <w:lang w:eastAsia="en-AU"/>
              </w:rPr>
              <w:t xml:space="preserve"> subsequent submission (March</w:t>
            </w:r>
            <w:r w:rsidRPr="007811C3">
              <w:rPr>
                <w:sz w:val="22"/>
                <w:szCs w:val="22"/>
                <w:lang w:eastAsia="en-AU"/>
              </w:rPr>
              <w:t xml:space="preserve"> 2008) to remove the need for patients to be contraindicated or intolerant to sulfonylureas was rejected on the basis of uncertain evidence of benefit over the comparator and highly uncertain cost-effectiveness.</w:t>
            </w:r>
          </w:p>
        </w:tc>
      </w:tr>
      <w:tr w:rsidR="009E3CAC" w:rsidTr="009E3CAC">
        <w:tc>
          <w:tcPr>
            <w:tcW w:w="1587" w:type="dxa"/>
          </w:tcPr>
          <w:p w:rsidR="000C442B" w:rsidRPr="000C442B" w:rsidRDefault="000C442B" w:rsidP="00501D67">
            <w:pPr>
              <w:spacing w:before="60" w:after="60"/>
              <w:rPr>
                <w:b/>
                <w:sz w:val="22"/>
                <w:szCs w:val="22"/>
                <w:lang w:eastAsia="en-AU"/>
              </w:rPr>
            </w:pPr>
            <w:r w:rsidRPr="000C442B">
              <w:rPr>
                <w:b/>
                <w:sz w:val="22"/>
                <w:szCs w:val="22"/>
                <w:lang w:eastAsia="en-AU"/>
              </w:rPr>
              <w:t>Exenatide</w:t>
            </w:r>
          </w:p>
        </w:tc>
        <w:tc>
          <w:tcPr>
            <w:tcW w:w="1390" w:type="dxa"/>
          </w:tcPr>
          <w:p w:rsidR="000C442B" w:rsidRPr="00131616" w:rsidRDefault="000C442B" w:rsidP="00501D67">
            <w:pPr>
              <w:spacing w:before="60" w:after="60"/>
              <w:rPr>
                <w:sz w:val="22"/>
                <w:szCs w:val="22"/>
                <w:lang w:eastAsia="en-AU"/>
              </w:rPr>
            </w:pPr>
            <w:r>
              <w:rPr>
                <w:sz w:val="22"/>
                <w:szCs w:val="22"/>
                <w:lang w:eastAsia="en-AU"/>
              </w:rPr>
              <w:t>Nov 2008</w:t>
            </w:r>
          </w:p>
        </w:tc>
        <w:tc>
          <w:tcPr>
            <w:tcW w:w="1701" w:type="dxa"/>
          </w:tcPr>
          <w:p w:rsidR="000C442B" w:rsidRPr="00131616" w:rsidRDefault="000C442B" w:rsidP="00501D67">
            <w:pPr>
              <w:spacing w:before="60" w:after="60"/>
              <w:rPr>
                <w:sz w:val="22"/>
                <w:szCs w:val="22"/>
                <w:lang w:eastAsia="en-AU"/>
              </w:rPr>
            </w:pPr>
            <w:r>
              <w:rPr>
                <w:sz w:val="22"/>
                <w:szCs w:val="22"/>
                <w:lang w:eastAsia="en-AU"/>
              </w:rPr>
              <w:t>Insulin glargine</w:t>
            </w:r>
          </w:p>
        </w:tc>
        <w:tc>
          <w:tcPr>
            <w:tcW w:w="1276" w:type="dxa"/>
          </w:tcPr>
          <w:p w:rsidR="000C442B" w:rsidRDefault="000C442B" w:rsidP="00501D67">
            <w:pPr>
              <w:spacing w:before="60" w:after="60"/>
              <w:rPr>
                <w:sz w:val="22"/>
                <w:szCs w:val="22"/>
                <w:lang w:eastAsia="en-AU"/>
              </w:rPr>
            </w:pPr>
            <w:r>
              <w:rPr>
                <w:sz w:val="22"/>
                <w:szCs w:val="22"/>
                <w:lang w:eastAsia="en-AU"/>
              </w:rPr>
              <w:t>CMA</w:t>
            </w:r>
          </w:p>
        </w:tc>
        <w:tc>
          <w:tcPr>
            <w:tcW w:w="9214" w:type="dxa"/>
            <w:vAlign w:val="center"/>
          </w:tcPr>
          <w:p w:rsidR="000C442B" w:rsidRPr="007811C3" w:rsidRDefault="000C442B" w:rsidP="007156EB">
            <w:pPr>
              <w:pStyle w:val="ListParagraph"/>
              <w:numPr>
                <w:ilvl w:val="0"/>
                <w:numId w:val="38"/>
              </w:numPr>
              <w:spacing w:before="60" w:after="60" w:line="240" w:lineRule="auto"/>
              <w:ind w:left="317" w:hanging="317"/>
              <w:rPr>
                <w:sz w:val="22"/>
                <w:szCs w:val="22"/>
                <w:lang w:eastAsia="en-AU"/>
              </w:rPr>
            </w:pPr>
            <w:r w:rsidRPr="007811C3">
              <w:rPr>
                <w:sz w:val="22"/>
                <w:szCs w:val="22"/>
              </w:rPr>
              <w:t>PBA</w:t>
            </w:r>
            <w:r w:rsidR="004741DE">
              <w:rPr>
                <w:sz w:val="22"/>
                <w:szCs w:val="22"/>
              </w:rPr>
              <w:t xml:space="preserve">C recommended </w:t>
            </w:r>
            <w:r w:rsidRPr="007811C3">
              <w:rPr>
                <w:sz w:val="22"/>
                <w:szCs w:val="22"/>
              </w:rPr>
              <w:t>listing on a cost-minimisation basis with insulin glargine, taking into account the higher costs associated with the initiation and titration of dose with insulin glargine.</w:t>
            </w:r>
          </w:p>
          <w:p w:rsidR="000C442B" w:rsidRPr="007811C3" w:rsidRDefault="000C442B" w:rsidP="007156EB">
            <w:pPr>
              <w:pStyle w:val="ListParagraph"/>
              <w:numPr>
                <w:ilvl w:val="0"/>
                <w:numId w:val="38"/>
              </w:numPr>
              <w:spacing w:before="60" w:after="60" w:line="240" w:lineRule="auto"/>
              <w:ind w:left="317" w:hanging="317"/>
              <w:rPr>
                <w:sz w:val="22"/>
                <w:szCs w:val="22"/>
                <w:lang w:eastAsia="en-AU"/>
              </w:rPr>
            </w:pPr>
            <w:r w:rsidRPr="007811C3">
              <w:rPr>
                <w:sz w:val="22"/>
                <w:szCs w:val="22"/>
              </w:rPr>
              <w:t xml:space="preserve">The PBAC considered that the long term benefits and durability of the claim of superior weight management had not been adequately established. </w:t>
            </w:r>
          </w:p>
          <w:p w:rsidR="000C442B" w:rsidRPr="007811C3" w:rsidRDefault="000C442B" w:rsidP="007156EB">
            <w:pPr>
              <w:pStyle w:val="ListParagraph"/>
              <w:numPr>
                <w:ilvl w:val="0"/>
                <w:numId w:val="38"/>
              </w:numPr>
              <w:spacing w:before="60" w:after="60" w:line="240" w:lineRule="auto"/>
              <w:ind w:left="317" w:hanging="317"/>
              <w:rPr>
                <w:sz w:val="22"/>
                <w:szCs w:val="22"/>
                <w:lang w:eastAsia="en-AU"/>
              </w:rPr>
            </w:pPr>
            <w:r w:rsidRPr="007811C3">
              <w:rPr>
                <w:sz w:val="22"/>
                <w:szCs w:val="22"/>
              </w:rPr>
              <w:t>The price of exenatide is based on insulin glargine and rosiglitazone.</w:t>
            </w:r>
          </w:p>
          <w:p w:rsidR="000C442B" w:rsidRPr="007811C3" w:rsidRDefault="000C442B" w:rsidP="007156EB">
            <w:pPr>
              <w:pStyle w:val="ListParagraph"/>
              <w:numPr>
                <w:ilvl w:val="0"/>
                <w:numId w:val="38"/>
              </w:numPr>
              <w:spacing w:before="60" w:after="60" w:line="240" w:lineRule="auto"/>
              <w:ind w:left="317" w:hanging="317"/>
              <w:rPr>
                <w:sz w:val="22"/>
                <w:szCs w:val="22"/>
                <w:lang w:eastAsia="en-AU"/>
              </w:rPr>
            </w:pPr>
            <w:r w:rsidRPr="007811C3">
              <w:rPr>
                <w:sz w:val="22"/>
                <w:szCs w:val="22"/>
              </w:rPr>
              <w:t>There were two previous rejected submissions</w:t>
            </w:r>
            <w:r w:rsidR="009E3CAC">
              <w:rPr>
                <w:sz w:val="22"/>
                <w:szCs w:val="22"/>
              </w:rPr>
              <w:t xml:space="preserve"> (July 2007 and March</w:t>
            </w:r>
            <w:r w:rsidRPr="007811C3">
              <w:rPr>
                <w:sz w:val="22"/>
                <w:szCs w:val="22"/>
              </w:rPr>
              <w:t xml:space="preserve"> 2008). </w:t>
            </w:r>
          </w:p>
        </w:tc>
      </w:tr>
      <w:tr w:rsidR="009E3CAC" w:rsidTr="009E3CAC">
        <w:tc>
          <w:tcPr>
            <w:tcW w:w="1587" w:type="dxa"/>
          </w:tcPr>
          <w:p w:rsidR="000C442B" w:rsidRPr="000C442B" w:rsidRDefault="000C442B" w:rsidP="00501D67">
            <w:pPr>
              <w:spacing w:before="60" w:after="60"/>
              <w:rPr>
                <w:b/>
                <w:sz w:val="22"/>
                <w:szCs w:val="22"/>
                <w:lang w:eastAsia="en-AU"/>
              </w:rPr>
            </w:pPr>
            <w:r w:rsidRPr="000C442B">
              <w:rPr>
                <w:b/>
                <w:sz w:val="22"/>
                <w:szCs w:val="22"/>
                <w:lang w:eastAsia="en-AU"/>
              </w:rPr>
              <w:t>Saxagliptin</w:t>
            </w:r>
          </w:p>
        </w:tc>
        <w:tc>
          <w:tcPr>
            <w:tcW w:w="1390" w:type="dxa"/>
          </w:tcPr>
          <w:p w:rsidR="000C442B" w:rsidRPr="00131616" w:rsidRDefault="009E3CAC" w:rsidP="00501D67">
            <w:pPr>
              <w:spacing w:before="60" w:after="60"/>
              <w:rPr>
                <w:sz w:val="22"/>
                <w:szCs w:val="22"/>
                <w:lang w:eastAsia="en-AU"/>
              </w:rPr>
            </w:pPr>
            <w:r>
              <w:rPr>
                <w:sz w:val="22"/>
                <w:szCs w:val="22"/>
                <w:lang w:eastAsia="en-AU"/>
              </w:rPr>
              <w:t>March</w:t>
            </w:r>
            <w:r w:rsidR="000C442B">
              <w:rPr>
                <w:sz w:val="22"/>
                <w:szCs w:val="22"/>
                <w:lang w:eastAsia="en-AU"/>
              </w:rPr>
              <w:t xml:space="preserve"> 2010</w:t>
            </w:r>
          </w:p>
        </w:tc>
        <w:tc>
          <w:tcPr>
            <w:tcW w:w="1701" w:type="dxa"/>
          </w:tcPr>
          <w:p w:rsidR="000C442B" w:rsidRPr="00131616" w:rsidRDefault="000C442B" w:rsidP="00501D67">
            <w:pPr>
              <w:spacing w:before="60" w:after="60"/>
              <w:rPr>
                <w:sz w:val="22"/>
                <w:szCs w:val="22"/>
                <w:lang w:eastAsia="en-AU"/>
              </w:rPr>
            </w:pPr>
            <w:r>
              <w:rPr>
                <w:sz w:val="22"/>
                <w:szCs w:val="22"/>
                <w:lang w:eastAsia="en-AU"/>
              </w:rPr>
              <w:t>Sitagliptin</w:t>
            </w:r>
          </w:p>
        </w:tc>
        <w:tc>
          <w:tcPr>
            <w:tcW w:w="1276" w:type="dxa"/>
          </w:tcPr>
          <w:p w:rsidR="000C442B" w:rsidRDefault="000C442B" w:rsidP="00501D67">
            <w:pPr>
              <w:spacing w:before="60" w:after="60"/>
              <w:rPr>
                <w:sz w:val="22"/>
                <w:szCs w:val="22"/>
                <w:lang w:eastAsia="en-AU"/>
              </w:rPr>
            </w:pPr>
            <w:r>
              <w:rPr>
                <w:sz w:val="22"/>
                <w:szCs w:val="22"/>
                <w:lang w:eastAsia="en-AU"/>
              </w:rPr>
              <w:t>CMA</w:t>
            </w:r>
          </w:p>
        </w:tc>
        <w:tc>
          <w:tcPr>
            <w:tcW w:w="9214" w:type="dxa"/>
            <w:vAlign w:val="center"/>
          </w:tcPr>
          <w:p w:rsidR="000C442B" w:rsidRPr="007811C3" w:rsidRDefault="000C442B" w:rsidP="00501D67">
            <w:pPr>
              <w:spacing w:before="60" w:after="60"/>
              <w:ind w:left="317" w:hanging="317"/>
              <w:rPr>
                <w:sz w:val="22"/>
                <w:szCs w:val="22"/>
                <w:lang w:eastAsia="en-AU"/>
              </w:rPr>
            </w:pPr>
          </w:p>
        </w:tc>
      </w:tr>
      <w:tr w:rsidR="009E3CAC" w:rsidTr="009E3CAC">
        <w:tc>
          <w:tcPr>
            <w:tcW w:w="1587" w:type="dxa"/>
          </w:tcPr>
          <w:p w:rsidR="000C442B" w:rsidRPr="000C442B" w:rsidRDefault="000C442B" w:rsidP="00501D67">
            <w:pPr>
              <w:spacing w:before="60" w:after="60"/>
              <w:rPr>
                <w:b/>
                <w:sz w:val="22"/>
                <w:szCs w:val="22"/>
                <w:lang w:eastAsia="en-AU"/>
              </w:rPr>
            </w:pPr>
            <w:r w:rsidRPr="000C442B">
              <w:rPr>
                <w:b/>
                <w:sz w:val="22"/>
                <w:szCs w:val="22"/>
                <w:lang w:eastAsia="en-AU"/>
              </w:rPr>
              <w:t>Vildagliptin</w:t>
            </w:r>
          </w:p>
        </w:tc>
        <w:tc>
          <w:tcPr>
            <w:tcW w:w="1390" w:type="dxa"/>
          </w:tcPr>
          <w:p w:rsidR="000C442B" w:rsidRPr="00131616" w:rsidRDefault="000C442B" w:rsidP="009E3CAC">
            <w:pPr>
              <w:spacing w:before="60" w:after="60"/>
              <w:rPr>
                <w:sz w:val="22"/>
                <w:szCs w:val="22"/>
                <w:lang w:eastAsia="en-AU"/>
              </w:rPr>
            </w:pPr>
            <w:r>
              <w:rPr>
                <w:sz w:val="22"/>
                <w:szCs w:val="22"/>
                <w:lang w:eastAsia="en-AU"/>
              </w:rPr>
              <w:t>Mar</w:t>
            </w:r>
            <w:r w:rsidR="009E3CAC">
              <w:rPr>
                <w:sz w:val="22"/>
                <w:szCs w:val="22"/>
                <w:lang w:eastAsia="en-AU"/>
              </w:rPr>
              <w:t>ch</w:t>
            </w:r>
            <w:r>
              <w:rPr>
                <w:sz w:val="22"/>
                <w:szCs w:val="22"/>
                <w:lang w:eastAsia="en-AU"/>
              </w:rPr>
              <w:t xml:space="preserve"> 2010</w:t>
            </w:r>
          </w:p>
        </w:tc>
        <w:tc>
          <w:tcPr>
            <w:tcW w:w="1701" w:type="dxa"/>
          </w:tcPr>
          <w:p w:rsidR="000C442B" w:rsidRPr="00131616" w:rsidRDefault="000C442B" w:rsidP="00501D67">
            <w:pPr>
              <w:spacing w:before="60" w:after="60"/>
              <w:rPr>
                <w:sz w:val="22"/>
                <w:szCs w:val="22"/>
                <w:lang w:eastAsia="en-AU"/>
              </w:rPr>
            </w:pPr>
            <w:r>
              <w:rPr>
                <w:sz w:val="22"/>
                <w:szCs w:val="22"/>
                <w:lang w:eastAsia="en-AU"/>
              </w:rPr>
              <w:t>Sitagliptin (Pioglitazone, Rosiglitazone)</w:t>
            </w:r>
          </w:p>
        </w:tc>
        <w:tc>
          <w:tcPr>
            <w:tcW w:w="1276" w:type="dxa"/>
          </w:tcPr>
          <w:p w:rsidR="000C442B" w:rsidRDefault="000C442B" w:rsidP="00501D67">
            <w:pPr>
              <w:spacing w:before="60" w:after="60"/>
              <w:rPr>
                <w:sz w:val="22"/>
                <w:szCs w:val="22"/>
                <w:lang w:eastAsia="en-AU"/>
              </w:rPr>
            </w:pPr>
            <w:r>
              <w:rPr>
                <w:sz w:val="22"/>
                <w:szCs w:val="22"/>
                <w:lang w:eastAsia="en-AU"/>
              </w:rPr>
              <w:t>CMA</w:t>
            </w:r>
          </w:p>
        </w:tc>
        <w:tc>
          <w:tcPr>
            <w:tcW w:w="9214" w:type="dxa"/>
            <w:vAlign w:val="center"/>
          </w:tcPr>
          <w:p w:rsidR="000C442B" w:rsidRPr="007811C3" w:rsidRDefault="000C442B" w:rsidP="00501D67">
            <w:pPr>
              <w:spacing w:before="60" w:after="60"/>
              <w:ind w:left="317" w:hanging="317"/>
              <w:rPr>
                <w:sz w:val="22"/>
                <w:szCs w:val="22"/>
                <w:lang w:eastAsia="en-AU"/>
              </w:rPr>
            </w:pPr>
          </w:p>
        </w:tc>
      </w:tr>
      <w:tr w:rsidR="009E3CAC" w:rsidTr="009E3CAC">
        <w:tc>
          <w:tcPr>
            <w:tcW w:w="1587" w:type="dxa"/>
          </w:tcPr>
          <w:p w:rsidR="000C442B" w:rsidRPr="000C442B" w:rsidRDefault="000C442B" w:rsidP="00501D67">
            <w:pPr>
              <w:spacing w:before="60" w:after="60"/>
              <w:rPr>
                <w:b/>
                <w:sz w:val="22"/>
                <w:szCs w:val="22"/>
                <w:lang w:eastAsia="en-AU"/>
              </w:rPr>
            </w:pPr>
            <w:r w:rsidRPr="000C442B">
              <w:rPr>
                <w:b/>
                <w:sz w:val="22"/>
                <w:szCs w:val="22"/>
                <w:lang w:eastAsia="en-AU"/>
              </w:rPr>
              <w:lastRenderedPageBreak/>
              <w:t>Linagliptin</w:t>
            </w:r>
          </w:p>
        </w:tc>
        <w:tc>
          <w:tcPr>
            <w:tcW w:w="1390" w:type="dxa"/>
          </w:tcPr>
          <w:p w:rsidR="000C442B" w:rsidRPr="00131616" w:rsidRDefault="000C442B" w:rsidP="00501D67">
            <w:pPr>
              <w:spacing w:before="60" w:after="60"/>
              <w:rPr>
                <w:sz w:val="22"/>
                <w:szCs w:val="22"/>
                <w:lang w:eastAsia="en-AU"/>
              </w:rPr>
            </w:pPr>
            <w:r>
              <w:rPr>
                <w:sz w:val="22"/>
                <w:szCs w:val="22"/>
                <w:lang w:eastAsia="en-AU"/>
              </w:rPr>
              <w:t>Nov 2011</w:t>
            </w:r>
          </w:p>
        </w:tc>
        <w:tc>
          <w:tcPr>
            <w:tcW w:w="1701" w:type="dxa"/>
          </w:tcPr>
          <w:p w:rsidR="000C442B" w:rsidRPr="00131616" w:rsidRDefault="000C442B" w:rsidP="00501D67">
            <w:pPr>
              <w:spacing w:before="60" w:after="60"/>
              <w:rPr>
                <w:sz w:val="22"/>
                <w:szCs w:val="22"/>
                <w:lang w:eastAsia="en-AU"/>
              </w:rPr>
            </w:pPr>
            <w:r>
              <w:rPr>
                <w:sz w:val="22"/>
                <w:szCs w:val="22"/>
                <w:lang w:eastAsia="en-AU"/>
              </w:rPr>
              <w:t>Sitagliptin</w:t>
            </w:r>
          </w:p>
        </w:tc>
        <w:tc>
          <w:tcPr>
            <w:tcW w:w="1276" w:type="dxa"/>
          </w:tcPr>
          <w:p w:rsidR="000C442B" w:rsidRDefault="000C442B" w:rsidP="00501D67">
            <w:pPr>
              <w:spacing w:before="60" w:after="60"/>
              <w:rPr>
                <w:sz w:val="22"/>
                <w:szCs w:val="22"/>
                <w:lang w:eastAsia="en-AU"/>
              </w:rPr>
            </w:pPr>
            <w:r>
              <w:rPr>
                <w:sz w:val="22"/>
                <w:szCs w:val="22"/>
                <w:lang w:eastAsia="en-AU"/>
              </w:rPr>
              <w:t>CMA</w:t>
            </w:r>
          </w:p>
        </w:tc>
        <w:tc>
          <w:tcPr>
            <w:tcW w:w="9214" w:type="dxa"/>
            <w:vAlign w:val="center"/>
          </w:tcPr>
          <w:p w:rsidR="000C442B" w:rsidRPr="007811C3" w:rsidRDefault="000C442B" w:rsidP="00501D67">
            <w:pPr>
              <w:spacing w:before="60" w:after="60"/>
              <w:ind w:left="317" w:hanging="317"/>
              <w:rPr>
                <w:sz w:val="22"/>
                <w:szCs w:val="22"/>
                <w:lang w:eastAsia="en-AU"/>
              </w:rPr>
            </w:pPr>
          </w:p>
        </w:tc>
      </w:tr>
      <w:tr w:rsidR="009E3CAC" w:rsidTr="009E3CAC">
        <w:tc>
          <w:tcPr>
            <w:tcW w:w="1587" w:type="dxa"/>
          </w:tcPr>
          <w:p w:rsidR="000C442B" w:rsidRPr="000C442B" w:rsidRDefault="000C442B" w:rsidP="00501D67">
            <w:pPr>
              <w:spacing w:before="60" w:after="60"/>
              <w:rPr>
                <w:b/>
                <w:sz w:val="22"/>
                <w:szCs w:val="22"/>
                <w:lang w:eastAsia="en-AU"/>
              </w:rPr>
            </w:pPr>
            <w:r w:rsidRPr="000C442B">
              <w:rPr>
                <w:b/>
                <w:sz w:val="22"/>
                <w:szCs w:val="22"/>
                <w:lang w:eastAsia="en-AU"/>
              </w:rPr>
              <w:t>Liraglutide</w:t>
            </w:r>
          </w:p>
        </w:tc>
        <w:tc>
          <w:tcPr>
            <w:tcW w:w="1390" w:type="dxa"/>
          </w:tcPr>
          <w:p w:rsidR="000C442B" w:rsidRPr="00131616" w:rsidRDefault="000C442B" w:rsidP="00501D67">
            <w:pPr>
              <w:spacing w:before="60" w:after="60"/>
              <w:rPr>
                <w:sz w:val="22"/>
                <w:szCs w:val="22"/>
                <w:lang w:eastAsia="en-AU"/>
              </w:rPr>
            </w:pPr>
            <w:r>
              <w:rPr>
                <w:sz w:val="22"/>
                <w:szCs w:val="22"/>
                <w:lang w:eastAsia="en-AU"/>
              </w:rPr>
              <w:t>M</w:t>
            </w:r>
            <w:r w:rsidR="009E3CAC">
              <w:rPr>
                <w:sz w:val="22"/>
                <w:szCs w:val="22"/>
                <w:lang w:eastAsia="en-AU"/>
              </w:rPr>
              <w:t>arch</w:t>
            </w:r>
            <w:r>
              <w:rPr>
                <w:sz w:val="22"/>
                <w:szCs w:val="22"/>
                <w:lang w:eastAsia="en-AU"/>
              </w:rPr>
              <w:t xml:space="preserve"> 2013</w:t>
            </w:r>
          </w:p>
        </w:tc>
        <w:tc>
          <w:tcPr>
            <w:tcW w:w="1701" w:type="dxa"/>
          </w:tcPr>
          <w:p w:rsidR="000C442B" w:rsidRPr="00131616" w:rsidRDefault="000C442B" w:rsidP="00501D67">
            <w:pPr>
              <w:spacing w:before="60" w:after="60"/>
              <w:rPr>
                <w:sz w:val="22"/>
                <w:szCs w:val="22"/>
                <w:lang w:eastAsia="en-AU"/>
              </w:rPr>
            </w:pPr>
            <w:r>
              <w:rPr>
                <w:sz w:val="22"/>
                <w:szCs w:val="22"/>
                <w:lang w:eastAsia="en-AU"/>
              </w:rPr>
              <w:t>Exenatide</w:t>
            </w:r>
          </w:p>
        </w:tc>
        <w:tc>
          <w:tcPr>
            <w:tcW w:w="1276" w:type="dxa"/>
          </w:tcPr>
          <w:p w:rsidR="000C442B" w:rsidRDefault="000C442B" w:rsidP="00501D67">
            <w:pPr>
              <w:spacing w:before="60" w:after="60"/>
              <w:rPr>
                <w:sz w:val="22"/>
                <w:szCs w:val="22"/>
                <w:lang w:eastAsia="en-AU"/>
              </w:rPr>
            </w:pPr>
            <w:r>
              <w:rPr>
                <w:sz w:val="22"/>
                <w:szCs w:val="22"/>
                <w:lang w:eastAsia="en-AU"/>
              </w:rPr>
              <w:t>CMA</w:t>
            </w:r>
          </w:p>
        </w:tc>
        <w:tc>
          <w:tcPr>
            <w:tcW w:w="9214" w:type="dxa"/>
            <w:vAlign w:val="center"/>
          </w:tcPr>
          <w:p w:rsidR="000C442B" w:rsidRPr="007811C3" w:rsidRDefault="00806F98" w:rsidP="00806F98">
            <w:pPr>
              <w:pStyle w:val="ListParagraph"/>
              <w:numPr>
                <w:ilvl w:val="0"/>
                <w:numId w:val="41"/>
              </w:numPr>
              <w:spacing w:before="60" w:after="60" w:line="240" w:lineRule="auto"/>
              <w:ind w:left="317" w:hanging="317"/>
              <w:rPr>
                <w:sz w:val="22"/>
                <w:szCs w:val="22"/>
                <w:lang w:eastAsia="en-AU"/>
              </w:rPr>
            </w:pPr>
            <w:r>
              <w:rPr>
                <w:sz w:val="22"/>
                <w:szCs w:val="22"/>
                <w:lang w:eastAsia="en-AU"/>
              </w:rPr>
              <w:t>T</w:t>
            </w:r>
            <w:r w:rsidR="000C442B" w:rsidRPr="007811C3">
              <w:rPr>
                <w:sz w:val="22"/>
                <w:szCs w:val="22"/>
                <w:lang w:eastAsia="en-AU"/>
              </w:rPr>
              <w:t xml:space="preserve">hree previous </w:t>
            </w:r>
            <w:r>
              <w:rPr>
                <w:sz w:val="22"/>
                <w:szCs w:val="22"/>
                <w:lang w:eastAsia="en-AU"/>
              </w:rPr>
              <w:t xml:space="preserve">submissions were </w:t>
            </w:r>
            <w:r w:rsidR="000C442B" w:rsidRPr="007811C3">
              <w:rPr>
                <w:sz w:val="22"/>
                <w:szCs w:val="22"/>
                <w:lang w:eastAsia="en-AU"/>
              </w:rPr>
              <w:t xml:space="preserve">rejected </w:t>
            </w:r>
            <w:r w:rsidR="009E3CAC">
              <w:rPr>
                <w:sz w:val="22"/>
                <w:szCs w:val="22"/>
                <w:lang w:eastAsia="en-AU"/>
              </w:rPr>
              <w:t>(Nov 2010, July 2011 and Nov</w:t>
            </w:r>
            <w:r w:rsidR="000C442B" w:rsidRPr="007811C3">
              <w:rPr>
                <w:sz w:val="22"/>
                <w:szCs w:val="22"/>
                <w:lang w:eastAsia="en-AU"/>
              </w:rPr>
              <w:t xml:space="preserve"> 2011). Rejected submissions </w:t>
            </w:r>
            <w:r w:rsidR="000C442B" w:rsidRPr="007811C3">
              <w:rPr>
                <w:sz w:val="22"/>
                <w:szCs w:val="22"/>
              </w:rPr>
              <w:t>claimed superior efficacy and equivalent safety to exenatide. PBAC accepted the difference in HbA</w:t>
            </w:r>
            <w:r w:rsidR="000C442B" w:rsidRPr="007811C3">
              <w:rPr>
                <w:sz w:val="22"/>
                <w:szCs w:val="22"/>
                <w:vertAlign w:val="subscript"/>
              </w:rPr>
              <w:t>1c</w:t>
            </w:r>
            <w:r w:rsidR="000C442B" w:rsidRPr="007811C3">
              <w:rPr>
                <w:sz w:val="22"/>
                <w:szCs w:val="22"/>
              </w:rPr>
              <w:t xml:space="preserve"> of -0.33% to be marginally clinically meaningful; however noted that the mean difference could be as low as -0.18%. PBAC considered there is clinical uncertainty about the relationship between intensive glycaemic control and diabetes related complications, including the use of HbA</w:t>
            </w:r>
            <w:r w:rsidR="000C442B" w:rsidRPr="007811C3">
              <w:rPr>
                <w:sz w:val="22"/>
                <w:szCs w:val="22"/>
                <w:vertAlign w:val="subscript"/>
              </w:rPr>
              <w:t>1c</w:t>
            </w:r>
            <w:r w:rsidR="000C442B" w:rsidRPr="007811C3">
              <w:rPr>
                <w:sz w:val="22"/>
                <w:szCs w:val="22"/>
              </w:rPr>
              <w:t xml:space="preserve"> as a surrogate for cardiovascular outcomes. The PBAC noted that the long term safety of liraglutide is unknown.</w:t>
            </w:r>
          </w:p>
        </w:tc>
      </w:tr>
      <w:tr w:rsidR="009E3CAC" w:rsidTr="009E3CAC">
        <w:tc>
          <w:tcPr>
            <w:tcW w:w="1587" w:type="dxa"/>
          </w:tcPr>
          <w:p w:rsidR="000C442B" w:rsidRPr="000C442B" w:rsidRDefault="000C442B" w:rsidP="00501D67">
            <w:pPr>
              <w:spacing w:before="60" w:after="60"/>
              <w:rPr>
                <w:b/>
                <w:sz w:val="22"/>
                <w:szCs w:val="22"/>
                <w:lang w:eastAsia="en-AU"/>
              </w:rPr>
            </w:pPr>
            <w:r w:rsidRPr="000C442B">
              <w:rPr>
                <w:b/>
                <w:sz w:val="22"/>
                <w:szCs w:val="22"/>
                <w:lang w:eastAsia="en-AU"/>
              </w:rPr>
              <w:t>Alogliptin</w:t>
            </w:r>
          </w:p>
        </w:tc>
        <w:tc>
          <w:tcPr>
            <w:tcW w:w="1390" w:type="dxa"/>
          </w:tcPr>
          <w:p w:rsidR="000C442B" w:rsidRPr="00131616" w:rsidRDefault="000C442B" w:rsidP="00501D67">
            <w:pPr>
              <w:spacing w:before="60" w:after="60"/>
              <w:rPr>
                <w:sz w:val="22"/>
                <w:szCs w:val="22"/>
                <w:lang w:eastAsia="en-AU"/>
              </w:rPr>
            </w:pPr>
            <w:r>
              <w:rPr>
                <w:sz w:val="22"/>
                <w:szCs w:val="22"/>
                <w:lang w:eastAsia="en-AU"/>
              </w:rPr>
              <w:t>July 2013</w:t>
            </w:r>
          </w:p>
        </w:tc>
        <w:tc>
          <w:tcPr>
            <w:tcW w:w="1701" w:type="dxa"/>
          </w:tcPr>
          <w:p w:rsidR="000C442B" w:rsidRPr="00131616" w:rsidRDefault="000C442B" w:rsidP="00501D67">
            <w:pPr>
              <w:spacing w:before="60" w:after="60"/>
              <w:rPr>
                <w:sz w:val="22"/>
                <w:szCs w:val="22"/>
                <w:lang w:eastAsia="en-AU"/>
              </w:rPr>
            </w:pPr>
            <w:r>
              <w:rPr>
                <w:sz w:val="22"/>
                <w:szCs w:val="22"/>
                <w:lang w:eastAsia="en-AU"/>
              </w:rPr>
              <w:t>Sitagliptin</w:t>
            </w:r>
          </w:p>
        </w:tc>
        <w:tc>
          <w:tcPr>
            <w:tcW w:w="1276" w:type="dxa"/>
          </w:tcPr>
          <w:p w:rsidR="000C442B" w:rsidRDefault="000C442B" w:rsidP="00501D67">
            <w:pPr>
              <w:spacing w:before="60" w:after="60"/>
              <w:rPr>
                <w:sz w:val="22"/>
                <w:szCs w:val="22"/>
                <w:lang w:eastAsia="en-AU"/>
              </w:rPr>
            </w:pPr>
            <w:r>
              <w:rPr>
                <w:sz w:val="22"/>
                <w:szCs w:val="22"/>
                <w:lang w:eastAsia="en-AU"/>
              </w:rPr>
              <w:t>CMA</w:t>
            </w:r>
          </w:p>
        </w:tc>
        <w:tc>
          <w:tcPr>
            <w:tcW w:w="9214" w:type="dxa"/>
            <w:vAlign w:val="center"/>
          </w:tcPr>
          <w:p w:rsidR="000C442B" w:rsidRPr="007811C3" w:rsidRDefault="000C442B" w:rsidP="007156EB">
            <w:pPr>
              <w:pStyle w:val="ListParagraph"/>
              <w:numPr>
                <w:ilvl w:val="0"/>
                <w:numId w:val="38"/>
              </w:numPr>
              <w:spacing w:line="240" w:lineRule="auto"/>
              <w:ind w:left="317" w:hanging="317"/>
              <w:rPr>
                <w:sz w:val="22"/>
                <w:szCs w:val="22"/>
              </w:rPr>
            </w:pPr>
            <w:r w:rsidRPr="007811C3">
              <w:rPr>
                <w:sz w:val="22"/>
                <w:szCs w:val="22"/>
              </w:rPr>
              <w:t xml:space="preserve">Recommended without the requirement for patients to have contraindications to, or be intolerant of a combination of metformin and a sulfonylurea and that listing should be at a reduced price that takes into account the likely proportion of use in patients who have not trialled a sulfonylurea and where cost-effectiveness has not been established. This restriction and revised prices were subsequently extended to the other </w:t>
            </w:r>
            <w:r w:rsidR="00C15997">
              <w:rPr>
                <w:sz w:val="22"/>
                <w:szCs w:val="22"/>
              </w:rPr>
              <w:t>DPP-4 inhibitors</w:t>
            </w:r>
            <w:r w:rsidRPr="007811C3">
              <w:rPr>
                <w:sz w:val="22"/>
                <w:szCs w:val="22"/>
              </w:rPr>
              <w:t>.</w:t>
            </w:r>
          </w:p>
        </w:tc>
      </w:tr>
      <w:tr w:rsidR="009E3CAC" w:rsidTr="009E3CAC">
        <w:tc>
          <w:tcPr>
            <w:tcW w:w="1587" w:type="dxa"/>
          </w:tcPr>
          <w:p w:rsidR="000C442B" w:rsidRPr="000C442B" w:rsidRDefault="000C442B" w:rsidP="00501D67">
            <w:pPr>
              <w:spacing w:before="60" w:after="60"/>
              <w:rPr>
                <w:b/>
                <w:sz w:val="22"/>
                <w:szCs w:val="22"/>
                <w:lang w:eastAsia="en-AU"/>
              </w:rPr>
            </w:pPr>
            <w:r w:rsidRPr="000C442B">
              <w:rPr>
                <w:b/>
                <w:sz w:val="22"/>
                <w:szCs w:val="22"/>
                <w:lang w:eastAsia="en-AU"/>
              </w:rPr>
              <w:t>Dapagliflozin</w:t>
            </w:r>
          </w:p>
        </w:tc>
        <w:tc>
          <w:tcPr>
            <w:tcW w:w="1390" w:type="dxa"/>
          </w:tcPr>
          <w:p w:rsidR="000C442B" w:rsidRPr="00131616" w:rsidRDefault="000C442B" w:rsidP="00501D67">
            <w:pPr>
              <w:spacing w:before="60" w:after="60"/>
              <w:rPr>
                <w:sz w:val="22"/>
                <w:szCs w:val="22"/>
                <w:lang w:eastAsia="en-AU"/>
              </w:rPr>
            </w:pPr>
            <w:r>
              <w:rPr>
                <w:sz w:val="22"/>
                <w:szCs w:val="22"/>
                <w:lang w:eastAsia="en-AU"/>
              </w:rPr>
              <w:t>July 2013</w:t>
            </w:r>
          </w:p>
        </w:tc>
        <w:tc>
          <w:tcPr>
            <w:tcW w:w="1701" w:type="dxa"/>
          </w:tcPr>
          <w:p w:rsidR="000C442B" w:rsidRPr="00131616" w:rsidRDefault="000C442B" w:rsidP="00501D67">
            <w:pPr>
              <w:spacing w:before="60" w:after="60"/>
              <w:rPr>
                <w:sz w:val="22"/>
                <w:szCs w:val="22"/>
                <w:lang w:eastAsia="en-AU"/>
              </w:rPr>
            </w:pPr>
            <w:r>
              <w:rPr>
                <w:sz w:val="22"/>
                <w:szCs w:val="22"/>
                <w:lang w:eastAsia="en-AU"/>
              </w:rPr>
              <w:t>Sitagliptin</w:t>
            </w:r>
          </w:p>
        </w:tc>
        <w:tc>
          <w:tcPr>
            <w:tcW w:w="1276" w:type="dxa"/>
          </w:tcPr>
          <w:p w:rsidR="000C442B" w:rsidRDefault="000C442B" w:rsidP="00501D67">
            <w:pPr>
              <w:spacing w:before="60" w:after="60"/>
              <w:rPr>
                <w:sz w:val="22"/>
                <w:szCs w:val="22"/>
                <w:lang w:eastAsia="en-AU"/>
              </w:rPr>
            </w:pPr>
            <w:r>
              <w:rPr>
                <w:sz w:val="22"/>
                <w:szCs w:val="22"/>
                <w:lang w:eastAsia="en-AU"/>
              </w:rPr>
              <w:t>CMA</w:t>
            </w:r>
          </w:p>
          <w:p w:rsidR="000C442B" w:rsidRDefault="000C442B" w:rsidP="00501D67">
            <w:pPr>
              <w:spacing w:before="60" w:after="60"/>
              <w:rPr>
                <w:sz w:val="22"/>
                <w:szCs w:val="22"/>
                <w:lang w:eastAsia="en-AU"/>
              </w:rPr>
            </w:pPr>
          </w:p>
          <w:p w:rsidR="000C442B" w:rsidRDefault="000C442B" w:rsidP="00501D67">
            <w:pPr>
              <w:spacing w:before="60" w:after="60"/>
              <w:rPr>
                <w:sz w:val="22"/>
                <w:szCs w:val="22"/>
                <w:lang w:eastAsia="en-AU"/>
              </w:rPr>
            </w:pPr>
          </w:p>
        </w:tc>
        <w:tc>
          <w:tcPr>
            <w:tcW w:w="9214" w:type="dxa"/>
            <w:vMerge w:val="restart"/>
            <w:vAlign w:val="center"/>
          </w:tcPr>
          <w:p w:rsidR="000C442B" w:rsidRPr="007811C3" w:rsidRDefault="000C442B" w:rsidP="007156EB">
            <w:pPr>
              <w:pStyle w:val="ListParagraph"/>
              <w:numPr>
                <w:ilvl w:val="0"/>
                <w:numId w:val="38"/>
              </w:numPr>
              <w:spacing w:before="60" w:after="60" w:line="240" w:lineRule="auto"/>
              <w:ind w:left="317" w:hanging="317"/>
              <w:rPr>
                <w:sz w:val="22"/>
                <w:szCs w:val="22"/>
                <w:lang w:eastAsia="en-AU"/>
              </w:rPr>
            </w:pPr>
            <w:r w:rsidRPr="007811C3">
              <w:rPr>
                <w:sz w:val="22"/>
                <w:szCs w:val="22"/>
              </w:rPr>
              <w:t>PBAC recommended that cost-offsets be applied to account for an increased rate of adverse events such as genital mycotic infections and urinary tract infections.</w:t>
            </w:r>
          </w:p>
          <w:p w:rsidR="000C442B" w:rsidRPr="007811C3" w:rsidRDefault="000C442B" w:rsidP="007156EB">
            <w:pPr>
              <w:pStyle w:val="ListParagraph"/>
              <w:numPr>
                <w:ilvl w:val="0"/>
                <w:numId w:val="38"/>
              </w:numPr>
              <w:spacing w:before="60" w:after="60" w:line="240" w:lineRule="auto"/>
              <w:ind w:left="317" w:hanging="317"/>
              <w:rPr>
                <w:sz w:val="22"/>
                <w:szCs w:val="22"/>
                <w:lang w:eastAsia="en-AU"/>
              </w:rPr>
            </w:pPr>
            <w:r w:rsidRPr="007811C3">
              <w:rPr>
                <w:sz w:val="22"/>
                <w:szCs w:val="22"/>
              </w:rPr>
              <w:t>PBAC considered that an Authority Required (not streamlined) listing would be appropriate for this new class.</w:t>
            </w:r>
          </w:p>
          <w:p w:rsidR="000C442B" w:rsidRPr="007811C3" w:rsidRDefault="000C442B" w:rsidP="007156EB">
            <w:pPr>
              <w:pStyle w:val="ListParagraph"/>
              <w:numPr>
                <w:ilvl w:val="0"/>
                <w:numId w:val="38"/>
              </w:numPr>
              <w:spacing w:before="60" w:after="60" w:line="240" w:lineRule="auto"/>
              <w:ind w:left="317" w:hanging="317"/>
              <w:rPr>
                <w:sz w:val="22"/>
                <w:szCs w:val="22"/>
                <w:lang w:eastAsia="en-AU"/>
              </w:rPr>
            </w:pPr>
            <w:r w:rsidRPr="007811C3">
              <w:rPr>
                <w:sz w:val="22"/>
                <w:szCs w:val="22"/>
              </w:rPr>
              <w:t xml:space="preserve">PBAC considered that the risk of use outside the restriction (patients whose diabetes cannot be successfully managed with a combination of metformin and a sulfonylurea, irrespective of reason ) could </w:t>
            </w:r>
            <w:r w:rsidR="002E65DA">
              <w:rPr>
                <w:sz w:val="22"/>
                <w:szCs w:val="22"/>
              </w:rPr>
              <w:t xml:space="preserve">be </w:t>
            </w:r>
            <w:r w:rsidRPr="007811C3">
              <w:rPr>
                <w:sz w:val="22"/>
                <w:szCs w:val="22"/>
              </w:rPr>
              <w:t>managed through a risk share agreement.</w:t>
            </w:r>
          </w:p>
        </w:tc>
      </w:tr>
      <w:tr w:rsidR="009E3CAC" w:rsidTr="009E3CAC">
        <w:tc>
          <w:tcPr>
            <w:tcW w:w="1587" w:type="dxa"/>
          </w:tcPr>
          <w:p w:rsidR="000C442B" w:rsidRPr="000C442B" w:rsidRDefault="000C442B" w:rsidP="00501D67">
            <w:pPr>
              <w:spacing w:before="60" w:after="60"/>
              <w:rPr>
                <w:b/>
                <w:sz w:val="22"/>
                <w:szCs w:val="22"/>
                <w:lang w:eastAsia="en-AU"/>
              </w:rPr>
            </w:pPr>
            <w:r w:rsidRPr="000C442B">
              <w:rPr>
                <w:b/>
                <w:sz w:val="22"/>
                <w:szCs w:val="22"/>
                <w:lang w:eastAsia="en-AU"/>
              </w:rPr>
              <w:t xml:space="preserve">Canagliflozin </w:t>
            </w:r>
          </w:p>
        </w:tc>
        <w:tc>
          <w:tcPr>
            <w:tcW w:w="1390" w:type="dxa"/>
          </w:tcPr>
          <w:p w:rsidR="000C442B" w:rsidRPr="00131616" w:rsidRDefault="000C442B" w:rsidP="00501D67">
            <w:pPr>
              <w:spacing w:before="60" w:after="60"/>
              <w:rPr>
                <w:sz w:val="22"/>
                <w:szCs w:val="22"/>
                <w:lang w:eastAsia="en-AU"/>
              </w:rPr>
            </w:pPr>
            <w:r>
              <w:rPr>
                <w:sz w:val="22"/>
                <w:szCs w:val="22"/>
                <w:lang w:eastAsia="en-AU"/>
              </w:rPr>
              <w:t>July 2013</w:t>
            </w:r>
          </w:p>
        </w:tc>
        <w:tc>
          <w:tcPr>
            <w:tcW w:w="1701" w:type="dxa"/>
          </w:tcPr>
          <w:p w:rsidR="000C442B" w:rsidRPr="00131616" w:rsidRDefault="000C442B" w:rsidP="00501D67">
            <w:pPr>
              <w:spacing w:before="60" w:after="60"/>
              <w:rPr>
                <w:sz w:val="22"/>
                <w:szCs w:val="22"/>
                <w:lang w:eastAsia="en-AU"/>
              </w:rPr>
            </w:pPr>
            <w:r>
              <w:rPr>
                <w:sz w:val="22"/>
                <w:szCs w:val="22"/>
                <w:lang w:eastAsia="en-AU"/>
              </w:rPr>
              <w:t>Sitagliptin (Dapagliflozin)</w:t>
            </w:r>
          </w:p>
        </w:tc>
        <w:tc>
          <w:tcPr>
            <w:tcW w:w="1276" w:type="dxa"/>
          </w:tcPr>
          <w:p w:rsidR="000C442B" w:rsidRDefault="000C442B" w:rsidP="00501D67">
            <w:pPr>
              <w:spacing w:before="60" w:after="60"/>
              <w:rPr>
                <w:sz w:val="22"/>
                <w:szCs w:val="22"/>
                <w:lang w:eastAsia="en-AU"/>
              </w:rPr>
            </w:pPr>
            <w:r>
              <w:rPr>
                <w:sz w:val="22"/>
                <w:szCs w:val="22"/>
                <w:lang w:eastAsia="en-AU"/>
              </w:rPr>
              <w:t>CMA</w:t>
            </w:r>
          </w:p>
        </w:tc>
        <w:tc>
          <w:tcPr>
            <w:tcW w:w="9214" w:type="dxa"/>
            <w:vMerge/>
            <w:vAlign w:val="center"/>
          </w:tcPr>
          <w:p w:rsidR="000C442B" w:rsidRPr="007811C3" w:rsidRDefault="000C442B" w:rsidP="007156EB">
            <w:pPr>
              <w:pStyle w:val="ListParagraph"/>
              <w:numPr>
                <w:ilvl w:val="0"/>
                <w:numId w:val="38"/>
              </w:numPr>
              <w:spacing w:line="240" w:lineRule="auto"/>
              <w:ind w:left="317" w:hanging="317"/>
              <w:rPr>
                <w:sz w:val="22"/>
                <w:szCs w:val="22"/>
              </w:rPr>
            </w:pPr>
          </w:p>
        </w:tc>
      </w:tr>
      <w:tr w:rsidR="009E3CAC" w:rsidTr="009E3CAC">
        <w:tc>
          <w:tcPr>
            <w:tcW w:w="1587" w:type="dxa"/>
          </w:tcPr>
          <w:p w:rsidR="000C442B" w:rsidRPr="000C442B" w:rsidRDefault="000C442B" w:rsidP="00501D67">
            <w:pPr>
              <w:spacing w:before="60" w:after="60"/>
              <w:rPr>
                <w:b/>
                <w:sz w:val="22"/>
                <w:szCs w:val="22"/>
                <w:lang w:eastAsia="en-AU"/>
              </w:rPr>
            </w:pPr>
            <w:r w:rsidRPr="000C442B">
              <w:rPr>
                <w:b/>
                <w:sz w:val="22"/>
                <w:szCs w:val="22"/>
                <w:lang w:eastAsia="en-AU"/>
              </w:rPr>
              <w:t>Exenatide LA</w:t>
            </w:r>
          </w:p>
        </w:tc>
        <w:tc>
          <w:tcPr>
            <w:tcW w:w="1390" w:type="dxa"/>
          </w:tcPr>
          <w:p w:rsidR="000C442B" w:rsidRPr="00131616" w:rsidRDefault="000C442B" w:rsidP="00501D67">
            <w:pPr>
              <w:spacing w:before="60" w:after="60"/>
              <w:rPr>
                <w:sz w:val="22"/>
                <w:szCs w:val="22"/>
                <w:lang w:eastAsia="en-AU"/>
              </w:rPr>
            </w:pPr>
            <w:r>
              <w:rPr>
                <w:sz w:val="22"/>
                <w:szCs w:val="22"/>
                <w:lang w:eastAsia="en-AU"/>
              </w:rPr>
              <w:t>Nov 2013</w:t>
            </w:r>
          </w:p>
        </w:tc>
        <w:tc>
          <w:tcPr>
            <w:tcW w:w="1701" w:type="dxa"/>
          </w:tcPr>
          <w:p w:rsidR="000C442B" w:rsidRPr="00131616" w:rsidRDefault="000C442B" w:rsidP="00501D67">
            <w:pPr>
              <w:spacing w:before="60" w:after="60"/>
              <w:rPr>
                <w:sz w:val="22"/>
                <w:szCs w:val="22"/>
                <w:lang w:eastAsia="en-AU"/>
              </w:rPr>
            </w:pPr>
            <w:r>
              <w:rPr>
                <w:sz w:val="22"/>
                <w:szCs w:val="22"/>
                <w:lang w:eastAsia="en-AU"/>
              </w:rPr>
              <w:t>Exenatide (Liraglutide)</w:t>
            </w:r>
          </w:p>
        </w:tc>
        <w:tc>
          <w:tcPr>
            <w:tcW w:w="1276" w:type="dxa"/>
          </w:tcPr>
          <w:p w:rsidR="000C442B" w:rsidRDefault="000C442B" w:rsidP="00501D67">
            <w:pPr>
              <w:spacing w:before="60" w:after="60"/>
              <w:rPr>
                <w:sz w:val="22"/>
                <w:szCs w:val="22"/>
                <w:lang w:eastAsia="en-AU"/>
              </w:rPr>
            </w:pPr>
            <w:r>
              <w:rPr>
                <w:sz w:val="22"/>
                <w:szCs w:val="22"/>
                <w:lang w:eastAsia="en-AU"/>
              </w:rPr>
              <w:t>CEA</w:t>
            </w:r>
          </w:p>
        </w:tc>
        <w:tc>
          <w:tcPr>
            <w:tcW w:w="9214" w:type="dxa"/>
            <w:vAlign w:val="center"/>
          </w:tcPr>
          <w:p w:rsidR="000C442B" w:rsidRPr="007811C3" w:rsidRDefault="000C442B" w:rsidP="007156EB">
            <w:pPr>
              <w:pStyle w:val="ListParagraph"/>
              <w:numPr>
                <w:ilvl w:val="0"/>
                <w:numId w:val="38"/>
              </w:numPr>
              <w:spacing w:before="60" w:after="60" w:line="240" w:lineRule="auto"/>
              <w:ind w:left="317" w:hanging="317"/>
              <w:rPr>
                <w:sz w:val="22"/>
                <w:szCs w:val="22"/>
                <w:lang w:eastAsia="en-AU"/>
              </w:rPr>
            </w:pPr>
            <w:r w:rsidRPr="007811C3">
              <w:rPr>
                <w:sz w:val="22"/>
                <w:szCs w:val="22"/>
              </w:rPr>
              <w:t>Considered at least non-inferior and recommended on a cost-minimisation basis to exen</w:t>
            </w:r>
            <w:r w:rsidR="004741DE">
              <w:rPr>
                <w:sz w:val="22"/>
                <w:szCs w:val="22"/>
              </w:rPr>
              <w:t>a</w:t>
            </w:r>
            <w:r w:rsidRPr="007811C3">
              <w:rPr>
                <w:sz w:val="22"/>
                <w:szCs w:val="22"/>
              </w:rPr>
              <w:t>tide. PBAC agreed that the price should be adjusted for reduced needle use.</w:t>
            </w:r>
          </w:p>
          <w:p w:rsidR="000C442B" w:rsidRPr="007811C3" w:rsidRDefault="000C442B" w:rsidP="002E65DA">
            <w:pPr>
              <w:pStyle w:val="ListParagraph"/>
              <w:numPr>
                <w:ilvl w:val="0"/>
                <w:numId w:val="38"/>
              </w:numPr>
              <w:spacing w:before="60" w:after="60" w:line="240" w:lineRule="auto"/>
              <w:ind w:left="317" w:hanging="317"/>
              <w:rPr>
                <w:sz w:val="22"/>
                <w:szCs w:val="22"/>
                <w:lang w:eastAsia="en-AU"/>
              </w:rPr>
            </w:pPr>
            <w:r w:rsidRPr="007811C3">
              <w:rPr>
                <w:sz w:val="22"/>
                <w:szCs w:val="22"/>
                <w:lang w:eastAsia="en-AU"/>
              </w:rPr>
              <w:t xml:space="preserve">There were two previous submissions </w:t>
            </w:r>
            <w:r w:rsidR="002E65DA">
              <w:rPr>
                <w:sz w:val="22"/>
                <w:szCs w:val="22"/>
                <w:lang w:eastAsia="en-AU"/>
              </w:rPr>
              <w:t xml:space="preserve">rejected </w:t>
            </w:r>
            <w:r w:rsidRPr="007811C3">
              <w:rPr>
                <w:sz w:val="22"/>
                <w:szCs w:val="22"/>
                <w:lang w:eastAsia="en-AU"/>
              </w:rPr>
              <w:t xml:space="preserve">(July 2011 and July 2013). The July 2011 submission claimed superior efficacy and equivalent safety. </w:t>
            </w:r>
            <w:r w:rsidRPr="007811C3">
              <w:rPr>
                <w:sz w:val="22"/>
                <w:szCs w:val="22"/>
              </w:rPr>
              <w:t>The PBAC considered the 0.53% difference in HbA</w:t>
            </w:r>
            <w:r w:rsidRPr="007811C3">
              <w:rPr>
                <w:sz w:val="22"/>
                <w:szCs w:val="22"/>
                <w:vertAlign w:val="subscript"/>
              </w:rPr>
              <w:t>1c</w:t>
            </w:r>
            <w:r w:rsidRPr="007811C3">
              <w:rPr>
                <w:sz w:val="22"/>
                <w:szCs w:val="22"/>
              </w:rPr>
              <w:t xml:space="preserve"> from pooling the results of two trials</w:t>
            </w:r>
            <w:r w:rsidR="002E65DA">
              <w:rPr>
                <w:sz w:val="22"/>
                <w:szCs w:val="22"/>
              </w:rPr>
              <w:t xml:space="preserve"> comparing exenatide LA to exenatide,</w:t>
            </w:r>
            <w:r w:rsidRPr="007811C3">
              <w:rPr>
                <w:sz w:val="22"/>
                <w:szCs w:val="22"/>
              </w:rPr>
              <w:t xml:space="preserve"> statistically significant and clinically meaningful. However, there was uncertainty about the pooled result, with large differences in the HbA</w:t>
            </w:r>
            <w:r w:rsidRPr="007811C3">
              <w:rPr>
                <w:sz w:val="22"/>
                <w:szCs w:val="22"/>
                <w:vertAlign w:val="subscript"/>
              </w:rPr>
              <w:t>1c</w:t>
            </w:r>
            <w:r w:rsidRPr="007811C3">
              <w:rPr>
                <w:sz w:val="22"/>
                <w:szCs w:val="22"/>
              </w:rPr>
              <w:t xml:space="preserve"> reduction between the exenatide twice daily arms of the studies. The PBAC considered that the </w:t>
            </w:r>
            <w:r w:rsidR="00A26D2D">
              <w:rPr>
                <w:sz w:val="22"/>
                <w:szCs w:val="22"/>
              </w:rPr>
              <w:t>long term</w:t>
            </w:r>
            <w:r w:rsidRPr="007811C3">
              <w:rPr>
                <w:sz w:val="22"/>
                <w:szCs w:val="22"/>
              </w:rPr>
              <w:t xml:space="preserve"> safety of exenatide LA is unknown.</w:t>
            </w:r>
          </w:p>
        </w:tc>
      </w:tr>
    </w:tbl>
    <w:p w:rsidR="000C442B" w:rsidRDefault="000C442B" w:rsidP="000C442B">
      <w:pPr>
        <w:pStyle w:val="Notes"/>
      </w:pPr>
      <w:r>
        <w:t>CMA = Cost-minimisation analysis; CEA = Cost-effectiveness analysis.</w:t>
      </w:r>
    </w:p>
    <w:p w:rsidR="009E3CAC" w:rsidRDefault="009E3CAC" w:rsidP="000C442B">
      <w:pPr>
        <w:pStyle w:val="Notes"/>
      </w:pPr>
    </w:p>
    <w:p w:rsidR="009E3CAC" w:rsidRPr="00B068DE" w:rsidRDefault="00B07F08" w:rsidP="009E3CAC">
      <w:pPr>
        <w:ind w:left="-567" w:right="-501"/>
        <w:rPr>
          <w:b/>
          <w:lang w:eastAsia="en-AU"/>
        </w:rPr>
      </w:pPr>
      <w:r>
        <w:rPr>
          <w:b/>
          <w:lang w:eastAsia="en-AU"/>
        </w:rPr>
        <w:lastRenderedPageBreak/>
        <w:t>Table 5.4</w:t>
      </w:r>
      <w:r w:rsidR="009E3CAC" w:rsidRPr="00B068DE">
        <w:rPr>
          <w:b/>
          <w:lang w:eastAsia="en-AU"/>
        </w:rPr>
        <w:t>. History of PBAC recommended subm</w:t>
      </w:r>
      <w:r w:rsidR="009E3CAC">
        <w:rPr>
          <w:b/>
          <w:lang w:eastAsia="en-AU"/>
        </w:rPr>
        <w:t>i</w:t>
      </w:r>
      <w:r w:rsidR="009E3CAC" w:rsidRPr="00B068DE">
        <w:rPr>
          <w:b/>
          <w:lang w:eastAsia="en-AU"/>
        </w:rPr>
        <w:t xml:space="preserve">ssions for </w:t>
      </w:r>
      <w:r w:rsidR="009E3CAC">
        <w:rPr>
          <w:b/>
          <w:lang w:eastAsia="en-AU"/>
        </w:rPr>
        <w:t xml:space="preserve">triple </w:t>
      </w:r>
      <w:r w:rsidR="009E3CAC" w:rsidRPr="00B068DE">
        <w:rPr>
          <w:b/>
          <w:lang w:eastAsia="en-AU"/>
        </w:rPr>
        <w:t xml:space="preserve">therapy use of newer diabetes medicines with metformin </w:t>
      </w:r>
      <w:r w:rsidR="009E3CAC">
        <w:rPr>
          <w:b/>
          <w:lang w:eastAsia="en-AU"/>
        </w:rPr>
        <w:t xml:space="preserve">+ </w:t>
      </w:r>
      <w:r w:rsidR="009E3CAC" w:rsidRPr="00B068DE">
        <w:rPr>
          <w:b/>
          <w:lang w:eastAsia="en-AU"/>
        </w:rPr>
        <w:t>sulfonylurea.</w:t>
      </w:r>
    </w:p>
    <w:tbl>
      <w:tblPr>
        <w:tblStyle w:val="TableGrid"/>
        <w:tblW w:w="15168" w:type="dxa"/>
        <w:tblInd w:w="-601" w:type="dxa"/>
        <w:tblLayout w:type="fixed"/>
        <w:tblLook w:val="04A0" w:firstRow="1" w:lastRow="0" w:firstColumn="1" w:lastColumn="0" w:noHBand="0" w:noVBand="1"/>
      </w:tblPr>
      <w:tblGrid>
        <w:gridCol w:w="1587"/>
        <w:gridCol w:w="1698"/>
        <w:gridCol w:w="1819"/>
        <w:gridCol w:w="1275"/>
        <w:gridCol w:w="8789"/>
      </w:tblGrid>
      <w:tr w:rsidR="009E3CAC" w:rsidRPr="00CB6E0E" w:rsidTr="00501D67">
        <w:tc>
          <w:tcPr>
            <w:tcW w:w="1587" w:type="dxa"/>
            <w:shd w:val="clear" w:color="auto" w:fill="D9D9D9" w:themeFill="background1" w:themeFillShade="D9"/>
            <w:vAlign w:val="center"/>
          </w:tcPr>
          <w:p w:rsidR="009E3CAC" w:rsidRPr="00131616" w:rsidRDefault="009E3CAC" w:rsidP="00501D67">
            <w:pPr>
              <w:spacing w:before="60" w:after="60"/>
              <w:rPr>
                <w:b/>
                <w:sz w:val="22"/>
                <w:szCs w:val="22"/>
                <w:lang w:eastAsia="en-AU"/>
              </w:rPr>
            </w:pPr>
            <w:r w:rsidRPr="00131616">
              <w:rPr>
                <w:b/>
                <w:sz w:val="22"/>
                <w:szCs w:val="22"/>
                <w:lang w:eastAsia="en-AU"/>
              </w:rPr>
              <w:t>Medicine</w:t>
            </w:r>
          </w:p>
        </w:tc>
        <w:tc>
          <w:tcPr>
            <w:tcW w:w="1698" w:type="dxa"/>
            <w:shd w:val="clear" w:color="auto" w:fill="D9D9D9" w:themeFill="background1" w:themeFillShade="D9"/>
            <w:vAlign w:val="center"/>
          </w:tcPr>
          <w:p w:rsidR="009E3CAC" w:rsidRPr="00131616" w:rsidRDefault="009E3CAC" w:rsidP="00501D67">
            <w:pPr>
              <w:spacing w:before="60" w:after="60"/>
              <w:rPr>
                <w:b/>
                <w:sz w:val="22"/>
                <w:szCs w:val="22"/>
                <w:lang w:eastAsia="en-AU"/>
              </w:rPr>
            </w:pPr>
            <w:r>
              <w:rPr>
                <w:b/>
                <w:sz w:val="22"/>
                <w:szCs w:val="22"/>
                <w:lang w:eastAsia="en-AU"/>
              </w:rPr>
              <w:t>M</w:t>
            </w:r>
            <w:r w:rsidRPr="00131616">
              <w:rPr>
                <w:b/>
                <w:sz w:val="22"/>
                <w:szCs w:val="22"/>
                <w:lang w:eastAsia="en-AU"/>
              </w:rPr>
              <w:t>eeting</w:t>
            </w:r>
          </w:p>
        </w:tc>
        <w:tc>
          <w:tcPr>
            <w:tcW w:w="1819" w:type="dxa"/>
            <w:shd w:val="clear" w:color="auto" w:fill="D9D9D9" w:themeFill="background1" w:themeFillShade="D9"/>
            <w:vAlign w:val="center"/>
          </w:tcPr>
          <w:p w:rsidR="009E3CAC" w:rsidRDefault="009E3CAC" w:rsidP="00501D67">
            <w:pPr>
              <w:spacing w:before="60" w:after="60"/>
              <w:rPr>
                <w:b/>
                <w:sz w:val="22"/>
                <w:szCs w:val="22"/>
                <w:lang w:eastAsia="en-AU"/>
              </w:rPr>
            </w:pPr>
            <w:r w:rsidRPr="00131616">
              <w:rPr>
                <w:b/>
                <w:sz w:val="22"/>
                <w:szCs w:val="22"/>
                <w:lang w:eastAsia="en-AU"/>
              </w:rPr>
              <w:t>Comparator</w:t>
            </w:r>
          </w:p>
          <w:p w:rsidR="009E3CAC" w:rsidRPr="00131616" w:rsidRDefault="009E3CAC" w:rsidP="00501D67">
            <w:pPr>
              <w:spacing w:before="60" w:after="60"/>
              <w:rPr>
                <w:b/>
                <w:sz w:val="22"/>
                <w:szCs w:val="22"/>
                <w:lang w:eastAsia="en-AU"/>
              </w:rPr>
            </w:pPr>
            <w:r>
              <w:rPr>
                <w:b/>
                <w:sz w:val="22"/>
                <w:szCs w:val="22"/>
                <w:lang w:eastAsia="en-AU"/>
              </w:rPr>
              <w:t>(Secondary)</w:t>
            </w:r>
          </w:p>
        </w:tc>
        <w:tc>
          <w:tcPr>
            <w:tcW w:w="1275" w:type="dxa"/>
            <w:shd w:val="clear" w:color="auto" w:fill="D9D9D9" w:themeFill="background1" w:themeFillShade="D9"/>
            <w:vAlign w:val="center"/>
          </w:tcPr>
          <w:p w:rsidR="009E3CAC" w:rsidRPr="00131616" w:rsidRDefault="009E3CAC" w:rsidP="00501D67">
            <w:pPr>
              <w:spacing w:before="60" w:after="60"/>
              <w:rPr>
                <w:b/>
                <w:sz w:val="22"/>
                <w:szCs w:val="22"/>
                <w:lang w:eastAsia="en-AU"/>
              </w:rPr>
            </w:pPr>
            <w:r>
              <w:rPr>
                <w:b/>
                <w:sz w:val="22"/>
                <w:szCs w:val="22"/>
                <w:lang w:eastAsia="en-AU"/>
              </w:rPr>
              <w:t>CMA/CEA</w:t>
            </w:r>
          </w:p>
        </w:tc>
        <w:tc>
          <w:tcPr>
            <w:tcW w:w="8789" w:type="dxa"/>
            <w:shd w:val="clear" w:color="auto" w:fill="D9D9D9" w:themeFill="background1" w:themeFillShade="D9"/>
            <w:vAlign w:val="center"/>
          </w:tcPr>
          <w:p w:rsidR="009E3CAC" w:rsidRPr="00CB6E0E" w:rsidRDefault="009E3CAC" w:rsidP="00425509">
            <w:pPr>
              <w:spacing w:before="60" w:after="60"/>
              <w:rPr>
                <w:b/>
                <w:sz w:val="22"/>
                <w:szCs w:val="22"/>
                <w:lang w:eastAsia="en-AU"/>
              </w:rPr>
            </w:pPr>
            <w:r w:rsidRPr="00CB6E0E">
              <w:rPr>
                <w:b/>
                <w:sz w:val="22"/>
                <w:szCs w:val="22"/>
                <w:lang w:eastAsia="en-AU"/>
              </w:rPr>
              <w:t>Notes</w:t>
            </w:r>
          </w:p>
        </w:tc>
      </w:tr>
      <w:tr w:rsidR="009E3CAC" w:rsidRPr="007811C3" w:rsidTr="00425509">
        <w:tc>
          <w:tcPr>
            <w:tcW w:w="1587" w:type="dxa"/>
          </w:tcPr>
          <w:p w:rsidR="009E3CAC" w:rsidRPr="000C442B" w:rsidRDefault="009E3CAC" w:rsidP="00501D67">
            <w:pPr>
              <w:spacing w:before="60" w:after="60"/>
              <w:rPr>
                <w:b/>
                <w:sz w:val="22"/>
                <w:szCs w:val="22"/>
                <w:lang w:eastAsia="en-AU"/>
              </w:rPr>
            </w:pPr>
            <w:r w:rsidRPr="000C442B">
              <w:rPr>
                <w:b/>
                <w:sz w:val="22"/>
                <w:szCs w:val="22"/>
                <w:lang w:eastAsia="en-AU"/>
              </w:rPr>
              <w:t>Rosiglitazone</w:t>
            </w:r>
          </w:p>
        </w:tc>
        <w:tc>
          <w:tcPr>
            <w:tcW w:w="1698" w:type="dxa"/>
          </w:tcPr>
          <w:p w:rsidR="009E3CAC" w:rsidRPr="00131616" w:rsidRDefault="009E3CAC" w:rsidP="00501D67">
            <w:pPr>
              <w:spacing w:before="60" w:after="60"/>
              <w:rPr>
                <w:sz w:val="22"/>
                <w:szCs w:val="22"/>
                <w:lang w:eastAsia="en-AU"/>
              </w:rPr>
            </w:pPr>
            <w:r>
              <w:rPr>
                <w:sz w:val="22"/>
                <w:szCs w:val="22"/>
                <w:lang w:eastAsia="en-AU"/>
              </w:rPr>
              <w:t>Nov 2004</w:t>
            </w:r>
          </w:p>
        </w:tc>
        <w:tc>
          <w:tcPr>
            <w:tcW w:w="1819" w:type="dxa"/>
          </w:tcPr>
          <w:p w:rsidR="009E3CAC" w:rsidRPr="00131616" w:rsidRDefault="009E3CAC" w:rsidP="00501D67">
            <w:pPr>
              <w:spacing w:before="60" w:after="60"/>
              <w:rPr>
                <w:sz w:val="22"/>
                <w:szCs w:val="22"/>
                <w:lang w:eastAsia="en-AU"/>
              </w:rPr>
            </w:pPr>
            <w:r w:rsidRPr="002F476C">
              <w:rPr>
                <w:sz w:val="22"/>
                <w:szCs w:val="22"/>
                <w:lang w:eastAsia="en-AU"/>
              </w:rPr>
              <w:t>Insulin</w:t>
            </w:r>
          </w:p>
        </w:tc>
        <w:tc>
          <w:tcPr>
            <w:tcW w:w="1275" w:type="dxa"/>
          </w:tcPr>
          <w:p w:rsidR="009E3CAC" w:rsidRDefault="007F64FB" w:rsidP="00501D67">
            <w:pPr>
              <w:spacing w:before="60" w:after="60"/>
              <w:rPr>
                <w:sz w:val="22"/>
                <w:szCs w:val="22"/>
                <w:lang w:eastAsia="en-AU"/>
              </w:rPr>
            </w:pPr>
            <w:r>
              <w:rPr>
                <w:sz w:val="22"/>
                <w:szCs w:val="22"/>
                <w:lang w:eastAsia="en-AU"/>
              </w:rPr>
              <w:t>CMA</w:t>
            </w:r>
          </w:p>
        </w:tc>
        <w:tc>
          <w:tcPr>
            <w:tcW w:w="8789" w:type="dxa"/>
          </w:tcPr>
          <w:p w:rsidR="009E3CAC" w:rsidRPr="007811C3" w:rsidRDefault="00D15389" w:rsidP="007156EB">
            <w:pPr>
              <w:pStyle w:val="ListParagraph"/>
              <w:numPr>
                <w:ilvl w:val="0"/>
                <w:numId w:val="39"/>
              </w:numPr>
              <w:spacing w:before="60" w:after="60" w:line="240" w:lineRule="auto"/>
              <w:ind w:left="317" w:hanging="317"/>
              <w:rPr>
                <w:sz w:val="22"/>
                <w:szCs w:val="22"/>
                <w:lang w:eastAsia="en-AU"/>
              </w:rPr>
            </w:pPr>
            <w:r>
              <w:rPr>
                <w:sz w:val="22"/>
                <w:szCs w:val="22"/>
                <w:lang w:eastAsia="en-AU"/>
              </w:rPr>
              <w:t>Listing removed</w:t>
            </w:r>
            <w:r w:rsidR="009A52D3">
              <w:rPr>
                <w:sz w:val="22"/>
                <w:szCs w:val="22"/>
                <w:lang w:eastAsia="en-AU"/>
              </w:rPr>
              <w:t xml:space="preserve"> in Februa</w:t>
            </w:r>
            <w:r w:rsidR="009E3CAC">
              <w:rPr>
                <w:sz w:val="22"/>
                <w:szCs w:val="22"/>
                <w:lang w:eastAsia="en-AU"/>
              </w:rPr>
              <w:t>ry 2009</w:t>
            </w:r>
            <w:r>
              <w:rPr>
                <w:sz w:val="22"/>
                <w:szCs w:val="22"/>
                <w:lang w:eastAsia="en-AU"/>
              </w:rPr>
              <w:t>, due to safety concerns.</w:t>
            </w:r>
          </w:p>
        </w:tc>
      </w:tr>
      <w:tr w:rsidR="009E3CAC" w:rsidRPr="007811C3" w:rsidTr="00425509">
        <w:tc>
          <w:tcPr>
            <w:tcW w:w="1587" w:type="dxa"/>
          </w:tcPr>
          <w:p w:rsidR="009E3CAC" w:rsidRPr="000C442B" w:rsidRDefault="009E3CAC" w:rsidP="00501D67">
            <w:pPr>
              <w:spacing w:before="60" w:after="60"/>
              <w:rPr>
                <w:b/>
                <w:sz w:val="22"/>
                <w:szCs w:val="22"/>
                <w:lang w:eastAsia="en-AU"/>
              </w:rPr>
            </w:pPr>
            <w:r w:rsidRPr="000C442B">
              <w:rPr>
                <w:b/>
                <w:sz w:val="22"/>
                <w:szCs w:val="22"/>
                <w:lang w:eastAsia="en-AU"/>
              </w:rPr>
              <w:t>Pioglitazone</w:t>
            </w:r>
          </w:p>
        </w:tc>
        <w:tc>
          <w:tcPr>
            <w:tcW w:w="1698" w:type="dxa"/>
          </w:tcPr>
          <w:p w:rsidR="009E3CAC" w:rsidRPr="00131616" w:rsidRDefault="00D15389" w:rsidP="00501D67">
            <w:pPr>
              <w:spacing w:before="60" w:after="60"/>
              <w:rPr>
                <w:sz w:val="22"/>
                <w:szCs w:val="22"/>
                <w:lang w:eastAsia="en-AU"/>
              </w:rPr>
            </w:pPr>
            <w:r>
              <w:rPr>
                <w:sz w:val="22"/>
                <w:szCs w:val="22"/>
                <w:lang w:eastAsia="en-AU"/>
              </w:rPr>
              <w:t>Nov 2007</w:t>
            </w:r>
          </w:p>
        </w:tc>
        <w:tc>
          <w:tcPr>
            <w:tcW w:w="1819" w:type="dxa"/>
          </w:tcPr>
          <w:p w:rsidR="009E3CAC" w:rsidRPr="00131616" w:rsidRDefault="00D15389" w:rsidP="00501D67">
            <w:pPr>
              <w:spacing w:before="60" w:after="60"/>
              <w:rPr>
                <w:sz w:val="22"/>
                <w:szCs w:val="22"/>
                <w:lang w:eastAsia="en-AU"/>
              </w:rPr>
            </w:pPr>
            <w:r>
              <w:rPr>
                <w:sz w:val="22"/>
                <w:szCs w:val="22"/>
                <w:lang w:eastAsia="en-AU"/>
              </w:rPr>
              <w:t>Rosiglitazone</w:t>
            </w:r>
          </w:p>
        </w:tc>
        <w:tc>
          <w:tcPr>
            <w:tcW w:w="1275" w:type="dxa"/>
          </w:tcPr>
          <w:p w:rsidR="009E3CAC" w:rsidRDefault="007F64FB" w:rsidP="00501D67">
            <w:pPr>
              <w:spacing w:before="60" w:after="60"/>
              <w:rPr>
                <w:sz w:val="22"/>
                <w:szCs w:val="22"/>
                <w:lang w:eastAsia="en-AU"/>
              </w:rPr>
            </w:pPr>
            <w:r>
              <w:rPr>
                <w:sz w:val="22"/>
                <w:szCs w:val="22"/>
                <w:lang w:eastAsia="en-AU"/>
              </w:rPr>
              <w:t>CMA</w:t>
            </w:r>
          </w:p>
        </w:tc>
        <w:tc>
          <w:tcPr>
            <w:tcW w:w="8789" w:type="dxa"/>
          </w:tcPr>
          <w:p w:rsidR="009E3CAC" w:rsidRPr="0022195D" w:rsidRDefault="009E3CAC" w:rsidP="00425509">
            <w:pPr>
              <w:spacing w:before="60" w:after="60"/>
              <w:ind w:left="317" w:hanging="317"/>
              <w:rPr>
                <w:sz w:val="22"/>
                <w:szCs w:val="22"/>
                <w:lang w:eastAsia="en-AU"/>
              </w:rPr>
            </w:pPr>
          </w:p>
        </w:tc>
      </w:tr>
      <w:tr w:rsidR="009E3CAC" w:rsidRPr="007811C3" w:rsidTr="00425509">
        <w:tc>
          <w:tcPr>
            <w:tcW w:w="1587" w:type="dxa"/>
          </w:tcPr>
          <w:p w:rsidR="009E3CAC" w:rsidRPr="000C442B" w:rsidRDefault="009E3CAC" w:rsidP="00501D67">
            <w:pPr>
              <w:spacing w:before="60" w:after="60"/>
              <w:rPr>
                <w:b/>
                <w:sz w:val="22"/>
                <w:szCs w:val="22"/>
                <w:lang w:eastAsia="en-AU"/>
              </w:rPr>
            </w:pPr>
            <w:r>
              <w:rPr>
                <w:b/>
                <w:sz w:val="22"/>
                <w:szCs w:val="22"/>
                <w:lang w:eastAsia="en-AU"/>
              </w:rPr>
              <w:t>Exenatide</w:t>
            </w:r>
          </w:p>
        </w:tc>
        <w:tc>
          <w:tcPr>
            <w:tcW w:w="1698" w:type="dxa"/>
          </w:tcPr>
          <w:p w:rsidR="009E3CAC" w:rsidRPr="00131616" w:rsidRDefault="00D15389" w:rsidP="00501D67">
            <w:pPr>
              <w:spacing w:before="60" w:after="60"/>
              <w:rPr>
                <w:sz w:val="22"/>
                <w:szCs w:val="22"/>
                <w:lang w:eastAsia="en-AU"/>
              </w:rPr>
            </w:pPr>
            <w:r>
              <w:rPr>
                <w:sz w:val="22"/>
                <w:szCs w:val="22"/>
                <w:lang w:eastAsia="en-AU"/>
              </w:rPr>
              <w:t>No</w:t>
            </w:r>
            <w:r w:rsidR="009A52D3">
              <w:rPr>
                <w:sz w:val="22"/>
                <w:szCs w:val="22"/>
                <w:lang w:eastAsia="en-AU"/>
              </w:rPr>
              <w:t>v</w:t>
            </w:r>
            <w:r>
              <w:rPr>
                <w:sz w:val="22"/>
                <w:szCs w:val="22"/>
                <w:lang w:eastAsia="en-AU"/>
              </w:rPr>
              <w:t xml:space="preserve"> 2008</w:t>
            </w:r>
          </w:p>
        </w:tc>
        <w:tc>
          <w:tcPr>
            <w:tcW w:w="1819" w:type="dxa"/>
          </w:tcPr>
          <w:p w:rsidR="009E3CAC" w:rsidRPr="00131616" w:rsidRDefault="00D15389" w:rsidP="00501D67">
            <w:pPr>
              <w:spacing w:before="60" w:after="60"/>
              <w:rPr>
                <w:sz w:val="22"/>
                <w:szCs w:val="22"/>
                <w:lang w:eastAsia="en-AU"/>
              </w:rPr>
            </w:pPr>
            <w:r>
              <w:rPr>
                <w:sz w:val="22"/>
                <w:szCs w:val="22"/>
                <w:lang w:eastAsia="en-AU"/>
              </w:rPr>
              <w:t>Insulin glargine</w:t>
            </w:r>
          </w:p>
        </w:tc>
        <w:tc>
          <w:tcPr>
            <w:tcW w:w="1275" w:type="dxa"/>
          </w:tcPr>
          <w:p w:rsidR="009E3CAC" w:rsidRDefault="00FD6EBA" w:rsidP="00501D67">
            <w:pPr>
              <w:spacing w:before="60" w:after="60"/>
              <w:rPr>
                <w:sz w:val="22"/>
                <w:szCs w:val="22"/>
                <w:lang w:eastAsia="en-AU"/>
              </w:rPr>
            </w:pPr>
            <w:r>
              <w:rPr>
                <w:sz w:val="22"/>
                <w:szCs w:val="22"/>
                <w:lang w:eastAsia="en-AU"/>
              </w:rPr>
              <w:t>CMA</w:t>
            </w:r>
          </w:p>
        </w:tc>
        <w:tc>
          <w:tcPr>
            <w:tcW w:w="8789" w:type="dxa"/>
          </w:tcPr>
          <w:p w:rsidR="009E3CAC" w:rsidRPr="00D15389" w:rsidRDefault="00C97FE1" w:rsidP="007156EB">
            <w:pPr>
              <w:pStyle w:val="ListParagraph"/>
              <w:numPr>
                <w:ilvl w:val="0"/>
                <w:numId w:val="40"/>
              </w:numPr>
              <w:spacing w:before="60" w:after="60" w:line="240" w:lineRule="auto"/>
              <w:ind w:left="317" w:hanging="317"/>
              <w:rPr>
                <w:sz w:val="22"/>
                <w:szCs w:val="22"/>
                <w:lang w:eastAsia="en-AU"/>
              </w:rPr>
            </w:pPr>
            <w:r>
              <w:rPr>
                <w:sz w:val="22"/>
                <w:szCs w:val="22"/>
              </w:rPr>
              <w:t>Refer to Table 5.3</w:t>
            </w:r>
            <w:r w:rsidR="00425509">
              <w:rPr>
                <w:sz w:val="22"/>
                <w:szCs w:val="22"/>
              </w:rPr>
              <w:t>.</w:t>
            </w:r>
          </w:p>
        </w:tc>
      </w:tr>
      <w:tr w:rsidR="00D15389" w:rsidRPr="007811C3" w:rsidTr="00425509">
        <w:tc>
          <w:tcPr>
            <w:tcW w:w="1587" w:type="dxa"/>
          </w:tcPr>
          <w:p w:rsidR="00D15389" w:rsidRDefault="00D15389" w:rsidP="00501D67">
            <w:pPr>
              <w:spacing w:before="60" w:after="60"/>
              <w:rPr>
                <w:b/>
                <w:sz w:val="22"/>
                <w:szCs w:val="22"/>
                <w:lang w:eastAsia="en-AU"/>
              </w:rPr>
            </w:pPr>
            <w:r>
              <w:rPr>
                <w:b/>
                <w:sz w:val="22"/>
                <w:szCs w:val="22"/>
                <w:lang w:eastAsia="en-AU"/>
              </w:rPr>
              <w:t>Liraglutide</w:t>
            </w:r>
          </w:p>
        </w:tc>
        <w:tc>
          <w:tcPr>
            <w:tcW w:w="1698" w:type="dxa"/>
          </w:tcPr>
          <w:p w:rsidR="00D15389" w:rsidRDefault="00D15389" w:rsidP="00501D67">
            <w:pPr>
              <w:spacing w:before="60" w:after="60"/>
              <w:rPr>
                <w:sz w:val="22"/>
                <w:szCs w:val="22"/>
                <w:lang w:eastAsia="en-AU"/>
              </w:rPr>
            </w:pPr>
            <w:r>
              <w:rPr>
                <w:sz w:val="22"/>
                <w:szCs w:val="22"/>
                <w:lang w:eastAsia="en-AU"/>
              </w:rPr>
              <w:t>March 2013</w:t>
            </w:r>
          </w:p>
        </w:tc>
        <w:tc>
          <w:tcPr>
            <w:tcW w:w="1819" w:type="dxa"/>
          </w:tcPr>
          <w:p w:rsidR="00D15389" w:rsidRDefault="00D15389" w:rsidP="00501D67">
            <w:pPr>
              <w:spacing w:before="60" w:after="60"/>
              <w:rPr>
                <w:sz w:val="22"/>
                <w:szCs w:val="22"/>
                <w:lang w:eastAsia="en-AU"/>
              </w:rPr>
            </w:pPr>
            <w:r>
              <w:rPr>
                <w:sz w:val="22"/>
                <w:szCs w:val="22"/>
                <w:lang w:eastAsia="en-AU"/>
              </w:rPr>
              <w:t>Exenatide</w:t>
            </w:r>
          </w:p>
        </w:tc>
        <w:tc>
          <w:tcPr>
            <w:tcW w:w="1275" w:type="dxa"/>
          </w:tcPr>
          <w:p w:rsidR="00D15389" w:rsidRDefault="00FD6EBA" w:rsidP="00501D67">
            <w:pPr>
              <w:spacing w:before="60" w:after="60"/>
              <w:rPr>
                <w:sz w:val="22"/>
                <w:szCs w:val="22"/>
                <w:lang w:eastAsia="en-AU"/>
              </w:rPr>
            </w:pPr>
            <w:r>
              <w:rPr>
                <w:sz w:val="22"/>
                <w:szCs w:val="22"/>
                <w:lang w:eastAsia="en-AU"/>
              </w:rPr>
              <w:t>CMA</w:t>
            </w:r>
          </w:p>
        </w:tc>
        <w:tc>
          <w:tcPr>
            <w:tcW w:w="8789" w:type="dxa"/>
          </w:tcPr>
          <w:p w:rsidR="00D15389" w:rsidRPr="00425509" w:rsidRDefault="00C97FE1" w:rsidP="007156EB">
            <w:pPr>
              <w:pStyle w:val="ListParagraph"/>
              <w:numPr>
                <w:ilvl w:val="0"/>
                <w:numId w:val="40"/>
              </w:numPr>
              <w:spacing w:before="60" w:after="60" w:line="240" w:lineRule="auto"/>
              <w:ind w:left="317" w:hanging="317"/>
              <w:rPr>
                <w:sz w:val="22"/>
                <w:szCs w:val="22"/>
              </w:rPr>
            </w:pPr>
            <w:r>
              <w:rPr>
                <w:sz w:val="22"/>
                <w:szCs w:val="22"/>
              </w:rPr>
              <w:t>Refer to Table 5.3</w:t>
            </w:r>
            <w:r w:rsidR="00425509" w:rsidRPr="00425509">
              <w:rPr>
                <w:sz w:val="22"/>
                <w:szCs w:val="22"/>
              </w:rPr>
              <w:t>.</w:t>
            </w:r>
          </w:p>
        </w:tc>
      </w:tr>
      <w:tr w:rsidR="00D15389" w:rsidRPr="007811C3" w:rsidTr="00425509">
        <w:tc>
          <w:tcPr>
            <w:tcW w:w="1587" w:type="dxa"/>
          </w:tcPr>
          <w:p w:rsidR="00D15389" w:rsidRDefault="00D15389" w:rsidP="00501D67">
            <w:pPr>
              <w:spacing w:before="60" w:after="60"/>
              <w:rPr>
                <w:b/>
                <w:sz w:val="22"/>
                <w:szCs w:val="22"/>
                <w:lang w:eastAsia="en-AU"/>
              </w:rPr>
            </w:pPr>
            <w:r>
              <w:rPr>
                <w:b/>
                <w:sz w:val="22"/>
                <w:szCs w:val="22"/>
                <w:lang w:eastAsia="en-AU"/>
              </w:rPr>
              <w:t>Exenatide LA</w:t>
            </w:r>
          </w:p>
        </w:tc>
        <w:tc>
          <w:tcPr>
            <w:tcW w:w="1698" w:type="dxa"/>
          </w:tcPr>
          <w:p w:rsidR="00D15389" w:rsidRDefault="00D15389" w:rsidP="00501D67">
            <w:pPr>
              <w:spacing w:before="60" w:after="60"/>
              <w:rPr>
                <w:sz w:val="22"/>
                <w:szCs w:val="22"/>
                <w:lang w:eastAsia="en-AU"/>
              </w:rPr>
            </w:pPr>
            <w:r>
              <w:rPr>
                <w:sz w:val="22"/>
                <w:szCs w:val="22"/>
                <w:lang w:eastAsia="en-AU"/>
              </w:rPr>
              <w:t>Nov 2013</w:t>
            </w:r>
          </w:p>
        </w:tc>
        <w:tc>
          <w:tcPr>
            <w:tcW w:w="1819" w:type="dxa"/>
          </w:tcPr>
          <w:p w:rsidR="00D15389" w:rsidRDefault="00D15389" w:rsidP="00501D67">
            <w:pPr>
              <w:spacing w:before="60" w:after="60"/>
              <w:rPr>
                <w:sz w:val="22"/>
                <w:szCs w:val="22"/>
                <w:lang w:eastAsia="en-AU"/>
              </w:rPr>
            </w:pPr>
            <w:r>
              <w:rPr>
                <w:sz w:val="22"/>
                <w:szCs w:val="22"/>
                <w:lang w:eastAsia="en-AU"/>
              </w:rPr>
              <w:t>Exenatide</w:t>
            </w:r>
            <w:r w:rsidR="00FD6EBA">
              <w:rPr>
                <w:sz w:val="22"/>
                <w:szCs w:val="22"/>
                <w:lang w:eastAsia="en-AU"/>
              </w:rPr>
              <w:t xml:space="preserve"> (Liraglutide)</w:t>
            </w:r>
          </w:p>
        </w:tc>
        <w:tc>
          <w:tcPr>
            <w:tcW w:w="1275" w:type="dxa"/>
          </w:tcPr>
          <w:p w:rsidR="00D15389" w:rsidRDefault="00FD6EBA" w:rsidP="00501D67">
            <w:pPr>
              <w:spacing w:before="60" w:after="60"/>
              <w:rPr>
                <w:sz w:val="22"/>
                <w:szCs w:val="22"/>
                <w:lang w:eastAsia="en-AU"/>
              </w:rPr>
            </w:pPr>
            <w:r>
              <w:rPr>
                <w:sz w:val="22"/>
                <w:szCs w:val="22"/>
                <w:lang w:eastAsia="en-AU"/>
              </w:rPr>
              <w:t>CEA</w:t>
            </w:r>
          </w:p>
        </w:tc>
        <w:tc>
          <w:tcPr>
            <w:tcW w:w="8789" w:type="dxa"/>
          </w:tcPr>
          <w:p w:rsidR="00D15389" w:rsidRPr="00FD6EBA" w:rsidRDefault="00C97FE1" w:rsidP="007156EB">
            <w:pPr>
              <w:pStyle w:val="ListParagraph"/>
              <w:numPr>
                <w:ilvl w:val="0"/>
                <w:numId w:val="40"/>
              </w:numPr>
              <w:spacing w:before="60" w:after="60" w:line="240" w:lineRule="auto"/>
              <w:ind w:left="317" w:hanging="317"/>
              <w:rPr>
                <w:sz w:val="22"/>
                <w:szCs w:val="22"/>
                <w:lang w:eastAsia="en-AU"/>
              </w:rPr>
            </w:pPr>
            <w:r>
              <w:rPr>
                <w:sz w:val="22"/>
                <w:szCs w:val="22"/>
              </w:rPr>
              <w:t>Refer to Table 5.3</w:t>
            </w:r>
            <w:r w:rsidR="00425509">
              <w:rPr>
                <w:sz w:val="22"/>
                <w:szCs w:val="22"/>
              </w:rPr>
              <w:t>.</w:t>
            </w:r>
          </w:p>
        </w:tc>
      </w:tr>
    </w:tbl>
    <w:p w:rsidR="004741DE" w:rsidRDefault="004741DE" w:rsidP="004741DE">
      <w:pPr>
        <w:pStyle w:val="Notes"/>
      </w:pPr>
      <w:r>
        <w:t>CMA = Cost-minimisation analysis; CEA = Cost-effectiveness analysis.</w:t>
      </w:r>
    </w:p>
    <w:p w:rsidR="00D15389" w:rsidRDefault="00D15389" w:rsidP="00D15389">
      <w:pPr>
        <w:pStyle w:val="Notes"/>
        <w:sectPr w:rsidR="00D15389" w:rsidSect="000C442B">
          <w:pgSz w:w="16838" w:h="11906" w:orient="landscape"/>
          <w:pgMar w:top="1440" w:right="1440" w:bottom="1440" w:left="1440" w:header="708" w:footer="708" w:gutter="0"/>
          <w:cols w:space="708"/>
          <w:titlePg/>
          <w:docGrid w:linePitch="360"/>
        </w:sectPr>
      </w:pPr>
    </w:p>
    <w:p w:rsidR="00501D67" w:rsidRDefault="00501D67" w:rsidP="00501D67">
      <w:pPr>
        <w:pStyle w:val="Heading5"/>
        <w:rPr>
          <w:lang w:eastAsia="en-AU"/>
        </w:rPr>
      </w:pPr>
      <w:r>
        <w:rPr>
          <w:lang w:eastAsia="en-AU"/>
        </w:rPr>
        <w:lastRenderedPageBreak/>
        <w:t>Combination therapy with insulin</w:t>
      </w:r>
    </w:p>
    <w:p w:rsidR="00501D67" w:rsidRDefault="00501D67" w:rsidP="00501D67">
      <w:pPr>
        <w:rPr>
          <w:lang w:eastAsia="en-AU"/>
        </w:rPr>
      </w:pPr>
      <w:r>
        <w:rPr>
          <w:lang w:eastAsia="en-AU"/>
        </w:rPr>
        <w:t>Pioglitazone is the only newer diabetes medicine currently listed for combination therapy with insulin (recommended for listing in September 2001). The PBS listing of rosiglitazone in triple therapy was removed in October 2008 following safety concerns.</w:t>
      </w:r>
    </w:p>
    <w:p w:rsidR="00501D67" w:rsidRDefault="00501D67" w:rsidP="00501D67">
      <w:r>
        <w:rPr>
          <w:lang w:eastAsia="en-AU"/>
        </w:rPr>
        <w:t xml:space="preserve">The PBAC rejected submissions to list dapagliflozin and saxagliptin in triple therapy with insulin in March 2012 and July 2012, respectively. In both submissions, pioglitazone was nominated as the comparator. The PBAC considered that insulin should also be considered a comparator, as some use </w:t>
      </w:r>
      <w:r>
        <w:t>of these agen</w:t>
      </w:r>
      <w:r w:rsidR="00C97FE1">
        <w:t>ts would be for</w:t>
      </w:r>
      <w:r>
        <w:t xml:space="preserve"> patients with the objective of reducing the dose of concomitant insulin, reducing hypoglycaemia and/or improving diabetes control. </w:t>
      </w:r>
    </w:p>
    <w:p w:rsidR="00501D67" w:rsidRDefault="00501D67" w:rsidP="00501D67">
      <w:r>
        <w:t xml:space="preserve">Both submissions excluded </w:t>
      </w:r>
      <w:r w:rsidRPr="00883BA9">
        <w:rPr>
          <w:lang w:eastAsia="en-AU"/>
        </w:rPr>
        <w:t>PNFP-014</w:t>
      </w:r>
      <w:r>
        <w:rPr>
          <w:lang w:eastAsia="en-AU"/>
        </w:rPr>
        <w:t xml:space="preserve">, </w:t>
      </w:r>
      <w:r>
        <w:t>the pivotal trial in the September 2001 pioglitazone submission.</w:t>
      </w:r>
      <w:r w:rsidR="0093455B" w:rsidRPr="00DF4210">
        <w:rPr>
          <w:vertAlign w:val="superscript"/>
        </w:rPr>
        <w:t>55</w:t>
      </w:r>
      <w:r>
        <w:rPr>
          <w:lang w:eastAsia="en-AU"/>
        </w:rPr>
        <w:t xml:space="preserve"> The PBAC did not accept the claim of non-inferior efficacy, as the non-inferiority criterion was not met in either submission when PNFP-014 was included. The PBAC accepted the claim of equivalent safety for saxagliptin, but did not accept the claim of non-inferior safety in the dapagliflozin submission, due to concerns about the </w:t>
      </w:r>
      <w:r w:rsidR="00A26D2D">
        <w:rPr>
          <w:lang w:eastAsia="en-AU"/>
        </w:rPr>
        <w:t>long term</w:t>
      </w:r>
      <w:r>
        <w:rPr>
          <w:lang w:eastAsia="en-AU"/>
        </w:rPr>
        <w:t xml:space="preserve"> safety with dapagliflozin and incre</w:t>
      </w:r>
      <w:r>
        <w:t xml:space="preserve">ased risk of urinary and genital tract infections. </w:t>
      </w:r>
    </w:p>
    <w:p w:rsidR="000C442B" w:rsidRPr="00422AD1" w:rsidRDefault="003776A5" w:rsidP="00501D67">
      <w:pPr>
        <w:pStyle w:val="Heading5"/>
        <w:rPr>
          <w:lang w:eastAsia="en-AU"/>
        </w:rPr>
      </w:pPr>
      <w:r>
        <w:t>FDC</w:t>
      </w:r>
      <w:r w:rsidR="00501D67">
        <w:t>s</w:t>
      </w:r>
    </w:p>
    <w:p w:rsidR="00501D67" w:rsidRPr="005846CA" w:rsidRDefault="00501D67" w:rsidP="00501D67">
      <w:pPr>
        <w:rPr>
          <w:rFonts w:ascii="Times New Roman" w:hAnsi="Times New Roman" w:cs="Times New Roman"/>
          <w:lang w:eastAsia="en-AU"/>
        </w:rPr>
      </w:pPr>
      <w:r>
        <w:rPr>
          <w:lang w:eastAsia="en-AU"/>
        </w:rPr>
        <w:t xml:space="preserve">All the </w:t>
      </w:r>
      <w:r w:rsidR="003776A5">
        <w:rPr>
          <w:lang w:eastAsia="en-AU"/>
        </w:rPr>
        <w:t>FDC</w:t>
      </w:r>
      <w:r>
        <w:rPr>
          <w:lang w:eastAsia="en-AU"/>
        </w:rPr>
        <w:t xml:space="preserve">s include metformin or metformin XR (with the exception of the </w:t>
      </w:r>
      <w:r>
        <w:t>simvastatin + sitagliptin combination which is no longer listed)</w:t>
      </w:r>
      <w:r>
        <w:rPr>
          <w:lang w:eastAsia="en-AU"/>
        </w:rPr>
        <w:t xml:space="preserve">. </w:t>
      </w:r>
      <w:r w:rsidR="000A6AEE">
        <w:rPr>
          <w:lang w:eastAsia="en-AU"/>
        </w:rPr>
        <w:t>T</w:t>
      </w:r>
      <w:r>
        <w:t xml:space="preserve">he PBAC </w:t>
      </w:r>
      <w:r w:rsidR="000A6AEE">
        <w:t xml:space="preserve">has generally </w:t>
      </w:r>
      <w:r>
        <w:t>recommended listing of the</w:t>
      </w:r>
      <w:r w:rsidR="007D6969">
        <w:t xml:space="preserve"> </w:t>
      </w:r>
      <w:r w:rsidR="000A6AEE">
        <w:t xml:space="preserve">metformin + </w:t>
      </w:r>
      <w:r w:rsidR="002772EC">
        <w:t>DPP-4 inhibitor</w:t>
      </w:r>
      <w:r w:rsidR="000A6AEE">
        <w:t xml:space="preserve"> </w:t>
      </w:r>
      <w:r w:rsidR="003776A5">
        <w:t>FDC</w:t>
      </w:r>
      <w:r w:rsidR="007D6969">
        <w:t>s</w:t>
      </w:r>
      <w:r>
        <w:t xml:space="preserve"> on a cost-m</w:t>
      </w:r>
      <w:r w:rsidR="007D6969">
        <w:t>inimisation basis with the components</w:t>
      </w:r>
      <w:r w:rsidR="000A6AEE">
        <w:t xml:space="preserve"> (noting the reduced </w:t>
      </w:r>
      <w:r w:rsidR="002772EC">
        <w:t>DPP-4 inhibitor</w:t>
      </w:r>
      <w:r w:rsidR="000A6AEE">
        <w:t xml:space="preserve"> prices introduced to account for use where cost-effectiveness has not been demostrated)</w:t>
      </w:r>
      <w:r>
        <w:t>.</w:t>
      </w:r>
      <w:r w:rsidR="00400E16">
        <w:t xml:space="preserve"> </w:t>
      </w:r>
    </w:p>
    <w:p w:rsidR="00520162" w:rsidRDefault="00520162" w:rsidP="00520162"/>
    <w:p w:rsidR="0092384C" w:rsidRDefault="006B3BE4" w:rsidP="006B3BE4">
      <w:pPr>
        <w:pStyle w:val="Heading3"/>
      </w:pPr>
      <w:r>
        <w:t>5.4.4  Outcomes</w:t>
      </w:r>
    </w:p>
    <w:p w:rsidR="00E353F2" w:rsidRPr="00422AD1" w:rsidRDefault="00E353F2" w:rsidP="00E353F2">
      <w:r>
        <w:t>All</w:t>
      </w:r>
      <w:r w:rsidRPr="003A1AEC">
        <w:t xml:space="preserve"> of the submissions for the newer diabetes medicines reviewed by PBAC have</w:t>
      </w:r>
      <w:r>
        <w:t xml:space="preserve"> presented</w:t>
      </w:r>
      <w:r w:rsidRPr="003A1AEC">
        <w:t xml:space="preserve"> </w:t>
      </w:r>
      <w:r>
        <w:t xml:space="preserve">data on mean </w:t>
      </w:r>
      <w:r w:rsidRPr="003A1AEC">
        <w:t>change in HbA</w:t>
      </w:r>
      <w:r w:rsidRPr="00E353F2">
        <w:rPr>
          <w:vertAlign w:val="subscript"/>
        </w:rPr>
        <w:t>1c</w:t>
      </w:r>
      <w:r>
        <w:t xml:space="preserve"> from baseline</w:t>
      </w:r>
      <w:r w:rsidRPr="003A1AEC">
        <w:t xml:space="preserve">. </w:t>
      </w:r>
      <w:r>
        <w:t>O</w:t>
      </w:r>
      <w:r w:rsidRPr="003A1AEC">
        <w:t xml:space="preserve">ther outcomes </w:t>
      </w:r>
      <w:r>
        <w:t xml:space="preserve">reported include: </w:t>
      </w:r>
      <w:r w:rsidRPr="003A1AEC">
        <w:t>proportions of HbA</w:t>
      </w:r>
      <w:r w:rsidRPr="00E353F2">
        <w:rPr>
          <w:vertAlign w:val="subscript"/>
        </w:rPr>
        <w:t>1c</w:t>
      </w:r>
      <w:r w:rsidRPr="003A1AEC">
        <w:t xml:space="preserve"> responders, changes in fasting plasma glucose,</w:t>
      </w:r>
      <w:r>
        <w:t xml:space="preserve"> hypoglycaemia, </w:t>
      </w:r>
      <w:r w:rsidRPr="003A1AEC">
        <w:t>weight</w:t>
      </w:r>
      <w:r>
        <w:t xml:space="preserve"> management, lipid profiles, insulin resistance/sensitivity, reduction in insulin requirement and time to treatment failure</w:t>
      </w:r>
      <w:r w:rsidRPr="003A1AEC">
        <w:t>.</w:t>
      </w:r>
    </w:p>
    <w:p w:rsidR="006B3BE4" w:rsidRDefault="006B3BE4" w:rsidP="006B3BE4">
      <w:pPr>
        <w:pStyle w:val="Heading5"/>
        <w:rPr>
          <w:vertAlign w:val="subscript"/>
        </w:rPr>
      </w:pPr>
      <w:r>
        <w:t>HbA</w:t>
      </w:r>
      <w:r w:rsidRPr="006B3BE4">
        <w:rPr>
          <w:vertAlign w:val="subscript"/>
        </w:rPr>
        <w:t>1c</w:t>
      </w:r>
    </w:p>
    <w:p w:rsidR="005B54B5" w:rsidRDefault="0037187C" w:rsidP="0037187C">
      <w:r>
        <w:t>The majority of submissions presented data on glycosylated haemoglobin (HbA</w:t>
      </w:r>
      <w:r w:rsidRPr="00E353F2">
        <w:rPr>
          <w:vertAlign w:val="subscript"/>
        </w:rPr>
        <w:t>1c</w:t>
      </w:r>
      <w:r>
        <w:t>) outcomes (e.g. change from baseline, responder analyses using various thresholds)</w:t>
      </w:r>
      <w:r w:rsidR="00E353F2">
        <w:t xml:space="preserve"> and </w:t>
      </w:r>
      <w:r w:rsidR="00E353F2" w:rsidRPr="003A1AEC">
        <w:t xml:space="preserve">many of the submissions attempt to establish non-inferiority in terms of glycaemic control. </w:t>
      </w:r>
      <w:r>
        <w:t>The PBAC has never accepted a claim of superiority based on HbA</w:t>
      </w:r>
      <w:r w:rsidRPr="00E353F2">
        <w:rPr>
          <w:vertAlign w:val="subscript"/>
        </w:rPr>
        <w:t>1c</w:t>
      </w:r>
      <w:r>
        <w:t xml:space="preserve"> outcomes (due to difficulty in translating differences in HbA</w:t>
      </w:r>
      <w:r w:rsidRPr="00E353F2">
        <w:rPr>
          <w:vertAlign w:val="subscript"/>
        </w:rPr>
        <w:t>1c</w:t>
      </w:r>
      <w:r>
        <w:t xml:space="preserve"> to clinical outcomes), but has previously acknowledged marginal differences in change in HbA</w:t>
      </w:r>
      <w:r w:rsidRPr="00E353F2">
        <w:rPr>
          <w:vertAlign w:val="subscript"/>
        </w:rPr>
        <w:t>1c</w:t>
      </w:r>
      <w:r>
        <w:t xml:space="preserve">. When presented, the </w:t>
      </w:r>
      <w:r>
        <w:lastRenderedPageBreak/>
        <w:t>nominated non-inferiority margin for change in HbA</w:t>
      </w:r>
      <w:r w:rsidRPr="00E353F2">
        <w:rPr>
          <w:vertAlign w:val="subscript"/>
        </w:rPr>
        <w:t>1c</w:t>
      </w:r>
      <w:r>
        <w:t xml:space="preserve"> from baseline generally ranged from 0.3% to 0.4%. </w:t>
      </w:r>
    </w:p>
    <w:p w:rsidR="0037187C" w:rsidRDefault="007F3DDC" w:rsidP="0037187C">
      <w:r>
        <w:t>T</w:t>
      </w:r>
      <w:r w:rsidRPr="00646A56">
        <w:t xml:space="preserve">he </w:t>
      </w:r>
      <w:r w:rsidR="008111FA">
        <w:t>European Medicines Agency (</w:t>
      </w:r>
      <w:r w:rsidRPr="00646A56">
        <w:t>EMA</w:t>
      </w:r>
      <w:r w:rsidR="008111FA">
        <w:t>)</w:t>
      </w:r>
      <w:r>
        <w:t xml:space="preserve"> guidance suggests that </w:t>
      </w:r>
      <w:r w:rsidRPr="00646A56">
        <w:t xml:space="preserve">a non-inferiority margin of 0.3% is generally </w:t>
      </w:r>
      <w:r>
        <w:t>acceptable,</w:t>
      </w:r>
      <w:r w:rsidR="0093455B" w:rsidRPr="00DF4210">
        <w:rPr>
          <w:vertAlign w:val="superscript"/>
        </w:rPr>
        <w:t>56</w:t>
      </w:r>
      <w:r>
        <w:t xml:space="preserve"> and </w:t>
      </w:r>
      <w:r w:rsidRPr="00646A56">
        <w:t>the draft Food and Drug Administration (FDA) guidance</w:t>
      </w:r>
      <w:r>
        <w:t xml:space="preserve"> </w:t>
      </w:r>
      <w:r w:rsidRPr="00646A56">
        <w:t>suggests that a non-inferiority margin of 0.3% or 0.4% is typically accepted.</w:t>
      </w:r>
      <w:r w:rsidR="0093455B" w:rsidRPr="00DF4210">
        <w:rPr>
          <w:vertAlign w:val="superscript"/>
        </w:rPr>
        <w:t>57</w:t>
      </w:r>
      <w:r w:rsidRPr="00646A56">
        <w:t xml:space="preserve"> </w:t>
      </w:r>
      <w:r w:rsidR="000556CB">
        <w:t xml:space="preserve">The </w:t>
      </w:r>
      <w:r w:rsidR="007D4ED5">
        <w:t xml:space="preserve">Stage 1 Blood Glucose Test Strips Review and the </w:t>
      </w:r>
      <w:r w:rsidR="000556CB">
        <w:t xml:space="preserve">Stage 2 </w:t>
      </w:r>
      <w:r w:rsidR="00000235">
        <w:t xml:space="preserve">Insulin Pumps </w:t>
      </w:r>
      <w:r w:rsidR="000556CB">
        <w:t xml:space="preserve">Review, </w:t>
      </w:r>
      <w:r w:rsidR="007D4ED5">
        <w:t xml:space="preserve">generally </w:t>
      </w:r>
      <w:r w:rsidR="000556CB">
        <w:t xml:space="preserve">considered a </w:t>
      </w:r>
      <w:r w:rsidR="000556CB" w:rsidRPr="003E1F05">
        <w:t xml:space="preserve">0.5% reduction </w:t>
      </w:r>
      <w:r w:rsidR="000556CB">
        <w:t>in HbA</w:t>
      </w:r>
      <w:r w:rsidR="000556CB" w:rsidRPr="000556CB">
        <w:rPr>
          <w:vertAlign w:val="subscript"/>
        </w:rPr>
        <w:t>1c</w:t>
      </w:r>
      <w:r w:rsidR="000556CB">
        <w:t xml:space="preserve"> </w:t>
      </w:r>
      <w:r w:rsidR="000556CB" w:rsidRPr="003E1F05">
        <w:t>to be of clinical significance</w:t>
      </w:r>
      <w:r w:rsidR="000556CB">
        <w:t>,</w:t>
      </w:r>
      <w:r w:rsidR="0093455B" w:rsidRPr="00DF4210">
        <w:rPr>
          <w:vertAlign w:val="superscript"/>
        </w:rPr>
        <w:t>58</w:t>
      </w:r>
      <w:r w:rsidR="00DF4210" w:rsidRPr="00DF4210">
        <w:rPr>
          <w:vertAlign w:val="superscript"/>
        </w:rPr>
        <w:t xml:space="preserve">; </w:t>
      </w:r>
      <w:r w:rsidR="0093455B" w:rsidRPr="00DF4210">
        <w:rPr>
          <w:vertAlign w:val="superscript"/>
        </w:rPr>
        <w:t>59</w:t>
      </w:r>
      <w:r w:rsidR="000556CB">
        <w:t xml:space="preserve"> noting that</w:t>
      </w:r>
      <w:r w:rsidR="000556CB" w:rsidRPr="003E1F05">
        <w:t xml:space="preserve"> there is n</w:t>
      </w:r>
      <w:r w:rsidR="000556CB">
        <w:t xml:space="preserve">o consensus on this issue and </w:t>
      </w:r>
      <w:r w:rsidR="000556CB" w:rsidRPr="003E1F05">
        <w:t>smaller reduction</w:t>
      </w:r>
      <w:r w:rsidR="000556CB">
        <w:t>s</w:t>
      </w:r>
      <w:r w:rsidR="000556CB" w:rsidRPr="003E1F05">
        <w:t xml:space="preserve"> may be considered important from a public health perspective if achieved on a wide scale</w:t>
      </w:r>
      <w:r w:rsidR="000556CB">
        <w:t>.</w:t>
      </w:r>
      <w:r w:rsidR="0093455B" w:rsidRPr="00DF4210">
        <w:rPr>
          <w:vertAlign w:val="superscript"/>
        </w:rPr>
        <w:t>60</w:t>
      </w:r>
    </w:p>
    <w:p w:rsidR="00E353F2" w:rsidRPr="00422AD1" w:rsidRDefault="00E353F2" w:rsidP="00E353F2">
      <w:r>
        <w:t>N</w:t>
      </w:r>
      <w:r w:rsidRPr="003A1AEC">
        <w:t>o clear independent effect of glycaemic control on macrovascular complications has been demonstrated and the effect on premature mortality remains uncertain.</w:t>
      </w:r>
      <w:r w:rsidR="0093455B" w:rsidRPr="001E0DCC">
        <w:rPr>
          <w:vertAlign w:val="superscript"/>
        </w:rPr>
        <w:t>6</w:t>
      </w:r>
      <w:r w:rsidRPr="003A1AEC">
        <w:t xml:space="preserve"> </w:t>
      </w:r>
      <w:r w:rsidRPr="0039187C">
        <w:t>A Cochrane review investigating intensive glycaemic control versus conventional glycaemic control found that there is insufficient evidence to demonstrate an effect on all-cause or cardiovascular mortality. Intensive glycaemic control may reduce the occurrence of non-fatal myocardial infarction</w:t>
      </w:r>
      <w:r w:rsidR="005B54B5">
        <w:t xml:space="preserve"> (MI)</w:t>
      </w:r>
      <w:r w:rsidRPr="0039187C">
        <w:t xml:space="preserve">, lower extremity amputation and microvascular disease; but these </w:t>
      </w:r>
      <w:r>
        <w:t xml:space="preserve">measured </w:t>
      </w:r>
      <w:r w:rsidRPr="0039187C">
        <w:t>effects</w:t>
      </w:r>
      <w:r>
        <w:t xml:space="preserve"> in studies</w:t>
      </w:r>
      <w:r w:rsidRPr="0039187C">
        <w:t xml:space="preserve"> are </w:t>
      </w:r>
      <w:r>
        <w:t xml:space="preserve">of </w:t>
      </w:r>
      <w:r w:rsidRPr="0039187C">
        <w:t xml:space="preserve">uncertain </w:t>
      </w:r>
      <w:r>
        <w:t xml:space="preserve">reliability </w:t>
      </w:r>
      <w:r w:rsidRPr="0039187C">
        <w:t xml:space="preserve">and may be due to the risks of bias and </w:t>
      </w:r>
      <w:r>
        <w:t>random errors</w:t>
      </w:r>
      <w:r w:rsidRPr="0039187C">
        <w:t>.</w:t>
      </w:r>
      <w:r w:rsidR="0093455B" w:rsidRPr="00DF4210">
        <w:rPr>
          <w:vertAlign w:val="superscript"/>
        </w:rPr>
        <w:t>61</w:t>
      </w:r>
    </w:p>
    <w:p w:rsidR="006B3BE4" w:rsidRDefault="006B3BE4" w:rsidP="006B3BE4">
      <w:pPr>
        <w:pStyle w:val="Heading5"/>
      </w:pPr>
      <w:r>
        <w:t>Macrovascular and microvascular</w:t>
      </w:r>
    </w:p>
    <w:p w:rsidR="0037187C" w:rsidRDefault="0037187C" w:rsidP="0037187C">
      <w:r>
        <w:t xml:space="preserve">None of the newer diabetes medicine submissions has presented microvascular/ macrovascular events as a key outcome. However, the PBAC has considered additional data on cardiovascular safety for two </w:t>
      </w:r>
      <w:r w:rsidR="00C15997">
        <w:t>DPP-4 inhibitors</w:t>
      </w:r>
      <w:r>
        <w:t>.</w:t>
      </w:r>
      <w:r w:rsidR="0093455B" w:rsidRPr="00835E73">
        <w:rPr>
          <w:vertAlign w:val="superscript"/>
        </w:rPr>
        <w:t>4</w:t>
      </w:r>
      <w:r w:rsidR="00835E73" w:rsidRPr="00835E73">
        <w:rPr>
          <w:vertAlign w:val="superscript"/>
        </w:rPr>
        <w:t xml:space="preserve">; </w:t>
      </w:r>
      <w:r w:rsidR="0093455B" w:rsidRPr="00835E73">
        <w:rPr>
          <w:vertAlign w:val="superscript"/>
        </w:rPr>
        <w:t>5</w:t>
      </w:r>
      <w:r w:rsidR="00CC342F">
        <w:t xml:space="preserve"> </w:t>
      </w:r>
      <w:r w:rsidR="00CC342F" w:rsidRPr="00411253">
        <w:t>The PBAC noted that saxagliptin did not increase or decrease the rate of ischaemic events, though the rate of hospitalisation for heart failure was increased. The PBAC also noted that rates of major adverse cardiovascular events were not increased with alogliptin as compared with placebo.</w:t>
      </w:r>
    </w:p>
    <w:p w:rsidR="0037187C" w:rsidRDefault="005B54B5" w:rsidP="0037187C">
      <w:r>
        <w:t xml:space="preserve">The PBAC </w:t>
      </w:r>
      <w:r w:rsidR="0037187C">
        <w:t>also noted other limitations of the clinical evidence, including the lack of long term safety data (particularly given the safety issues that arose after the listing of rosiglitazone) and uncertain applicability of the clinical evidence (e.g. duration of treatment, background therapies, treatment details).</w:t>
      </w:r>
    </w:p>
    <w:p w:rsidR="0037187C" w:rsidRDefault="0037187C" w:rsidP="0037187C">
      <w:pPr>
        <w:pStyle w:val="Heading5"/>
      </w:pPr>
      <w:r>
        <w:t>Other outcomes</w:t>
      </w:r>
    </w:p>
    <w:p w:rsidR="00CC342F" w:rsidRPr="00422AD1" w:rsidRDefault="0037187C" w:rsidP="00CC342F">
      <w:r>
        <w:t xml:space="preserve">Some submissions have made additional claims based on other outcomes such as weight management and hypoglycaemia. The PBAC has previously acknowledged that there may be differences between treatments in regards to these outcomes, but the magnitude and clinical importance of these differences has not been adequately demonstrated. </w:t>
      </w:r>
      <w:r w:rsidR="00CC342F" w:rsidRPr="003A1AEC">
        <w:t xml:space="preserve">The lack of </w:t>
      </w:r>
      <w:r w:rsidR="00A26D2D">
        <w:t>long term</w:t>
      </w:r>
      <w:r w:rsidR="00CC342F" w:rsidRPr="003A1AEC">
        <w:t xml:space="preserve"> clinical outcome and safety data has been identified as an area of concern.</w:t>
      </w:r>
      <w:r w:rsidR="00CC342F" w:rsidRPr="000C680E">
        <w:t xml:space="preserve"> </w:t>
      </w:r>
    </w:p>
    <w:p w:rsidR="0037187C" w:rsidRDefault="0037187C" w:rsidP="0037187C"/>
    <w:p w:rsidR="006B3BE4" w:rsidRPr="006B3BE4" w:rsidRDefault="006B3BE4" w:rsidP="00520162">
      <w:pPr>
        <w:pStyle w:val="Heading3"/>
        <w:keepLines/>
      </w:pPr>
      <w:r>
        <w:lastRenderedPageBreak/>
        <w:t xml:space="preserve">5.4.5  </w:t>
      </w:r>
      <w:r w:rsidR="00E463F6">
        <w:t>PBAC’s reasons for rejec</w:t>
      </w:r>
      <w:r w:rsidR="00CC342F">
        <w:t>ting</w:t>
      </w:r>
      <w:r>
        <w:t xml:space="preserve"> requests for PBS listings</w:t>
      </w:r>
    </w:p>
    <w:p w:rsidR="00CC342F" w:rsidRPr="00422AD1" w:rsidRDefault="00CC342F" w:rsidP="00520162">
      <w:pPr>
        <w:keepNext/>
        <w:keepLines/>
      </w:pPr>
      <w:r w:rsidRPr="003A1AEC">
        <w:t xml:space="preserve">The PBAC’s reasons for rejection were analysed for key themes, </w:t>
      </w:r>
      <w:r w:rsidR="005B54B5">
        <w:t xml:space="preserve">which are </w:t>
      </w:r>
      <w:r w:rsidRPr="003A1AEC">
        <w:t>summarised below.</w:t>
      </w:r>
    </w:p>
    <w:p w:rsidR="00CC342F" w:rsidRPr="00422AD1" w:rsidRDefault="00CC342F" w:rsidP="00520162">
      <w:pPr>
        <w:keepNext/>
        <w:keepLines/>
      </w:pPr>
      <w:r w:rsidRPr="003A1AEC">
        <w:t>Comparator issues</w:t>
      </w:r>
      <w:r>
        <w:t>:</w:t>
      </w:r>
    </w:p>
    <w:p w:rsidR="00CC342F" w:rsidRPr="00422AD1" w:rsidRDefault="00CC342F" w:rsidP="007156EB">
      <w:pPr>
        <w:pStyle w:val="ListParagraph"/>
        <w:keepNext/>
        <w:keepLines/>
        <w:numPr>
          <w:ilvl w:val="0"/>
          <w:numId w:val="40"/>
        </w:numPr>
      </w:pPr>
      <w:r>
        <w:t>C</w:t>
      </w:r>
      <w:r w:rsidRPr="003A1AEC">
        <w:t>omparator’s pharmacological mechanism of action meant it was not the most appropriate choice.</w:t>
      </w:r>
    </w:p>
    <w:p w:rsidR="00CC342F" w:rsidRPr="00422AD1" w:rsidRDefault="00CC342F" w:rsidP="007156EB">
      <w:pPr>
        <w:pStyle w:val="ListParagraph"/>
        <w:numPr>
          <w:ilvl w:val="0"/>
          <w:numId w:val="40"/>
        </w:numPr>
      </w:pPr>
      <w:r>
        <w:t>Different m</w:t>
      </w:r>
      <w:r w:rsidRPr="003A1AEC">
        <w:t xml:space="preserve">ode </w:t>
      </w:r>
      <w:r>
        <w:t xml:space="preserve">of </w:t>
      </w:r>
      <w:r w:rsidRPr="003A1AEC">
        <w:t>administration.</w:t>
      </w:r>
    </w:p>
    <w:p w:rsidR="00CC342F" w:rsidRPr="00422AD1" w:rsidRDefault="00CC342F" w:rsidP="007156EB">
      <w:pPr>
        <w:pStyle w:val="ListParagraph"/>
        <w:numPr>
          <w:ilvl w:val="0"/>
          <w:numId w:val="40"/>
        </w:numPr>
      </w:pPr>
      <w:r w:rsidRPr="003A1AEC">
        <w:t xml:space="preserve">Consideration of multiple or alternate comparators, where the appropriate comparator(s) is uncertain or unlikely to account for all substitutions. </w:t>
      </w:r>
    </w:p>
    <w:p w:rsidR="00CC342F" w:rsidRDefault="00CC342F" w:rsidP="007156EB">
      <w:pPr>
        <w:pStyle w:val="ListParagraph"/>
        <w:numPr>
          <w:ilvl w:val="0"/>
          <w:numId w:val="40"/>
        </w:numPr>
      </w:pPr>
      <w:r w:rsidRPr="003A1AEC">
        <w:t xml:space="preserve">Consideration of insulin as a comparator, given that the use of concomitant </w:t>
      </w:r>
      <w:r>
        <w:t xml:space="preserve">diabetes </w:t>
      </w:r>
      <w:r w:rsidRPr="003A1AEC">
        <w:t xml:space="preserve">medicines with insulin may facilitate reduction in the dose of insulin. </w:t>
      </w:r>
    </w:p>
    <w:p w:rsidR="00CC342F" w:rsidRDefault="00CC342F" w:rsidP="007156EB">
      <w:pPr>
        <w:pStyle w:val="ListParagraph"/>
        <w:numPr>
          <w:ilvl w:val="0"/>
          <w:numId w:val="40"/>
        </w:numPr>
      </w:pPr>
      <w:r>
        <w:t>Comparator no longer appropriate, due to changing place in clinical practice and safety concerns.</w:t>
      </w:r>
    </w:p>
    <w:p w:rsidR="00CC342F" w:rsidRPr="00422AD1" w:rsidRDefault="00CC342F" w:rsidP="00CC342F">
      <w:r w:rsidRPr="003A1AEC">
        <w:t>Clinical data issues</w:t>
      </w:r>
      <w:r>
        <w:t>:</w:t>
      </w:r>
    </w:p>
    <w:p w:rsidR="00CC342F" w:rsidRPr="00422AD1" w:rsidRDefault="00CC342F" w:rsidP="007156EB">
      <w:pPr>
        <w:pStyle w:val="ListParagraph"/>
        <w:numPr>
          <w:ilvl w:val="0"/>
          <w:numId w:val="44"/>
        </w:numPr>
      </w:pPr>
      <w:r>
        <w:t>I</w:t>
      </w:r>
      <w:r w:rsidRPr="003A1AEC">
        <w:t xml:space="preserve">nadequate </w:t>
      </w:r>
      <w:r w:rsidR="005B54B5">
        <w:t xml:space="preserve">data </w:t>
      </w:r>
      <w:r w:rsidRPr="003A1AEC">
        <w:t>to support the therapeutic claim.</w:t>
      </w:r>
    </w:p>
    <w:p w:rsidR="00CC342F" w:rsidRPr="00422AD1" w:rsidRDefault="00CC342F" w:rsidP="007156EB">
      <w:pPr>
        <w:pStyle w:val="ListParagraph"/>
        <w:numPr>
          <w:ilvl w:val="0"/>
          <w:numId w:val="44"/>
        </w:numPr>
      </w:pPr>
      <w:r w:rsidRPr="003A1AEC">
        <w:t xml:space="preserve">Small magnitude of benefit. </w:t>
      </w:r>
    </w:p>
    <w:p w:rsidR="00CC342F" w:rsidRPr="00422AD1" w:rsidRDefault="00CC342F" w:rsidP="007156EB">
      <w:pPr>
        <w:pStyle w:val="ListParagraph"/>
        <w:numPr>
          <w:ilvl w:val="0"/>
          <w:numId w:val="44"/>
        </w:numPr>
      </w:pPr>
      <w:r w:rsidRPr="00CC342F">
        <w:rPr>
          <w:snapToGrid w:val="0"/>
        </w:rPr>
        <w:t>Inconsistency.</w:t>
      </w:r>
    </w:p>
    <w:p w:rsidR="00CC342F" w:rsidRPr="00422AD1" w:rsidRDefault="00CC342F" w:rsidP="007156EB">
      <w:pPr>
        <w:pStyle w:val="ListParagraph"/>
        <w:numPr>
          <w:ilvl w:val="0"/>
          <w:numId w:val="44"/>
        </w:numPr>
      </w:pPr>
      <w:r>
        <w:t>C</w:t>
      </w:r>
      <w:r w:rsidRPr="003A1AEC">
        <w:t>linical uncertainty about the relationship between intensive glycaemic control and diabetes related complications, including the use of HbA</w:t>
      </w:r>
      <w:r w:rsidRPr="00CC342F">
        <w:rPr>
          <w:vertAlign w:val="subscript"/>
        </w:rPr>
        <w:t>1c</w:t>
      </w:r>
      <w:r w:rsidRPr="003A1AEC">
        <w:t xml:space="preserve"> as a surrogate for cardiovascular outcomes.</w:t>
      </w:r>
    </w:p>
    <w:p w:rsidR="00CC342F" w:rsidRPr="00CC342F" w:rsidRDefault="00CC342F" w:rsidP="007156EB">
      <w:pPr>
        <w:pStyle w:val="ListParagraph"/>
        <w:numPr>
          <w:ilvl w:val="0"/>
          <w:numId w:val="44"/>
        </w:numPr>
        <w:rPr>
          <w:rFonts w:eastAsia="Calibri"/>
          <w:snapToGrid w:val="0"/>
        </w:rPr>
      </w:pPr>
      <w:r w:rsidRPr="003A1AEC">
        <w:t>Clinical claims based on</w:t>
      </w:r>
      <w:r>
        <w:t xml:space="preserve"> other</w:t>
      </w:r>
      <w:r w:rsidRPr="003A1AEC">
        <w:t xml:space="preserve"> surrogate measures (e.g. weight </w:t>
      </w:r>
      <w:r>
        <w:t>management</w:t>
      </w:r>
      <w:r w:rsidRPr="00CC342F">
        <w:rPr>
          <w:rFonts w:eastAsia="Calibri"/>
        </w:rPr>
        <w:t>)</w:t>
      </w:r>
      <w:r w:rsidRPr="003A1AEC">
        <w:t xml:space="preserve">. </w:t>
      </w:r>
    </w:p>
    <w:p w:rsidR="00CC342F" w:rsidRPr="00422AD1" w:rsidRDefault="00CC342F" w:rsidP="007156EB">
      <w:pPr>
        <w:pStyle w:val="ListParagraph"/>
        <w:numPr>
          <w:ilvl w:val="0"/>
          <w:numId w:val="44"/>
        </w:numPr>
      </w:pPr>
      <w:r>
        <w:rPr>
          <w:snapToGrid w:val="0"/>
        </w:rPr>
        <w:t>L</w:t>
      </w:r>
      <w:r w:rsidRPr="00CC342F">
        <w:rPr>
          <w:snapToGrid w:val="0"/>
        </w:rPr>
        <w:t xml:space="preserve">ack of </w:t>
      </w:r>
      <w:r w:rsidR="00A26D2D">
        <w:t>long term</w:t>
      </w:r>
      <w:r w:rsidRPr="003A1AEC">
        <w:t xml:space="preserve"> </w:t>
      </w:r>
      <w:r w:rsidRPr="00CC342F">
        <w:rPr>
          <w:snapToGrid w:val="0"/>
        </w:rPr>
        <w:t>clinical outcome data</w:t>
      </w:r>
      <w:r w:rsidRPr="003A1AEC">
        <w:t>.</w:t>
      </w:r>
    </w:p>
    <w:p w:rsidR="00CC342F" w:rsidRPr="00422AD1" w:rsidRDefault="00CC342F" w:rsidP="007156EB">
      <w:pPr>
        <w:pStyle w:val="ListParagraph"/>
        <w:numPr>
          <w:ilvl w:val="0"/>
          <w:numId w:val="44"/>
        </w:numPr>
      </w:pPr>
      <w:r>
        <w:t>L</w:t>
      </w:r>
      <w:r w:rsidRPr="003A1AEC">
        <w:t>ack of head-to-head comparisons. Differences in the common comparator arms</w:t>
      </w:r>
      <w:r>
        <w:t xml:space="preserve"> for indirect comparisons</w:t>
      </w:r>
      <w:r w:rsidRPr="003A1AEC">
        <w:t xml:space="preserve"> further contributed to the uncertainty. </w:t>
      </w:r>
    </w:p>
    <w:p w:rsidR="00CC342F" w:rsidRPr="00422AD1" w:rsidRDefault="00CC342F" w:rsidP="007156EB">
      <w:pPr>
        <w:pStyle w:val="ListParagraph"/>
        <w:numPr>
          <w:ilvl w:val="0"/>
          <w:numId w:val="44"/>
        </w:numPr>
      </w:pPr>
      <w:r w:rsidRPr="00CC342F">
        <w:rPr>
          <w:snapToGrid w:val="0"/>
        </w:rPr>
        <w:t xml:space="preserve">Quality of the data supporting </w:t>
      </w:r>
      <w:r w:rsidR="005B54B5">
        <w:rPr>
          <w:snapToGrid w:val="0"/>
        </w:rPr>
        <w:t>the clinical claim. For example</w:t>
      </w:r>
      <w:r w:rsidRPr="00CC342F">
        <w:rPr>
          <w:snapToGrid w:val="0"/>
        </w:rPr>
        <w:t>, the use of observational data and subjective outcomes from open-label studies.</w:t>
      </w:r>
    </w:p>
    <w:p w:rsidR="00CC342F" w:rsidRPr="00422AD1" w:rsidRDefault="00CC342F" w:rsidP="007156EB">
      <w:pPr>
        <w:pStyle w:val="ListParagraph"/>
        <w:numPr>
          <w:ilvl w:val="0"/>
          <w:numId w:val="44"/>
        </w:numPr>
      </w:pPr>
      <w:r w:rsidRPr="003A1AEC">
        <w:t>Inadequate basis for the selective inclusion/exclusion of trials.</w:t>
      </w:r>
    </w:p>
    <w:p w:rsidR="00CC342F" w:rsidRPr="00422AD1" w:rsidRDefault="00CC342F" w:rsidP="007156EB">
      <w:pPr>
        <w:pStyle w:val="ListParagraph"/>
        <w:numPr>
          <w:ilvl w:val="0"/>
          <w:numId w:val="44"/>
        </w:numPr>
      </w:pPr>
      <w:r w:rsidRPr="003A1AEC">
        <w:t>Safety concerns, including the unknown long term safety profile.</w:t>
      </w:r>
    </w:p>
    <w:p w:rsidR="00CC342F" w:rsidRPr="005F7E31" w:rsidRDefault="00CC342F" w:rsidP="007156EB">
      <w:pPr>
        <w:pStyle w:val="ListParagraph"/>
        <w:numPr>
          <w:ilvl w:val="0"/>
          <w:numId w:val="44"/>
        </w:numPr>
      </w:pPr>
      <w:r>
        <w:rPr>
          <w:snapToGrid w:val="0"/>
        </w:rPr>
        <w:t>A</w:t>
      </w:r>
      <w:r w:rsidRPr="00CC342F">
        <w:rPr>
          <w:snapToGrid w:val="0"/>
        </w:rPr>
        <w:t>pplicability of the trials in clinical practice, e.g. dosing and intensification of therapy.</w:t>
      </w:r>
    </w:p>
    <w:p w:rsidR="002936E1" w:rsidRPr="002936E1" w:rsidRDefault="00CC342F" w:rsidP="007156EB">
      <w:pPr>
        <w:pStyle w:val="ListParagraph"/>
        <w:numPr>
          <w:ilvl w:val="0"/>
          <w:numId w:val="44"/>
        </w:numPr>
      </w:pPr>
      <w:r w:rsidRPr="002936E1">
        <w:rPr>
          <w:snapToGrid w:val="0"/>
        </w:rPr>
        <w:t>Clinical and safety data presented were not</w:t>
      </w:r>
      <w:r w:rsidR="005B54B5">
        <w:rPr>
          <w:snapToGrid w:val="0"/>
        </w:rPr>
        <w:t xml:space="preserve"> up to date</w:t>
      </w:r>
      <w:r w:rsidRPr="002936E1">
        <w:rPr>
          <w:snapToGrid w:val="0"/>
        </w:rPr>
        <w:t xml:space="preserve">. </w:t>
      </w:r>
    </w:p>
    <w:p w:rsidR="00CC342F" w:rsidRDefault="00CC342F" w:rsidP="007156EB">
      <w:pPr>
        <w:pStyle w:val="ListParagraph"/>
        <w:numPr>
          <w:ilvl w:val="0"/>
          <w:numId w:val="44"/>
        </w:numPr>
      </w:pPr>
      <w:r w:rsidRPr="002936E1">
        <w:rPr>
          <w:snapToGrid w:val="0"/>
        </w:rPr>
        <w:t>Applicability of the trial population to the proposed PBS population (HbA</w:t>
      </w:r>
      <w:r w:rsidRPr="002936E1">
        <w:rPr>
          <w:snapToGrid w:val="0"/>
          <w:vertAlign w:val="subscript"/>
        </w:rPr>
        <w:t>1c</w:t>
      </w:r>
      <w:r w:rsidRPr="002936E1">
        <w:rPr>
          <w:snapToGrid w:val="0"/>
        </w:rPr>
        <w:t xml:space="preserve"> and age</w:t>
      </w:r>
      <w:r w:rsidR="002936E1">
        <w:rPr>
          <w:snapToGrid w:val="0"/>
        </w:rPr>
        <w:t>)</w:t>
      </w:r>
      <w:r w:rsidRPr="002936E1">
        <w:rPr>
          <w:snapToGrid w:val="0"/>
        </w:rPr>
        <w:t>.</w:t>
      </w:r>
    </w:p>
    <w:p w:rsidR="00B87F22" w:rsidRDefault="00101507" w:rsidP="009F3469">
      <w:pPr>
        <w:pStyle w:val="Heading1"/>
        <w:rPr>
          <w:rStyle w:val="Heading1Char"/>
          <w:b/>
        </w:rPr>
      </w:pPr>
      <w:bookmarkStart w:id="276" w:name="_Part_6_–_1"/>
      <w:bookmarkEnd w:id="276"/>
      <w:r>
        <w:br w:type="page"/>
      </w:r>
      <w:bookmarkStart w:id="277" w:name="_Toc382906739"/>
      <w:bookmarkStart w:id="278" w:name="_Toc397947723"/>
      <w:bookmarkStart w:id="279" w:name="_Toc403399564"/>
      <w:r w:rsidRPr="00F244DE">
        <w:rPr>
          <w:rStyle w:val="Heading1Char"/>
          <w:b/>
        </w:rPr>
        <w:lastRenderedPageBreak/>
        <w:t>Part 6 –</w:t>
      </w:r>
      <w:r w:rsidR="009F3469">
        <w:rPr>
          <w:rStyle w:val="Heading1Char"/>
          <w:b/>
        </w:rPr>
        <w:t xml:space="preserve"> </w:t>
      </w:r>
      <w:r w:rsidRPr="00F244DE">
        <w:rPr>
          <w:rStyle w:val="Heading1Char"/>
          <w:b/>
        </w:rPr>
        <w:t>New Clinical Trial Evidence (ToR 4)</w:t>
      </w:r>
      <w:bookmarkEnd w:id="277"/>
      <w:bookmarkEnd w:id="278"/>
      <w:bookmarkEnd w:id="279"/>
    </w:p>
    <w:p w:rsidR="009F3469" w:rsidRDefault="009F3469" w:rsidP="009F3469"/>
    <w:p w:rsidR="009F3469" w:rsidRPr="009F3469" w:rsidRDefault="009F3469" w:rsidP="0002590C">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i/>
        </w:rPr>
      </w:pPr>
      <w:r w:rsidRPr="009F3469">
        <w:rPr>
          <w:b/>
          <w:i/>
        </w:rPr>
        <w:t>ToR 4:</w:t>
      </w:r>
      <w:r w:rsidRPr="009F3469">
        <w:rPr>
          <w:i/>
        </w:rPr>
        <w:t xml:space="preserve"> Collate and evaluate any additional clinical studies or meta-analyses for drugs currently PBS listed for type 2 diabetes that the PBAC has not seen and that would inform their consideration.</w:t>
      </w:r>
    </w:p>
    <w:p w:rsidR="009F3469" w:rsidRDefault="009F3469" w:rsidP="009F3469"/>
    <w:p w:rsidR="0002590C" w:rsidRPr="009F3469" w:rsidRDefault="0002590C" w:rsidP="007156EB">
      <w:pPr>
        <w:pStyle w:val="Heading2"/>
        <w:numPr>
          <w:ilvl w:val="1"/>
          <w:numId w:val="55"/>
        </w:numPr>
      </w:pPr>
      <w:bookmarkStart w:id="280" w:name="_Toc397947724"/>
      <w:bookmarkStart w:id="281" w:name="_Toc403399565"/>
      <w:r>
        <w:t>Key Findings</w:t>
      </w:r>
      <w:bookmarkEnd w:id="280"/>
      <w:bookmarkEnd w:id="281"/>
    </w:p>
    <w:p w:rsidR="00055DB9" w:rsidRDefault="000B7A14" w:rsidP="007156EB">
      <w:pPr>
        <w:pStyle w:val="ListParagraph"/>
        <w:numPr>
          <w:ilvl w:val="0"/>
          <w:numId w:val="54"/>
        </w:numPr>
        <w:shd w:val="clear" w:color="auto" w:fill="D9D9D9" w:themeFill="background1" w:themeFillShade="D9"/>
        <w:ind w:left="284" w:hanging="284"/>
      </w:pPr>
      <w:r>
        <w:t xml:space="preserve">The systematic literature review on the safety and efficacy of type 2 </w:t>
      </w:r>
      <w:r w:rsidR="005D6E8E">
        <w:t>diabetes medicines identified 87</w:t>
      </w:r>
      <w:r w:rsidRPr="0026739E">
        <w:t xml:space="preserve"> publications </w:t>
      </w:r>
      <w:r>
        <w:t>covering</w:t>
      </w:r>
      <w:r w:rsidRPr="0026739E">
        <w:t xml:space="preserve"> </w:t>
      </w:r>
      <w:r>
        <w:t>7</w:t>
      </w:r>
      <w:r w:rsidR="005D6E8E">
        <w:t>2</w:t>
      </w:r>
      <w:r>
        <w:t xml:space="preserve"> RCTs, including </w:t>
      </w:r>
      <w:r w:rsidR="002E0272">
        <w:t xml:space="preserve">43 </w:t>
      </w:r>
      <w:r>
        <w:t>trials not seen by the PBAC</w:t>
      </w:r>
      <w:r w:rsidR="002E0272">
        <w:t xml:space="preserve"> previously.</w:t>
      </w:r>
    </w:p>
    <w:p w:rsidR="00A600B7" w:rsidRDefault="002E0272" w:rsidP="007156EB">
      <w:pPr>
        <w:pStyle w:val="ListParagraph"/>
        <w:numPr>
          <w:ilvl w:val="0"/>
          <w:numId w:val="54"/>
        </w:numPr>
        <w:shd w:val="clear" w:color="auto" w:fill="D9D9D9" w:themeFill="background1" w:themeFillShade="D9"/>
        <w:ind w:left="284" w:hanging="284"/>
      </w:pPr>
      <w:r>
        <w:t xml:space="preserve">No </w:t>
      </w:r>
      <w:r w:rsidR="00A26D2D">
        <w:t>long term</w:t>
      </w:r>
      <w:r w:rsidR="000B7A14">
        <w:t xml:space="preserve"> macrovascular or microvascular outcome d</w:t>
      </w:r>
      <w:r w:rsidR="00A600B7">
        <w:t>ata for acarbose, insulin, SGLT</w:t>
      </w:r>
      <w:r w:rsidR="000B7A14">
        <w:t>2 inhibitors and GLP-1 receptor agonists</w:t>
      </w:r>
      <w:r>
        <w:t xml:space="preserve"> was identified</w:t>
      </w:r>
      <w:r w:rsidR="000B7A14">
        <w:t>.</w:t>
      </w:r>
      <w:r w:rsidR="00055DB9">
        <w:t xml:space="preserve"> Limited trial data are available with a duration of over six months and many trials were underpowered to detect differences in adverse events.</w:t>
      </w:r>
    </w:p>
    <w:p w:rsidR="00BE3B3C" w:rsidRDefault="00B42E42" w:rsidP="007156EB">
      <w:pPr>
        <w:pStyle w:val="ListParagraph"/>
        <w:numPr>
          <w:ilvl w:val="0"/>
          <w:numId w:val="54"/>
        </w:numPr>
        <w:shd w:val="clear" w:color="auto" w:fill="D9D9D9" w:themeFill="background1" w:themeFillShade="D9"/>
        <w:ind w:left="284" w:hanging="284"/>
      </w:pPr>
      <w:r>
        <w:t xml:space="preserve">One dual therapy trial considered a combination </w:t>
      </w:r>
      <w:r w:rsidR="00A600B7">
        <w:t>not yet seen by the PBAC</w:t>
      </w:r>
      <w:r>
        <w:t xml:space="preserve">. </w:t>
      </w:r>
      <w:r w:rsidR="00A600B7">
        <w:t xml:space="preserve">Compared to TZD monotherapy, </w:t>
      </w:r>
      <w:r w:rsidR="002A2142">
        <w:t>TZD + DPP-4 inhibitor</w:t>
      </w:r>
      <w:r>
        <w:t xml:space="preserve"> </w:t>
      </w:r>
      <w:r w:rsidR="00A600B7">
        <w:t xml:space="preserve">reduced </w:t>
      </w:r>
      <w:r>
        <w:t>HbA</w:t>
      </w:r>
      <w:r w:rsidRPr="00A600B7">
        <w:rPr>
          <w:vertAlign w:val="subscript"/>
        </w:rPr>
        <w:t>1c</w:t>
      </w:r>
      <w:r w:rsidR="00A600B7">
        <w:t xml:space="preserve"> (</w:t>
      </w:r>
      <w:r w:rsidR="002A2142">
        <w:t xml:space="preserve">-0.9%; 95% CI: </w:t>
      </w:r>
      <w:r w:rsidR="002A2142">
        <w:noBreakHyphen/>
        <w:t xml:space="preserve">1.1, </w:t>
      </w:r>
      <w:r w:rsidR="002A2142">
        <w:noBreakHyphen/>
      </w:r>
      <w:r>
        <w:t>0.7</w:t>
      </w:r>
      <w:r w:rsidR="00A600B7">
        <w:t xml:space="preserve">) and </w:t>
      </w:r>
      <w:r>
        <w:t xml:space="preserve">increased weight </w:t>
      </w:r>
      <w:r w:rsidR="00A600B7">
        <w:t>(1.1 kg; p-value not reported)</w:t>
      </w:r>
      <w:r>
        <w:t>.</w:t>
      </w:r>
      <w:r w:rsidR="0093455B" w:rsidRPr="00413AE0">
        <w:rPr>
          <w:vertAlign w:val="superscript"/>
        </w:rPr>
        <w:t>1</w:t>
      </w:r>
      <w:r w:rsidR="00A5385D">
        <w:t xml:space="preserve"> T</w:t>
      </w:r>
      <w:r>
        <w:t xml:space="preserve">he results may not be applicable to Australian practice </w:t>
      </w:r>
      <w:r w:rsidR="00A5385D">
        <w:t>as the patients were treatment naïve</w:t>
      </w:r>
      <w:r>
        <w:t xml:space="preserve">. </w:t>
      </w:r>
    </w:p>
    <w:p w:rsidR="00BE3B3C" w:rsidRDefault="00DF5A0B" w:rsidP="007156EB">
      <w:pPr>
        <w:pStyle w:val="ListParagraph"/>
        <w:numPr>
          <w:ilvl w:val="0"/>
          <w:numId w:val="54"/>
        </w:numPr>
        <w:shd w:val="clear" w:color="auto" w:fill="D9D9D9" w:themeFill="background1" w:themeFillShade="D9"/>
        <w:ind w:left="284" w:hanging="284"/>
      </w:pPr>
      <w:r>
        <w:t>Twenty</w:t>
      </w:r>
      <w:r w:rsidR="005D6E8E">
        <w:t>-one</w:t>
      </w:r>
      <w:r w:rsidRPr="00082421">
        <w:t xml:space="preserve"> triple therapy </w:t>
      </w:r>
      <w:r>
        <w:t xml:space="preserve">RCTs </w:t>
      </w:r>
      <w:r w:rsidRPr="00082421">
        <w:t>were</w:t>
      </w:r>
      <w:r>
        <w:t xml:space="preserve"> identified and assessed for risk of bias: high – 4</w:t>
      </w:r>
      <w:r w:rsidR="002A2142">
        <w:t xml:space="preserve"> trials</w:t>
      </w:r>
      <w:r>
        <w:t>, unclear – 12</w:t>
      </w:r>
      <w:r w:rsidR="002A2142">
        <w:t xml:space="preserve"> trials</w:t>
      </w:r>
      <w:r w:rsidR="005D6E8E">
        <w:t>, and low – 5</w:t>
      </w:r>
      <w:r w:rsidR="002A2142">
        <w:t xml:space="preserve"> trials</w:t>
      </w:r>
      <w:r>
        <w:t xml:space="preserve">.  </w:t>
      </w:r>
      <w:r w:rsidR="00BE3B3C">
        <w:t>HbA</w:t>
      </w:r>
      <w:r w:rsidR="00BE3B3C" w:rsidRPr="00BE3B3C">
        <w:rPr>
          <w:vertAlign w:val="subscript"/>
        </w:rPr>
        <w:t>1c</w:t>
      </w:r>
      <w:r w:rsidR="00BE3B3C">
        <w:t>, body mass index (BMI) and age at baseline were similar in the</w:t>
      </w:r>
      <w:r w:rsidR="00ED58EF">
        <w:t xml:space="preserve"> analysed</w:t>
      </w:r>
      <w:r w:rsidR="00BE3B3C">
        <w:t xml:space="preserve"> trials</w:t>
      </w:r>
      <w:r w:rsidR="00F1115D">
        <w:t>.</w:t>
      </w:r>
      <w:r w:rsidR="007966F9">
        <w:t xml:space="preserve"> </w:t>
      </w:r>
    </w:p>
    <w:p w:rsidR="00BE3B3C" w:rsidRDefault="00BE3B3C" w:rsidP="007156EB">
      <w:pPr>
        <w:pStyle w:val="ListParagraph"/>
        <w:numPr>
          <w:ilvl w:val="0"/>
          <w:numId w:val="54"/>
        </w:numPr>
        <w:shd w:val="clear" w:color="auto" w:fill="D9D9D9" w:themeFill="background1" w:themeFillShade="D9"/>
        <w:ind w:left="284" w:hanging="284"/>
      </w:pPr>
      <w:r>
        <w:t>All triple therapy combinations of medicines</w:t>
      </w:r>
      <w:r w:rsidRPr="007B3F15">
        <w:t xml:space="preserve"> </w:t>
      </w:r>
      <w:r>
        <w:t>provided a significantly better reduction in HbA</w:t>
      </w:r>
      <w:r w:rsidRPr="00BE3B3C">
        <w:rPr>
          <w:vertAlign w:val="subscript"/>
        </w:rPr>
        <w:t>1c</w:t>
      </w:r>
      <w:r>
        <w:t xml:space="preserve"> </w:t>
      </w:r>
      <w:r w:rsidR="005D6E8E">
        <w:t xml:space="preserve">at six months </w:t>
      </w:r>
      <w:r>
        <w:t>compared to metformin + sulfonylurea dual therapy, in the range of 0.7–1</w:t>
      </w:r>
      <w:r w:rsidR="005D6E8E">
        <w:t>.1</w:t>
      </w:r>
      <w:r>
        <w:t xml:space="preserve">%, except for metformin + TZD + DPP-4 inhibitor. This improvement was clinically relevant when GLP-1 receptor agonists or insulin were added </w:t>
      </w:r>
      <w:r w:rsidR="00055DB9">
        <w:t xml:space="preserve">to metformin + sulfonylurea </w:t>
      </w:r>
      <w:r w:rsidR="007966F9">
        <w:t>(upper CI &gt;0.3</w:t>
      </w:r>
      <w:r>
        <w:t xml:space="preserve">%). </w:t>
      </w:r>
    </w:p>
    <w:p w:rsidR="00F86E56" w:rsidRDefault="00BE3B3C" w:rsidP="007156EB">
      <w:pPr>
        <w:pStyle w:val="ListParagraph"/>
        <w:numPr>
          <w:ilvl w:val="0"/>
          <w:numId w:val="54"/>
        </w:numPr>
        <w:shd w:val="clear" w:color="auto" w:fill="D9D9D9" w:themeFill="background1" w:themeFillShade="D9"/>
        <w:ind w:left="284" w:hanging="284"/>
      </w:pPr>
      <w:r>
        <w:t xml:space="preserve">None of the triple therapy combinations demonstrated clinically relevant differences </w:t>
      </w:r>
      <w:r w:rsidR="007966F9">
        <w:t>in HbA</w:t>
      </w:r>
      <w:r w:rsidR="007966F9" w:rsidRPr="007966F9">
        <w:rPr>
          <w:vertAlign w:val="subscript"/>
        </w:rPr>
        <w:t>1c</w:t>
      </w:r>
      <w:r w:rsidR="007966F9">
        <w:t xml:space="preserve"> </w:t>
      </w:r>
      <w:r w:rsidR="005D6E8E">
        <w:t xml:space="preserve">at six months </w:t>
      </w:r>
      <w:r>
        <w:t>compared with other triple therapies. However, metformin + sulfonylurea + GLP-1 receptor agonist was significantly better at reducing HbA</w:t>
      </w:r>
      <w:r w:rsidRPr="00BE3B3C">
        <w:rPr>
          <w:vertAlign w:val="subscript"/>
        </w:rPr>
        <w:t>1c</w:t>
      </w:r>
      <w:r>
        <w:t xml:space="preserve"> than metformin + TZD + DPP-4 inhibitor.</w:t>
      </w:r>
    </w:p>
    <w:p w:rsidR="00F86E56" w:rsidRDefault="00055DB9" w:rsidP="007156EB">
      <w:pPr>
        <w:pStyle w:val="ListParagraph"/>
        <w:numPr>
          <w:ilvl w:val="0"/>
          <w:numId w:val="54"/>
        </w:numPr>
        <w:shd w:val="clear" w:color="auto" w:fill="D9D9D9" w:themeFill="background1" w:themeFillShade="D9"/>
        <w:ind w:left="284" w:hanging="284"/>
      </w:pPr>
      <w:r>
        <w:t>Most triple therapy regimens resulted in weight gain</w:t>
      </w:r>
      <w:r w:rsidR="00F86E56" w:rsidRPr="00F86E56">
        <w:t xml:space="preserve"> </w:t>
      </w:r>
      <w:r w:rsidR="005D6E8E">
        <w:t xml:space="preserve">after six months of treatment </w:t>
      </w:r>
      <w:r w:rsidR="00F86E56">
        <w:t>compared to metformin + sulfonylurea</w:t>
      </w:r>
      <w:r>
        <w:t xml:space="preserve">, with </w:t>
      </w:r>
      <w:r w:rsidR="005D6E8E">
        <w:t xml:space="preserve">SGLT2 inhibitors + metformin + sulfonylurea and </w:t>
      </w:r>
      <w:r>
        <w:t>GLP-1 receptor agonist</w:t>
      </w:r>
      <w:r w:rsidR="00F86E56">
        <w:t xml:space="preserve"> + metformin + sulfonylurea</w:t>
      </w:r>
      <w:r>
        <w:t xml:space="preserve"> showing a significant reduction</w:t>
      </w:r>
      <w:r w:rsidR="005D6E8E">
        <w:t xml:space="preserve"> (SGLT2 inhibitors: MD: -2.4 kg; 95% CI: -4.1, -0.6; and GLP-1 receptor agonists: MD:-1.5 kg; 95% CI: -2.4, -0.6)</w:t>
      </w:r>
      <w:r>
        <w:t xml:space="preserve">. </w:t>
      </w:r>
      <w:r w:rsidR="00F86E56">
        <w:t>All other combinations caused similar or more weight gain than metformin + sulfonylurea (-0.3 to 3.5 kg).</w:t>
      </w:r>
    </w:p>
    <w:p w:rsidR="00B966C4" w:rsidRDefault="00F86E56" w:rsidP="007156EB">
      <w:pPr>
        <w:pStyle w:val="ListParagraph"/>
        <w:numPr>
          <w:ilvl w:val="0"/>
          <w:numId w:val="54"/>
        </w:numPr>
        <w:shd w:val="clear" w:color="auto" w:fill="D9D9D9" w:themeFill="background1" w:themeFillShade="D9"/>
        <w:ind w:left="284" w:hanging="284"/>
      </w:pPr>
      <w:r>
        <w:t xml:space="preserve">In terms of body weight change, when used in combination with metformin + sulfonylurea: </w:t>
      </w:r>
      <w:r w:rsidR="005D6E8E">
        <w:t xml:space="preserve">SGLTs inhibitors were superior to DPP-4 inhibitors, insulin and TZDs; </w:t>
      </w:r>
      <w:r>
        <w:lastRenderedPageBreak/>
        <w:t>GLP-1 receptor agonists were superior to DPP-4 inhibitors, insulin and TZDs; and DPP-inhibitors were superior to TZDs.</w:t>
      </w:r>
    </w:p>
    <w:p w:rsidR="00B966C4" w:rsidRDefault="00340864" w:rsidP="007156EB">
      <w:pPr>
        <w:pStyle w:val="ListParagraph"/>
        <w:numPr>
          <w:ilvl w:val="0"/>
          <w:numId w:val="54"/>
        </w:numPr>
        <w:shd w:val="clear" w:color="auto" w:fill="D9D9D9" w:themeFill="background1" w:themeFillShade="D9"/>
        <w:ind w:left="284" w:hanging="284"/>
      </w:pPr>
      <w:r>
        <w:t>Four trials were identifie</w:t>
      </w:r>
      <w:r w:rsidR="002A2142">
        <w:t>d that exami</w:t>
      </w:r>
      <w:r>
        <w:t xml:space="preserve">ned long term outcomes when </w:t>
      </w:r>
      <w:r w:rsidR="00B966C4">
        <w:t>a sulfonylurea, TZD or DPP-4 inhibitor was</w:t>
      </w:r>
      <w:r>
        <w:t xml:space="preserve"> added to existing therapy. </w:t>
      </w:r>
      <w:r w:rsidR="00B966C4">
        <w:t xml:space="preserve">All </w:t>
      </w:r>
      <w:r>
        <w:t>provided a statistically significant reduction in HbA</w:t>
      </w:r>
      <w:r w:rsidRPr="00B966C4">
        <w:rPr>
          <w:vertAlign w:val="subscript"/>
        </w:rPr>
        <w:t>1c</w:t>
      </w:r>
      <w:r w:rsidR="00B966C4">
        <w:t xml:space="preserve"> and increased the risk of hypoglycaemia</w:t>
      </w:r>
      <w:r w:rsidR="00B966C4" w:rsidRPr="00CA2DAB">
        <w:t xml:space="preserve"> </w:t>
      </w:r>
      <w:r w:rsidR="00B966C4">
        <w:t xml:space="preserve">(in trials of </w:t>
      </w:r>
      <w:r w:rsidR="002A2142">
        <w:t>greater than two years duration</w:t>
      </w:r>
      <w:r w:rsidR="00B966C4">
        <w:t>) compared to</w:t>
      </w:r>
      <w:r>
        <w:t xml:space="preserve"> existing medication. </w:t>
      </w:r>
      <w:r w:rsidR="00BC6868">
        <w:t>Trial populations and outcome definitions varied between trials precluding meta-analysis.</w:t>
      </w:r>
    </w:p>
    <w:p w:rsidR="00B966C4" w:rsidRDefault="00340864" w:rsidP="007156EB">
      <w:pPr>
        <w:pStyle w:val="ListParagraph"/>
        <w:numPr>
          <w:ilvl w:val="0"/>
          <w:numId w:val="54"/>
        </w:numPr>
        <w:shd w:val="clear" w:color="auto" w:fill="D9D9D9" w:themeFill="background1" w:themeFillShade="D9"/>
        <w:ind w:left="284" w:hanging="284"/>
      </w:pPr>
      <w:r>
        <w:t xml:space="preserve">The addition of sulfonylurea to existing medication </w:t>
      </w:r>
      <w:r w:rsidR="00181F91">
        <w:t xml:space="preserve">reduced </w:t>
      </w:r>
      <w:r>
        <w:t>major microvascular events</w:t>
      </w:r>
      <w:r w:rsidR="00B966C4">
        <w:t xml:space="preserve"> (HR: 0.86; 95% CI: 0.77, 0.97)</w:t>
      </w:r>
      <w:r>
        <w:t xml:space="preserve">. </w:t>
      </w:r>
      <w:r w:rsidR="00B966C4">
        <w:t xml:space="preserve"> </w:t>
      </w:r>
    </w:p>
    <w:p w:rsidR="00340864" w:rsidRDefault="00340864" w:rsidP="007156EB">
      <w:pPr>
        <w:pStyle w:val="ListParagraph"/>
        <w:numPr>
          <w:ilvl w:val="0"/>
          <w:numId w:val="54"/>
        </w:numPr>
        <w:shd w:val="clear" w:color="auto" w:fill="D9D9D9" w:themeFill="background1" w:themeFillShade="D9"/>
        <w:ind w:left="284" w:hanging="284"/>
      </w:pPr>
      <w:r>
        <w:t>Ad</w:t>
      </w:r>
      <w:r w:rsidR="00181F91">
        <w:t>d</w:t>
      </w:r>
      <w:r>
        <w:t xml:space="preserve">ition of TZDs to existing medication </w:t>
      </w:r>
      <w:r w:rsidR="00B966C4">
        <w:t>reduced</w:t>
      </w:r>
      <w:r>
        <w:t xml:space="preserve"> major macrovascular events</w:t>
      </w:r>
      <w:r w:rsidR="00B966C4">
        <w:t xml:space="preserve"> (HR: 0.84; 95% CI: 0.72, 0.98)</w:t>
      </w:r>
      <w:r>
        <w:t xml:space="preserve">, while DPP-4 inhibitors had no effect on this outcome. </w:t>
      </w:r>
      <w:r w:rsidR="00181F91">
        <w:t xml:space="preserve">TZDs increased </w:t>
      </w:r>
      <w:r w:rsidR="008D43AB">
        <w:t xml:space="preserve">the </w:t>
      </w:r>
      <w:r w:rsidR="00181F91">
        <w:t>risk of heart failure</w:t>
      </w:r>
      <w:r w:rsidR="00B966C4">
        <w:t>,</w:t>
      </w:r>
      <w:r w:rsidR="00181F91">
        <w:t xml:space="preserve"> and TZDs and DPP-4 inhibitors increased the risk of hospitalisation due to heart failure. </w:t>
      </w:r>
    </w:p>
    <w:p w:rsidR="00C03C3B" w:rsidRDefault="00C03C3B" w:rsidP="00C03C3B">
      <w:pPr>
        <w:rPr>
          <w:rStyle w:val="Heading1Char"/>
        </w:rPr>
      </w:pPr>
    </w:p>
    <w:p w:rsidR="002701CE" w:rsidRDefault="00520162" w:rsidP="002701CE">
      <w:pPr>
        <w:pStyle w:val="Heading2"/>
        <w:rPr>
          <w:rStyle w:val="Heading1Char"/>
          <w:b/>
          <w:smallCaps w:val="0"/>
          <w:sz w:val="28"/>
          <w:szCs w:val="28"/>
        </w:rPr>
      </w:pPr>
      <w:bookmarkStart w:id="282" w:name="_Toc397947725"/>
      <w:bookmarkStart w:id="283" w:name="_Toc403399566"/>
      <w:r>
        <w:rPr>
          <w:rStyle w:val="Heading1Char"/>
          <w:b/>
          <w:smallCaps w:val="0"/>
          <w:sz w:val="28"/>
          <w:szCs w:val="28"/>
        </w:rPr>
        <w:t>6.2</w:t>
      </w:r>
      <w:r>
        <w:rPr>
          <w:rStyle w:val="Heading1Char"/>
          <w:b/>
          <w:smallCaps w:val="0"/>
          <w:sz w:val="28"/>
          <w:szCs w:val="28"/>
        </w:rPr>
        <w:tab/>
      </w:r>
      <w:r w:rsidR="002701CE" w:rsidRPr="002701CE">
        <w:rPr>
          <w:rStyle w:val="Heading1Char"/>
          <w:b/>
          <w:smallCaps w:val="0"/>
          <w:sz w:val="28"/>
          <w:szCs w:val="28"/>
        </w:rPr>
        <w:t>Introduction and Scope</w:t>
      </w:r>
      <w:bookmarkEnd w:id="282"/>
      <w:bookmarkEnd w:id="283"/>
    </w:p>
    <w:p w:rsidR="002701CE" w:rsidRPr="00947CC4" w:rsidRDefault="002701CE" w:rsidP="004F1129">
      <w:r>
        <w:t xml:space="preserve">This section summarises the report developed by Griffith University </w:t>
      </w:r>
      <w:r w:rsidR="00EE68F1">
        <w:t xml:space="preserve">to address ToR 4 of the Review. </w:t>
      </w:r>
      <w:r>
        <w:t xml:space="preserve">Medicines considered </w:t>
      </w:r>
      <w:r w:rsidR="00EE68F1">
        <w:t>in the literature review were those listed on the PBS, or considered for listing, for the treatment of type 2 diabetes to November 2013</w:t>
      </w:r>
      <w:r w:rsidR="00EE78DA">
        <w:t xml:space="preserve"> (see </w:t>
      </w:r>
      <w:r w:rsidR="00EE78DA" w:rsidRPr="0028026D">
        <w:t>Table 1.1</w:t>
      </w:r>
      <w:r w:rsidR="00EE78DA">
        <w:t>)</w:t>
      </w:r>
      <w:r w:rsidR="00EE68F1">
        <w:t>.</w:t>
      </w:r>
      <w:r w:rsidR="00EE78DA">
        <w:t xml:space="preserve"> </w:t>
      </w:r>
      <w:r w:rsidR="00947CC4">
        <w:t>PBS-listed i</w:t>
      </w:r>
      <w:r w:rsidR="00EE78DA">
        <w:t xml:space="preserve">nsulins </w:t>
      </w:r>
      <w:r w:rsidR="00947CC4">
        <w:t xml:space="preserve">that </w:t>
      </w:r>
      <w:r w:rsidR="00EE78DA">
        <w:t>were also considere</w:t>
      </w:r>
      <w:r w:rsidR="00947CC4">
        <w:t>d include: a</w:t>
      </w:r>
      <w:r w:rsidR="00947CC4" w:rsidRPr="00947CC4">
        <w:t>spart</w:t>
      </w:r>
      <w:r w:rsidR="00947CC4">
        <w:t>, l</w:t>
      </w:r>
      <w:r w:rsidR="00947CC4" w:rsidRPr="00947CC4">
        <w:t>ispro mix 75/25</w:t>
      </w:r>
      <w:r w:rsidR="00947CC4">
        <w:t>, g</w:t>
      </w:r>
      <w:r w:rsidR="00947CC4" w:rsidRPr="00947CC4">
        <w:t>lulisin</w:t>
      </w:r>
      <w:r w:rsidR="00947CC4">
        <w:t>e, neutral, d</w:t>
      </w:r>
      <w:r w:rsidR="00947CC4" w:rsidRPr="00947CC4">
        <w:t>etemir</w:t>
      </w:r>
      <w:r w:rsidR="00947CC4">
        <w:t>, g</w:t>
      </w:r>
      <w:r w:rsidR="00947CC4" w:rsidRPr="00947CC4">
        <w:t>largine</w:t>
      </w:r>
      <w:r w:rsidR="00947CC4">
        <w:t xml:space="preserve"> and i</w:t>
      </w:r>
      <w:r w:rsidR="00947CC4" w:rsidRPr="00947CC4">
        <w:t>sophane</w:t>
      </w:r>
      <w:r w:rsidR="00947CC4">
        <w:t>.</w:t>
      </w:r>
      <w:r w:rsidR="00EE78DA" w:rsidRPr="00947CC4">
        <w:t xml:space="preserve"> </w:t>
      </w:r>
    </w:p>
    <w:p w:rsidR="002701CE" w:rsidRDefault="002701CE" w:rsidP="004F1129">
      <w:r>
        <w:t xml:space="preserve">After an initial literature review and consultation with the </w:t>
      </w:r>
      <w:r w:rsidR="00EE78DA">
        <w:t xml:space="preserve">expert </w:t>
      </w:r>
      <w:r>
        <w:t>Reference Group, the following approach was recommended</w:t>
      </w:r>
      <w:r w:rsidR="00EE78DA">
        <w:t xml:space="preserve"> for the </w:t>
      </w:r>
      <w:r w:rsidR="00EE78DA" w:rsidRPr="00076022">
        <w:t>systematic literature review on the</w:t>
      </w:r>
      <w:r w:rsidR="00EE78DA">
        <w:t xml:space="preserve"> comparative efficacy and safety of type 2 diabetes medicines</w:t>
      </w:r>
      <w:r>
        <w:t>:</w:t>
      </w:r>
    </w:p>
    <w:p w:rsidR="002701CE" w:rsidRDefault="002701CE" w:rsidP="007156EB">
      <w:pPr>
        <w:pStyle w:val="ListParagraph"/>
        <w:numPr>
          <w:ilvl w:val="0"/>
          <w:numId w:val="46"/>
        </w:numPr>
      </w:pPr>
      <w:r>
        <w:t>Monotherapy: Listing of trials comparing monotherapy treatments.</w:t>
      </w:r>
    </w:p>
    <w:p w:rsidR="002701CE" w:rsidRDefault="002701CE" w:rsidP="007156EB">
      <w:pPr>
        <w:pStyle w:val="ListParagraph"/>
        <w:numPr>
          <w:ilvl w:val="0"/>
          <w:numId w:val="46"/>
        </w:numPr>
      </w:pPr>
      <w:r>
        <w:t>Dual therapy:</w:t>
      </w:r>
    </w:p>
    <w:p w:rsidR="002701CE" w:rsidRDefault="002701CE" w:rsidP="007156EB">
      <w:pPr>
        <w:pStyle w:val="ListParagraph"/>
        <w:numPr>
          <w:ilvl w:val="1"/>
          <w:numId w:val="46"/>
        </w:numPr>
      </w:pPr>
      <w:r>
        <w:t>Listing of trials which include dual therapy comparisons previously seen by the PBAC.</w:t>
      </w:r>
    </w:p>
    <w:p w:rsidR="002701CE" w:rsidRDefault="002701CE" w:rsidP="007156EB">
      <w:pPr>
        <w:pStyle w:val="ListParagraph"/>
        <w:numPr>
          <w:ilvl w:val="1"/>
          <w:numId w:val="46"/>
        </w:numPr>
      </w:pPr>
      <w:r>
        <w:t xml:space="preserve">Full data extraction and analyses of efficacy and safety of </w:t>
      </w:r>
      <w:r w:rsidR="00EE78DA">
        <w:t>dual therapy trials that</w:t>
      </w:r>
      <w:r>
        <w:t xml:space="preserve"> include </w:t>
      </w:r>
      <w:r w:rsidR="00EE78DA">
        <w:t xml:space="preserve">a </w:t>
      </w:r>
      <w:r>
        <w:t>combination not currently listed on the PBS.</w:t>
      </w:r>
    </w:p>
    <w:p w:rsidR="002701CE" w:rsidRDefault="002701CE" w:rsidP="007156EB">
      <w:pPr>
        <w:pStyle w:val="ListParagraph"/>
        <w:numPr>
          <w:ilvl w:val="0"/>
          <w:numId w:val="46"/>
        </w:numPr>
      </w:pPr>
      <w:r>
        <w:t>Triple therapy:</w:t>
      </w:r>
      <w:r w:rsidR="00EE78DA">
        <w:t xml:space="preserve"> </w:t>
      </w:r>
      <w:r>
        <w:t>Full assessment of the comparative efficacy and safety (including meta-analyses and network analyses) for trials which include triple therapy.</w:t>
      </w:r>
    </w:p>
    <w:p w:rsidR="002701CE" w:rsidRDefault="002701CE" w:rsidP="007156EB">
      <w:pPr>
        <w:pStyle w:val="ListParagraph"/>
        <w:numPr>
          <w:ilvl w:val="0"/>
          <w:numId w:val="46"/>
        </w:numPr>
      </w:pPr>
      <w:r>
        <w:t>Treatment added to existing medication:</w:t>
      </w:r>
      <w:r w:rsidR="00EE78DA">
        <w:t xml:space="preserve"> </w:t>
      </w:r>
      <w:r>
        <w:t>Full assessment of the comparative efficacy and safety for trials which in</w:t>
      </w:r>
      <w:r w:rsidR="00EE78DA">
        <w:t>clude type 2 diabetes medicines</w:t>
      </w:r>
      <w:r>
        <w:t xml:space="preserve"> </w:t>
      </w:r>
      <w:r w:rsidR="00EE78DA">
        <w:t xml:space="preserve">added </w:t>
      </w:r>
      <w:r>
        <w:t>to existing medication.</w:t>
      </w:r>
    </w:p>
    <w:p w:rsidR="00947CC4" w:rsidRDefault="00947CC4" w:rsidP="00947CC4"/>
    <w:p w:rsidR="002701CE" w:rsidRPr="002701CE" w:rsidRDefault="00520162" w:rsidP="00B07F08">
      <w:pPr>
        <w:pStyle w:val="Heading2"/>
      </w:pPr>
      <w:bookmarkStart w:id="284" w:name="_Toc397947726"/>
      <w:bookmarkStart w:id="285" w:name="_Toc403399567"/>
      <w:r>
        <w:lastRenderedPageBreak/>
        <w:t>6.3</w:t>
      </w:r>
      <w:r>
        <w:tab/>
      </w:r>
      <w:r w:rsidR="002701CE">
        <w:t>Methods</w:t>
      </w:r>
      <w:bookmarkEnd w:id="284"/>
      <w:bookmarkEnd w:id="285"/>
    </w:p>
    <w:p w:rsidR="00947CC4" w:rsidRDefault="00947CC4" w:rsidP="00B07F08">
      <w:pPr>
        <w:keepNext/>
        <w:keepLines/>
      </w:pPr>
      <w:r>
        <w:t>The systematic literature rev</w:t>
      </w:r>
      <w:r w:rsidR="002A2142">
        <w:t>iew was performed in four steps:</w:t>
      </w:r>
      <w:r>
        <w:t xml:space="preserve"> </w:t>
      </w:r>
    </w:p>
    <w:p w:rsidR="00947CC4" w:rsidRDefault="00947CC4" w:rsidP="00B07F08">
      <w:pPr>
        <w:pStyle w:val="ListParagraph"/>
        <w:keepNext/>
        <w:keepLines/>
        <w:numPr>
          <w:ilvl w:val="0"/>
          <w:numId w:val="47"/>
        </w:numPr>
      </w:pPr>
      <w:r>
        <w:t>Identify the most relevant systematic reviews.</w:t>
      </w:r>
    </w:p>
    <w:p w:rsidR="00947CC4" w:rsidRDefault="00947CC4" w:rsidP="007156EB">
      <w:pPr>
        <w:pStyle w:val="ListParagraph"/>
        <w:numPr>
          <w:ilvl w:val="0"/>
          <w:numId w:val="47"/>
        </w:numPr>
      </w:pPr>
      <w:r>
        <w:t>Update the literature search for identified systematic reviews from step 1.</w:t>
      </w:r>
    </w:p>
    <w:p w:rsidR="00947CC4" w:rsidRDefault="00947CC4" w:rsidP="007156EB">
      <w:pPr>
        <w:pStyle w:val="ListParagraph"/>
        <w:numPr>
          <w:ilvl w:val="0"/>
          <w:numId w:val="47"/>
        </w:numPr>
      </w:pPr>
      <w:r>
        <w:t>Identify the relevant randomised controlled trials (RCTs) from steps 1 and 2.</w:t>
      </w:r>
    </w:p>
    <w:p w:rsidR="00947CC4" w:rsidRDefault="00947CC4" w:rsidP="007156EB">
      <w:pPr>
        <w:pStyle w:val="ListParagraph"/>
        <w:numPr>
          <w:ilvl w:val="0"/>
          <w:numId w:val="47"/>
        </w:numPr>
      </w:pPr>
      <w:r>
        <w:t>Update the literature search to include additional trials for triple therapy.</w:t>
      </w:r>
    </w:p>
    <w:p w:rsidR="00947CC4" w:rsidRDefault="00947CC4" w:rsidP="00947CC4">
      <w:r>
        <w:t xml:space="preserve">Ovid MEDLINE and The Cochrane Library Database were searched on 5 March 2014, using search terms for diabetes mellitus type 2 and the medicines </w:t>
      </w:r>
      <w:r w:rsidR="00A87685">
        <w:t xml:space="preserve">in scope </w:t>
      </w:r>
      <w:r w:rsidRPr="00246E43">
        <w:t>or</w:t>
      </w:r>
      <w:r w:rsidRPr="003D6E15">
        <w:rPr>
          <w:szCs w:val="22"/>
        </w:rPr>
        <w:t xml:space="preserve"> derivatives of these</w:t>
      </w:r>
      <w:r>
        <w:t>. Systematic reviews were identified for each medicine category or for multiple medicine categories based on inclusion criteria and were assessed to identify the mo</w:t>
      </w:r>
      <w:r w:rsidR="00BA3616">
        <w:t>st relevant reviews. In all, 494</w:t>
      </w:r>
      <w:r>
        <w:t xml:space="preserve"> references were </w:t>
      </w:r>
      <w:r w:rsidR="00A87685">
        <w:t>identified in the searches and three</w:t>
      </w:r>
      <w:r>
        <w:t xml:space="preserve"> systematic reviews </w:t>
      </w:r>
      <w:r w:rsidR="00A87685">
        <w:t xml:space="preserve">were considered most relevant to this review and </w:t>
      </w:r>
      <w:r>
        <w:t xml:space="preserve">were </w:t>
      </w:r>
      <w:r w:rsidR="00A87685">
        <w:t>included in the final analysis (</w:t>
      </w:r>
      <w:r w:rsidR="00A87685" w:rsidRPr="00A87685">
        <w:rPr>
          <w:u w:val="single"/>
        </w:rPr>
        <w:t>Table 6.1</w:t>
      </w:r>
      <w:r w:rsidR="00A87685">
        <w:t>)</w:t>
      </w:r>
      <w:r>
        <w:t xml:space="preserve">. </w:t>
      </w:r>
    </w:p>
    <w:p w:rsidR="00A87685" w:rsidRDefault="00A87685" w:rsidP="00A87685">
      <w:pPr>
        <w:pStyle w:val="BodyText1"/>
        <w:rPr>
          <w:rStyle w:val="CommentReference"/>
          <w:b/>
          <w:sz w:val="24"/>
          <w:szCs w:val="24"/>
        </w:rPr>
      </w:pPr>
      <w:bookmarkStart w:id="286" w:name="_Ref390853070"/>
    </w:p>
    <w:p w:rsidR="00947CC4" w:rsidRPr="00A87685" w:rsidRDefault="00947CC4" w:rsidP="00A87685">
      <w:pPr>
        <w:rPr>
          <w:rStyle w:val="CommentReference"/>
          <w:b/>
          <w:sz w:val="24"/>
          <w:szCs w:val="24"/>
        </w:rPr>
      </w:pPr>
      <w:r w:rsidRPr="00A87685">
        <w:rPr>
          <w:rStyle w:val="CommentReference"/>
          <w:b/>
          <w:sz w:val="24"/>
          <w:szCs w:val="24"/>
        </w:rPr>
        <w:t xml:space="preserve">Table </w:t>
      </w:r>
      <w:bookmarkEnd w:id="286"/>
      <w:r w:rsidR="00A87685" w:rsidRPr="00A87685">
        <w:rPr>
          <w:rStyle w:val="CommentReference"/>
          <w:b/>
          <w:sz w:val="24"/>
          <w:szCs w:val="24"/>
        </w:rPr>
        <w:t>6.1.</w:t>
      </w:r>
      <w:r w:rsidRPr="00A87685">
        <w:rPr>
          <w:rStyle w:val="CommentReference"/>
          <w:b/>
          <w:sz w:val="24"/>
          <w:szCs w:val="24"/>
        </w:rPr>
        <w:t xml:space="preserve"> Included systematic reviews identified in a search of treatments for type 2 diabetes </w:t>
      </w:r>
      <w:r w:rsidR="00A87685">
        <w:rPr>
          <w:rStyle w:val="CommentReference"/>
          <w:b/>
          <w:sz w:val="24"/>
          <w:szCs w:val="24"/>
        </w:rPr>
        <w:t>on 5</w:t>
      </w:r>
      <w:r w:rsidRPr="00A87685">
        <w:rPr>
          <w:rStyle w:val="CommentReference"/>
          <w:b/>
          <w:sz w:val="24"/>
          <w:szCs w:val="24"/>
        </w:rPr>
        <w:t xml:space="preserve"> March 2014</w:t>
      </w:r>
      <w:r w:rsidR="00A87685">
        <w:rPr>
          <w:rStyle w:val="CommentReference"/>
          <w:b/>
          <w:sz w:val="24"/>
          <w:szCs w:val="24"/>
        </w:rPr>
        <w:t>.</w:t>
      </w:r>
    </w:p>
    <w:tbl>
      <w:tblPr>
        <w:tblW w:w="0" w:type="auto"/>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943"/>
        <w:gridCol w:w="6299"/>
      </w:tblGrid>
      <w:tr w:rsidR="00947CC4" w:rsidRPr="00082421" w:rsidTr="00A87685">
        <w:tc>
          <w:tcPr>
            <w:tcW w:w="2943" w:type="dxa"/>
            <w:tcBorders>
              <w:top w:val="single" w:sz="4" w:space="0" w:color="auto"/>
              <w:bottom w:val="single" w:sz="4" w:space="0" w:color="auto"/>
              <w:right w:val="single" w:sz="4" w:space="0" w:color="auto"/>
            </w:tcBorders>
            <w:shd w:val="clear" w:color="auto" w:fill="D9D9D9" w:themeFill="background1" w:themeFillShade="D9"/>
            <w:vAlign w:val="center"/>
          </w:tcPr>
          <w:p w:rsidR="00947CC4" w:rsidRPr="00A87685" w:rsidRDefault="00947CC4" w:rsidP="00A87685">
            <w:pPr>
              <w:spacing w:before="60" w:after="60" w:line="240" w:lineRule="auto"/>
              <w:rPr>
                <w:rStyle w:val="TableText"/>
                <w:rFonts w:asciiTheme="majorHAnsi" w:hAnsiTheme="majorHAnsi"/>
                <w:b/>
                <w:sz w:val="22"/>
                <w:szCs w:val="22"/>
              </w:rPr>
            </w:pPr>
            <w:r w:rsidRPr="00A87685">
              <w:rPr>
                <w:rStyle w:val="TableText"/>
                <w:rFonts w:asciiTheme="majorHAnsi" w:hAnsiTheme="majorHAnsi"/>
                <w:b/>
                <w:sz w:val="22"/>
                <w:szCs w:val="22"/>
              </w:rPr>
              <w:t>Publication (Author, year)</w:t>
            </w:r>
          </w:p>
        </w:tc>
        <w:tc>
          <w:tcPr>
            <w:tcW w:w="6299" w:type="dxa"/>
            <w:tcBorders>
              <w:left w:val="single" w:sz="4" w:space="0" w:color="auto"/>
              <w:bottom w:val="single" w:sz="4" w:space="0" w:color="auto"/>
            </w:tcBorders>
            <w:shd w:val="clear" w:color="auto" w:fill="D9D9D9" w:themeFill="background1" w:themeFillShade="D9"/>
            <w:vAlign w:val="center"/>
          </w:tcPr>
          <w:p w:rsidR="00947CC4" w:rsidRPr="00A87685" w:rsidRDefault="00947CC4" w:rsidP="00A87685">
            <w:pPr>
              <w:spacing w:before="60" w:after="60" w:line="240" w:lineRule="auto"/>
              <w:rPr>
                <w:rStyle w:val="TableText"/>
                <w:rFonts w:asciiTheme="majorHAnsi" w:hAnsiTheme="majorHAnsi"/>
                <w:b/>
                <w:sz w:val="22"/>
                <w:szCs w:val="22"/>
              </w:rPr>
            </w:pPr>
            <w:r w:rsidRPr="00A87685">
              <w:rPr>
                <w:rStyle w:val="TableText"/>
                <w:rFonts w:asciiTheme="majorHAnsi" w:hAnsiTheme="majorHAnsi"/>
                <w:b/>
                <w:sz w:val="22"/>
                <w:szCs w:val="22"/>
              </w:rPr>
              <w:t>Treatments included in the systematic review</w:t>
            </w:r>
          </w:p>
        </w:tc>
      </w:tr>
      <w:tr w:rsidR="00947CC4" w:rsidRPr="00082421" w:rsidTr="00A87685">
        <w:tc>
          <w:tcPr>
            <w:tcW w:w="2943" w:type="dxa"/>
            <w:tcBorders>
              <w:top w:val="single" w:sz="4" w:space="0" w:color="auto"/>
              <w:bottom w:val="single" w:sz="4" w:space="0" w:color="auto"/>
              <w:right w:val="single" w:sz="4" w:space="0" w:color="auto"/>
            </w:tcBorders>
            <w:vAlign w:val="center"/>
          </w:tcPr>
          <w:p w:rsidR="00947CC4" w:rsidRPr="00A87685" w:rsidRDefault="00A87685" w:rsidP="0093455B">
            <w:pPr>
              <w:spacing w:before="60" w:after="60" w:line="240" w:lineRule="auto"/>
              <w:rPr>
                <w:rStyle w:val="TableText"/>
                <w:rFonts w:asciiTheme="majorHAnsi" w:hAnsiTheme="majorHAnsi"/>
                <w:sz w:val="22"/>
                <w:szCs w:val="22"/>
              </w:rPr>
            </w:pPr>
            <w:r>
              <w:rPr>
                <w:rStyle w:val="TableText"/>
                <w:rFonts w:asciiTheme="majorHAnsi" w:hAnsiTheme="majorHAnsi"/>
                <w:sz w:val="22"/>
                <w:szCs w:val="22"/>
              </w:rPr>
              <w:t>Bennet, 2011</w:t>
            </w:r>
            <w:r w:rsidR="0093455B" w:rsidRPr="00DF4210">
              <w:rPr>
                <w:rStyle w:val="TableText"/>
                <w:rFonts w:asciiTheme="majorHAnsi" w:hAnsiTheme="majorHAnsi"/>
                <w:sz w:val="22"/>
                <w:szCs w:val="22"/>
                <w:vertAlign w:val="superscript"/>
              </w:rPr>
              <w:t>62</w:t>
            </w:r>
          </w:p>
        </w:tc>
        <w:tc>
          <w:tcPr>
            <w:tcW w:w="6299" w:type="dxa"/>
            <w:tcBorders>
              <w:top w:val="single" w:sz="4" w:space="0" w:color="auto"/>
              <w:left w:val="single" w:sz="4" w:space="0" w:color="auto"/>
              <w:bottom w:val="single" w:sz="4" w:space="0" w:color="auto"/>
            </w:tcBorders>
            <w:vAlign w:val="center"/>
          </w:tcPr>
          <w:p w:rsidR="00947CC4" w:rsidRPr="00A87685" w:rsidRDefault="00947CC4" w:rsidP="00A87685">
            <w:pPr>
              <w:spacing w:before="60" w:after="60" w:line="240" w:lineRule="auto"/>
              <w:rPr>
                <w:rStyle w:val="TableText"/>
                <w:rFonts w:asciiTheme="majorHAnsi" w:hAnsiTheme="majorHAnsi"/>
                <w:sz w:val="22"/>
                <w:szCs w:val="22"/>
              </w:rPr>
            </w:pPr>
            <w:r w:rsidRPr="00A87685">
              <w:rPr>
                <w:rStyle w:val="TableText"/>
                <w:rFonts w:asciiTheme="majorHAnsi" w:hAnsiTheme="majorHAnsi"/>
                <w:sz w:val="22"/>
                <w:szCs w:val="22"/>
              </w:rPr>
              <w:t>MET, SU, TZD, GLP-1 receptor agonists, acarbose (insulin included in the searches from 2002)</w:t>
            </w:r>
          </w:p>
        </w:tc>
      </w:tr>
      <w:tr w:rsidR="00947CC4" w:rsidRPr="00082421" w:rsidTr="00A87685">
        <w:tc>
          <w:tcPr>
            <w:tcW w:w="2943" w:type="dxa"/>
            <w:tcBorders>
              <w:top w:val="single" w:sz="4" w:space="0" w:color="auto"/>
              <w:bottom w:val="single" w:sz="4" w:space="0" w:color="auto"/>
              <w:right w:val="single" w:sz="4" w:space="0" w:color="auto"/>
            </w:tcBorders>
            <w:vAlign w:val="center"/>
          </w:tcPr>
          <w:p w:rsidR="00947CC4" w:rsidRPr="00A87685" w:rsidRDefault="00A87685" w:rsidP="0093455B">
            <w:pPr>
              <w:spacing w:before="60" w:after="60" w:line="240" w:lineRule="auto"/>
              <w:rPr>
                <w:rStyle w:val="TableText"/>
                <w:rFonts w:asciiTheme="majorHAnsi" w:hAnsiTheme="majorHAnsi"/>
                <w:sz w:val="22"/>
                <w:szCs w:val="22"/>
              </w:rPr>
            </w:pPr>
            <w:r>
              <w:rPr>
                <w:rStyle w:val="TableText"/>
                <w:rFonts w:asciiTheme="majorHAnsi" w:hAnsiTheme="majorHAnsi"/>
                <w:sz w:val="22"/>
                <w:szCs w:val="22"/>
              </w:rPr>
              <w:t>Berhan, 2013</w:t>
            </w:r>
            <w:r w:rsidR="0093455B" w:rsidRPr="00DF4210">
              <w:rPr>
                <w:rStyle w:val="TableText"/>
                <w:rFonts w:asciiTheme="majorHAnsi" w:hAnsiTheme="majorHAnsi"/>
                <w:sz w:val="22"/>
                <w:szCs w:val="22"/>
                <w:vertAlign w:val="superscript"/>
              </w:rPr>
              <w:t>63</w:t>
            </w:r>
          </w:p>
        </w:tc>
        <w:tc>
          <w:tcPr>
            <w:tcW w:w="6299" w:type="dxa"/>
            <w:tcBorders>
              <w:top w:val="single" w:sz="4" w:space="0" w:color="auto"/>
              <w:left w:val="single" w:sz="4" w:space="0" w:color="auto"/>
              <w:bottom w:val="single" w:sz="4" w:space="0" w:color="auto"/>
            </w:tcBorders>
            <w:vAlign w:val="center"/>
          </w:tcPr>
          <w:p w:rsidR="00947CC4" w:rsidRPr="00A87685" w:rsidRDefault="00A87685" w:rsidP="00A87685">
            <w:pPr>
              <w:spacing w:before="60" w:after="60" w:line="240" w:lineRule="auto"/>
              <w:rPr>
                <w:rStyle w:val="TableText"/>
                <w:rFonts w:asciiTheme="majorHAnsi" w:hAnsiTheme="majorHAnsi"/>
                <w:sz w:val="22"/>
                <w:szCs w:val="22"/>
              </w:rPr>
            </w:pPr>
            <w:r>
              <w:rPr>
                <w:rStyle w:val="TableText"/>
                <w:rFonts w:asciiTheme="majorHAnsi" w:hAnsiTheme="majorHAnsi"/>
                <w:sz w:val="22"/>
                <w:szCs w:val="22"/>
              </w:rPr>
              <w:t>SGLT</w:t>
            </w:r>
            <w:r w:rsidR="00947CC4" w:rsidRPr="00A87685">
              <w:rPr>
                <w:rStyle w:val="TableText"/>
                <w:rFonts w:asciiTheme="majorHAnsi" w:hAnsiTheme="majorHAnsi"/>
                <w:sz w:val="22"/>
                <w:szCs w:val="22"/>
              </w:rPr>
              <w:t>2 inhibitors</w:t>
            </w:r>
          </w:p>
        </w:tc>
      </w:tr>
      <w:tr w:rsidR="00947CC4" w:rsidRPr="00082421" w:rsidTr="00A87685">
        <w:tc>
          <w:tcPr>
            <w:tcW w:w="2943" w:type="dxa"/>
            <w:tcBorders>
              <w:top w:val="single" w:sz="4" w:space="0" w:color="auto"/>
              <w:bottom w:val="single" w:sz="4" w:space="0" w:color="auto"/>
              <w:right w:val="single" w:sz="4" w:space="0" w:color="auto"/>
            </w:tcBorders>
            <w:vAlign w:val="center"/>
          </w:tcPr>
          <w:p w:rsidR="00947CC4" w:rsidRPr="00A87685" w:rsidRDefault="00A87685" w:rsidP="0093455B">
            <w:pPr>
              <w:spacing w:before="60" w:after="60" w:line="240" w:lineRule="auto"/>
              <w:rPr>
                <w:rStyle w:val="TableText"/>
                <w:rFonts w:asciiTheme="majorHAnsi" w:hAnsiTheme="majorHAnsi"/>
                <w:sz w:val="22"/>
                <w:szCs w:val="22"/>
              </w:rPr>
            </w:pPr>
            <w:r>
              <w:rPr>
                <w:rStyle w:val="TableText"/>
                <w:rFonts w:asciiTheme="majorHAnsi" w:hAnsiTheme="majorHAnsi"/>
                <w:sz w:val="22"/>
                <w:szCs w:val="22"/>
              </w:rPr>
              <w:t>Monami, 2010</w:t>
            </w:r>
            <w:r w:rsidR="0093455B" w:rsidRPr="00DF4210">
              <w:rPr>
                <w:rStyle w:val="TableText"/>
                <w:rFonts w:asciiTheme="majorHAnsi" w:hAnsiTheme="majorHAnsi"/>
                <w:sz w:val="22"/>
                <w:szCs w:val="22"/>
                <w:vertAlign w:val="superscript"/>
              </w:rPr>
              <w:t>64</w:t>
            </w:r>
          </w:p>
        </w:tc>
        <w:tc>
          <w:tcPr>
            <w:tcW w:w="6299" w:type="dxa"/>
            <w:tcBorders>
              <w:top w:val="single" w:sz="4" w:space="0" w:color="auto"/>
              <w:left w:val="single" w:sz="4" w:space="0" w:color="auto"/>
              <w:bottom w:val="single" w:sz="4" w:space="0" w:color="auto"/>
            </w:tcBorders>
            <w:vAlign w:val="center"/>
          </w:tcPr>
          <w:p w:rsidR="00947CC4" w:rsidRPr="00A87685" w:rsidRDefault="00947CC4" w:rsidP="00A87685">
            <w:pPr>
              <w:spacing w:before="60" w:after="60" w:line="240" w:lineRule="auto"/>
              <w:rPr>
                <w:rStyle w:val="TableText"/>
                <w:rFonts w:asciiTheme="majorHAnsi" w:hAnsiTheme="majorHAnsi"/>
                <w:sz w:val="22"/>
                <w:szCs w:val="22"/>
              </w:rPr>
            </w:pPr>
            <w:r w:rsidRPr="00A87685">
              <w:rPr>
                <w:rStyle w:val="TableText"/>
                <w:rFonts w:asciiTheme="majorHAnsi" w:hAnsiTheme="majorHAnsi"/>
                <w:sz w:val="22"/>
                <w:szCs w:val="22"/>
              </w:rPr>
              <w:t>DPP-4 inhibitors</w:t>
            </w:r>
          </w:p>
        </w:tc>
      </w:tr>
    </w:tbl>
    <w:p w:rsidR="00947CC4" w:rsidRPr="00026CCF" w:rsidRDefault="00E63155" w:rsidP="00026CCF">
      <w:pPr>
        <w:pStyle w:val="Notes"/>
      </w:pPr>
      <w:r>
        <w:rPr>
          <w:rStyle w:val="TableText"/>
          <w:rFonts w:ascii="Cambria" w:hAnsi="Cambria" w:cs="Baskerville"/>
        </w:rPr>
        <w:t xml:space="preserve">Abbreviations: </w:t>
      </w:r>
      <w:r w:rsidR="00A87685" w:rsidRPr="00026CCF">
        <w:rPr>
          <w:rStyle w:val="TableText"/>
          <w:rFonts w:ascii="Cambria" w:hAnsi="Cambria" w:cs="Baskerville"/>
        </w:rPr>
        <w:t xml:space="preserve">MET = metformin: </w:t>
      </w:r>
      <w:r>
        <w:rPr>
          <w:rStyle w:val="TableText"/>
          <w:rFonts w:ascii="Cambria" w:hAnsi="Cambria" w:cs="Baskerville"/>
        </w:rPr>
        <w:t>SU = sulfonylurea.</w:t>
      </w:r>
    </w:p>
    <w:p w:rsidR="00947CC4" w:rsidRDefault="00947CC4" w:rsidP="00A87685">
      <w:pPr>
        <w:pStyle w:val="BodyText1"/>
      </w:pPr>
    </w:p>
    <w:p w:rsidR="00947CC4" w:rsidRDefault="00957ED2" w:rsidP="00A87685">
      <w:r>
        <w:t xml:space="preserve">The clinical trials from the systematic literature reviews were extracted for further consideration. </w:t>
      </w:r>
      <w:r w:rsidR="00947CC4">
        <w:t xml:space="preserve">Systematic literature searches were carried out to update the three identified systematic reviews. Ovid MEDLINE and The Cochrane Library Database were searched on 11 March 2014. The key inclusion criteria were that the duration of the trial needed to be at least 24 weeks and that at least 250 patients were included in each treatment arm. </w:t>
      </w:r>
      <w:r w:rsidR="003F7401">
        <w:t>Trials published between January 2003 and March 2014 were included.</w:t>
      </w:r>
    </w:p>
    <w:p w:rsidR="00947CC4" w:rsidRDefault="00947CC4" w:rsidP="00947CC4">
      <w:r>
        <w:t>Greater emphasis was placed on identifying efficacy for triple medicine com</w:t>
      </w:r>
      <w:r w:rsidR="00957ED2">
        <w:t>bination</w:t>
      </w:r>
      <w:r>
        <w:t xml:space="preserve">s. Therefore, the inclusion criteria were modified </w:t>
      </w:r>
      <w:r w:rsidR="00957ED2">
        <w:t xml:space="preserve">for the triple therapy trials </w:t>
      </w:r>
      <w:r>
        <w:t>to reflect this interest and trials with more than 100 participants</w:t>
      </w:r>
      <w:r w:rsidRPr="00C438A5">
        <w:t xml:space="preserve"> </w:t>
      </w:r>
      <w:r>
        <w:t xml:space="preserve">were included. </w:t>
      </w:r>
    </w:p>
    <w:p w:rsidR="00806890" w:rsidRDefault="00806890" w:rsidP="00A5385D">
      <w:pPr>
        <w:pStyle w:val="Heading5"/>
        <w:keepNext/>
        <w:keepLines/>
      </w:pPr>
      <w:r>
        <w:t>Data extraction and analysis</w:t>
      </w:r>
    </w:p>
    <w:p w:rsidR="00806890" w:rsidRDefault="00806890" w:rsidP="00A5385D">
      <w:pPr>
        <w:keepNext/>
        <w:keepLines/>
      </w:pPr>
      <w:r>
        <w:t xml:space="preserve">Risk of bias assessment was performed for each included RCT and was assessed using the </w:t>
      </w:r>
      <w:r w:rsidRPr="00D46DFB">
        <w:t>Cochrane Collaboration’s ‘Risk of bias’ tool (</w:t>
      </w:r>
      <w:r w:rsidRPr="00D46DFB">
        <w:rPr>
          <w:color w:val="000000"/>
          <w:shd w:val="clear" w:color="auto" w:fill="FFFFFF"/>
        </w:rPr>
        <w:t>Version 5.1.0</w:t>
      </w:r>
      <w:r w:rsidRPr="00D46DFB">
        <w:t>)</w:t>
      </w:r>
      <w:r>
        <w:t>.</w:t>
      </w:r>
      <w:r w:rsidR="0093455B" w:rsidRPr="00DF4210">
        <w:rPr>
          <w:vertAlign w:val="superscript"/>
        </w:rPr>
        <w:t>65</w:t>
      </w:r>
      <w:r w:rsidRPr="00D46DFB">
        <w:t xml:space="preserve"> Data for</w:t>
      </w:r>
      <w:r>
        <w:t xml:space="preserve"> the following clinical outcomes was extracted from the trials:</w:t>
      </w:r>
    </w:p>
    <w:p w:rsidR="00806890" w:rsidRDefault="00806890" w:rsidP="007156EB">
      <w:pPr>
        <w:pStyle w:val="ListParagraph"/>
        <w:numPr>
          <w:ilvl w:val="0"/>
          <w:numId w:val="48"/>
        </w:numPr>
      </w:pPr>
      <w:r>
        <w:t>HbA</w:t>
      </w:r>
      <w:r w:rsidRPr="00806890">
        <w:rPr>
          <w:vertAlign w:val="subscript"/>
        </w:rPr>
        <w:t>1c</w:t>
      </w:r>
    </w:p>
    <w:p w:rsidR="00806890" w:rsidRDefault="00806890" w:rsidP="007156EB">
      <w:pPr>
        <w:pStyle w:val="ListParagraph"/>
        <w:numPr>
          <w:ilvl w:val="0"/>
          <w:numId w:val="48"/>
        </w:numPr>
      </w:pPr>
      <w:r>
        <w:lastRenderedPageBreak/>
        <w:t>change in body weight</w:t>
      </w:r>
    </w:p>
    <w:p w:rsidR="00806890" w:rsidRDefault="00806890" w:rsidP="007156EB">
      <w:pPr>
        <w:pStyle w:val="ListParagraph"/>
        <w:numPr>
          <w:ilvl w:val="0"/>
          <w:numId w:val="48"/>
        </w:numPr>
      </w:pPr>
      <w:r>
        <w:t>adverse events</w:t>
      </w:r>
    </w:p>
    <w:p w:rsidR="00806890" w:rsidRDefault="00806890" w:rsidP="007156EB">
      <w:pPr>
        <w:pStyle w:val="ListParagraph"/>
        <w:numPr>
          <w:ilvl w:val="0"/>
          <w:numId w:val="48"/>
        </w:numPr>
      </w:pPr>
      <w:r>
        <w:t>hypoglycaemia (all, serious and nocturnal)</w:t>
      </w:r>
    </w:p>
    <w:p w:rsidR="00806890" w:rsidRDefault="00806890" w:rsidP="007156EB">
      <w:pPr>
        <w:pStyle w:val="ListParagraph"/>
        <w:numPr>
          <w:ilvl w:val="0"/>
          <w:numId w:val="48"/>
        </w:numPr>
      </w:pPr>
      <w:r>
        <w:t>serious adverse events</w:t>
      </w:r>
    </w:p>
    <w:p w:rsidR="00806890" w:rsidRDefault="00806890" w:rsidP="007156EB">
      <w:pPr>
        <w:pStyle w:val="ListParagraph"/>
        <w:numPr>
          <w:ilvl w:val="0"/>
          <w:numId w:val="48"/>
        </w:numPr>
      </w:pPr>
      <w:r>
        <w:t>mortality</w:t>
      </w:r>
    </w:p>
    <w:p w:rsidR="00806890" w:rsidRDefault="00806890" w:rsidP="007156EB">
      <w:pPr>
        <w:pStyle w:val="ListParagraph"/>
        <w:numPr>
          <w:ilvl w:val="0"/>
          <w:numId w:val="48"/>
        </w:numPr>
      </w:pPr>
      <w:r>
        <w:t>cardiovascular events</w:t>
      </w:r>
    </w:p>
    <w:p w:rsidR="00806890" w:rsidRDefault="00806890" w:rsidP="007156EB">
      <w:pPr>
        <w:pStyle w:val="ListParagraph"/>
        <w:numPr>
          <w:ilvl w:val="0"/>
          <w:numId w:val="48"/>
        </w:numPr>
      </w:pPr>
      <w:r>
        <w:t>microvascular events</w:t>
      </w:r>
    </w:p>
    <w:p w:rsidR="00806890" w:rsidRDefault="00806890" w:rsidP="007156EB">
      <w:pPr>
        <w:pStyle w:val="ListParagraph"/>
        <w:numPr>
          <w:ilvl w:val="0"/>
          <w:numId w:val="48"/>
        </w:numPr>
      </w:pPr>
      <w:r>
        <w:t>urinary tract infections</w:t>
      </w:r>
    </w:p>
    <w:p w:rsidR="00806890" w:rsidRDefault="00806890" w:rsidP="007156EB">
      <w:pPr>
        <w:pStyle w:val="ListParagraph"/>
        <w:numPr>
          <w:ilvl w:val="0"/>
          <w:numId w:val="48"/>
        </w:numPr>
      </w:pPr>
      <w:r>
        <w:t>pancreatitis.</w:t>
      </w:r>
    </w:p>
    <w:p w:rsidR="00806890" w:rsidRDefault="00806890" w:rsidP="00806890">
      <w:r>
        <w:t>The PBAC has previously co</w:t>
      </w:r>
      <w:r w:rsidR="002A2142">
        <w:t>nsidered a difference of 0.3–</w:t>
      </w:r>
      <w:r>
        <w:t>0.4% in HbA</w:t>
      </w:r>
      <w:r w:rsidRPr="00F37BA7">
        <w:rPr>
          <w:vertAlign w:val="subscript"/>
        </w:rPr>
        <w:t>1c</w:t>
      </w:r>
      <w:r>
        <w:t xml:space="preserve"> to be clinically important.</w:t>
      </w:r>
      <w:r w:rsidR="0093455B" w:rsidRPr="00DF4210">
        <w:rPr>
          <w:vertAlign w:val="superscript"/>
        </w:rPr>
        <w:t>66</w:t>
      </w:r>
      <w:r>
        <w:t xml:space="preserve"> Therefore, a difference of 0.3% is considered the minimum clinically important difference (MCID) in HbA</w:t>
      </w:r>
      <w:r w:rsidRPr="00246E43">
        <w:rPr>
          <w:vertAlign w:val="subscript"/>
        </w:rPr>
        <w:t>1c</w:t>
      </w:r>
      <w:r>
        <w:t xml:space="preserve"> for the purpose of this report. For the other outcomes (e.g. body weight, adverse events, hypoglycaemia, serious adverse event</w:t>
      </w:r>
      <w:r w:rsidR="002A2142">
        <w:t>s</w:t>
      </w:r>
      <w:r>
        <w:t>, cardiac events), no MCID has been established.</w:t>
      </w:r>
    </w:p>
    <w:p w:rsidR="00026CCF" w:rsidRDefault="00026CCF" w:rsidP="00026CCF">
      <w:r>
        <w:t>Data from the RCTs were extracted into Microsoft Excel including all outcome measures and measures of variability; standard deviations, standard errors and 95% confidence intervals were imputed where necessary. The data was then imported into STATA for meta-analysis and network meta-analysis. Where multiple trials were available, head-to-head meta-analyses were performed using a random effects model.</w:t>
      </w:r>
    </w:p>
    <w:p w:rsidR="00026CCF" w:rsidRDefault="00026CCF" w:rsidP="00026CCF">
      <w:r>
        <w:t>A multiple-treatments network analysis was undertaken to summarise the results of triple therapy for each of the outcomes where a network existed (HbA</w:t>
      </w:r>
      <w:r w:rsidRPr="000829E2">
        <w:rPr>
          <w:vertAlign w:val="subscript"/>
        </w:rPr>
        <w:t>1c</w:t>
      </w:r>
      <w:r>
        <w:t>, body weight, serious adverse events, hypoglycaemia and serious hypoglycaemia) using the trial data in the clinical evidence base. The network analysis assumes that more than one treatment arm can come from an individual trial. The estimated overall treatment effects were calculated using the “network meta” and “mvmeta” commands in STATA using a random effects model. Possible covariates (HbA</w:t>
      </w:r>
      <w:r w:rsidRPr="000829E2">
        <w:rPr>
          <w:vertAlign w:val="subscript"/>
        </w:rPr>
        <w:t>1c</w:t>
      </w:r>
      <w:r>
        <w:t xml:space="preserve">, age and </w:t>
      </w:r>
      <w:r w:rsidR="002A2142">
        <w:t>BMI</w:t>
      </w:r>
      <w:r>
        <w:t>) were examined prior to carrying out the network analysis to ensure similarities in baseline characteristics. The measurements of treatment effect calculated were mean differences (and their 95% confidence intervals) for continuous data, and odds ratios (and their 95% confidence intervals) for dichotomous outcomes.</w:t>
      </w:r>
    </w:p>
    <w:p w:rsidR="00026CCF" w:rsidRDefault="00026CCF" w:rsidP="00026CCF">
      <w:r>
        <w:t>No meta-analyses or network analyses were performed for the trials with monotherapy, dual therapy or existing medication. The reason for not performing these analyses was that no further analyses were required by the Reference Group for monotherapy and dual therapy. For existing medication, the included patients, trial design</w:t>
      </w:r>
      <w:r w:rsidR="005657A4">
        <w:t>, background therapies</w:t>
      </w:r>
      <w:r>
        <w:t xml:space="preserve"> and reported outcomes were heterogeneous precluding further meta-analyses.</w:t>
      </w:r>
    </w:p>
    <w:p w:rsidR="00026CCF" w:rsidRDefault="00520162" w:rsidP="00026CCF">
      <w:pPr>
        <w:pStyle w:val="Heading2"/>
      </w:pPr>
      <w:bookmarkStart w:id="287" w:name="_Toc397947727"/>
      <w:bookmarkStart w:id="288" w:name="_Toc403399568"/>
      <w:r>
        <w:lastRenderedPageBreak/>
        <w:t>6.4</w:t>
      </w:r>
      <w:r>
        <w:tab/>
      </w:r>
      <w:r w:rsidR="00026CCF">
        <w:t>Results</w:t>
      </w:r>
      <w:r w:rsidR="0065763F">
        <w:t xml:space="preserve"> and Discussion</w:t>
      </w:r>
      <w:bookmarkEnd w:id="287"/>
      <w:bookmarkEnd w:id="288"/>
    </w:p>
    <w:p w:rsidR="00E932F3" w:rsidRDefault="00E932F3" w:rsidP="00E932F3">
      <w:r>
        <w:t xml:space="preserve">In </w:t>
      </w:r>
      <w:r w:rsidRPr="0026739E">
        <w:t>all</w:t>
      </w:r>
      <w:r>
        <w:t>,</w:t>
      </w:r>
      <w:r w:rsidRPr="0026739E">
        <w:t xml:space="preserve"> 2</w:t>
      </w:r>
      <w:r>
        <w:t>,</w:t>
      </w:r>
      <w:r w:rsidR="00BA3616">
        <w:t>720</w:t>
      </w:r>
      <w:r w:rsidRPr="0026739E">
        <w:t xml:space="preserve"> publications were identified in the database searches. When filtered </w:t>
      </w:r>
      <w:r>
        <w:t>by the</w:t>
      </w:r>
      <w:r w:rsidRPr="0026739E">
        <w:t xml:space="preserve"> inclusion </w:t>
      </w:r>
      <w:r w:rsidR="00BA3616">
        <w:t>criteria, 87</w:t>
      </w:r>
      <w:r w:rsidRPr="0026739E">
        <w:t xml:space="preserve"> publications </w:t>
      </w:r>
      <w:r>
        <w:t>covering</w:t>
      </w:r>
      <w:r w:rsidRPr="0026739E">
        <w:t xml:space="preserve"> </w:t>
      </w:r>
      <w:r w:rsidR="00BA3616">
        <w:t>72</w:t>
      </w:r>
      <w:r>
        <w:t xml:space="preserve"> RCTs were identified as relevant for the review: </w:t>
      </w:r>
    </w:p>
    <w:p w:rsidR="00E932F3" w:rsidRDefault="00E932F3" w:rsidP="007156EB">
      <w:pPr>
        <w:pStyle w:val="ListParagraph"/>
        <w:numPr>
          <w:ilvl w:val="0"/>
          <w:numId w:val="49"/>
        </w:numPr>
      </w:pPr>
      <w:r>
        <w:t>Mon</w:t>
      </w:r>
      <w:r w:rsidR="002A2142">
        <w:t>o</w:t>
      </w:r>
      <w:r>
        <w:t>therapy: 13 trials, including 11 not considered by the PBAC previously.</w:t>
      </w:r>
    </w:p>
    <w:p w:rsidR="00E932F3" w:rsidRPr="00082421" w:rsidRDefault="00E932F3" w:rsidP="007156EB">
      <w:pPr>
        <w:pStyle w:val="ListParagraph"/>
        <w:numPr>
          <w:ilvl w:val="0"/>
          <w:numId w:val="49"/>
        </w:numPr>
      </w:pPr>
      <w:r>
        <w:t>Dual therapy: 28</w:t>
      </w:r>
      <w:r w:rsidRPr="00082421">
        <w:t xml:space="preserve"> </w:t>
      </w:r>
      <w:r>
        <w:t>trials, including 14 not considered by the PBAC previously.</w:t>
      </w:r>
    </w:p>
    <w:p w:rsidR="00E932F3" w:rsidRPr="00082421" w:rsidRDefault="00E932F3" w:rsidP="007156EB">
      <w:pPr>
        <w:pStyle w:val="ListParagraph"/>
        <w:numPr>
          <w:ilvl w:val="0"/>
          <w:numId w:val="49"/>
        </w:numPr>
      </w:pPr>
      <w:r>
        <w:t>Monotherapy and dual therapy: 2 trials, neither have been considered by the PBAC previously.</w:t>
      </w:r>
    </w:p>
    <w:p w:rsidR="00E932F3" w:rsidRPr="00082421" w:rsidRDefault="00BA3616" w:rsidP="007156EB">
      <w:pPr>
        <w:pStyle w:val="ListParagraph"/>
        <w:numPr>
          <w:ilvl w:val="0"/>
          <w:numId w:val="49"/>
        </w:numPr>
      </w:pPr>
      <w:r>
        <w:t>Triple therapy: 21</w:t>
      </w:r>
      <w:r w:rsidR="00E932F3">
        <w:t xml:space="preserve"> trials, including 14 not considered by the PBAC previously.</w:t>
      </w:r>
    </w:p>
    <w:p w:rsidR="00E932F3" w:rsidRDefault="00E932F3" w:rsidP="007156EB">
      <w:pPr>
        <w:pStyle w:val="ListParagraph"/>
        <w:numPr>
          <w:ilvl w:val="0"/>
          <w:numId w:val="49"/>
        </w:numPr>
      </w:pPr>
      <w:r>
        <w:t>Treatment added to existing medication: 8 trials, including 2 not considered by the PBAC previously.</w:t>
      </w:r>
    </w:p>
    <w:p w:rsidR="0065763F" w:rsidRPr="0065763F" w:rsidRDefault="0065763F" w:rsidP="0065763F">
      <w:pPr>
        <w:rPr>
          <w:lang w:val="en-GB" w:eastAsia="en-GB"/>
        </w:rPr>
      </w:pPr>
      <w:r>
        <w:t xml:space="preserve">The systematic literature review did not identify </w:t>
      </w:r>
      <w:r w:rsidR="00A26D2D">
        <w:t>long term</w:t>
      </w:r>
      <w:r>
        <w:t xml:space="preserve"> macrovascular or microvascular outcome data for acarbose</w:t>
      </w:r>
      <w:r w:rsidR="002A2142">
        <w:t>, insulin, SGLT</w:t>
      </w:r>
      <w:r>
        <w:t xml:space="preserve">2 inhibitors and GLP-1 receptor agonists. </w:t>
      </w:r>
    </w:p>
    <w:p w:rsidR="00520162" w:rsidRDefault="00520162" w:rsidP="00520162"/>
    <w:p w:rsidR="002206CC" w:rsidRDefault="002206CC" w:rsidP="002206CC">
      <w:pPr>
        <w:pStyle w:val="Heading3"/>
      </w:pPr>
      <w:r w:rsidRPr="002206CC">
        <w:t>6.4.1  Monotherapy</w:t>
      </w:r>
    </w:p>
    <w:p w:rsidR="00BA3616" w:rsidRDefault="00351683" w:rsidP="00BA3616">
      <w:r>
        <w:t xml:space="preserve">Details of the identified monotherapy trials are provided in </w:t>
      </w:r>
      <w:hyperlink w:anchor="_Appendix_F:_Literature" w:history="1">
        <w:r w:rsidRPr="006E1080">
          <w:rPr>
            <w:rStyle w:val="Hyperlink"/>
          </w:rPr>
          <w:t>Appendix</w:t>
        </w:r>
        <w:r w:rsidR="00217038" w:rsidRPr="006E1080">
          <w:rPr>
            <w:rStyle w:val="Hyperlink"/>
          </w:rPr>
          <w:t xml:space="preserve"> </w:t>
        </w:r>
        <w:r w:rsidR="002E71E3" w:rsidRPr="006E1080">
          <w:rPr>
            <w:rStyle w:val="Hyperlink"/>
          </w:rPr>
          <w:t>G</w:t>
        </w:r>
      </w:hyperlink>
      <w:r w:rsidR="00217038">
        <w:t>, Table 1.</w:t>
      </w:r>
      <w:r>
        <w:t xml:space="preserve"> </w:t>
      </w:r>
      <w:r w:rsidR="00BA3616">
        <w:t>This systematic review identified that of the newer type 2 diabetes medicines, recent monotherapy trials meeting the inclusion criteria are only available for DPP-4 inhibitors and TZDs. There were no direct head-to-head trials comparing metformin to TZDs, but there are four trials comparing metformin to DPP-4 inhibitors (two not yet seen by the PBAC). On the advice of the Reference Group, no further assessment of the trials was performed.</w:t>
      </w:r>
    </w:p>
    <w:p w:rsidR="00BE6FFB" w:rsidRDefault="00BE6FFB" w:rsidP="006827CA"/>
    <w:p w:rsidR="00F5031D" w:rsidRPr="002206CC" w:rsidRDefault="002206CC" w:rsidP="002206CC">
      <w:pPr>
        <w:pStyle w:val="Heading3"/>
      </w:pPr>
      <w:r w:rsidRPr="002206CC">
        <w:t xml:space="preserve">6.4.2  </w:t>
      </w:r>
      <w:r w:rsidR="00F5031D" w:rsidRPr="002206CC">
        <w:t xml:space="preserve">Dual Therapy </w:t>
      </w:r>
    </w:p>
    <w:p w:rsidR="00F5031D" w:rsidRDefault="002206CC" w:rsidP="00F5031D">
      <w:r>
        <w:t>For the majority of the dual therapy trials, that included comparisons previously considered by the PBAC, no further assessment of efficacy and safety was performed.</w:t>
      </w:r>
      <w:r w:rsidR="00C87875">
        <w:t xml:space="preserve"> Details of the identified dual therapy trials are provided in </w:t>
      </w:r>
      <w:hyperlink w:anchor="_Appendix_G:_Literature_1" w:history="1">
        <w:r w:rsidR="00C87875" w:rsidRPr="006E1080">
          <w:rPr>
            <w:rStyle w:val="Hyperlink"/>
          </w:rPr>
          <w:t xml:space="preserve">Appendix </w:t>
        </w:r>
        <w:r w:rsidR="002E71E3" w:rsidRPr="006E1080">
          <w:rPr>
            <w:rStyle w:val="Hyperlink"/>
          </w:rPr>
          <w:t>G</w:t>
        </w:r>
      </w:hyperlink>
      <w:r w:rsidR="00C87875">
        <w:t>, Table 2.</w:t>
      </w:r>
    </w:p>
    <w:p w:rsidR="00F5031D" w:rsidRDefault="00F5031D" w:rsidP="00F5031D">
      <w:r w:rsidRPr="00D23F1D">
        <w:t xml:space="preserve">The </w:t>
      </w:r>
      <w:r>
        <w:t xml:space="preserve">Reference Group </w:t>
      </w:r>
      <w:r w:rsidR="00EF15DD">
        <w:t>considered that the data for</w:t>
      </w:r>
      <w:r w:rsidR="00C87875">
        <w:t xml:space="preserve"> </w:t>
      </w:r>
      <w:r w:rsidR="00EF15DD">
        <w:t>Yoon 2011</w:t>
      </w:r>
      <w:r w:rsidR="0093455B" w:rsidRPr="00413AE0">
        <w:rPr>
          <w:vertAlign w:val="superscript"/>
        </w:rPr>
        <w:t>1</w:t>
      </w:r>
      <w:r w:rsidR="008904D3">
        <w:t xml:space="preserve"> that compared </w:t>
      </w:r>
      <w:r w:rsidR="00D3642C">
        <w:t>TZD vs. TZD + DPP-4 inhibitor</w:t>
      </w:r>
      <w:r w:rsidR="00C87875">
        <w:t xml:space="preserve"> </w:t>
      </w:r>
      <w:r w:rsidR="00F47A85">
        <w:t>(pioglitazone</w:t>
      </w:r>
      <w:r w:rsidR="00994072">
        <w:t xml:space="preserve"> + sitagliptin</w:t>
      </w:r>
      <w:r w:rsidR="00F47A85">
        <w:t xml:space="preserve">) </w:t>
      </w:r>
      <w:r>
        <w:t>added important further information</w:t>
      </w:r>
      <w:r w:rsidR="00C87875">
        <w:t>, as this combination has not previously been considered by the PBAC</w:t>
      </w:r>
      <w:r w:rsidRPr="00D23F1D">
        <w:t>.</w:t>
      </w:r>
      <w:r>
        <w:t xml:space="preserve"> Participants in </w:t>
      </w:r>
      <w:r w:rsidR="008904D3">
        <w:t xml:space="preserve">this </w:t>
      </w:r>
      <w:r>
        <w:t xml:space="preserve">trial were recruited between 2006 and 2008. Participants were multi-national and included adult patients that were medicine naïve with elevated </w:t>
      </w:r>
      <w:r w:rsidRPr="007707BC">
        <w:t>Hb</w:t>
      </w:r>
      <w:r>
        <w:t>A</w:t>
      </w:r>
      <w:r w:rsidRPr="00C53437">
        <w:rPr>
          <w:vertAlign w:val="subscript"/>
        </w:rPr>
        <w:t>1c</w:t>
      </w:r>
      <w:r>
        <w:t xml:space="preserve"> of ≥8.0% and ≤12.0%.</w:t>
      </w:r>
      <w:r>
        <w:rPr>
          <w:szCs w:val="22"/>
        </w:rPr>
        <w:t xml:space="preserve"> There were no significant differences at baseline between the two treatment arms.</w:t>
      </w:r>
      <w:r w:rsidR="008904D3">
        <w:t xml:space="preserve"> </w:t>
      </w:r>
    </w:p>
    <w:p w:rsidR="00F5031D" w:rsidRDefault="00F5031D" w:rsidP="008904D3">
      <w:r w:rsidRPr="002C30D1">
        <w:t xml:space="preserve">On the basis of direct comparison evidence </w:t>
      </w:r>
      <w:r>
        <w:t>it</w:t>
      </w:r>
      <w:r w:rsidRPr="002C30D1">
        <w:t xml:space="preserve"> </w:t>
      </w:r>
      <w:r>
        <w:t>could be argued that</w:t>
      </w:r>
      <w:r w:rsidR="00A91DEA">
        <w:t xml:space="preserve"> compared to TZD monotherapy, TZD + DPP-4 inhibitors resulted in</w:t>
      </w:r>
      <w:r>
        <w:t xml:space="preserve">: </w:t>
      </w:r>
    </w:p>
    <w:p w:rsidR="00F5031D" w:rsidRDefault="00F5031D" w:rsidP="007156EB">
      <w:pPr>
        <w:pStyle w:val="ListParagraph"/>
        <w:numPr>
          <w:ilvl w:val="0"/>
          <w:numId w:val="50"/>
        </w:numPr>
      </w:pPr>
      <w:r>
        <w:lastRenderedPageBreak/>
        <w:t>superior efficacy (HbA</w:t>
      </w:r>
      <w:r w:rsidRPr="008904D3">
        <w:rPr>
          <w:vertAlign w:val="subscript"/>
        </w:rPr>
        <w:t>1c</w:t>
      </w:r>
      <w:r w:rsidR="00F47A85">
        <w:t xml:space="preserve"> only; -0.9%; 95% CI: </w:t>
      </w:r>
      <w:r w:rsidR="00F47A85">
        <w:noBreakHyphen/>
      </w:r>
      <w:r>
        <w:t>1.1 to -0.7)</w:t>
      </w:r>
    </w:p>
    <w:p w:rsidR="00F5031D" w:rsidRDefault="00F5031D" w:rsidP="007156EB">
      <w:pPr>
        <w:pStyle w:val="ListParagraph"/>
        <w:numPr>
          <w:ilvl w:val="0"/>
          <w:numId w:val="50"/>
        </w:numPr>
      </w:pPr>
      <w:r>
        <w:t xml:space="preserve">increased weight gain (1.1 kg; p-value not reported) </w:t>
      </w:r>
    </w:p>
    <w:p w:rsidR="00F5031D" w:rsidRDefault="00F5031D" w:rsidP="007156EB">
      <w:pPr>
        <w:pStyle w:val="ListParagraph"/>
        <w:numPr>
          <w:ilvl w:val="0"/>
          <w:numId w:val="50"/>
        </w:numPr>
      </w:pPr>
      <w:r>
        <w:t>similar safety.</w:t>
      </w:r>
    </w:p>
    <w:p w:rsidR="00F5031D" w:rsidRDefault="00F5031D" w:rsidP="008904D3">
      <w:r>
        <w:t>The trial had some limitations, includi</w:t>
      </w:r>
      <w:r w:rsidR="00F47A85">
        <w:t>ng a short duration of 24 weeks</w:t>
      </w:r>
      <w:r>
        <w:t xml:space="preserve"> and a low number of specific adverse events. </w:t>
      </w:r>
      <w:r w:rsidR="003928EA">
        <w:t xml:space="preserve">Assessed risk of bias was unclear. </w:t>
      </w:r>
      <w:r>
        <w:t xml:space="preserve">Further, as the patients were treatment naïve, the results may not be applicable to Australian practice where both dual therapy and these medicines are unlikely to be used as first line therapy. </w:t>
      </w:r>
    </w:p>
    <w:p w:rsidR="00AE7826" w:rsidRDefault="00AE7826" w:rsidP="00A91DEA"/>
    <w:p w:rsidR="00F47A85" w:rsidRDefault="00F47A85" w:rsidP="00F47A85">
      <w:pPr>
        <w:pStyle w:val="Heading3"/>
      </w:pPr>
      <w:r w:rsidRPr="00F47A85">
        <w:t>6.4.3  Triple Therapy</w:t>
      </w:r>
    </w:p>
    <w:p w:rsidR="00307262" w:rsidRPr="00307262" w:rsidRDefault="002A2142" w:rsidP="00307262">
      <w:pPr>
        <w:pStyle w:val="Heading4"/>
      </w:pPr>
      <w:r>
        <w:t>6.4.3.1  Identified tria</w:t>
      </w:r>
      <w:r w:rsidR="00307262">
        <w:t>ls</w:t>
      </w:r>
    </w:p>
    <w:p w:rsidR="00F47A85" w:rsidRDefault="00F47A85" w:rsidP="00F47A85">
      <w:r>
        <w:t>The</w:t>
      </w:r>
      <w:r w:rsidR="00DA5F7E">
        <w:t xml:space="preserve"> literature search identified 22 publications covering 21</w:t>
      </w:r>
      <w:r>
        <w:t xml:space="preserve"> trials with type 2 diabetes patients receiving triple therapy. The majority of trials </w:t>
      </w:r>
      <w:r w:rsidR="00B42F08">
        <w:t>were of 24–26 weeks duration (13</w:t>
      </w:r>
      <w:r w:rsidR="00DA5F7E">
        <w:t>/21</w:t>
      </w:r>
      <w:r>
        <w:t xml:space="preserve"> </w:t>
      </w:r>
      <w:r w:rsidR="00BC6868">
        <w:t>trials), with only 2 trials</w:t>
      </w:r>
      <w:r w:rsidR="0093455B" w:rsidRPr="00DF4210">
        <w:rPr>
          <w:vertAlign w:val="superscript"/>
        </w:rPr>
        <w:t>67</w:t>
      </w:r>
      <w:r w:rsidR="00DF4210" w:rsidRPr="00DF4210">
        <w:rPr>
          <w:vertAlign w:val="superscript"/>
        </w:rPr>
        <w:t xml:space="preserve">; </w:t>
      </w:r>
      <w:r w:rsidR="0093455B" w:rsidRPr="00DF4210">
        <w:rPr>
          <w:vertAlign w:val="superscript"/>
        </w:rPr>
        <w:t>68</w:t>
      </w:r>
      <w:r>
        <w:t xml:space="preserve"> with a duration longer than one year. </w:t>
      </w:r>
      <w:r w:rsidR="00BC6868">
        <w:t>Figure 6.1 presents the network of trials in the triple therapy comparisons, and Table 6.2 provides d</w:t>
      </w:r>
      <w:r>
        <w:t>etails of the comparisons included in the triple therapy trials.</w:t>
      </w:r>
    </w:p>
    <w:p w:rsidR="00A803A6" w:rsidRDefault="00A803A6" w:rsidP="00A803A6">
      <w:r>
        <w:t>Trials that only compared the same treatment groups</w:t>
      </w:r>
      <w:r w:rsidRPr="00884DC6">
        <w:t xml:space="preserve"> </w:t>
      </w:r>
      <w:r>
        <w:t>were excluded from the netwo</w:t>
      </w:r>
      <w:r w:rsidR="00DA5F7E">
        <w:t>rk analyses (comparisons 4 and 10</w:t>
      </w:r>
      <w:r w:rsidR="00212DEB">
        <w:t xml:space="preserve"> in Table 6.2</w:t>
      </w:r>
      <w:r>
        <w:t>). Additionally, one trial did not link to the network, as none of the treatment arms were included in any of</w:t>
      </w:r>
      <w:r w:rsidR="00DA5F7E">
        <w:t xml:space="preserve"> the other trials (comparison 11</w:t>
      </w:r>
      <w:r w:rsidR="00212DEB">
        <w:t xml:space="preserve"> in Table 6.2</w:t>
      </w:r>
      <w:r>
        <w:t>).</w:t>
      </w:r>
      <w:r w:rsidRPr="00884DC6">
        <w:t xml:space="preserve"> </w:t>
      </w:r>
      <w:r>
        <w:t>No evidence was identified for triple therapy that included acarbose.</w:t>
      </w:r>
    </w:p>
    <w:p w:rsidR="00A803A6" w:rsidRDefault="00A803A6" w:rsidP="00A803A6">
      <w:pPr>
        <w:pStyle w:val="Heading5"/>
      </w:pPr>
      <w:r>
        <w:t>Trial quality</w:t>
      </w:r>
    </w:p>
    <w:p w:rsidR="00A803A6" w:rsidRDefault="00A803A6" w:rsidP="00A803A6">
      <w:r>
        <w:t>The</w:t>
      </w:r>
      <w:r w:rsidRPr="00082421">
        <w:t xml:space="preserve"> triple therapy trials were assessed for bias</w:t>
      </w:r>
      <w:r>
        <w:t>. Overall, four trials were identified as having a high risk of bias, twelve trials were identified as having a</w:t>
      </w:r>
      <w:r w:rsidR="00DA5F7E">
        <w:t>n unclear risk of bias, and five</w:t>
      </w:r>
      <w:r>
        <w:t xml:space="preserve"> trials as having a low risk of bias.  </w:t>
      </w:r>
    </w:p>
    <w:p w:rsidR="00A803A6" w:rsidRDefault="00A803A6" w:rsidP="00A803A6">
      <w:r w:rsidRPr="00082421">
        <w:t xml:space="preserve">All </w:t>
      </w:r>
      <w:r>
        <w:t xml:space="preserve">trials were </w:t>
      </w:r>
      <w:r w:rsidRPr="00082421">
        <w:t xml:space="preserve">stated </w:t>
      </w:r>
      <w:r>
        <w:t>as RCT</w:t>
      </w:r>
      <w:r w:rsidRPr="00082421">
        <w:t>s</w:t>
      </w:r>
      <w:r>
        <w:t>;</w:t>
      </w:r>
      <w:r w:rsidRPr="00082421">
        <w:t xml:space="preserve"> however</w:t>
      </w:r>
      <w:r>
        <w:t>,</w:t>
      </w:r>
      <w:r w:rsidRPr="00082421">
        <w:t xml:space="preserve"> nine trials did not provide information on how randomisation occurred, resulting in an unclear risk of selection bias</w:t>
      </w:r>
      <w:r w:rsidR="00DA5F7E">
        <w:t>. Nine</w:t>
      </w:r>
      <w:r>
        <w:t xml:space="preserve"> </w:t>
      </w:r>
      <w:r w:rsidRPr="00082421">
        <w:t>trials were double-blind in which participants and personnel were blinded to treatment allocation, resulting in a low risk of per</w:t>
      </w:r>
      <w:r>
        <w:t>formance and detection bias, while the</w:t>
      </w:r>
      <w:r w:rsidRPr="00082421">
        <w:t xml:space="preserve"> </w:t>
      </w:r>
      <w:r>
        <w:t>twelve</w:t>
      </w:r>
      <w:r w:rsidRPr="00082421">
        <w:t xml:space="preserve"> open-label trials had a high risk of performance and detection bias. In the majority of the trials</w:t>
      </w:r>
      <w:r>
        <w:t>,</w:t>
      </w:r>
      <w:r w:rsidRPr="00082421">
        <w:t xml:space="preserve"> incomplete outcome data </w:t>
      </w:r>
      <w:r>
        <w:t xml:space="preserve">was handled using the </w:t>
      </w:r>
      <w:r w:rsidRPr="00082421">
        <w:t>last observation carried forward. A number of trials had differing levels of attrition between the treatment arms, increasing the risk of attrition bias. As seven trials did not provide a trial register number, these have an unclear risk of reporting bias. The paper by Al-Shaikh 2006 provided no information on trial design and could be subject to other biases.</w:t>
      </w:r>
      <w:r w:rsidR="0093455B" w:rsidRPr="00DF4210">
        <w:rPr>
          <w:vertAlign w:val="superscript"/>
        </w:rPr>
        <w:t>69</w:t>
      </w:r>
      <w:r w:rsidRPr="00082421">
        <w:t xml:space="preserve"> The majority of the trials were supported by pharmaceutical companies, making the risk of additional bias unclear.</w:t>
      </w:r>
    </w:p>
    <w:p w:rsidR="00A803A6" w:rsidRPr="00082421" w:rsidRDefault="00A803A6" w:rsidP="00A803A6">
      <w:r>
        <w:t xml:space="preserve"> The primary outcome of interest for each trial was mean difference in HbA</w:t>
      </w:r>
      <w:r>
        <w:rPr>
          <w:vertAlign w:val="subscript"/>
        </w:rPr>
        <w:t>1c</w:t>
      </w:r>
      <w:r>
        <w:t xml:space="preserve"> from the control group and most trials were powered to assess this outcome, except Rosenstock </w:t>
      </w:r>
      <w:r>
        <w:lastRenderedPageBreak/>
        <w:t>2006 and Al-Shaikh 2006 which did not provide power calculations.</w:t>
      </w:r>
      <w:r w:rsidR="0093455B" w:rsidRPr="00DF4210">
        <w:rPr>
          <w:vertAlign w:val="superscript"/>
        </w:rPr>
        <w:t>69</w:t>
      </w:r>
      <w:r w:rsidR="00DF4210" w:rsidRPr="00DF4210">
        <w:rPr>
          <w:vertAlign w:val="superscript"/>
        </w:rPr>
        <w:t xml:space="preserve">; </w:t>
      </w:r>
      <w:r w:rsidR="0093455B" w:rsidRPr="00DF4210">
        <w:rPr>
          <w:vertAlign w:val="superscript"/>
        </w:rPr>
        <w:t>70</w:t>
      </w:r>
      <w:r>
        <w:t xml:space="preserve"> The publications did not report whether the trials were adequately powered for the secondary outcomes. </w:t>
      </w:r>
    </w:p>
    <w:p w:rsidR="00AB3222" w:rsidRDefault="00AB3222" w:rsidP="00947CC4"/>
    <w:p w:rsidR="00BC6868" w:rsidRPr="003F79BB" w:rsidRDefault="00BC6868" w:rsidP="002772EC">
      <w:pPr>
        <w:keepNext/>
        <w:keepLines/>
        <w:rPr>
          <w:b/>
        </w:rPr>
      </w:pPr>
      <w:bookmarkStart w:id="289" w:name="_Ref392671352"/>
      <w:proofErr w:type="gramStart"/>
      <w:r w:rsidRPr="003F79BB">
        <w:rPr>
          <w:b/>
        </w:rPr>
        <w:t xml:space="preserve">Figure </w:t>
      </w:r>
      <w:bookmarkEnd w:id="289"/>
      <w:r>
        <w:rPr>
          <w:b/>
          <w:noProof w:val="0"/>
        </w:rPr>
        <w:t>6.1.</w:t>
      </w:r>
      <w:proofErr w:type="gramEnd"/>
      <w:r w:rsidRPr="003F79BB">
        <w:rPr>
          <w:b/>
        </w:rPr>
        <w:t xml:space="preserve"> Network of trial evidence available for triple therapy</w:t>
      </w:r>
      <w:r w:rsidR="00835E73">
        <w:rPr>
          <w:b/>
        </w:rPr>
        <w:t xml:space="preserve"> at six months</w:t>
      </w:r>
      <w:r>
        <w:rPr>
          <w:b/>
        </w:rPr>
        <w:t>.</w:t>
      </w:r>
    </w:p>
    <w:p w:rsidR="00BC6868" w:rsidRPr="00082421" w:rsidRDefault="00835E73" w:rsidP="002772EC">
      <w:pPr>
        <w:keepNext/>
        <w:keepLines/>
      </w:pPr>
      <w:r>
        <w:rPr>
          <w:lang w:eastAsia="en-AU"/>
        </w:rPr>
        <w:drawing>
          <wp:inline distT="0" distB="0" distL="0" distR="0" wp14:anchorId="2DA563FF" wp14:editId="3CF9EA08">
            <wp:extent cx="4817018" cy="5670032"/>
            <wp:effectExtent l="0" t="0" r="3175"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ripple therapy HbA1c &amp; BW.jpg"/>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4817018" cy="5670032"/>
                    </a:xfrm>
                    <a:prstGeom prst="rect">
                      <a:avLst/>
                    </a:prstGeom>
                    <a:ln>
                      <a:noFill/>
                    </a:ln>
                    <a:extLst>
                      <a:ext uri="{53640926-AAD7-44D8-BBD7-CCE9431645EC}">
                        <a14:shadowObscured xmlns:a14="http://schemas.microsoft.com/office/drawing/2010/main"/>
                      </a:ext>
                    </a:extLst>
                  </pic:spPr>
                </pic:pic>
              </a:graphicData>
            </a:graphic>
          </wp:inline>
        </w:drawing>
      </w:r>
    </w:p>
    <w:p w:rsidR="00BC6868" w:rsidRDefault="00BC6868" w:rsidP="002772EC">
      <w:pPr>
        <w:pStyle w:val="Notes"/>
        <w:keepNext/>
        <w:keepLines/>
      </w:pPr>
      <w:r>
        <w:t xml:space="preserve">Abbreviations: </w:t>
      </w:r>
      <w:r w:rsidRPr="00082421">
        <w:t>DPP-4</w:t>
      </w:r>
      <w:r w:rsidR="00835E73">
        <w:t>-i</w:t>
      </w:r>
      <w:r w:rsidRPr="00082421">
        <w:t xml:space="preserve"> = </w:t>
      </w:r>
      <w:r>
        <w:t>DPP</w:t>
      </w:r>
      <w:r w:rsidR="00212DEB">
        <w:t>-</w:t>
      </w:r>
      <w:r w:rsidRPr="00082421">
        <w:t>4 inhibitor; GLP</w:t>
      </w:r>
      <w:r w:rsidR="00835E73">
        <w:t>-1-RA</w:t>
      </w:r>
      <w:r w:rsidRPr="00082421">
        <w:t xml:space="preserve"> = </w:t>
      </w:r>
      <w:r>
        <w:t>GLP</w:t>
      </w:r>
      <w:r w:rsidRPr="00082421">
        <w:t xml:space="preserve">-1 receptor agonist; INS = insulin; MET </w:t>
      </w:r>
      <w:r>
        <w:t xml:space="preserve">= metformin; </w:t>
      </w:r>
      <w:r w:rsidR="00835E73" w:rsidRPr="00835E73">
        <w:rPr>
          <w:rFonts w:asciiTheme="majorHAnsi" w:hAnsiTheme="majorHAnsi"/>
        </w:rPr>
        <w:t xml:space="preserve">SGLT2-i = </w:t>
      </w:r>
      <w:r w:rsidR="00835E73">
        <w:rPr>
          <w:rStyle w:val="TableText"/>
          <w:rFonts w:asciiTheme="majorHAnsi" w:hAnsiTheme="majorHAnsi"/>
        </w:rPr>
        <w:t>S</w:t>
      </w:r>
      <w:r w:rsidR="00835E73" w:rsidRPr="00835E73">
        <w:rPr>
          <w:rStyle w:val="TableText"/>
          <w:rFonts w:asciiTheme="majorHAnsi" w:hAnsiTheme="majorHAnsi"/>
        </w:rPr>
        <w:t xml:space="preserve">odium glucose co-transporter 2 inhibitor; </w:t>
      </w:r>
      <w:r w:rsidRPr="00835E73">
        <w:rPr>
          <w:rFonts w:asciiTheme="majorHAnsi" w:hAnsiTheme="majorHAnsi"/>
        </w:rPr>
        <w:t>and</w:t>
      </w:r>
      <w:r>
        <w:t xml:space="preserve"> SU = sulfonylurea.</w:t>
      </w:r>
    </w:p>
    <w:p w:rsidR="00BC6868" w:rsidRDefault="00BC6868" w:rsidP="006827CA">
      <w:pPr>
        <w:pStyle w:val="Notes"/>
        <w:keepNext/>
        <w:keepLines/>
        <w:sectPr w:rsidR="00BC6868" w:rsidSect="00CA37C0">
          <w:pgSz w:w="11906" w:h="16838"/>
          <w:pgMar w:top="1440" w:right="1440" w:bottom="1440" w:left="1440" w:header="708" w:footer="708" w:gutter="0"/>
          <w:cols w:space="708"/>
          <w:titlePg/>
          <w:docGrid w:linePitch="360"/>
        </w:sectPr>
      </w:pPr>
      <w:r>
        <w:t>Note that the network is different for each identified outcome, as not a</w:t>
      </w:r>
      <w:r w:rsidR="006827CA">
        <w:t>ll trials reported all outcomes</w:t>
      </w:r>
    </w:p>
    <w:p w:rsidR="00AB3222" w:rsidRPr="003F79BB" w:rsidRDefault="00AB3222" w:rsidP="00AB3222">
      <w:pPr>
        <w:rPr>
          <w:b/>
        </w:rPr>
      </w:pPr>
      <w:bookmarkStart w:id="290" w:name="_Ref393372815"/>
      <w:proofErr w:type="gramStart"/>
      <w:r w:rsidRPr="003F79BB">
        <w:rPr>
          <w:b/>
        </w:rPr>
        <w:lastRenderedPageBreak/>
        <w:t xml:space="preserve">Table </w:t>
      </w:r>
      <w:bookmarkEnd w:id="290"/>
      <w:r w:rsidR="003F79BB" w:rsidRPr="003F79BB">
        <w:rPr>
          <w:b/>
          <w:noProof w:val="0"/>
        </w:rPr>
        <w:t>6.2.</w:t>
      </w:r>
      <w:proofErr w:type="gramEnd"/>
      <w:r w:rsidRPr="003F79BB">
        <w:rPr>
          <w:b/>
        </w:rPr>
        <w:t xml:space="preserve"> Comparisons included in </w:t>
      </w:r>
      <w:r w:rsidR="003F79BB">
        <w:rPr>
          <w:b/>
        </w:rPr>
        <w:t xml:space="preserve">the </w:t>
      </w:r>
      <w:r w:rsidRPr="003F79BB">
        <w:rPr>
          <w:b/>
        </w:rPr>
        <w:t>triple therapy</w:t>
      </w:r>
      <w:r w:rsidR="003F79BB">
        <w:rPr>
          <w:b/>
        </w:rPr>
        <w:t xml:space="preserve"> trials.</w:t>
      </w:r>
    </w:p>
    <w:tbl>
      <w:tblPr>
        <w:tblStyle w:val="TableGrid"/>
        <w:tblW w:w="14203" w:type="dxa"/>
        <w:tblLayout w:type="fixed"/>
        <w:tblCellMar>
          <w:left w:w="28" w:type="dxa"/>
          <w:right w:w="28" w:type="dxa"/>
        </w:tblCellMar>
        <w:tblLook w:val="04A0" w:firstRow="1" w:lastRow="0" w:firstColumn="1" w:lastColumn="0" w:noHBand="0" w:noVBand="1"/>
      </w:tblPr>
      <w:tblGrid>
        <w:gridCol w:w="1177"/>
        <w:gridCol w:w="1831"/>
        <w:gridCol w:w="1701"/>
        <w:gridCol w:w="709"/>
        <w:gridCol w:w="1987"/>
        <w:gridCol w:w="709"/>
        <w:gridCol w:w="1132"/>
        <w:gridCol w:w="852"/>
        <w:gridCol w:w="992"/>
        <w:gridCol w:w="2267"/>
        <w:gridCol w:w="846"/>
      </w:tblGrid>
      <w:tr w:rsidR="00B46F97" w:rsidRPr="00AB3222" w:rsidTr="00B46F97">
        <w:trPr>
          <w:cantSplit/>
          <w:trHeight w:val="20"/>
          <w:tblHeader/>
        </w:trPr>
        <w:tc>
          <w:tcPr>
            <w:tcW w:w="1177" w:type="dxa"/>
            <w:shd w:val="clear" w:color="auto" w:fill="D9D9D9" w:themeFill="background1" w:themeFillShade="D9"/>
            <w:vAlign w:val="center"/>
          </w:tcPr>
          <w:p w:rsidR="00B46F97" w:rsidRPr="00BF5A5F" w:rsidRDefault="00B46F97" w:rsidP="00BF5A5F">
            <w:pPr>
              <w:spacing w:before="40" w:after="40" w:line="240" w:lineRule="auto"/>
              <w:jc w:val="center"/>
              <w:rPr>
                <w:rStyle w:val="TableText"/>
                <w:rFonts w:asciiTheme="majorHAnsi" w:hAnsiTheme="majorHAnsi"/>
                <w:b/>
                <w:szCs w:val="20"/>
              </w:rPr>
            </w:pPr>
            <w:r w:rsidRPr="00BF5A5F">
              <w:rPr>
                <w:rStyle w:val="TableText"/>
                <w:rFonts w:asciiTheme="majorHAnsi" w:hAnsiTheme="majorHAnsi"/>
                <w:b/>
                <w:szCs w:val="20"/>
              </w:rPr>
              <w:t>Comparison</w:t>
            </w:r>
          </w:p>
        </w:tc>
        <w:tc>
          <w:tcPr>
            <w:tcW w:w="1831" w:type="dxa"/>
            <w:shd w:val="clear" w:color="auto" w:fill="D9D9D9" w:themeFill="background1" w:themeFillShade="D9"/>
            <w:vAlign w:val="center"/>
          </w:tcPr>
          <w:p w:rsidR="00B46F97" w:rsidRPr="00BF5A5F" w:rsidRDefault="00B46F97" w:rsidP="00BF5A5F">
            <w:pPr>
              <w:spacing w:before="40" w:after="40" w:line="240" w:lineRule="auto"/>
              <w:rPr>
                <w:rStyle w:val="TableText"/>
                <w:rFonts w:asciiTheme="majorHAnsi" w:hAnsiTheme="majorHAnsi"/>
                <w:b/>
                <w:szCs w:val="20"/>
              </w:rPr>
            </w:pPr>
            <w:r w:rsidRPr="00BF5A5F">
              <w:rPr>
                <w:rStyle w:val="TableText"/>
                <w:rFonts w:asciiTheme="majorHAnsi" w:hAnsiTheme="majorHAnsi"/>
                <w:b/>
                <w:szCs w:val="20"/>
              </w:rPr>
              <w:t>Intervention 1</w:t>
            </w:r>
          </w:p>
        </w:tc>
        <w:tc>
          <w:tcPr>
            <w:tcW w:w="1701" w:type="dxa"/>
            <w:shd w:val="clear" w:color="auto" w:fill="D9D9D9" w:themeFill="background1" w:themeFillShade="D9"/>
            <w:vAlign w:val="center"/>
          </w:tcPr>
          <w:p w:rsidR="00B46F97" w:rsidRPr="00BF5A5F" w:rsidRDefault="00B46F97" w:rsidP="00BF5A5F">
            <w:pPr>
              <w:spacing w:before="40" w:after="40" w:line="240" w:lineRule="auto"/>
              <w:rPr>
                <w:rStyle w:val="TableText"/>
                <w:rFonts w:asciiTheme="majorHAnsi" w:hAnsiTheme="majorHAnsi"/>
                <w:b/>
                <w:szCs w:val="20"/>
              </w:rPr>
            </w:pPr>
            <w:r w:rsidRPr="00BF5A5F">
              <w:rPr>
                <w:rStyle w:val="TableText"/>
                <w:rFonts w:asciiTheme="majorHAnsi" w:hAnsiTheme="majorHAnsi"/>
                <w:b/>
                <w:szCs w:val="20"/>
              </w:rPr>
              <w:t>Intervention 2</w:t>
            </w:r>
          </w:p>
        </w:tc>
        <w:tc>
          <w:tcPr>
            <w:tcW w:w="709" w:type="dxa"/>
            <w:shd w:val="clear" w:color="auto" w:fill="D9D9D9" w:themeFill="background1" w:themeFillShade="D9"/>
            <w:vAlign w:val="center"/>
          </w:tcPr>
          <w:p w:rsidR="00B46F97" w:rsidRPr="00BF5A5F" w:rsidRDefault="00B46F97" w:rsidP="00BF5A5F">
            <w:pPr>
              <w:spacing w:before="40" w:after="40" w:line="240" w:lineRule="auto"/>
              <w:jc w:val="center"/>
              <w:rPr>
                <w:rStyle w:val="TableText"/>
                <w:rFonts w:asciiTheme="majorHAnsi" w:hAnsiTheme="majorHAnsi"/>
                <w:b/>
                <w:szCs w:val="20"/>
              </w:rPr>
            </w:pPr>
            <w:r w:rsidRPr="00BF5A5F">
              <w:rPr>
                <w:rStyle w:val="TableText"/>
                <w:rFonts w:asciiTheme="majorHAnsi" w:hAnsiTheme="majorHAnsi"/>
                <w:b/>
                <w:szCs w:val="20"/>
              </w:rPr>
              <w:t>No. of trials</w:t>
            </w:r>
          </w:p>
        </w:tc>
        <w:tc>
          <w:tcPr>
            <w:tcW w:w="1987" w:type="dxa"/>
            <w:shd w:val="clear" w:color="auto" w:fill="D9D9D9" w:themeFill="background1" w:themeFillShade="D9"/>
            <w:vAlign w:val="center"/>
          </w:tcPr>
          <w:p w:rsidR="00B46F97" w:rsidRPr="00BF5A5F" w:rsidRDefault="00B46F97" w:rsidP="00BF5A5F">
            <w:pPr>
              <w:spacing w:before="40" w:after="40" w:line="240" w:lineRule="auto"/>
              <w:rPr>
                <w:rStyle w:val="TableText"/>
                <w:rFonts w:asciiTheme="majorHAnsi" w:hAnsiTheme="majorHAnsi"/>
                <w:b/>
                <w:szCs w:val="20"/>
              </w:rPr>
            </w:pPr>
            <w:r w:rsidRPr="00BF5A5F">
              <w:rPr>
                <w:rStyle w:val="TableText"/>
                <w:rFonts w:asciiTheme="majorHAnsi" w:hAnsiTheme="majorHAnsi"/>
                <w:b/>
                <w:szCs w:val="20"/>
              </w:rPr>
              <w:t>Trials</w:t>
            </w:r>
          </w:p>
        </w:tc>
        <w:tc>
          <w:tcPr>
            <w:tcW w:w="709" w:type="dxa"/>
            <w:shd w:val="clear" w:color="auto" w:fill="D9D9D9" w:themeFill="background1" w:themeFillShade="D9"/>
            <w:vAlign w:val="center"/>
          </w:tcPr>
          <w:p w:rsidR="00B46F97" w:rsidRPr="00BF5A5F" w:rsidRDefault="00B46F97" w:rsidP="00BF5A5F">
            <w:pPr>
              <w:spacing w:before="40" w:after="40" w:line="240" w:lineRule="auto"/>
              <w:jc w:val="center"/>
              <w:rPr>
                <w:rStyle w:val="TableText"/>
                <w:rFonts w:asciiTheme="majorHAnsi" w:hAnsiTheme="majorHAnsi"/>
                <w:b/>
                <w:szCs w:val="20"/>
              </w:rPr>
            </w:pPr>
            <w:r w:rsidRPr="00BF5A5F">
              <w:rPr>
                <w:rStyle w:val="TableText"/>
                <w:rFonts w:asciiTheme="majorHAnsi" w:hAnsiTheme="majorHAnsi"/>
                <w:b/>
                <w:szCs w:val="20"/>
              </w:rPr>
              <w:t>N</w:t>
            </w:r>
          </w:p>
        </w:tc>
        <w:tc>
          <w:tcPr>
            <w:tcW w:w="1132" w:type="dxa"/>
            <w:shd w:val="clear" w:color="auto" w:fill="D9D9D9" w:themeFill="background1" w:themeFillShade="D9"/>
            <w:vAlign w:val="center"/>
          </w:tcPr>
          <w:p w:rsidR="00B46F97" w:rsidRPr="00BF5A5F" w:rsidRDefault="00B46F97" w:rsidP="00BF5A5F">
            <w:pPr>
              <w:spacing w:before="40" w:after="40" w:line="240" w:lineRule="auto"/>
              <w:jc w:val="center"/>
              <w:rPr>
                <w:rStyle w:val="TableText"/>
                <w:rFonts w:asciiTheme="majorHAnsi" w:hAnsiTheme="majorHAnsi"/>
                <w:b/>
                <w:szCs w:val="20"/>
              </w:rPr>
            </w:pPr>
            <w:r w:rsidRPr="00BF5A5F">
              <w:rPr>
                <w:rStyle w:val="TableText"/>
                <w:rFonts w:asciiTheme="majorHAnsi" w:hAnsiTheme="majorHAnsi"/>
                <w:b/>
                <w:szCs w:val="20"/>
              </w:rPr>
              <w:t>Duration</w:t>
            </w:r>
          </w:p>
          <w:p w:rsidR="00B46F97" w:rsidRPr="00BF5A5F" w:rsidRDefault="00B46F97" w:rsidP="00BF5A5F">
            <w:pPr>
              <w:spacing w:before="40" w:after="40" w:line="240" w:lineRule="auto"/>
              <w:jc w:val="center"/>
              <w:rPr>
                <w:rStyle w:val="TableText"/>
                <w:rFonts w:asciiTheme="majorHAnsi" w:hAnsiTheme="majorHAnsi"/>
                <w:b/>
                <w:szCs w:val="20"/>
              </w:rPr>
            </w:pPr>
            <w:r w:rsidRPr="00BF5A5F">
              <w:rPr>
                <w:rStyle w:val="TableText"/>
                <w:rFonts w:asciiTheme="majorHAnsi" w:hAnsiTheme="majorHAnsi"/>
                <w:b/>
                <w:szCs w:val="20"/>
              </w:rPr>
              <w:t>(weeks)</w:t>
            </w:r>
          </w:p>
        </w:tc>
        <w:tc>
          <w:tcPr>
            <w:tcW w:w="852" w:type="dxa"/>
            <w:shd w:val="clear" w:color="auto" w:fill="D9D9D9" w:themeFill="background1" w:themeFillShade="D9"/>
            <w:vAlign w:val="center"/>
          </w:tcPr>
          <w:p w:rsidR="00B46F97" w:rsidRPr="00BF5A5F" w:rsidRDefault="00B46F97" w:rsidP="00BF5A5F">
            <w:pPr>
              <w:spacing w:before="40" w:after="40" w:line="240" w:lineRule="auto"/>
              <w:jc w:val="center"/>
              <w:rPr>
                <w:rStyle w:val="TableText"/>
                <w:rFonts w:asciiTheme="majorHAnsi" w:hAnsiTheme="majorHAnsi"/>
                <w:b/>
                <w:szCs w:val="20"/>
              </w:rPr>
            </w:pPr>
            <w:r w:rsidRPr="00BF5A5F">
              <w:rPr>
                <w:rStyle w:val="TableText"/>
                <w:rFonts w:asciiTheme="majorHAnsi" w:hAnsiTheme="majorHAnsi"/>
                <w:b/>
                <w:szCs w:val="20"/>
              </w:rPr>
              <w:t>Risk of Bias</w:t>
            </w:r>
          </w:p>
        </w:tc>
        <w:tc>
          <w:tcPr>
            <w:tcW w:w="992" w:type="dxa"/>
            <w:shd w:val="clear" w:color="auto" w:fill="D9D9D9" w:themeFill="background1" w:themeFillShade="D9"/>
            <w:vAlign w:val="center"/>
          </w:tcPr>
          <w:p w:rsidR="00B46F97" w:rsidRPr="00BF5A5F" w:rsidRDefault="00B46F97" w:rsidP="00BF5A5F">
            <w:pPr>
              <w:spacing w:before="40" w:after="40" w:line="240" w:lineRule="auto"/>
              <w:jc w:val="center"/>
              <w:rPr>
                <w:rStyle w:val="TableText"/>
                <w:rFonts w:asciiTheme="majorHAnsi" w:hAnsiTheme="majorHAnsi"/>
                <w:b/>
                <w:szCs w:val="20"/>
              </w:rPr>
            </w:pPr>
            <w:r w:rsidRPr="00BF5A5F">
              <w:rPr>
                <w:rStyle w:val="TableText"/>
                <w:rFonts w:asciiTheme="majorHAnsi" w:hAnsiTheme="majorHAnsi"/>
                <w:b/>
                <w:szCs w:val="20"/>
              </w:rPr>
              <w:t>Primary outcome</w:t>
            </w:r>
          </w:p>
        </w:tc>
        <w:tc>
          <w:tcPr>
            <w:tcW w:w="2267" w:type="dxa"/>
            <w:shd w:val="clear" w:color="auto" w:fill="D9D9D9" w:themeFill="background1" w:themeFillShade="D9"/>
            <w:vAlign w:val="center"/>
          </w:tcPr>
          <w:p w:rsidR="00B46F97" w:rsidRPr="00BF5A5F" w:rsidRDefault="00B46F97" w:rsidP="00BF5A5F">
            <w:pPr>
              <w:spacing w:before="40" w:after="40" w:line="240" w:lineRule="auto"/>
              <w:rPr>
                <w:rStyle w:val="TableText"/>
                <w:rFonts w:asciiTheme="majorHAnsi" w:hAnsiTheme="majorHAnsi"/>
                <w:b/>
                <w:szCs w:val="20"/>
              </w:rPr>
            </w:pPr>
            <w:r w:rsidRPr="00BF5A5F">
              <w:rPr>
                <w:rStyle w:val="TableText"/>
                <w:rFonts w:asciiTheme="majorHAnsi" w:hAnsiTheme="majorHAnsi"/>
                <w:b/>
                <w:szCs w:val="20"/>
              </w:rPr>
              <w:t>Other outcomes</w:t>
            </w:r>
          </w:p>
        </w:tc>
        <w:tc>
          <w:tcPr>
            <w:tcW w:w="846" w:type="dxa"/>
            <w:shd w:val="clear" w:color="auto" w:fill="D9D9D9" w:themeFill="background1" w:themeFillShade="D9"/>
            <w:vAlign w:val="center"/>
          </w:tcPr>
          <w:p w:rsidR="00B46F97" w:rsidRPr="00BF5A5F" w:rsidRDefault="00B46F97" w:rsidP="00470430">
            <w:pPr>
              <w:spacing w:before="40" w:after="40" w:line="240" w:lineRule="auto"/>
              <w:jc w:val="center"/>
              <w:rPr>
                <w:rStyle w:val="TableText"/>
                <w:rFonts w:asciiTheme="majorHAnsi" w:hAnsiTheme="majorHAnsi"/>
                <w:b/>
                <w:szCs w:val="20"/>
              </w:rPr>
            </w:pPr>
            <w:r>
              <w:rPr>
                <w:rStyle w:val="TableText"/>
                <w:rFonts w:asciiTheme="majorHAnsi" w:hAnsiTheme="majorHAnsi"/>
                <w:b/>
                <w:szCs w:val="20"/>
              </w:rPr>
              <w:t>Seen by PBAC?</w:t>
            </w:r>
            <w:r w:rsidR="00470430">
              <w:rPr>
                <w:rStyle w:val="TableText"/>
                <w:rFonts w:asciiTheme="majorHAnsi" w:hAnsiTheme="majorHAnsi"/>
                <w:b/>
                <w:szCs w:val="20"/>
                <w:vertAlign w:val="superscript"/>
              </w:rPr>
              <w:t>a</w:t>
            </w:r>
          </w:p>
        </w:tc>
      </w:tr>
      <w:tr w:rsidR="00B46F97" w:rsidRPr="00AB3222" w:rsidTr="00B46F97">
        <w:trPr>
          <w:cantSplit/>
          <w:trHeight w:val="20"/>
        </w:trPr>
        <w:tc>
          <w:tcPr>
            <w:tcW w:w="1177" w:type="dxa"/>
            <w:vMerge w:val="restart"/>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w:t>
            </w:r>
          </w:p>
        </w:tc>
        <w:tc>
          <w:tcPr>
            <w:tcW w:w="1831" w:type="dxa"/>
            <w:vMerge w:val="restart"/>
            <w:vAlign w:val="center"/>
          </w:tcPr>
          <w:p w:rsidR="00B46F97" w:rsidRPr="00BF5A5F" w:rsidRDefault="00B46F97" w:rsidP="00BF5A5F">
            <w:pPr>
              <w:spacing w:before="40" w:after="40" w:line="240" w:lineRule="auto"/>
              <w:rPr>
                <w:rStyle w:val="TableText"/>
                <w:rFonts w:asciiTheme="majorHAnsi" w:hAnsiTheme="majorHAnsi"/>
                <w:szCs w:val="20"/>
              </w:rPr>
            </w:pPr>
            <w:r>
              <w:rPr>
                <w:rStyle w:val="TableText"/>
                <w:rFonts w:asciiTheme="majorHAnsi" w:hAnsiTheme="majorHAnsi"/>
                <w:szCs w:val="20"/>
              </w:rPr>
              <w:t>MET + SU + DPP-4</w:t>
            </w:r>
          </w:p>
        </w:tc>
        <w:tc>
          <w:tcPr>
            <w:tcW w:w="1701" w:type="dxa"/>
            <w:vMerge w:val="restart"/>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MET + SU</w:t>
            </w:r>
          </w:p>
        </w:tc>
        <w:tc>
          <w:tcPr>
            <w:tcW w:w="709" w:type="dxa"/>
            <w:vMerge w:val="restart"/>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w:t>
            </w: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Hermansen 2007</w:t>
            </w:r>
            <w:r w:rsidR="0093455B" w:rsidRPr="00DF4210">
              <w:rPr>
                <w:rStyle w:val="TableText"/>
                <w:rFonts w:asciiTheme="majorHAnsi" w:hAnsiTheme="majorHAnsi"/>
                <w:szCs w:val="20"/>
                <w:vertAlign w:val="superscript"/>
              </w:rPr>
              <w:t>71</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441</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24</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Low</w:t>
            </w:r>
          </w:p>
        </w:tc>
        <w:tc>
          <w:tcPr>
            <w:tcW w:w="99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83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170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709"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Owens 2011</w:t>
            </w:r>
            <w:r w:rsidR="0093455B" w:rsidRPr="00DF4210">
              <w:rPr>
                <w:rStyle w:val="TableText"/>
                <w:rFonts w:asciiTheme="majorHAnsi" w:hAnsiTheme="majorHAnsi"/>
                <w:szCs w:val="20"/>
                <w:vertAlign w:val="superscript"/>
              </w:rPr>
              <w:t>72</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1,055</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24</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Unclear</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Hypo-G, UTI</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Yes</w:t>
            </w:r>
          </w:p>
        </w:tc>
      </w:tr>
      <w:tr w:rsidR="00B46F97" w:rsidRPr="00AB3222" w:rsidTr="00B46F97">
        <w:trPr>
          <w:cantSplit/>
          <w:trHeight w:val="20"/>
        </w:trPr>
        <w:tc>
          <w:tcPr>
            <w:tcW w:w="1177"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w:t>
            </w:r>
          </w:p>
        </w:tc>
        <w:tc>
          <w:tcPr>
            <w:tcW w:w="1831"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 xml:space="preserve">MET + SU + TZD  </w:t>
            </w:r>
          </w:p>
        </w:tc>
        <w:tc>
          <w:tcPr>
            <w:tcW w:w="1701"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MET + SU</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w:t>
            </w: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Dailey 2004</w:t>
            </w:r>
            <w:r w:rsidR="0093455B" w:rsidRPr="00DF4210">
              <w:rPr>
                <w:rStyle w:val="TableText"/>
                <w:rFonts w:asciiTheme="majorHAnsi" w:hAnsiTheme="majorHAnsi"/>
                <w:szCs w:val="20"/>
                <w:vertAlign w:val="superscript"/>
              </w:rPr>
              <w:t>73</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365</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24</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Unclear</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Yes</w:t>
            </w:r>
          </w:p>
        </w:tc>
      </w:tr>
      <w:tr w:rsidR="00B46F97" w:rsidRPr="00AB3222" w:rsidTr="00B46F97">
        <w:trPr>
          <w:cantSplit/>
          <w:trHeight w:val="20"/>
        </w:trPr>
        <w:tc>
          <w:tcPr>
            <w:tcW w:w="1177" w:type="dxa"/>
            <w:vMerge w:val="restart"/>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3</w:t>
            </w:r>
          </w:p>
        </w:tc>
        <w:tc>
          <w:tcPr>
            <w:tcW w:w="1831" w:type="dxa"/>
            <w:vMerge w:val="restart"/>
            <w:vAlign w:val="center"/>
          </w:tcPr>
          <w:p w:rsidR="00B46F97" w:rsidRPr="00BF5A5F" w:rsidRDefault="00B46F97" w:rsidP="00BF5A5F">
            <w:pPr>
              <w:spacing w:before="40" w:after="40" w:line="240" w:lineRule="auto"/>
              <w:rPr>
                <w:rStyle w:val="TableText"/>
                <w:rFonts w:asciiTheme="majorHAnsi" w:hAnsiTheme="majorHAnsi"/>
                <w:szCs w:val="20"/>
              </w:rPr>
            </w:pPr>
            <w:r>
              <w:rPr>
                <w:rStyle w:val="TableText"/>
                <w:rFonts w:asciiTheme="majorHAnsi" w:hAnsiTheme="majorHAnsi"/>
                <w:szCs w:val="20"/>
              </w:rPr>
              <w:t>MET + SU + GLP-1</w:t>
            </w:r>
          </w:p>
        </w:tc>
        <w:tc>
          <w:tcPr>
            <w:tcW w:w="1701" w:type="dxa"/>
            <w:vMerge w:val="restart"/>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MET + SU</w:t>
            </w:r>
          </w:p>
        </w:tc>
        <w:tc>
          <w:tcPr>
            <w:tcW w:w="709" w:type="dxa"/>
            <w:vMerge w:val="restart"/>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w:t>
            </w: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Kendall 2005</w:t>
            </w:r>
            <w:r w:rsidR="0093455B" w:rsidRPr="00DF4210">
              <w:rPr>
                <w:rStyle w:val="TableText"/>
                <w:rFonts w:asciiTheme="majorHAnsi" w:hAnsiTheme="majorHAnsi"/>
                <w:szCs w:val="20"/>
                <w:vertAlign w:val="superscript"/>
              </w:rPr>
              <w:t>74</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733</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30</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High</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Yes</w:t>
            </w:r>
          </w:p>
        </w:tc>
      </w:tr>
      <w:tr w:rsidR="00B46F97" w:rsidRPr="00AB3222" w:rsidTr="00B46F97">
        <w:trPr>
          <w:cantSplit/>
          <w:trHeight w:val="20"/>
        </w:trPr>
        <w:tc>
          <w:tcPr>
            <w:tcW w:w="1177"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83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170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709"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Russell-Jones 2009</w:t>
            </w:r>
            <w:r w:rsidR="0093455B" w:rsidRPr="00DF4210">
              <w:rPr>
                <w:rStyle w:val="TableText"/>
                <w:rFonts w:asciiTheme="majorHAnsi" w:hAnsiTheme="majorHAnsi"/>
                <w:szCs w:val="20"/>
                <w:vertAlign w:val="superscript"/>
              </w:rPr>
              <w:t>75</w:t>
            </w:r>
            <w:r w:rsidR="00470430">
              <w:rPr>
                <w:rStyle w:val="TableText"/>
                <w:rFonts w:asciiTheme="majorHAnsi" w:hAnsiTheme="majorHAnsi"/>
                <w:szCs w:val="20"/>
              </w:rPr>
              <w:t xml:space="preserve"> </w:t>
            </w:r>
            <w:r w:rsidR="00470430" w:rsidRPr="00470430">
              <w:rPr>
                <w:rStyle w:val="TableText"/>
                <w:rFonts w:asciiTheme="majorHAnsi" w:hAnsiTheme="majorHAnsi"/>
                <w:szCs w:val="20"/>
                <w:vertAlign w:val="superscript"/>
              </w:rPr>
              <w:t>b</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581</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26</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Low</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Hypo-G, Pan</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Yes</w:t>
            </w:r>
          </w:p>
        </w:tc>
      </w:tr>
      <w:tr w:rsidR="00B46F97" w:rsidRPr="00AB3222" w:rsidTr="00B46F97">
        <w:trPr>
          <w:cantSplit/>
          <w:trHeight w:val="20"/>
        </w:trPr>
        <w:tc>
          <w:tcPr>
            <w:tcW w:w="1177" w:type="dxa"/>
            <w:vMerge w:val="restart"/>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4</w:t>
            </w:r>
          </w:p>
        </w:tc>
        <w:tc>
          <w:tcPr>
            <w:tcW w:w="1831" w:type="dxa"/>
            <w:vMerge w:val="restart"/>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MET + SU + INS</w:t>
            </w:r>
          </w:p>
        </w:tc>
        <w:tc>
          <w:tcPr>
            <w:tcW w:w="1701" w:type="dxa"/>
            <w:vMerge w:val="restart"/>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MET + SU + INS</w:t>
            </w:r>
          </w:p>
        </w:tc>
        <w:tc>
          <w:tcPr>
            <w:tcW w:w="709" w:type="dxa"/>
            <w:vMerge w:val="restart"/>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 xml:space="preserve">7 </w:t>
            </w: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Al-Shaikh 2006</w:t>
            </w:r>
            <w:r w:rsidR="0093455B" w:rsidRPr="00DF4210">
              <w:rPr>
                <w:rStyle w:val="TableText"/>
                <w:rFonts w:asciiTheme="majorHAnsi" w:hAnsiTheme="majorHAnsi"/>
                <w:szCs w:val="20"/>
                <w:vertAlign w:val="superscript"/>
              </w:rPr>
              <w:t>69</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221</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26</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High</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83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170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709"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Bergenstal 2009</w:t>
            </w:r>
            <w:r w:rsidR="0093455B" w:rsidRPr="00DF4210">
              <w:rPr>
                <w:rStyle w:val="TableText"/>
                <w:rFonts w:asciiTheme="majorHAnsi" w:hAnsiTheme="majorHAnsi"/>
                <w:szCs w:val="20"/>
                <w:vertAlign w:val="superscript"/>
              </w:rPr>
              <w:t>76</w:t>
            </w:r>
            <w:r w:rsidRPr="00BF5A5F">
              <w:rPr>
                <w:rStyle w:val="TableText"/>
                <w:rFonts w:asciiTheme="majorHAnsi" w:hAnsiTheme="majorHAnsi"/>
                <w:szCs w:val="20"/>
              </w:rPr>
              <w:t xml:space="preserve"> </w:t>
            </w:r>
            <w:r w:rsidR="00470430">
              <w:rPr>
                <w:rStyle w:val="TableText"/>
                <w:rFonts w:asciiTheme="majorHAnsi" w:hAnsiTheme="majorHAnsi"/>
                <w:szCs w:val="20"/>
                <w:vertAlign w:val="superscript"/>
              </w:rPr>
              <w:t>c</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372</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24</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Unclear</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83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170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709"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Esposito 2008</w:t>
            </w:r>
            <w:r w:rsidR="0093455B" w:rsidRPr="00DF4210">
              <w:rPr>
                <w:rStyle w:val="TableText"/>
                <w:rFonts w:asciiTheme="majorHAnsi" w:hAnsiTheme="majorHAnsi"/>
                <w:szCs w:val="20"/>
                <w:vertAlign w:val="superscript"/>
              </w:rPr>
              <w:t>77</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116</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36</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Unclear</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83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170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709"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Holman 2007</w:t>
            </w:r>
            <w:r w:rsidR="0093455B" w:rsidRPr="00DF4210">
              <w:rPr>
                <w:rStyle w:val="TableText"/>
                <w:rFonts w:asciiTheme="majorHAnsi" w:hAnsiTheme="majorHAnsi"/>
                <w:szCs w:val="20"/>
                <w:vertAlign w:val="superscript"/>
              </w:rPr>
              <w:t>78</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708</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 year</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Unclear</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83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170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709"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Janka 2005</w:t>
            </w:r>
            <w:r w:rsidR="0093455B" w:rsidRPr="00DF4210">
              <w:rPr>
                <w:rStyle w:val="TableText"/>
                <w:rFonts w:asciiTheme="majorHAnsi" w:hAnsiTheme="majorHAnsi"/>
                <w:szCs w:val="20"/>
                <w:vertAlign w:val="superscript"/>
              </w:rPr>
              <w:t>79</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371</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24</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Unclear</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83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170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709"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Strojek 2009</w:t>
            </w:r>
            <w:r w:rsidR="0093455B" w:rsidRPr="00DF4210">
              <w:rPr>
                <w:rStyle w:val="TableText"/>
                <w:rFonts w:asciiTheme="majorHAnsi" w:hAnsiTheme="majorHAnsi"/>
                <w:szCs w:val="20"/>
                <w:vertAlign w:val="superscript"/>
              </w:rPr>
              <w:t>80</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469</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26</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Unclear</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83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170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709"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Yang 2013</w:t>
            </w:r>
            <w:r w:rsidR="0093455B" w:rsidRPr="00DF4210">
              <w:rPr>
                <w:rStyle w:val="TableText"/>
                <w:rFonts w:asciiTheme="majorHAnsi" w:hAnsiTheme="majorHAnsi"/>
                <w:szCs w:val="20"/>
                <w:vertAlign w:val="superscript"/>
              </w:rPr>
              <w:t>81</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521</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24</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High</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Merge w:val="restart"/>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5</w:t>
            </w:r>
          </w:p>
        </w:tc>
        <w:tc>
          <w:tcPr>
            <w:tcW w:w="1831" w:type="dxa"/>
            <w:vMerge w:val="restart"/>
            <w:vAlign w:val="center"/>
          </w:tcPr>
          <w:p w:rsidR="00B46F97" w:rsidRPr="00BF5A5F" w:rsidRDefault="00B46F97" w:rsidP="00BF5A5F">
            <w:pPr>
              <w:spacing w:before="40" w:after="40" w:line="240" w:lineRule="auto"/>
              <w:rPr>
                <w:rStyle w:val="TableText"/>
                <w:rFonts w:asciiTheme="majorHAnsi" w:hAnsiTheme="majorHAnsi"/>
                <w:szCs w:val="20"/>
              </w:rPr>
            </w:pPr>
            <w:r>
              <w:rPr>
                <w:rStyle w:val="TableText"/>
                <w:rFonts w:asciiTheme="majorHAnsi" w:hAnsiTheme="majorHAnsi"/>
                <w:szCs w:val="20"/>
              </w:rPr>
              <w:t>MET + SU + GLP-1</w:t>
            </w:r>
          </w:p>
        </w:tc>
        <w:tc>
          <w:tcPr>
            <w:tcW w:w="1701" w:type="dxa"/>
            <w:vMerge w:val="restart"/>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MET + SU + INS</w:t>
            </w:r>
          </w:p>
        </w:tc>
        <w:tc>
          <w:tcPr>
            <w:tcW w:w="709" w:type="dxa"/>
            <w:vMerge w:val="restart"/>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 xml:space="preserve">4 </w:t>
            </w: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Russell-Jones 2009</w:t>
            </w:r>
            <w:r w:rsidR="0093455B" w:rsidRPr="00DF4210">
              <w:rPr>
                <w:rStyle w:val="TableText"/>
                <w:rFonts w:asciiTheme="majorHAnsi" w:hAnsiTheme="majorHAnsi"/>
                <w:szCs w:val="20"/>
                <w:vertAlign w:val="superscript"/>
              </w:rPr>
              <w:t>75</w:t>
            </w:r>
            <w:r w:rsidR="00470430">
              <w:rPr>
                <w:rStyle w:val="TableText"/>
                <w:rFonts w:asciiTheme="majorHAnsi" w:hAnsiTheme="majorHAnsi"/>
                <w:szCs w:val="20"/>
              </w:rPr>
              <w:t xml:space="preserve"> </w:t>
            </w:r>
            <w:r w:rsidR="00470430" w:rsidRPr="00470430">
              <w:rPr>
                <w:rStyle w:val="TableText"/>
                <w:rFonts w:asciiTheme="majorHAnsi" w:hAnsiTheme="majorHAnsi"/>
                <w:szCs w:val="20"/>
                <w:vertAlign w:val="superscript"/>
              </w:rPr>
              <w:t>b</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581</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26</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Low</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Hypo-G, Pan</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Yes</w:t>
            </w:r>
          </w:p>
        </w:tc>
      </w:tr>
      <w:tr w:rsidR="00B46F97" w:rsidRPr="00AB3222" w:rsidTr="00B46F97">
        <w:trPr>
          <w:cantSplit/>
          <w:trHeight w:val="20"/>
        </w:trPr>
        <w:tc>
          <w:tcPr>
            <w:tcW w:w="1177"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83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170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709"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Bergenstal 2009</w:t>
            </w:r>
            <w:r w:rsidR="0093455B" w:rsidRPr="00DF4210">
              <w:rPr>
                <w:rStyle w:val="TableText"/>
                <w:rFonts w:asciiTheme="majorHAnsi" w:hAnsiTheme="majorHAnsi"/>
                <w:szCs w:val="20"/>
                <w:vertAlign w:val="superscript"/>
              </w:rPr>
              <w:t>76</w:t>
            </w:r>
            <w:r w:rsidRPr="00BF5A5F">
              <w:rPr>
                <w:rStyle w:val="TableText"/>
                <w:rFonts w:asciiTheme="majorHAnsi" w:hAnsiTheme="majorHAnsi"/>
                <w:szCs w:val="20"/>
              </w:rPr>
              <w:t xml:space="preserve"> </w:t>
            </w:r>
            <w:r w:rsidR="00470430">
              <w:rPr>
                <w:rStyle w:val="TableText"/>
                <w:rFonts w:asciiTheme="majorHAnsi" w:hAnsiTheme="majorHAnsi"/>
                <w:szCs w:val="20"/>
                <w:vertAlign w:val="superscript"/>
              </w:rPr>
              <w:t>c</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372</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24</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Unclear</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83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170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709"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Heine 2005</w:t>
            </w:r>
            <w:r w:rsidR="0093455B" w:rsidRPr="00DF4210">
              <w:rPr>
                <w:rStyle w:val="TableText"/>
                <w:rFonts w:asciiTheme="majorHAnsi" w:hAnsiTheme="majorHAnsi"/>
                <w:szCs w:val="20"/>
                <w:vertAlign w:val="superscript"/>
              </w:rPr>
              <w:t>82</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549</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26</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Unclear</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SAE,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Yes</w:t>
            </w:r>
          </w:p>
        </w:tc>
      </w:tr>
      <w:tr w:rsidR="00B46F97" w:rsidRPr="00AB3222" w:rsidTr="00B46F97">
        <w:trPr>
          <w:cantSplit/>
          <w:trHeight w:val="20"/>
        </w:trPr>
        <w:tc>
          <w:tcPr>
            <w:tcW w:w="1177"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83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170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709"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Nauck 2007</w:t>
            </w:r>
            <w:r w:rsidR="0093455B" w:rsidRPr="00DF4210">
              <w:rPr>
                <w:rStyle w:val="TableText"/>
                <w:rFonts w:asciiTheme="majorHAnsi" w:hAnsiTheme="majorHAnsi"/>
                <w:szCs w:val="20"/>
                <w:vertAlign w:val="superscript"/>
              </w:rPr>
              <w:t>83</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501</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 year</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Unclear</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6</w:t>
            </w:r>
          </w:p>
        </w:tc>
        <w:tc>
          <w:tcPr>
            <w:tcW w:w="1831"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MET + SU + TZD</w:t>
            </w:r>
          </w:p>
        </w:tc>
        <w:tc>
          <w:tcPr>
            <w:tcW w:w="1701"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MET + SU + INS</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w:t>
            </w: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Rosenstock 2006</w:t>
            </w:r>
            <w:r w:rsidR="0093455B" w:rsidRPr="00DF4210">
              <w:rPr>
                <w:rStyle w:val="TableText"/>
                <w:rFonts w:asciiTheme="majorHAnsi" w:hAnsiTheme="majorHAnsi"/>
                <w:szCs w:val="20"/>
                <w:vertAlign w:val="superscript"/>
              </w:rPr>
              <w:t>70</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216</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24</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High</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Yes</w:t>
            </w:r>
          </w:p>
        </w:tc>
      </w:tr>
      <w:tr w:rsidR="00B46F97" w:rsidRPr="00AB3222" w:rsidTr="00B46F97">
        <w:trPr>
          <w:cantSplit/>
          <w:trHeight w:val="20"/>
        </w:trPr>
        <w:tc>
          <w:tcPr>
            <w:tcW w:w="1177"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Pr>
                <w:rStyle w:val="TableText"/>
                <w:rFonts w:asciiTheme="majorHAnsi" w:hAnsiTheme="majorHAnsi"/>
                <w:szCs w:val="20"/>
              </w:rPr>
              <w:t>7</w:t>
            </w:r>
          </w:p>
        </w:tc>
        <w:tc>
          <w:tcPr>
            <w:tcW w:w="1831" w:type="dxa"/>
            <w:vAlign w:val="center"/>
          </w:tcPr>
          <w:p w:rsidR="00B46F97" w:rsidRPr="00BF5A5F" w:rsidRDefault="00B46F97" w:rsidP="00835E73">
            <w:pPr>
              <w:spacing w:before="40" w:after="40" w:line="240" w:lineRule="auto"/>
              <w:rPr>
                <w:rStyle w:val="TableText"/>
                <w:rFonts w:asciiTheme="majorHAnsi" w:hAnsiTheme="majorHAnsi"/>
                <w:szCs w:val="20"/>
              </w:rPr>
            </w:pPr>
            <w:r>
              <w:rPr>
                <w:rStyle w:val="TableText"/>
                <w:rFonts w:asciiTheme="majorHAnsi" w:hAnsiTheme="majorHAnsi"/>
                <w:szCs w:val="20"/>
              </w:rPr>
              <w:t>MET + SU + DPP-4</w:t>
            </w:r>
          </w:p>
        </w:tc>
        <w:tc>
          <w:tcPr>
            <w:tcW w:w="1701" w:type="dxa"/>
            <w:vAlign w:val="center"/>
          </w:tcPr>
          <w:p w:rsidR="00B46F97" w:rsidRPr="00BF5A5F" w:rsidRDefault="00B46F97" w:rsidP="00835E73">
            <w:pPr>
              <w:spacing w:before="40" w:after="40" w:line="240" w:lineRule="auto"/>
              <w:rPr>
                <w:rStyle w:val="TableText"/>
                <w:rFonts w:asciiTheme="majorHAnsi" w:hAnsiTheme="majorHAnsi"/>
                <w:szCs w:val="20"/>
              </w:rPr>
            </w:pPr>
            <w:r>
              <w:rPr>
                <w:rStyle w:val="TableText"/>
                <w:rFonts w:asciiTheme="majorHAnsi" w:hAnsiTheme="majorHAnsi"/>
                <w:szCs w:val="20"/>
              </w:rPr>
              <w:t>MET + SU + SGLT2</w:t>
            </w:r>
          </w:p>
        </w:tc>
        <w:tc>
          <w:tcPr>
            <w:tcW w:w="709" w:type="dxa"/>
            <w:vAlign w:val="center"/>
          </w:tcPr>
          <w:p w:rsidR="00B46F97" w:rsidRPr="00BF5A5F" w:rsidRDefault="00B46F97" w:rsidP="00835E73">
            <w:pPr>
              <w:spacing w:before="40" w:after="40" w:line="240" w:lineRule="auto"/>
              <w:jc w:val="center"/>
              <w:rPr>
                <w:rStyle w:val="TableText"/>
                <w:rFonts w:asciiTheme="majorHAnsi" w:hAnsiTheme="majorHAnsi"/>
                <w:szCs w:val="20"/>
              </w:rPr>
            </w:pPr>
            <w:r>
              <w:rPr>
                <w:rStyle w:val="TableText"/>
                <w:rFonts w:asciiTheme="majorHAnsi" w:hAnsiTheme="majorHAnsi"/>
                <w:szCs w:val="20"/>
              </w:rPr>
              <w:t>1</w:t>
            </w: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Pr>
                <w:rStyle w:val="TableText"/>
                <w:rFonts w:asciiTheme="majorHAnsi" w:hAnsiTheme="majorHAnsi"/>
                <w:szCs w:val="20"/>
              </w:rPr>
              <w:t>Schernthaner 2013</w:t>
            </w:r>
            <w:r w:rsidR="0093455B" w:rsidRPr="00DF4210">
              <w:rPr>
                <w:rStyle w:val="TableText"/>
                <w:rFonts w:asciiTheme="majorHAnsi" w:hAnsiTheme="majorHAnsi"/>
                <w:szCs w:val="20"/>
                <w:vertAlign w:val="superscript"/>
              </w:rPr>
              <w:t>84</w:t>
            </w:r>
          </w:p>
        </w:tc>
        <w:tc>
          <w:tcPr>
            <w:tcW w:w="709" w:type="dxa"/>
            <w:vAlign w:val="center"/>
          </w:tcPr>
          <w:p w:rsidR="00B46F97" w:rsidRPr="00BF5A5F" w:rsidRDefault="00B46F97" w:rsidP="00835E73">
            <w:pPr>
              <w:spacing w:before="40" w:after="40" w:line="240" w:lineRule="auto"/>
              <w:jc w:val="center"/>
              <w:rPr>
                <w:rStyle w:val="TableText"/>
                <w:rFonts w:asciiTheme="majorHAnsi" w:hAnsiTheme="majorHAnsi"/>
                <w:szCs w:val="20"/>
              </w:rPr>
            </w:pPr>
            <w:r>
              <w:rPr>
                <w:rStyle w:val="TableText"/>
                <w:rFonts w:asciiTheme="majorHAnsi" w:hAnsiTheme="majorHAnsi"/>
                <w:szCs w:val="20"/>
              </w:rPr>
              <w:t>755</w:t>
            </w:r>
          </w:p>
        </w:tc>
        <w:tc>
          <w:tcPr>
            <w:tcW w:w="1132" w:type="dxa"/>
            <w:vAlign w:val="center"/>
          </w:tcPr>
          <w:p w:rsidR="00B46F97" w:rsidRPr="00BF5A5F" w:rsidRDefault="00B46F97" w:rsidP="00835E73">
            <w:pPr>
              <w:spacing w:before="40" w:after="40" w:line="240" w:lineRule="auto"/>
              <w:jc w:val="center"/>
              <w:rPr>
                <w:rStyle w:val="TableText"/>
                <w:rFonts w:asciiTheme="majorHAnsi" w:hAnsiTheme="majorHAnsi"/>
                <w:szCs w:val="20"/>
              </w:rPr>
            </w:pPr>
            <w:r>
              <w:rPr>
                <w:rStyle w:val="TableText"/>
                <w:rFonts w:asciiTheme="majorHAnsi" w:hAnsiTheme="majorHAnsi"/>
                <w:szCs w:val="20"/>
              </w:rPr>
              <w:t>52</w:t>
            </w:r>
          </w:p>
        </w:tc>
        <w:tc>
          <w:tcPr>
            <w:tcW w:w="852" w:type="dxa"/>
            <w:vAlign w:val="center"/>
          </w:tcPr>
          <w:p w:rsidR="00B46F97" w:rsidRPr="00BF5A5F" w:rsidRDefault="00B46F97" w:rsidP="00835E73">
            <w:pPr>
              <w:spacing w:before="40" w:after="40" w:line="240" w:lineRule="auto"/>
              <w:jc w:val="center"/>
              <w:rPr>
                <w:rStyle w:val="TableText"/>
                <w:rFonts w:asciiTheme="majorHAnsi" w:hAnsiTheme="majorHAnsi"/>
                <w:szCs w:val="20"/>
              </w:rPr>
            </w:pPr>
            <w:r>
              <w:rPr>
                <w:rStyle w:val="TableText"/>
                <w:rFonts w:asciiTheme="majorHAnsi" w:hAnsiTheme="majorHAnsi"/>
                <w:szCs w:val="20"/>
              </w:rPr>
              <w:t>Low</w:t>
            </w:r>
          </w:p>
        </w:tc>
        <w:tc>
          <w:tcPr>
            <w:tcW w:w="992" w:type="dxa"/>
            <w:vAlign w:val="center"/>
          </w:tcPr>
          <w:p w:rsidR="00B46F97" w:rsidRPr="00BF5A5F" w:rsidRDefault="00B46F97" w:rsidP="00835E73">
            <w:pPr>
              <w:spacing w:before="40" w:after="40" w:line="240" w:lineRule="auto"/>
              <w:jc w:val="center"/>
              <w:rPr>
                <w:rStyle w:val="TableText"/>
                <w:rFonts w:asciiTheme="majorHAnsi" w:hAnsiTheme="majorHAnsi"/>
                <w:szCs w:val="20"/>
              </w:rPr>
            </w:pPr>
            <w:r>
              <w:rPr>
                <w:rStyle w:val="TableText"/>
                <w:rFonts w:asciiTheme="majorHAnsi" w:hAnsiTheme="majorHAnsi"/>
                <w:szCs w:val="20"/>
              </w:rPr>
              <w:t>HbA</w:t>
            </w:r>
            <w:r w:rsidRPr="00890924">
              <w:rPr>
                <w:rStyle w:val="TableText"/>
                <w:rFonts w:asciiTheme="majorHAnsi" w:hAnsiTheme="majorHAnsi"/>
                <w:szCs w:val="20"/>
                <w:vertAlign w:val="subscript"/>
              </w:rPr>
              <w:t>1c</w:t>
            </w:r>
          </w:p>
        </w:tc>
        <w:tc>
          <w:tcPr>
            <w:tcW w:w="2267" w:type="dxa"/>
            <w:vAlign w:val="center"/>
          </w:tcPr>
          <w:p w:rsidR="00B46F97" w:rsidRPr="00BF5A5F" w:rsidRDefault="00B46F97" w:rsidP="00835E73">
            <w:pPr>
              <w:spacing w:before="40" w:after="40" w:line="240" w:lineRule="auto"/>
              <w:rPr>
                <w:rStyle w:val="TableText"/>
                <w:rFonts w:asciiTheme="majorHAnsi" w:hAnsiTheme="majorHAnsi"/>
                <w:szCs w:val="20"/>
              </w:rPr>
            </w:pPr>
            <w:r>
              <w:rPr>
                <w:rStyle w:val="TableText"/>
                <w:rFonts w:asciiTheme="majorHAnsi" w:hAnsiTheme="majorHAnsi"/>
                <w:szCs w:val="20"/>
              </w:rPr>
              <w:t>BW, AE, SAE, Hypo-G, UTI</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Yes</w:t>
            </w:r>
          </w:p>
        </w:tc>
      </w:tr>
      <w:tr w:rsidR="00B46F97" w:rsidRPr="00AB3222" w:rsidTr="00B46F97">
        <w:trPr>
          <w:cantSplit/>
          <w:trHeight w:val="20"/>
        </w:trPr>
        <w:tc>
          <w:tcPr>
            <w:tcW w:w="1177" w:type="dxa"/>
            <w:vMerge w:val="restart"/>
            <w:vAlign w:val="center"/>
          </w:tcPr>
          <w:p w:rsidR="00B46F97" w:rsidRPr="00BF5A5F" w:rsidRDefault="00B46F97" w:rsidP="00BF5A5F">
            <w:pPr>
              <w:spacing w:before="40" w:after="40" w:line="240" w:lineRule="auto"/>
              <w:jc w:val="center"/>
              <w:rPr>
                <w:rStyle w:val="TableText"/>
                <w:rFonts w:asciiTheme="majorHAnsi" w:hAnsiTheme="majorHAnsi"/>
                <w:szCs w:val="20"/>
              </w:rPr>
            </w:pPr>
            <w:r>
              <w:rPr>
                <w:rStyle w:val="TableText"/>
                <w:rFonts w:asciiTheme="majorHAnsi" w:hAnsiTheme="majorHAnsi"/>
                <w:szCs w:val="20"/>
              </w:rPr>
              <w:t>8</w:t>
            </w:r>
          </w:p>
        </w:tc>
        <w:tc>
          <w:tcPr>
            <w:tcW w:w="1831" w:type="dxa"/>
            <w:vMerge w:val="restart"/>
            <w:vAlign w:val="center"/>
          </w:tcPr>
          <w:p w:rsidR="00B46F97" w:rsidRPr="00BF5A5F" w:rsidRDefault="00B46F97" w:rsidP="00835E73">
            <w:pPr>
              <w:spacing w:before="40" w:after="40" w:line="240" w:lineRule="auto"/>
              <w:rPr>
                <w:rStyle w:val="TableText"/>
                <w:rFonts w:asciiTheme="majorHAnsi" w:hAnsiTheme="majorHAnsi"/>
                <w:szCs w:val="20"/>
              </w:rPr>
            </w:pPr>
            <w:r>
              <w:rPr>
                <w:rStyle w:val="TableText"/>
                <w:rFonts w:asciiTheme="majorHAnsi" w:hAnsiTheme="majorHAnsi"/>
                <w:szCs w:val="20"/>
              </w:rPr>
              <w:t>MET + TZD + DPP-4</w:t>
            </w:r>
          </w:p>
        </w:tc>
        <w:tc>
          <w:tcPr>
            <w:tcW w:w="1701" w:type="dxa"/>
            <w:vMerge w:val="restart"/>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MET + TZD</w:t>
            </w:r>
          </w:p>
        </w:tc>
        <w:tc>
          <w:tcPr>
            <w:tcW w:w="709" w:type="dxa"/>
            <w:vMerge w:val="restart"/>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w:t>
            </w: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Bosi 2011</w:t>
            </w:r>
            <w:r w:rsidR="0093455B" w:rsidRPr="00DF4210">
              <w:rPr>
                <w:rStyle w:val="TableText"/>
                <w:rFonts w:asciiTheme="majorHAnsi" w:hAnsiTheme="majorHAnsi"/>
                <w:szCs w:val="20"/>
                <w:vertAlign w:val="superscript"/>
              </w:rPr>
              <w:t>85</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803</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 year</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Low</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Hypo-G, UTI</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83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1701" w:type="dxa"/>
            <w:vMerge/>
            <w:vAlign w:val="center"/>
          </w:tcPr>
          <w:p w:rsidR="00B46F97" w:rsidRPr="00BF5A5F" w:rsidRDefault="00B46F97" w:rsidP="00BF5A5F">
            <w:pPr>
              <w:spacing w:before="40" w:after="40" w:line="240" w:lineRule="auto"/>
              <w:rPr>
                <w:rStyle w:val="TableText"/>
                <w:rFonts w:asciiTheme="majorHAnsi" w:hAnsiTheme="majorHAnsi"/>
                <w:szCs w:val="20"/>
              </w:rPr>
            </w:pPr>
          </w:p>
        </w:tc>
        <w:tc>
          <w:tcPr>
            <w:tcW w:w="709" w:type="dxa"/>
            <w:vMerge/>
            <w:vAlign w:val="center"/>
          </w:tcPr>
          <w:p w:rsidR="00B46F97" w:rsidRPr="00BF5A5F" w:rsidRDefault="00B46F97" w:rsidP="00BF5A5F">
            <w:pPr>
              <w:spacing w:before="40" w:after="40" w:line="240" w:lineRule="auto"/>
              <w:jc w:val="center"/>
              <w:rPr>
                <w:rStyle w:val="TableText"/>
                <w:rFonts w:asciiTheme="majorHAnsi" w:hAnsiTheme="majorHAnsi"/>
                <w:szCs w:val="20"/>
              </w:rPr>
            </w:pP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DeFronzo 2012</w:t>
            </w:r>
            <w:r w:rsidR="0093455B" w:rsidRPr="00DF4210">
              <w:rPr>
                <w:rStyle w:val="TableText"/>
                <w:rFonts w:asciiTheme="majorHAnsi" w:hAnsiTheme="majorHAnsi"/>
                <w:szCs w:val="20"/>
                <w:vertAlign w:val="superscript"/>
              </w:rPr>
              <w:t>86</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1,554</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26</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Unclear</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AE, SAE, Hypo-G, UTI</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Pr>
                <w:rStyle w:val="TableText"/>
                <w:rFonts w:asciiTheme="majorHAnsi" w:hAnsiTheme="majorHAnsi"/>
                <w:szCs w:val="20"/>
              </w:rPr>
              <w:t>9</w:t>
            </w:r>
          </w:p>
        </w:tc>
        <w:tc>
          <w:tcPr>
            <w:tcW w:w="1831" w:type="dxa"/>
            <w:vAlign w:val="center"/>
          </w:tcPr>
          <w:p w:rsidR="00B46F97" w:rsidRPr="00BF5A5F" w:rsidRDefault="00B46F97" w:rsidP="00BF5A5F">
            <w:pPr>
              <w:spacing w:before="40" w:after="40" w:line="240" w:lineRule="auto"/>
              <w:rPr>
                <w:rStyle w:val="TableText"/>
                <w:rFonts w:asciiTheme="majorHAnsi" w:hAnsiTheme="majorHAnsi"/>
                <w:szCs w:val="20"/>
              </w:rPr>
            </w:pPr>
            <w:r>
              <w:rPr>
                <w:rStyle w:val="TableText"/>
                <w:rFonts w:asciiTheme="majorHAnsi" w:hAnsiTheme="majorHAnsi"/>
                <w:szCs w:val="20"/>
              </w:rPr>
              <w:t>MET + TZD + DPP-4</w:t>
            </w:r>
          </w:p>
        </w:tc>
        <w:tc>
          <w:tcPr>
            <w:tcW w:w="1701"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MET + SU + TZD</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w:t>
            </w: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Derosa 2013</w:t>
            </w:r>
            <w:r w:rsidR="0093455B" w:rsidRPr="00DF4210">
              <w:rPr>
                <w:rStyle w:val="TableText"/>
                <w:rFonts w:asciiTheme="majorHAnsi" w:hAnsiTheme="majorHAnsi"/>
                <w:szCs w:val="20"/>
                <w:vertAlign w:val="superscript"/>
              </w:rPr>
              <w:t>67</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453</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3 years</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Low</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Pr>
                <w:rStyle w:val="TableText"/>
                <w:rFonts w:asciiTheme="majorHAnsi" w:hAnsiTheme="majorHAnsi"/>
                <w:szCs w:val="20"/>
              </w:rPr>
              <w:t>10</w:t>
            </w:r>
          </w:p>
        </w:tc>
        <w:tc>
          <w:tcPr>
            <w:tcW w:w="1831" w:type="dxa"/>
            <w:vAlign w:val="center"/>
          </w:tcPr>
          <w:p w:rsidR="00B46F97" w:rsidRPr="00BF5A5F" w:rsidRDefault="00B46F97" w:rsidP="00BF5A5F">
            <w:pPr>
              <w:spacing w:before="40" w:after="40" w:line="240" w:lineRule="auto"/>
              <w:rPr>
                <w:rStyle w:val="TableText"/>
                <w:rFonts w:asciiTheme="majorHAnsi" w:hAnsiTheme="majorHAnsi"/>
                <w:szCs w:val="20"/>
              </w:rPr>
            </w:pPr>
            <w:r>
              <w:rPr>
                <w:rStyle w:val="TableText"/>
                <w:rFonts w:asciiTheme="majorHAnsi" w:hAnsiTheme="majorHAnsi"/>
                <w:szCs w:val="20"/>
              </w:rPr>
              <w:t>MET + INS + DPP-4</w:t>
            </w:r>
          </w:p>
        </w:tc>
        <w:tc>
          <w:tcPr>
            <w:tcW w:w="1701" w:type="dxa"/>
            <w:vAlign w:val="center"/>
          </w:tcPr>
          <w:p w:rsidR="00B46F97" w:rsidRPr="00BF5A5F" w:rsidRDefault="00B46F97" w:rsidP="00BF5A5F">
            <w:pPr>
              <w:spacing w:before="40" w:after="40" w:line="240" w:lineRule="auto"/>
              <w:rPr>
                <w:rStyle w:val="TableText"/>
                <w:rFonts w:asciiTheme="majorHAnsi" w:hAnsiTheme="majorHAnsi"/>
                <w:szCs w:val="20"/>
              </w:rPr>
            </w:pPr>
            <w:r>
              <w:rPr>
                <w:rStyle w:val="TableText"/>
                <w:rFonts w:asciiTheme="majorHAnsi" w:hAnsiTheme="majorHAnsi"/>
                <w:szCs w:val="20"/>
              </w:rPr>
              <w:t>MET + INS + DPP-4</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w:t>
            </w: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Zinman 2012</w:t>
            </w:r>
            <w:r w:rsidR="0093455B" w:rsidRPr="00DF4210">
              <w:rPr>
                <w:rStyle w:val="TableText"/>
                <w:rFonts w:asciiTheme="majorHAnsi" w:hAnsiTheme="majorHAnsi"/>
                <w:szCs w:val="20"/>
                <w:vertAlign w:val="superscript"/>
              </w:rPr>
              <w:t>68</w:t>
            </w:r>
            <w:r w:rsidRPr="00BF5A5F">
              <w:rPr>
                <w:rStyle w:val="TableText"/>
                <w:rFonts w:asciiTheme="majorHAnsi" w:hAnsiTheme="majorHAnsi"/>
                <w:szCs w:val="20"/>
              </w:rPr>
              <w:t xml:space="preserve"> &amp; Rodbard 2013</w:t>
            </w:r>
            <w:r w:rsidR="0093455B" w:rsidRPr="00DF4210">
              <w:rPr>
                <w:rStyle w:val="TableText"/>
                <w:rFonts w:asciiTheme="majorHAnsi" w:hAnsiTheme="majorHAnsi"/>
                <w:szCs w:val="20"/>
                <w:vertAlign w:val="superscript"/>
              </w:rPr>
              <w:t>87</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1,030</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 &amp; 2 years</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Unclear</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Hypo-G,</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r w:rsidR="00B46F97" w:rsidRPr="00AB3222" w:rsidTr="00B46F97">
        <w:trPr>
          <w:cantSplit/>
          <w:trHeight w:val="20"/>
        </w:trPr>
        <w:tc>
          <w:tcPr>
            <w:tcW w:w="1177"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Pr>
                <w:rStyle w:val="TableText"/>
                <w:rFonts w:asciiTheme="majorHAnsi" w:hAnsiTheme="majorHAnsi"/>
                <w:szCs w:val="20"/>
              </w:rPr>
              <w:t>11</w:t>
            </w:r>
          </w:p>
        </w:tc>
        <w:tc>
          <w:tcPr>
            <w:tcW w:w="1831" w:type="dxa"/>
            <w:vAlign w:val="center"/>
          </w:tcPr>
          <w:p w:rsidR="00B46F97" w:rsidRPr="00BF5A5F" w:rsidRDefault="00B46F97" w:rsidP="00BF5A5F">
            <w:pPr>
              <w:spacing w:before="40" w:after="40" w:line="240" w:lineRule="auto"/>
              <w:rPr>
                <w:rStyle w:val="TableText"/>
                <w:rFonts w:asciiTheme="majorHAnsi" w:hAnsiTheme="majorHAnsi"/>
                <w:szCs w:val="20"/>
              </w:rPr>
            </w:pPr>
            <w:r>
              <w:rPr>
                <w:rStyle w:val="TableText"/>
                <w:rFonts w:asciiTheme="majorHAnsi" w:hAnsiTheme="majorHAnsi"/>
                <w:szCs w:val="20"/>
              </w:rPr>
              <w:t>MET + GLP-1</w:t>
            </w:r>
            <w:r w:rsidRPr="00BF5A5F">
              <w:rPr>
                <w:rStyle w:val="TableText"/>
                <w:rFonts w:asciiTheme="majorHAnsi" w:hAnsiTheme="majorHAnsi"/>
                <w:szCs w:val="20"/>
              </w:rPr>
              <w:t xml:space="preserve"> + INS</w:t>
            </w:r>
          </w:p>
        </w:tc>
        <w:tc>
          <w:tcPr>
            <w:tcW w:w="1701" w:type="dxa"/>
            <w:vAlign w:val="center"/>
          </w:tcPr>
          <w:p w:rsidR="00B46F97" w:rsidRPr="00BF5A5F" w:rsidRDefault="00B46F97" w:rsidP="00BF5A5F">
            <w:pPr>
              <w:spacing w:before="40" w:after="40" w:line="240" w:lineRule="auto"/>
              <w:rPr>
                <w:rStyle w:val="TableText"/>
                <w:rFonts w:asciiTheme="majorHAnsi" w:hAnsiTheme="majorHAnsi"/>
                <w:szCs w:val="20"/>
              </w:rPr>
            </w:pPr>
            <w:r>
              <w:rPr>
                <w:rStyle w:val="TableText"/>
                <w:rFonts w:asciiTheme="majorHAnsi" w:hAnsiTheme="majorHAnsi"/>
                <w:szCs w:val="20"/>
              </w:rPr>
              <w:t>MET + GLP-1</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1</w:t>
            </w:r>
          </w:p>
        </w:tc>
        <w:tc>
          <w:tcPr>
            <w:tcW w:w="1987" w:type="dxa"/>
            <w:vAlign w:val="center"/>
          </w:tcPr>
          <w:p w:rsidR="00B46F97" w:rsidRPr="00BF5A5F" w:rsidRDefault="00B46F97" w:rsidP="0093455B">
            <w:pPr>
              <w:spacing w:before="40" w:after="40" w:line="240" w:lineRule="auto"/>
              <w:rPr>
                <w:rStyle w:val="TableText"/>
                <w:rFonts w:asciiTheme="majorHAnsi" w:hAnsiTheme="majorHAnsi"/>
                <w:szCs w:val="20"/>
              </w:rPr>
            </w:pPr>
            <w:r w:rsidRPr="00BF5A5F">
              <w:rPr>
                <w:rStyle w:val="TableText"/>
                <w:rFonts w:asciiTheme="majorHAnsi" w:hAnsiTheme="majorHAnsi"/>
                <w:szCs w:val="20"/>
              </w:rPr>
              <w:t>DeVries 2012</w:t>
            </w:r>
            <w:r w:rsidR="0093455B" w:rsidRPr="00DF4210">
              <w:rPr>
                <w:rStyle w:val="TableText"/>
                <w:rFonts w:asciiTheme="majorHAnsi" w:hAnsiTheme="majorHAnsi"/>
                <w:szCs w:val="20"/>
                <w:vertAlign w:val="superscript"/>
              </w:rPr>
              <w:t>88</w:t>
            </w:r>
          </w:p>
        </w:tc>
        <w:tc>
          <w:tcPr>
            <w:tcW w:w="709"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323</w:t>
            </w:r>
          </w:p>
        </w:tc>
        <w:tc>
          <w:tcPr>
            <w:tcW w:w="113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26</w:t>
            </w:r>
          </w:p>
        </w:tc>
        <w:tc>
          <w:tcPr>
            <w:tcW w:w="852" w:type="dxa"/>
            <w:vAlign w:val="center"/>
          </w:tcPr>
          <w:p w:rsidR="00B46F97" w:rsidRPr="00BF5A5F" w:rsidRDefault="00B46F97" w:rsidP="00BF5A5F">
            <w:pPr>
              <w:spacing w:before="40" w:after="40" w:line="240" w:lineRule="auto"/>
              <w:jc w:val="center"/>
              <w:rPr>
                <w:rStyle w:val="TableText"/>
                <w:rFonts w:asciiTheme="majorHAnsi" w:hAnsiTheme="majorHAnsi"/>
                <w:szCs w:val="20"/>
              </w:rPr>
            </w:pPr>
            <w:r w:rsidRPr="00BF5A5F">
              <w:rPr>
                <w:rStyle w:val="TableText"/>
                <w:rFonts w:asciiTheme="majorHAnsi" w:hAnsiTheme="majorHAnsi"/>
                <w:szCs w:val="20"/>
              </w:rPr>
              <w:t>Unclear</w:t>
            </w:r>
          </w:p>
        </w:tc>
        <w:tc>
          <w:tcPr>
            <w:tcW w:w="992" w:type="dxa"/>
            <w:vAlign w:val="center"/>
          </w:tcPr>
          <w:p w:rsidR="00B46F97" w:rsidRPr="00BF5A5F" w:rsidRDefault="00B46F97" w:rsidP="00BF5A5F">
            <w:pPr>
              <w:spacing w:before="40" w:after="40" w:line="240" w:lineRule="auto"/>
              <w:jc w:val="center"/>
              <w:rPr>
                <w:rFonts w:asciiTheme="majorHAnsi" w:hAnsiTheme="majorHAnsi"/>
                <w:sz w:val="20"/>
                <w:szCs w:val="20"/>
              </w:rPr>
            </w:pPr>
            <w:r w:rsidRPr="00BF5A5F">
              <w:rPr>
                <w:rStyle w:val="TableText"/>
                <w:rFonts w:asciiTheme="majorHAnsi" w:hAnsiTheme="majorHAnsi"/>
                <w:szCs w:val="20"/>
              </w:rPr>
              <w:t>HbA</w:t>
            </w:r>
            <w:r w:rsidRPr="00BF5A5F">
              <w:rPr>
                <w:rStyle w:val="TableText"/>
                <w:rFonts w:asciiTheme="majorHAnsi" w:hAnsiTheme="majorHAnsi"/>
                <w:szCs w:val="20"/>
                <w:vertAlign w:val="subscript"/>
              </w:rPr>
              <w:t>1c</w:t>
            </w:r>
          </w:p>
        </w:tc>
        <w:tc>
          <w:tcPr>
            <w:tcW w:w="2267" w:type="dxa"/>
            <w:vAlign w:val="center"/>
          </w:tcPr>
          <w:p w:rsidR="00B46F97" w:rsidRPr="00BF5A5F" w:rsidRDefault="00B46F97" w:rsidP="00BF5A5F">
            <w:pPr>
              <w:spacing w:before="40" w:after="40" w:line="240" w:lineRule="auto"/>
              <w:rPr>
                <w:rStyle w:val="TableText"/>
                <w:rFonts w:asciiTheme="majorHAnsi" w:hAnsiTheme="majorHAnsi"/>
                <w:szCs w:val="20"/>
              </w:rPr>
            </w:pPr>
            <w:r w:rsidRPr="00BF5A5F">
              <w:rPr>
                <w:rStyle w:val="TableText"/>
                <w:rFonts w:asciiTheme="majorHAnsi" w:hAnsiTheme="majorHAnsi"/>
                <w:szCs w:val="20"/>
              </w:rPr>
              <w:t>BW, AE, SAE, Pan</w:t>
            </w:r>
          </w:p>
        </w:tc>
        <w:tc>
          <w:tcPr>
            <w:tcW w:w="846" w:type="dxa"/>
          </w:tcPr>
          <w:p w:rsidR="00B46F97" w:rsidRPr="004E59EA" w:rsidRDefault="00B46F97" w:rsidP="00B46F97">
            <w:pPr>
              <w:spacing w:before="40" w:after="40" w:line="240" w:lineRule="auto"/>
              <w:jc w:val="center"/>
              <w:rPr>
                <w:rStyle w:val="TableText"/>
                <w:rFonts w:asciiTheme="majorHAnsi" w:hAnsiTheme="majorHAnsi"/>
                <w:szCs w:val="20"/>
              </w:rPr>
            </w:pPr>
            <w:r w:rsidRPr="004E59EA">
              <w:rPr>
                <w:rStyle w:val="TableText"/>
                <w:rFonts w:asciiTheme="majorHAnsi" w:hAnsiTheme="majorHAnsi"/>
                <w:szCs w:val="20"/>
              </w:rPr>
              <w:t>No</w:t>
            </w:r>
          </w:p>
        </w:tc>
      </w:tr>
    </w:tbl>
    <w:p w:rsidR="00AB3222" w:rsidRPr="00470430" w:rsidRDefault="00E63155" w:rsidP="00470430">
      <w:pPr>
        <w:pStyle w:val="Notes"/>
        <w:rPr>
          <w:rFonts w:asciiTheme="majorHAnsi" w:hAnsiTheme="majorHAnsi"/>
        </w:rPr>
      </w:pPr>
      <w:r w:rsidRPr="00470430">
        <w:rPr>
          <w:rFonts w:asciiTheme="majorHAnsi" w:hAnsiTheme="majorHAnsi"/>
        </w:rPr>
        <w:t xml:space="preserve">Abbreviations: </w:t>
      </w:r>
      <w:r w:rsidR="00835E73" w:rsidRPr="00470430">
        <w:rPr>
          <w:rFonts w:asciiTheme="majorHAnsi" w:hAnsiTheme="majorHAnsi"/>
        </w:rPr>
        <w:t>DPP-4</w:t>
      </w:r>
      <w:r w:rsidR="00AB3222" w:rsidRPr="00470430">
        <w:rPr>
          <w:rFonts w:asciiTheme="majorHAnsi" w:hAnsiTheme="majorHAnsi"/>
        </w:rPr>
        <w:t xml:space="preserve"> = </w:t>
      </w:r>
      <w:r w:rsidR="00400E66" w:rsidRPr="00470430">
        <w:rPr>
          <w:rFonts w:asciiTheme="majorHAnsi" w:hAnsiTheme="majorHAnsi"/>
        </w:rPr>
        <w:t>DPP</w:t>
      </w:r>
      <w:r w:rsidR="00835E73" w:rsidRPr="00470430">
        <w:rPr>
          <w:rFonts w:asciiTheme="majorHAnsi" w:hAnsiTheme="majorHAnsi"/>
        </w:rPr>
        <w:t>-</w:t>
      </w:r>
      <w:r w:rsidR="00400E66" w:rsidRPr="00470430">
        <w:rPr>
          <w:rFonts w:asciiTheme="majorHAnsi" w:hAnsiTheme="majorHAnsi"/>
        </w:rPr>
        <w:t xml:space="preserve">4 </w:t>
      </w:r>
      <w:r w:rsidR="00835E73" w:rsidRPr="00470430">
        <w:rPr>
          <w:rFonts w:asciiTheme="majorHAnsi" w:hAnsiTheme="majorHAnsi"/>
        </w:rPr>
        <w:t>inhibitor; GLP-1</w:t>
      </w:r>
      <w:r w:rsidR="00AB3222" w:rsidRPr="00470430">
        <w:rPr>
          <w:rFonts w:asciiTheme="majorHAnsi" w:hAnsiTheme="majorHAnsi"/>
        </w:rPr>
        <w:t xml:space="preserve"> = </w:t>
      </w:r>
      <w:r w:rsidR="00400E66" w:rsidRPr="00470430">
        <w:rPr>
          <w:rFonts w:asciiTheme="majorHAnsi" w:hAnsiTheme="majorHAnsi"/>
        </w:rPr>
        <w:t xml:space="preserve">GLP-1 </w:t>
      </w:r>
      <w:r w:rsidR="00AB3222" w:rsidRPr="00470430">
        <w:rPr>
          <w:rFonts w:asciiTheme="majorHAnsi" w:hAnsiTheme="majorHAnsi"/>
        </w:rPr>
        <w:t>receptor agonist; MET</w:t>
      </w:r>
      <w:r w:rsidR="00400E66" w:rsidRPr="00470430">
        <w:rPr>
          <w:rFonts w:asciiTheme="majorHAnsi" w:hAnsiTheme="majorHAnsi"/>
        </w:rPr>
        <w:t xml:space="preserve"> = metformin; SU = sulfonylurea; INS = insulin</w:t>
      </w:r>
      <w:r w:rsidR="00AB3222" w:rsidRPr="00470430">
        <w:rPr>
          <w:rFonts w:asciiTheme="majorHAnsi" w:hAnsiTheme="majorHAnsi"/>
        </w:rPr>
        <w:t>; yr = year; BW = body weight; AE = adverse event; SAE = serious advers</w:t>
      </w:r>
      <w:r w:rsidR="003F79BB" w:rsidRPr="00470430">
        <w:rPr>
          <w:rFonts w:asciiTheme="majorHAnsi" w:hAnsiTheme="majorHAnsi"/>
        </w:rPr>
        <w:t xml:space="preserve">e event; </w:t>
      </w:r>
      <w:r w:rsidR="00B46F97" w:rsidRPr="00470430">
        <w:rPr>
          <w:rFonts w:asciiTheme="majorHAnsi" w:hAnsiTheme="majorHAnsi"/>
        </w:rPr>
        <w:t xml:space="preserve">SGLT2 = </w:t>
      </w:r>
      <w:r w:rsidR="00B46F97" w:rsidRPr="00470430">
        <w:rPr>
          <w:rStyle w:val="TableText"/>
          <w:rFonts w:asciiTheme="majorHAnsi" w:hAnsiTheme="majorHAnsi"/>
        </w:rPr>
        <w:t>sodium glucose co-transporter 2 inhibitor</w:t>
      </w:r>
      <w:r w:rsidR="00B46F97" w:rsidRPr="00470430">
        <w:rPr>
          <w:rFonts w:asciiTheme="majorHAnsi" w:hAnsiTheme="majorHAnsi"/>
        </w:rPr>
        <w:t xml:space="preserve">; and </w:t>
      </w:r>
      <w:r w:rsidR="003F79BB" w:rsidRPr="00470430">
        <w:rPr>
          <w:rFonts w:asciiTheme="majorHAnsi" w:hAnsiTheme="majorHAnsi"/>
        </w:rPr>
        <w:t>Hypo-G = hypoglycaemia</w:t>
      </w:r>
      <w:r w:rsidR="00AB3222" w:rsidRPr="00470430">
        <w:rPr>
          <w:rFonts w:asciiTheme="majorHAnsi" w:hAnsiTheme="majorHAnsi"/>
        </w:rPr>
        <w:t>.</w:t>
      </w:r>
    </w:p>
    <w:p w:rsidR="00470430" w:rsidRPr="00470430" w:rsidRDefault="00470430" w:rsidP="00470430">
      <w:pPr>
        <w:spacing w:after="0" w:line="240" w:lineRule="auto"/>
        <w:rPr>
          <w:rFonts w:asciiTheme="majorHAnsi" w:hAnsiTheme="majorHAnsi"/>
          <w:sz w:val="20"/>
          <w:szCs w:val="20"/>
        </w:rPr>
      </w:pPr>
      <w:r w:rsidRPr="00470430">
        <w:rPr>
          <w:rFonts w:asciiTheme="majorHAnsi" w:hAnsiTheme="majorHAnsi"/>
          <w:sz w:val="20"/>
          <w:szCs w:val="20"/>
          <w:vertAlign w:val="superscript"/>
        </w:rPr>
        <w:t>a</w:t>
      </w:r>
      <w:r w:rsidRPr="00470430">
        <w:rPr>
          <w:rFonts w:asciiTheme="majorHAnsi" w:hAnsiTheme="majorHAnsi"/>
          <w:sz w:val="20"/>
          <w:szCs w:val="20"/>
        </w:rPr>
        <w:t xml:space="preserve"> Trials included in submissions from 2002 to November 2013.</w:t>
      </w:r>
    </w:p>
    <w:p w:rsidR="00AB3222" w:rsidRPr="00470430" w:rsidRDefault="00470430" w:rsidP="00470430">
      <w:pPr>
        <w:spacing w:after="0" w:line="240" w:lineRule="auto"/>
        <w:rPr>
          <w:rFonts w:asciiTheme="majorHAnsi" w:hAnsiTheme="majorHAnsi"/>
          <w:sz w:val="20"/>
          <w:szCs w:val="20"/>
        </w:rPr>
      </w:pPr>
      <w:r w:rsidRPr="00470430">
        <w:rPr>
          <w:rFonts w:asciiTheme="majorHAnsi" w:hAnsiTheme="majorHAnsi"/>
          <w:sz w:val="20"/>
          <w:szCs w:val="20"/>
          <w:vertAlign w:val="superscript"/>
        </w:rPr>
        <w:t>b</w:t>
      </w:r>
      <w:r w:rsidR="00B42F08" w:rsidRPr="00470430">
        <w:rPr>
          <w:rFonts w:asciiTheme="majorHAnsi" w:hAnsiTheme="majorHAnsi"/>
          <w:sz w:val="20"/>
          <w:szCs w:val="20"/>
        </w:rPr>
        <w:t xml:space="preserve"> T</w:t>
      </w:r>
      <w:r w:rsidR="00AB3222" w:rsidRPr="00470430">
        <w:rPr>
          <w:rFonts w:asciiTheme="majorHAnsi" w:hAnsiTheme="majorHAnsi"/>
          <w:sz w:val="20"/>
          <w:szCs w:val="20"/>
        </w:rPr>
        <w:t>rial included three treatment arms (MET + SU + GLP-1</w:t>
      </w:r>
      <w:r w:rsidR="00B42F08" w:rsidRPr="00470430">
        <w:rPr>
          <w:rFonts w:asciiTheme="majorHAnsi" w:hAnsiTheme="majorHAnsi"/>
          <w:sz w:val="20"/>
          <w:szCs w:val="20"/>
        </w:rPr>
        <w:t>-RA</w:t>
      </w:r>
      <w:r w:rsidR="00AB3222" w:rsidRPr="00470430">
        <w:rPr>
          <w:rFonts w:asciiTheme="majorHAnsi" w:hAnsiTheme="majorHAnsi"/>
          <w:sz w:val="20"/>
          <w:szCs w:val="20"/>
        </w:rPr>
        <w:t>,</w:t>
      </w:r>
      <w:r w:rsidR="0016010E" w:rsidRPr="00470430">
        <w:rPr>
          <w:rFonts w:asciiTheme="majorHAnsi" w:hAnsiTheme="majorHAnsi"/>
          <w:sz w:val="20"/>
          <w:szCs w:val="20"/>
        </w:rPr>
        <w:t xml:space="preserve"> MET + SU and MET + SU + INS</w:t>
      </w:r>
      <w:r w:rsidR="00AB3222" w:rsidRPr="00470430">
        <w:rPr>
          <w:rFonts w:asciiTheme="majorHAnsi" w:hAnsiTheme="majorHAnsi"/>
          <w:sz w:val="20"/>
          <w:szCs w:val="20"/>
        </w:rPr>
        <w:t xml:space="preserve">) and provided information for comparison 3 and 5. </w:t>
      </w:r>
    </w:p>
    <w:p w:rsidR="00AB3222" w:rsidRPr="00470430" w:rsidRDefault="00470430" w:rsidP="00470430">
      <w:pPr>
        <w:pStyle w:val="Notes"/>
        <w:rPr>
          <w:rFonts w:asciiTheme="majorHAnsi" w:hAnsiTheme="majorHAnsi"/>
        </w:rPr>
      </w:pPr>
      <w:r>
        <w:rPr>
          <w:rFonts w:asciiTheme="majorHAnsi" w:hAnsiTheme="majorHAnsi"/>
          <w:vertAlign w:val="superscript"/>
        </w:rPr>
        <w:t>c</w:t>
      </w:r>
      <w:r w:rsidR="00B42F08" w:rsidRPr="00470430">
        <w:rPr>
          <w:rFonts w:asciiTheme="majorHAnsi" w:hAnsiTheme="majorHAnsi"/>
        </w:rPr>
        <w:t xml:space="preserve"> T</w:t>
      </w:r>
      <w:r w:rsidR="00AB3222" w:rsidRPr="00470430">
        <w:rPr>
          <w:rFonts w:asciiTheme="majorHAnsi" w:hAnsiTheme="majorHAnsi"/>
        </w:rPr>
        <w:t>rial included three treatment arms (MET + SU + INS, MET + SU + INS and MET + SU + GLP-1</w:t>
      </w:r>
      <w:r w:rsidR="00B42F08" w:rsidRPr="00470430">
        <w:rPr>
          <w:rFonts w:asciiTheme="majorHAnsi" w:hAnsiTheme="majorHAnsi"/>
        </w:rPr>
        <w:t>-RA</w:t>
      </w:r>
      <w:r w:rsidR="00AB3222" w:rsidRPr="00470430">
        <w:rPr>
          <w:rFonts w:asciiTheme="majorHAnsi" w:hAnsiTheme="majorHAnsi"/>
        </w:rPr>
        <w:t>) and provided information for comparisons 4 and 5.</w:t>
      </w:r>
    </w:p>
    <w:p w:rsidR="00AB3222" w:rsidRPr="00470430" w:rsidRDefault="00AB3222" w:rsidP="00470430">
      <w:pPr>
        <w:spacing w:after="0" w:line="240" w:lineRule="auto"/>
        <w:rPr>
          <w:rFonts w:asciiTheme="majorHAnsi" w:hAnsiTheme="majorHAnsi"/>
          <w:sz w:val="20"/>
          <w:szCs w:val="20"/>
        </w:rPr>
        <w:sectPr w:rsidR="00AB3222" w:rsidRPr="00470430" w:rsidSect="006827CA">
          <w:pgSz w:w="16838" w:h="11906" w:orient="landscape"/>
          <w:pgMar w:top="284" w:right="1440" w:bottom="142" w:left="1440" w:header="708" w:footer="708" w:gutter="0"/>
          <w:cols w:space="708"/>
          <w:titlePg/>
          <w:docGrid w:linePitch="360"/>
        </w:sectPr>
      </w:pPr>
    </w:p>
    <w:p w:rsidR="00EF15DD" w:rsidRDefault="00EF15DD" w:rsidP="00EF15DD">
      <w:pPr>
        <w:pStyle w:val="Heading5"/>
      </w:pPr>
      <w:r>
        <w:lastRenderedPageBreak/>
        <w:t>Baseline characteristics</w:t>
      </w:r>
    </w:p>
    <w:p w:rsidR="00EF15DD" w:rsidRDefault="00EF15DD" w:rsidP="00EF15DD">
      <w:r>
        <w:t>B</w:t>
      </w:r>
      <w:r w:rsidRPr="0016001D">
        <w:t xml:space="preserve">aseline characteristics across the triple therapy trials varied and </w:t>
      </w:r>
      <w:r>
        <w:t xml:space="preserve">were </w:t>
      </w:r>
      <w:r w:rsidRPr="0016001D">
        <w:t xml:space="preserve">expected to result in </w:t>
      </w:r>
      <w:r>
        <w:t xml:space="preserve">some </w:t>
      </w:r>
      <w:r w:rsidRPr="0016001D">
        <w:t xml:space="preserve">heterogeneity when the network analyses </w:t>
      </w:r>
      <w:r>
        <w:t>we</w:t>
      </w:r>
      <w:r w:rsidRPr="0016001D">
        <w:t>re performed.</w:t>
      </w:r>
      <w:r>
        <w:t xml:space="preserve"> There were differences in race, gender and baseline body weight between the different trials. The key features of the triple therapy trials</w:t>
      </w:r>
      <w:r w:rsidRPr="00082421">
        <w:t xml:space="preserve"> were that patients were adult </w:t>
      </w:r>
      <w:r>
        <w:t xml:space="preserve">type 2 diabetes </w:t>
      </w:r>
      <w:r w:rsidRPr="00082421">
        <w:t>patients with HbA</w:t>
      </w:r>
      <w:r w:rsidRPr="00082421">
        <w:rPr>
          <w:vertAlign w:val="subscript"/>
        </w:rPr>
        <w:t>1c</w:t>
      </w:r>
      <w:r w:rsidRPr="00082421">
        <w:t xml:space="preserve"> of 7% </w:t>
      </w:r>
      <w:r>
        <w:t xml:space="preserve">(53 mmol/mol) </w:t>
      </w:r>
      <w:r w:rsidRPr="00082421">
        <w:t>or higher</w:t>
      </w:r>
      <w:r>
        <w:t>, this would be similar t</w:t>
      </w:r>
      <w:r w:rsidR="00212DEB">
        <w:t>o the Australian population using</w:t>
      </w:r>
      <w:r>
        <w:t xml:space="preserve"> these medicines</w:t>
      </w:r>
      <w:r w:rsidRPr="00082421">
        <w:t>.</w:t>
      </w:r>
      <w:r>
        <w:t xml:space="preserve"> However, some applicability problems may arise for the trials where triple therapy was used in patients that were treatment </w:t>
      </w:r>
      <w:r w:rsidRPr="00082421">
        <w:t>naïve</w:t>
      </w:r>
      <w:r>
        <w:t>,</w:t>
      </w:r>
      <w:r w:rsidR="0093455B" w:rsidRPr="00DF4210">
        <w:rPr>
          <w:vertAlign w:val="superscript"/>
        </w:rPr>
        <w:t>67</w:t>
      </w:r>
      <w:r w:rsidR="00DF4210" w:rsidRPr="00DF4210">
        <w:rPr>
          <w:vertAlign w:val="superscript"/>
        </w:rPr>
        <w:t xml:space="preserve">; </w:t>
      </w:r>
      <w:r w:rsidR="0093455B" w:rsidRPr="00DF4210">
        <w:rPr>
          <w:vertAlign w:val="superscript"/>
        </w:rPr>
        <w:t>70</w:t>
      </w:r>
      <w:r>
        <w:t xml:space="preserve"> as Australian patients on triple therapy will </w:t>
      </w:r>
      <w:r w:rsidR="00E4150D">
        <w:t xml:space="preserve">generally </w:t>
      </w:r>
      <w:r>
        <w:t xml:space="preserve">have received monotherapy and dual therapy for a period of time before </w:t>
      </w:r>
      <w:r w:rsidR="00E4150D">
        <w:t xml:space="preserve">receiving </w:t>
      </w:r>
      <w:r>
        <w:t>triple therapy. HbA</w:t>
      </w:r>
      <w:r w:rsidRPr="00533855">
        <w:rPr>
          <w:vertAlign w:val="subscript"/>
        </w:rPr>
        <w:t>1c</w:t>
      </w:r>
      <w:r>
        <w:t>, BMI and age at baseline were similar in each of the trials that were included in the meta-analyses and network analyses, increasing the reliability of the outcomes from these analyses.</w:t>
      </w:r>
    </w:p>
    <w:p w:rsidR="00E4150D" w:rsidRDefault="00307262" w:rsidP="00307262">
      <w:pPr>
        <w:pStyle w:val="Heading4"/>
      </w:pPr>
      <w:r>
        <w:t xml:space="preserve">6.4.3.2  </w:t>
      </w:r>
      <w:r w:rsidR="00E4150D">
        <w:t>Efficacy</w:t>
      </w:r>
    </w:p>
    <w:p w:rsidR="00307262" w:rsidRPr="00307262" w:rsidRDefault="00307262" w:rsidP="00307262">
      <w:pPr>
        <w:pStyle w:val="Heading5"/>
      </w:pPr>
      <w:r>
        <w:t>HbA</w:t>
      </w:r>
      <w:r w:rsidRPr="00307262">
        <w:rPr>
          <w:vertAlign w:val="subscript"/>
        </w:rPr>
        <w:t>1c</w:t>
      </w:r>
    </w:p>
    <w:p w:rsidR="00E4150D" w:rsidRDefault="00B46F97" w:rsidP="00E4150D">
      <w:r>
        <w:t>Thirteen</w:t>
      </w:r>
      <w:r w:rsidR="00E4150D">
        <w:t xml:space="preserve"> RCTs were identified for inclusion in the network analysis for HbA</w:t>
      </w:r>
      <w:r w:rsidR="00E4150D">
        <w:rPr>
          <w:vertAlign w:val="subscript"/>
        </w:rPr>
        <w:t>1c</w:t>
      </w:r>
      <w:r>
        <w:rPr>
          <w:vertAlign w:val="subscript"/>
        </w:rPr>
        <w:t xml:space="preserve"> </w:t>
      </w:r>
      <w:r>
        <w:t>at six months</w:t>
      </w:r>
      <w:r w:rsidR="00E4150D">
        <w:t>.</w:t>
      </w:r>
      <w:r w:rsidR="0093455B" w:rsidRPr="00DF4210">
        <w:rPr>
          <w:vertAlign w:val="superscript"/>
        </w:rPr>
        <w:t>67</w:t>
      </w:r>
      <w:r w:rsidR="00DF4210" w:rsidRPr="00DF4210">
        <w:rPr>
          <w:vertAlign w:val="superscript"/>
        </w:rPr>
        <w:t xml:space="preserve">; </w:t>
      </w:r>
      <w:r w:rsidR="0093455B" w:rsidRPr="00DF4210">
        <w:rPr>
          <w:vertAlign w:val="superscript"/>
        </w:rPr>
        <w:t>70</w:t>
      </w:r>
      <w:r w:rsidR="00DF4210" w:rsidRPr="00DF4210">
        <w:rPr>
          <w:vertAlign w:val="superscript"/>
        </w:rPr>
        <w:t xml:space="preserve">; </w:t>
      </w:r>
      <w:r w:rsidR="0093455B" w:rsidRPr="00DF4210">
        <w:rPr>
          <w:vertAlign w:val="superscript"/>
        </w:rPr>
        <w:t>71</w:t>
      </w:r>
      <w:r w:rsidR="00DF4210" w:rsidRPr="00DF4210">
        <w:rPr>
          <w:vertAlign w:val="superscript"/>
        </w:rPr>
        <w:t xml:space="preserve">; </w:t>
      </w:r>
      <w:r w:rsidR="0093455B" w:rsidRPr="00DF4210">
        <w:rPr>
          <w:vertAlign w:val="superscript"/>
        </w:rPr>
        <w:t>72</w:t>
      </w:r>
      <w:r w:rsidR="00DF4210" w:rsidRPr="00DF4210">
        <w:rPr>
          <w:vertAlign w:val="superscript"/>
        </w:rPr>
        <w:t xml:space="preserve">; </w:t>
      </w:r>
      <w:r w:rsidR="0093455B" w:rsidRPr="00DF4210">
        <w:rPr>
          <w:vertAlign w:val="superscript"/>
        </w:rPr>
        <w:t>73</w:t>
      </w:r>
      <w:r w:rsidR="00DF4210" w:rsidRPr="00DF4210">
        <w:rPr>
          <w:vertAlign w:val="superscript"/>
        </w:rPr>
        <w:t xml:space="preserve">; </w:t>
      </w:r>
      <w:r w:rsidR="0093455B" w:rsidRPr="00DF4210">
        <w:rPr>
          <w:vertAlign w:val="superscript"/>
        </w:rPr>
        <w:t>74</w:t>
      </w:r>
      <w:r w:rsidR="00DF4210" w:rsidRPr="00DF4210">
        <w:rPr>
          <w:vertAlign w:val="superscript"/>
        </w:rPr>
        <w:t xml:space="preserve">; </w:t>
      </w:r>
      <w:r w:rsidR="0093455B" w:rsidRPr="00DF4210">
        <w:rPr>
          <w:vertAlign w:val="superscript"/>
        </w:rPr>
        <w:t>75</w:t>
      </w:r>
      <w:r w:rsidR="00DF4210" w:rsidRPr="00DF4210">
        <w:rPr>
          <w:vertAlign w:val="superscript"/>
        </w:rPr>
        <w:t xml:space="preserve">; </w:t>
      </w:r>
      <w:r w:rsidR="0093455B" w:rsidRPr="00DF4210">
        <w:rPr>
          <w:vertAlign w:val="superscript"/>
        </w:rPr>
        <w:t>76</w:t>
      </w:r>
      <w:r w:rsidR="00DF4210" w:rsidRPr="00DF4210">
        <w:rPr>
          <w:vertAlign w:val="superscript"/>
        </w:rPr>
        <w:t xml:space="preserve">; </w:t>
      </w:r>
      <w:r w:rsidR="0093455B" w:rsidRPr="00DF4210">
        <w:rPr>
          <w:vertAlign w:val="superscript"/>
        </w:rPr>
        <w:t>82</w:t>
      </w:r>
      <w:r w:rsidR="00DF4210" w:rsidRPr="00DF4210">
        <w:rPr>
          <w:vertAlign w:val="superscript"/>
        </w:rPr>
        <w:t xml:space="preserve">; </w:t>
      </w:r>
      <w:r w:rsidR="0093455B" w:rsidRPr="00DF4210">
        <w:rPr>
          <w:vertAlign w:val="superscript"/>
        </w:rPr>
        <w:t>83</w:t>
      </w:r>
      <w:r w:rsidR="00DF4210" w:rsidRPr="00DF4210">
        <w:rPr>
          <w:vertAlign w:val="superscript"/>
        </w:rPr>
        <w:t xml:space="preserve">; </w:t>
      </w:r>
      <w:r w:rsidR="0093455B" w:rsidRPr="00DF4210">
        <w:rPr>
          <w:vertAlign w:val="superscript"/>
        </w:rPr>
        <w:t>84</w:t>
      </w:r>
      <w:r w:rsidR="00DF4210" w:rsidRPr="00DF4210">
        <w:rPr>
          <w:vertAlign w:val="superscript"/>
        </w:rPr>
        <w:t xml:space="preserve">; </w:t>
      </w:r>
      <w:r w:rsidR="0093455B" w:rsidRPr="00DF4210">
        <w:rPr>
          <w:vertAlign w:val="superscript"/>
        </w:rPr>
        <w:t>85</w:t>
      </w:r>
      <w:r w:rsidR="00DF4210" w:rsidRPr="00DF4210">
        <w:rPr>
          <w:vertAlign w:val="superscript"/>
        </w:rPr>
        <w:t xml:space="preserve">; </w:t>
      </w:r>
      <w:r w:rsidR="0093455B" w:rsidRPr="00DF4210">
        <w:rPr>
          <w:vertAlign w:val="superscript"/>
        </w:rPr>
        <w:t>86</w:t>
      </w:r>
      <w:r w:rsidR="00E4150D">
        <w:t xml:space="preserve"> Figure 6.2 and 6.3 present forest plots for the HbA</w:t>
      </w:r>
      <w:r w:rsidR="00E4150D">
        <w:rPr>
          <w:vertAlign w:val="subscript"/>
        </w:rPr>
        <w:t>1c</w:t>
      </w:r>
      <w:r w:rsidR="00E4150D">
        <w:t xml:space="preserve"> results for triple therapy </w:t>
      </w:r>
      <w:r w:rsidR="00307262">
        <w:t xml:space="preserve">showing </w:t>
      </w:r>
      <w:r w:rsidR="00E4150D">
        <w:t xml:space="preserve">the mean difference between the treatment comparisons. </w:t>
      </w:r>
    </w:p>
    <w:p w:rsidR="00BC6868" w:rsidRDefault="00BC6868" w:rsidP="00307262">
      <w:pPr>
        <w:keepNext/>
        <w:keepLines/>
        <w:rPr>
          <w:b/>
        </w:rPr>
      </w:pPr>
      <w:bookmarkStart w:id="291" w:name="_Ref390848882"/>
    </w:p>
    <w:p w:rsidR="00E4150D" w:rsidRPr="00307262" w:rsidRDefault="00E4150D" w:rsidP="00307262">
      <w:pPr>
        <w:keepNext/>
        <w:keepLines/>
        <w:rPr>
          <w:b/>
        </w:rPr>
      </w:pPr>
      <w:r w:rsidRPr="00307262">
        <w:rPr>
          <w:b/>
        </w:rPr>
        <w:t xml:space="preserve">Figure </w:t>
      </w:r>
      <w:bookmarkEnd w:id="291"/>
      <w:r w:rsidRPr="00307262">
        <w:rPr>
          <w:b/>
        </w:rPr>
        <w:t>6.2. Forest plot of mean difference in HbA</w:t>
      </w:r>
      <w:r w:rsidRPr="00307262">
        <w:rPr>
          <w:b/>
          <w:vertAlign w:val="subscript"/>
        </w:rPr>
        <w:t>1c</w:t>
      </w:r>
      <w:r w:rsidRPr="00307262">
        <w:rPr>
          <w:b/>
        </w:rPr>
        <w:t xml:space="preserve"> (%) (95% CI) </w:t>
      </w:r>
      <w:r w:rsidR="00B46F97">
        <w:rPr>
          <w:b/>
        </w:rPr>
        <w:t xml:space="preserve">at six months </w:t>
      </w:r>
      <w:r w:rsidRPr="00307262">
        <w:rPr>
          <w:b/>
        </w:rPr>
        <w:t>for triple therapy combinations compared to metformin + sulfonylurea dual therapy – network analysis.</w:t>
      </w:r>
    </w:p>
    <w:p w:rsidR="00E4150D" w:rsidRDefault="00B46F97" w:rsidP="00307262">
      <w:pPr>
        <w:keepNext/>
        <w:keepLines/>
      </w:pPr>
      <w:r>
        <w:rPr>
          <w:lang w:eastAsia="en-AU"/>
        </w:rPr>
        <w:drawing>
          <wp:inline distT="0" distB="0" distL="0" distR="0" wp14:anchorId="5A93F7D1" wp14:editId="7996EEA1">
            <wp:extent cx="5550877" cy="253873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553790" cy="2540065"/>
                    </a:xfrm>
                    <a:prstGeom prst="rect">
                      <a:avLst/>
                    </a:prstGeom>
                    <a:noFill/>
                    <a:ln>
                      <a:noFill/>
                    </a:ln>
                  </pic:spPr>
                </pic:pic>
              </a:graphicData>
            </a:graphic>
          </wp:inline>
        </w:drawing>
      </w:r>
    </w:p>
    <w:p w:rsidR="00E63155" w:rsidRDefault="00E63155" w:rsidP="00E63155">
      <w:pPr>
        <w:pStyle w:val="Notes"/>
      </w:pPr>
      <w:r w:rsidRPr="00E15734">
        <w:t xml:space="preserve">Statistically significant difference are marked in </w:t>
      </w:r>
      <w:r w:rsidRPr="00E15734">
        <w:rPr>
          <w:b/>
        </w:rPr>
        <w:t>bold</w:t>
      </w:r>
      <w:r w:rsidRPr="00E15734">
        <w:t>.</w:t>
      </w:r>
    </w:p>
    <w:p w:rsidR="00E4150D" w:rsidRDefault="00E63155" w:rsidP="00307262">
      <w:pPr>
        <w:pStyle w:val="Notes"/>
        <w:keepNext/>
        <w:keepLines/>
      </w:pPr>
      <w:r>
        <w:t xml:space="preserve">Abbreviations: </w:t>
      </w:r>
      <w:r w:rsidR="00E4150D">
        <w:t xml:space="preserve">CI = confidence interval; DPP-4-i = </w:t>
      </w:r>
      <w:r w:rsidR="0087709E">
        <w:t>DPP</w:t>
      </w:r>
      <w:r w:rsidR="00E4150D">
        <w:t>4 inhibitor; GLP-1</w:t>
      </w:r>
      <w:r w:rsidR="0087709E">
        <w:t>-RA</w:t>
      </w:r>
      <w:r w:rsidR="00E4150D">
        <w:t xml:space="preserve"> = </w:t>
      </w:r>
      <w:r w:rsidR="0087709E">
        <w:t>GLP</w:t>
      </w:r>
      <w:r w:rsidR="00E4150D">
        <w:t xml:space="preserve">-1 receptor agonist; INS = insulin; MET = metformin; </w:t>
      </w:r>
      <w:r w:rsidR="00B46F97" w:rsidRPr="00B46F97">
        <w:rPr>
          <w:rFonts w:asciiTheme="majorHAnsi" w:hAnsiTheme="majorHAnsi"/>
        </w:rPr>
        <w:t xml:space="preserve">SGLT2 = </w:t>
      </w:r>
      <w:r w:rsidR="00B46F97">
        <w:rPr>
          <w:rStyle w:val="TableText"/>
          <w:rFonts w:asciiTheme="majorHAnsi" w:hAnsiTheme="majorHAnsi"/>
        </w:rPr>
        <w:t>SGLT</w:t>
      </w:r>
      <w:r w:rsidR="00B46F97" w:rsidRPr="00B46F97">
        <w:rPr>
          <w:rStyle w:val="TableText"/>
          <w:rFonts w:asciiTheme="majorHAnsi" w:hAnsiTheme="majorHAnsi"/>
        </w:rPr>
        <w:t>2 inhibitor</w:t>
      </w:r>
      <w:r w:rsidR="00B46F97">
        <w:rPr>
          <w:rStyle w:val="TableText"/>
          <w:rFonts w:asciiTheme="majorHAnsi" w:hAnsiTheme="majorHAnsi"/>
        </w:rPr>
        <w:t>;</w:t>
      </w:r>
      <w:r w:rsidR="00B46F97" w:rsidRPr="00082421">
        <w:rPr>
          <w:rStyle w:val="TableText"/>
        </w:rPr>
        <w:t xml:space="preserve"> </w:t>
      </w:r>
      <w:r w:rsidR="0087709E">
        <w:t xml:space="preserve">and </w:t>
      </w:r>
      <w:r w:rsidR="00E4150D">
        <w:t>SU = sulfony</w:t>
      </w:r>
      <w:r w:rsidR="0087709E">
        <w:t xml:space="preserve">lurea. </w:t>
      </w:r>
    </w:p>
    <w:p w:rsidR="00400E66" w:rsidRDefault="00400E66" w:rsidP="003F79BB"/>
    <w:p w:rsidR="00307262" w:rsidRPr="00307262" w:rsidRDefault="00307262" w:rsidP="00BC6868">
      <w:pPr>
        <w:keepNext/>
        <w:keepLines/>
        <w:rPr>
          <w:b/>
        </w:rPr>
      </w:pPr>
      <w:bookmarkStart w:id="292" w:name="_Ref390848890"/>
      <w:r w:rsidRPr="00307262">
        <w:rPr>
          <w:b/>
        </w:rPr>
        <w:lastRenderedPageBreak/>
        <w:t xml:space="preserve">Figure </w:t>
      </w:r>
      <w:bookmarkEnd w:id="292"/>
      <w:r>
        <w:rPr>
          <w:b/>
        </w:rPr>
        <w:t>6.3.</w:t>
      </w:r>
      <w:r w:rsidRPr="00307262">
        <w:rPr>
          <w:b/>
        </w:rPr>
        <w:t xml:space="preserve"> Forest plot of mean difference in HbA</w:t>
      </w:r>
      <w:r w:rsidRPr="00307262">
        <w:rPr>
          <w:b/>
          <w:vertAlign w:val="subscript"/>
        </w:rPr>
        <w:t>1c</w:t>
      </w:r>
      <w:r w:rsidRPr="00307262">
        <w:rPr>
          <w:b/>
        </w:rPr>
        <w:t xml:space="preserve"> (%) (95% CI) </w:t>
      </w:r>
      <w:r w:rsidR="00B43644">
        <w:rPr>
          <w:b/>
        </w:rPr>
        <w:t xml:space="preserve">at six months </w:t>
      </w:r>
      <w:r w:rsidRPr="00307262">
        <w:rPr>
          <w:b/>
        </w:rPr>
        <w:t xml:space="preserve">for triple </w:t>
      </w:r>
      <w:r>
        <w:rPr>
          <w:b/>
        </w:rPr>
        <w:t xml:space="preserve">therapy </w:t>
      </w:r>
      <w:r w:rsidRPr="00307262">
        <w:rPr>
          <w:b/>
        </w:rPr>
        <w:t>combinations compared to each other – network analysis.</w:t>
      </w:r>
    </w:p>
    <w:p w:rsidR="00307262" w:rsidRDefault="00B43644" w:rsidP="00BC6868">
      <w:pPr>
        <w:keepNext/>
        <w:keepLines/>
        <w:rPr>
          <w:lang w:eastAsia="en-AU"/>
        </w:rPr>
      </w:pPr>
      <w:r>
        <w:rPr>
          <w:lang w:eastAsia="en-AU"/>
        </w:rPr>
        <w:drawing>
          <wp:inline distT="0" distB="0" distL="0" distR="0" wp14:anchorId="2E4D914C" wp14:editId="70CBDF5B">
            <wp:extent cx="6070060" cy="4502860"/>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6077561" cy="4508424"/>
                    </a:xfrm>
                    <a:prstGeom prst="rect">
                      <a:avLst/>
                    </a:prstGeom>
                    <a:noFill/>
                    <a:ln>
                      <a:noFill/>
                    </a:ln>
                  </pic:spPr>
                </pic:pic>
              </a:graphicData>
            </a:graphic>
          </wp:inline>
        </w:drawing>
      </w:r>
    </w:p>
    <w:p w:rsidR="00E63155" w:rsidRDefault="00E63155" w:rsidP="00BC6868">
      <w:pPr>
        <w:pStyle w:val="Notes"/>
        <w:keepNext/>
        <w:keepLines/>
      </w:pPr>
      <w:r w:rsidRPr="00E15734">
        <w:t xml:space="preserve">Statistically significant difference are marked in </w:t>
      </w:r>
      <w:r w:rsidRPr="00E15734">
        <w:rPr>
          <w:b/>
        </w:rPr>
        <w:t>bold</w:t>
      </w:r>
      <w:r w:rsidRPr="00E15734">
        <w:t>.</w:t>
      </w:r>
    </w:p>
    <w:p w:rsidR="00307262" w:rsidRDefault="00E63155" w:rsidP="00BC6868">
      <w:pPr>
        <w:pStyle w:val="Notes"/>
        <w:keepNext/>
        <w:keepLines/>
      </w:pPr>
      <w:r>
        <w:t xml:space="preserve">Abbreviations: </w:t>
      </w:r>
      <w:r w:rsidR="00307262">
        <w:t xml:space="preserve">CI = confidence interval; DPP-4-i = </w:t>
      </w:r>
      <w:r w:rsidR="0087709E">
        <w:t>DPP4 inhibitor; GLP</w:t>
      </w:r>
      <w:r w:rsidR="00307262">
        <w:t xml:space="preserve">1 = </w:t>
      </w:r>
      <w:r w:rsidR="0087709E">
        <w:t>GLP</w:t>
      </w:r>
      <w:r w:rsidR="00307262">
        <w:t>-1 receptor agonist; INS = insulin; MET</w:t>
      </w:r>
      <w:r w:rsidR="0087709E">
        <w:t xml:space="preserve"> = metformin; </w:t>
      </w:r>
      <w:r w:rsidR="00B43644" w:rsidRPr="00B46F97">
        <w:rPr>
          <w:rFonts w:asciiTheme="majorHAnsi" w:hAnsiTheme="majorHAnsi"/>
        </w:rPr>
        <w:t xml:space="preserve">SGLT2 = </w:t>
      </w:r>
      <w:r w:rsidR="00B43644">
        <w:rPr>
          <w:rStyle w:val="TableText"/>
          <w:rFonts w:asciiTheme="majorHAnsi" w:hAnsiTheme="majorHAnsi"/>
        </w:rPr>
        <w:t>SGLT</w:t>
      </w:r>
      <w:r w:rsidR="00B43644" w:rsidRPr="00B46F97">
        <w:rPr>
          <w:rStyle w:val="TableText"/>
          <w:rFonts w:asciiTheme="majorHAnsi" w:hAnsiTheme="majorHAnsi"/>
        </w:rPr>
        <w:t>2 inhibitor</w:t>
      </w:r>
      <w:r w:rsidR="00B43644">
        <w:t xml:space="preserve">; </w:t>
      </w:r>
      <w:r w:rsidR="0087709E">
        <w:t>and SU = sulfonylurea.</w:t>
      </w:r>
    </w:p>
    <w:p w:rsidR="00AB3222" w:rsidRDefault="00AB3222" w:rsidP="00947CC4"/>
    <w:p w:rsidR="00307262" w:rsidRDefault="007B3F15" w:rsidP="00307262">
      <w:r>
        <w:t>A</w:t>
      </w:r>
      <w:r w:rsidR="00307262">
        <w:t>ll triple therapy combinations of medicines</w:t>
      </w:r>
      <w:r w:rsidRPr="007B3F15">
        <w:t xml:space="preserve"> </w:t>
      </w:r>
      <w:r>
        <w:t>in the network analysis provided a significantly better reduction in HbA</w:t>
      </w:r>
      <w:r>
        <w:rPr>
          <w:vertAlign w:val="subscript"/>
        </w:rPr>
        <w:t>1c</w:t>
      </w:r>
      <w:r>
        <w:t xml:space="preserve"> compared to metformin + sulfonylurea dual therapy, in the range of 0.7–1</w:t>
      </w:r>
      <w:r w:rsidR="00B43644">
        <w:t>.1</w:t>
      </w:r>
      <w:r>
        <w:t>%</w:t>
      </w:r>
      <w:r w:rsidR="00B43644">
        <w:t xml:space="preserve"> (8–12</w:t>
      </w:r>
      <w:r w:rsidR="007156EB">
        <w:t xml:space="preserve"> mmol/mol)</w:t>
      </w:r>
      <w:r>
        <w:t xml:space="preserve">, </w:t>
      </w:r>
      <w:r w:rsidR="00307262">
        <w:t>except for metformin + TZD + DPP-4 inhibitor (</w:t>
      </w:r>
      <w:r w:rsidR="00B43644">
        <w:t>-0.47%; 95% CI: -1.55, 0.61</w:t>
      </w:r>
      <w:r>
        <w:t>)</w:t>
      </w:r>
      <w:r w:rsidR="00307262">
        <w:t xml:space="preserve">. This improvement was clinically relevant when GLP-1 </w:t>
      </w:r>
      <w:r>
        <w:t xml:space="preserve">receptor </w:t>
      </w:r>
      <w:r w:rsidR="00307262">
        <w:t>agonist</w:t>
      </w:r>
      <w:r>
        <w:t>s or insulin were</w:t>
      </w:r>
      <w:r w:rsidR="00307262">
        <w:t xml:space="preserve"> added to metformin + sulfonylurea (upper CI greater than the MCID of 0.30%). Me</w:t>
      </w:r>
      <w:r w:rsidR="00B43644">
        <w:t>tformin + sulfonylurea + SGLT2 inhibitor</w:t>
      </w:r>
      <w:r w:rsidR="00307262">
        <w:t xml:space="preserve"> produced the largest reduction in HbA</w:t>
      </w:r>
      <w:r w:rsidR="00307262">
        <w:rPr>
          <w:vertAlign w:val="subscript"/>
        </w:rPr>
        <w:t>1c</w:t>
      </w:r>
      <w:r w:rsidR="00307262">
        <w:t xml:space="preserve"> compared to metformin + sulfonylurea dual therapy. </w:t>
      </w:r>
    </w:p>
    <w:p w:rsidR="00307262" w:rsidRDefault="00307262" w:rsidP="00307262">
      <w:r>
        <w:t>None of the triple therapy combinations demonstrated clinically relevant differences compared with other triple therapies. However, metformin + sulfonylurea + GLP-1 receptor agonist was significantly better at reducing HbA</w:t>
      </w:r>
      <w:r>
        <w:rPr>
          <w:vertAlign w:val="subscript"/>
        </w:rPr>
        <w:t>1c</w:t>
      </w:r>
      <w:r>
        <w:t xml:space="preserve"> than metformin + TZD + DPP-4 inhibitor.</w:t>
      </w:r>
    </w:p>
    <w:p w:rsidR="00307262" w:rsidRDefault="00307262" w:rsidP="00307262">
      <w:r>
        <w:lastRenderedPageBreak/>
        <w:t>The addition of insulin to metformin + GLP-1 receptor agonist (not shown in the figures above) provided a significant and clinically important reduction of HbA</w:t>
      </w:r>
      <w:r>
        <w:rPr>
          <w:vertAlign w:val="subscript"/>
        </w:rPr>
        <w:t>1c</w:t>
      </w:r>
      <w:r>
        <w:t xml:space="preserve"> compared to metformin + GLP-1 receptor agonist dual therapy (mean difference -0.52</w:t>
      </w:r>
      <w:r w:rsidR="007B3F15">
        <w:t>%</w:t>
      </w:r>
      <w:r w:rsidR="007156EB">
        <w:t xml:space="preserve">; 95% CI: </w:t>
      </w:r>
      <w:r w:rsidR="007156EB">
        <w:noBreakHyphen/>
        <w:t>0.68, -0.36</w:t>
      </w:r>
      <w:r>
        <w:t>).</w:t>
      </w:r>
    </w:p>
    <w:p w:rsidR="007B3F15" w:rsidRDefault="007B3F15" w:rsidP="00BC6868">
      <w:pPr>
        <w:pStyle w:val="Heading5"/>
        <w:keepNext/>
        <w:keepLines/>
      </w:pPr>
      <w:r>
        <w:t>Body weight</w:t>
      </w:r>
    </w:p>
    <w:p w:rsidR="00307262" w:rsidRDefault="00B43644" w:rsidP="00BC6868">
      <w:pPr>
        <w:keepNext/>
        <w:keepLines/>
      </w:pPr>
      <w:r>
        <w:t>Twelve</w:t>
      </w:r>
      <w:r w:rsidR="00307262">
        <w:t xml:space="preserve"> RCTs were identified for inclusion in the network analysis for body weight change.</w:t>
      </w:r>
      <w:r w:rsidR="0093455B" w:rsidRPr="00DF4210">
        <w:rPr>
          <w:vertAlign w:val="superscript"/>
        </w:rPr>
        <w:t>67</w:t>
      </w:r>
      <w:r w:rsidR="00DF4210" w:rsidRPr="00DF4210">
        <w:rPr>
          <w:vertAlign w:val="superscript"/>
        </w:rPr>
        <w:t xml:space="preserve">; </w:t>
      </w:r>
      <w:r w:rsidR="0093455B" w:rsidRPr="00DF4210">
        <w:rPr>
          <w:vertAlign w:val="superscript"/>
        </w:rPr>
        <w:t>70</w:t>
      </w:r>
      <w:r w:rsidR="00DF4210" w:rsidRPr="00DF4210">
        <w:rPr>
          <w:vertAlign w:val="superscript"/>
        </w:rPr>
        <w:t xml:space="preserve">; </w:t>
      </w:r>
      <w:r w:rsidR="0093455B" w:rsidRPr="00DF4210">
        <w:rPr>
          <w:vertAlign w:val="superscript"/>
        </w:rPr>
        <w:t>71</w:t>
      </w:r>
      <w:r w:rsidR="00DF4210" w:rsidRPr="00DF4210">
        <w:rPr>
          <w:vertAlign w:val="superscript"/>
        </w:rPr>
        <w:t xml:space="preserve">; </w:t>
      </w:r>
      <w:r w:rsidR="0093455B" w:rsidRPr="00DF4210">
        <w:rPr>
          <w:vertAlign w:val="superscript"/>
        </w:rPr>
        <w:t>72</w:t>
      </w:r>
      <w:r w:rsidR="00DF4210" w:rsidRPr="00DF4210">
        <w:rPr>
          <w:vertAlign w:val="superscript"/>
        </w:rPr>
        <w:t xml:space="preserve">; </w:t>
      </w:r>
      <w:r w:rsidR="0093455B" w:rsidRPr="00DF4210">
        <w:rPr>
          <w:vertAlign w:val="superscript"/>
        </w:rPr>
        <w:t>73</w:t>
      </w:r>
      <w:r w:rsidR="00DF4210" w:rsidRPr="00DF4210">
        <w:rPr>
          <w:vertAlign w:val="superscript"/>
        </w:rPr>
        <w:t xml:space="preserve">; </w:t>
      </w:r>
      <w:r w:rsidR="0093455B" w:rsidRPr="00DF4210">
        <w:rPr>
          <w:vertAlign w:val="superscript"/>
        </w:rPr>
        <w:t>74</w:t>
      </w:r>
      <w:r w:rsidR="00DF4210" w:rsidRPr="00DF4210">
        <w:rPr>
          <w:vertAlign w:val="superscript"/>
        </w:rPr>
        <w:t xml:space="preserve">; </w:t>
      </w:r>
      <w:r w:rsidR="0093455B" w:rsidRPr="00DF4210">
        <w:rPr>
          <w:vertAlign w:val="superscript"/>
        </w:rPr>
        <w:t>75</w:t>
      </w:r>
      <w:r w:rsidR="00DF4210" w:rsidRPr="00DF4210">
        <w:rPr>
          <w:vertAlign w:val="superscript"/>
        </w:rPr>
        <w:t xml:space="preserve">; </w:t>
      </w:r>
      <w:r w:rsidR="0093455B" w:rsidRPr="00DF4210">
        <w:rPr>
          <w:vertAlign w:val="superscript"/>
        </w:rPr>
        <w:t>76</w:t>
      </w:r>
      <w:r w:rsidR="00DF4210" w:rsidRPr="00DF4210">
        <w:rPr>
          <w:vertAlign w:val="superscript"/>
        </w:rPr>
        <w:t xml:space="preserve">; </w:t>
      </w:r>
      <w:r w:rsidR="0093455B" w:rsidRPr="00DF4210">
        <w:rPr>
          <w:vertAlign w:val="superscript"/>
        </w:rPr>
        <w:t>82</w:t>
      </w:r>
      <w:r w:rsidR="00DF4210" w:rsidRPr="00DF4210">
        <w:rPr>
          <w:vertAlign w:val="superscript"/>
        </w:rPr>
        <w:t xml:space="preserve">; </w:t>
      </w:r>
      <w:r w:rsidR="0093455B" w:rsidRPr="00DF4210">
        <w:rPr>
          <w:vertAlign w:val="superscript"/>
        </w:rPr>
        <w:t>83</w:t>
      </w:r>
      <w:r w:rsidR="00DF4210" w:rsidRPr="00DF4210">
        <w:rPr>
          <w:vertAlign w:val="superscript"/>
        </w:rPr>
        <w:t xml:space="preserve">; </w:t>
      </w:r>
      <w:r w:rsidR="0093455B" w:rsidRPr="00DF4210">
        <w:rPr>
          <w:vertAlign w:val="superscript"/>
        </w:rPr>
        <w:t>84</w:t>
      </w:r>
      <w:r w:rsidR="00DF4210" w:rsidRPr="00DF4210">
        <w:rPr>
          <w:vertAlign w:val="superscript"/>
        </w:rPr>
        <w:t xml:space="preserve">; </w:t>
      </w:r>
      <w:r w:rsidR="0093455B" w:rsidRPr="00DF4210">
        <w:rPr>
          <w:vertAlign w:val="superscript"/>
        </w:rPr>
        <w:t>86</w:t>
      </w:r>
      <w:r w:rsidR="00307262">
        <w:t xml:space="preserve"> </w:t>
      </w:r>
      <w:r w:rsidR="007B3F15">
        <w:t xml:space="preserve">Figure 6.4 </w:t>
      </w:r>
      <w:r w:rsidR="00307262">
        <w:t xml:space="preserve">and </w:t>
      </w:r>
      <w:r w:rsidR="007B3F15">
        <w:t xml:space="preserve">6.5 </w:t>
      </w:r>
      <w:r w:rsidR="00307262">
        <w:t xml:space="preserve">present forest plots for the network analysis of body weight for triple therapy </w:t>
      </w:r>
      <w:r w:rsidR="0087709E">
        <w:t>show</w:t>
      </w:r>
      <w:r w:rsidR="00307262">
        <w:t>ing the mean difference between the treatment comparisons.</w:t>
      </w:r>
    </w:p>
    <w:p w:rsidR="0087709E" w:rsidRDefault="0087709E" w:rsidP="00307262"/>
    <w:p w:rsidR="0087709E" w:rsidRPr="0087709E" w:rsidRDefault="0087709E" w:rsidP="0087709E">
      <w:pPr>
        <w:keepNext/>
        <w:keepLines/>
        <w:rPr>
          <w:b/>
        </w:rPr>
      </w:pPr>
      <w:bookmarkStart w:id="293" w:name="_Ref390848933"/>
      <w:r w:rsidRPr="0087709E">
        <w:rPr>
          <w:b/>
        </w:rPr>
        <w:t>Figure</w:t>
      </w:r>
      <w:bookmarkEnd w:id="293"/>
      <w:r>
        <w:rPr>
          <w:b/>
        </w:rPr>
        <w:t xml:space="preserve"> 6.4.</w:t>
      </w:r>
      <w:r w:rsidRPr="0087709E">
        <w:rPr>
          <w:b/>
        </w:rPr>
        <w:t xml:space="preserve"> Forest plot of mean difference in change in body weight (kg) (95% CI) </w:t>
      </w:r>
      <w:r w:rsidR="00B43644">
        <w:rPr>
          <w:b/>
        </w:rPr>
        <w:t xml:space="preserve">at six months </w:t>
      </w:r>
      <w:r w:rsidRPr="0087709E">
        <w:rPr>
          <w:b/>
        </w:rPr>
        <w:t>for different triple therapy combinations compared to metformin + sulfonylurea dual therapy – network analysis.</w:t>
      </w:r>
    </w:p>
    <w:p w:rsidR="0087709E" w:rsidRDefault="00B43644" w:rsidP="0087709E">
      <w:pPr>
        <w:keepNext/>
        <w:keepLines/>
        <w:rPr>
          <w:lang w:eastAsia="en-AU"/>
        </w:rPr>
      </w:pPr>
      <w:r>
        <w:rPr>
          <w:lang w:eastAsia="en-AU"/>
        </w:rPr>
        <w:drawing>
          <wp:inline distT="0" distB="0" distL="0" distR="0" wp14:anchorId="5844A297" wp14:editId="5C1E5059">
            <wp:extent cx="5484997" cy="2218422"/>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484997" cy="2218422"/>
                    </a:xfrm>
                    <a:prstGeom prst="rect">
                      <a:avLst/>
                    </a:prstGeom>
                    <a:noFill/>
                    <a:ln>
                      <a:noFill/>
                    </a:ln>
                  </pic:spPr>
                </pic:pic>
              </a:graphicData>
            </a:graphic>
          </wp:inline>
        </w:drawing>
      </w:r>
    </w:p>
    <w:p w:rsidR="00E63155" w:rsidRDefault="00E63155" w:rsidP="00E63155">
      <w:pPr>
        <w:pStyle w:val="Notes"/>
      </w:pPr>
      <w:r w:rsidRPr="00E15734">
        <w:t xml:space="preserve">Statistically significant difference are marked in </w:t>
      </w:r>
      <w:r w:rsidRPr="00E15734">
        <w:rPr>
          <w:b/>
        </w:rPr>
        <w:t>bold</w:t>
      </w:r>
      <w:r w:rsidRPr="00E15734">
        <w:t>.</w:t>
      </w:r>
    </w:p>
    <w:p w:rsidR="0087709E" w:rsidRDefault="00E63155" w:rsidP="0087709E">
      <w:pPr>
        <w:pStyle w:val="Notes"/>
        <w:keepNext/>
        <w:keepLines/>
      </w:pPr>
      <w:r>
        <w:t xml:space="preserve">Abbreviations: </w:t>
      </w:r>
      <w:r w:rsidR="0087709E">
        <w:t xml:space="preserve">CI = confidence interval; DPP-4-i = DPP4 inhibitor; GLP-1-RA = GLP-1 receptor agonist; INS = insulin; MET = metformin; </w:t>
      </w:r>
      <w:r w:rsidR="00B43644" w:rsidRPr="00B46F97">
        <w:rPr>
          <w:rFonts w:asciiTheme="majorHAnsi" w:hAnsiTheme="majorHAnsi"/>
        </w:rPr>
        <w:t xml:space="preserve">SGLT2 = </w:t>
      </w:r>
      <w:r w:rsidR="00B43644">
        <w:rPr>
          <w:rStyle w:val="TableText"/>
          <w:rFonts w:asciiTheme="majorHAnsi" w:hAnsiTheme="majorHAnsi"/>
        </w:rPr>
        <w:t>SGLT</w:t>
      </w:r>
      <w:r w:rsidR="00B43644" w:rsidRPr="00B46F97">
        <w:rPr>
          <w:rStyle w:val="TableText"/>
          <w:rFonts w:asciiTheme="majorHAnsi" w:hAnsiTheme="majorHAnsi"/>
        </w:rPr>
        <w:t>2 inhibitor</w:t>
      </w:r>
      <w:r w:rsidR="00B43644">
        <w:t xml:space="preserve">; </w:t>
      </w:r>
      <w:r w:rsidR="0087709E">
        <w:t>and SU = sulfonylurea.</w:t>
      </w:r>
    </w:p>
    <w:p w:rsidR="0087709E" w:rsidRDefault="0087709E" w:rsidP="0087709E">
      <w:pPr>
        <w:rPr>
          <w:lang w:eastAsia="en-AU"/>
        </w:rPr>
      </w:pPr>
    </w:p>
    <w:p w:rsidR="0087709E" w:rsidRDefault="0087709E" w:rsidP="0087709E">
      <w:pPr>
        <w:rPr>
          <w:lang w:eastAsia="en-AU"/>
        </w:rPr>
      </w:pPr>
    </w:p>
    <w:p w:rsidR="0087709E" w:rsidRPr="0087709E" w:rsidRDefault="0087709E" w:rsidP="0087709E">
      <w:pPr>
        <w:keepNext/>
        <w:keepLines/>
        <w:rPr>
          <w:b/>
          <w:noProof w:val="0"/>
        </w:rPr>
      </w:pPr>
      <w:bookmarkStart w:id="294" w:name="_Ref390848940"/>
      <w:r w:rsidRPr="0087709E">
        <w:rPr>
          <w:b/>
        </w:rPr>
        <w:lastRenderedPageBreak/>
        <w:t xml:space="preserve">Figure </w:t>
      </w:r>
      <w:r w:rsidR="002126B8">
        <w:rPr>
          <w:b/>
        </w:rPr>
        <w:t>1</w:t>
      </w:r>
      <w:bookmarkEnd w:id="294"/>
      <w:r w:rsidR="00D27008">
        <w:rPr>
          <w:b/>
        </w:rPr>
        <w:t>.5.</w:t>
      </w:r>
      <w:r w:rsidRPr="0087709E">
        <w:rPr>
          <w:b/>
        </w:rPr>
        <w:t xml:space="preserve"> Forest plot of mean difference in body weight change (95% CI) </w:t>
      </w:r>
      <w:r w:rsidR="00B43644">
        <w:rPr>
          <w:b/>
        </w:rPr>
        <w:t xml:space="preserve">at six months </w:t>
      </w:r>
      <w:r w:rsidRPr="0087709E">
        <w:rPr>
          <w:b/>
        </w:rPr>
        <w:t>for different triple therapy combinations compared to each other – network analysis.</w:t>
      </w:r>
    </w:p>
    <w:p w:rsidR="0087709E" w:rsidRDefault="00B43644" w:rsidP="0087709E">
      <w:pPr>
        <w:keepNext/>
        <w:keepLines/>
      </w:pPr>
      <w:r>
        <w:rPr>
          <w:lang w:eastAsia="en-AU"/>
        </w:rPr>
        <w:drawing>
          <wp:inline distT="0" distB="0" distL="0" distR="0" wp14:anchorId="11FD49D7" wp14:editId="3D0678F9">
            <wp:extent cx="5894962" cy="4303485"/>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5897066" cy="4305021"/>
                    </a:xfrm>
                    <a:prstGeom prst="rect">
                      <a:avLst/>
                    </a:prstGeom>
                    <a:noFill/>
                    <a:ln>
                      <a:noFill/>
                    </a:ln>
                  </pic:spPr>
                </pic:pic>
              </a:graphicData>
            </a:graphic>
          </wp:inline>
        </w:drawing>
      </w:r>
    </w:p>
    <w:p w:rsidR="00E15734" w:rsidRDefault="00E15734" w:rsidP="00E15734">
      <w:pPr>
        <w:pStyle w:val="Notes"/>
      </w:pPr>
      <w:r w:rsidRPr="00E15734">
        <w:t xml:space="preserve">Statistically significant difference are marked in </w:t>
      </w:r>
      <w:r w:rsidRPr="00E15734">
        <w:rPr>
          <w:b/>
        </w:rPr>
        <w:t>bold</w:t>
      </w:r>
      <w:r w:rsidRPr="00E15734">
        <w:t>.</w:t>
      </w:r>
    </w:p>
    <w:p w:rsidR="0087709E" w:rsidRDefault="00E15734" w:rsidP="0087709E">
      <w:pPr>
        <w:pStyle w:val="Notes"/>
      </w:pPr>
      <w:r>
        <w:t xml:space="preserve">Abbreviations: </w:t>
      </w:r>
      <w:r w:rsidR="0087709E">
        <w:t xml:space="preserve">CI = confidence interval; DPP-4-i = DPP4 inhibitor; GLP-1-RA = GLP-1 receptor agonist; INS = insulin; MET = metformin; </w:t>
      </w:r>
      <w:r w:rsidR="00B43644" w:rsidRPr="00B46F97">
        <w:rPr>
          <w:rFonts w:asciiTheme="majorHAnsi" w:hAnsiTheme="majorHAnsi"/>
        </w:rPr>
        <w:t xml:space="preserve">SGLT2 = </w:t>
      </w:r>
      <w:r w:rsidR="00B43644">
        <w:rPr>
          <w:rStyle w:val="TableText"/>
          <w:rFonts w:asciiTheme="majorHAnsi" w:hAnsiTheme="majorHAnsi"/>
        </w:rPr>
        <w:t>SGLT</w:t>
      </w:r>
      <w:r w:rsidR="00B43644" w:rsidRPr="00B46F97">
        <w:rPr>
          <w:rStyle w:val="TableText"/>
          <w:rFonts w:asciiTheme="majorHAnsi" w:hAnsiTheme="majorHAnsi"/>
        </w:rPr>
        <w:t>2 inhibitor</w:t>
      </w:r>
      <w:r w:rsidR="00B43644">
        <w:t xml:space="preserve">; </w:t>
      </w:r>
      <w:r w:rsidR="0087709E">
        <w:t>and SU = sulfonylurea.</w:t>
      </w:r>
    </w:p>
    <w:p w:rsidR="0087709E" w:rsidRDefault="0087709E" w:rsidP="0087709E"/>
    <w:p w:rsidR="0087709E" w:rsidRDefault="00B43644" w:rsidP="00854AE3">
      <w:r>
        <w:t>Both the metformin + sulfonylurea + SGLT2 inhibitor/</w:t>
      </w:r>
      <w:r w:rsidR="0087709E">
        <w:t>GLP-1 receptor agonist combination</w:t>
      </w:r>
      <w:r>
        <w:t>s</w:t>
      </w:r>
      <w:r w:rsidR="0087709E">
        <w:t xml:space="preserve"> showed a significant reduction in body weight compared to metformin + sulfonyl</w:t>
      </w:r>
      <w:r w:rsidR="007156EB">
        <w:t>urea (</w:t>
      </w:r>
      <w:r>
        <w:t xml:space="preserve">SGLT2 inhibitor:  MD: -2.4 kg; 95% CI: -4.1, -0.6; GLP-1 receptor agonist: MD: </w:t>
      </w:r>
      <w:r w:rsidR="007156EB">
        <w:t>-1.5 kg; 95% CI: -2.4, -0.6</w:t>
      </w:r>
      <w:r w:rsidR="0087709E">
        <w:t xml:space="preserve">). All other combinations caused similar or more weight gain than metformin + sulfonylurea (-0.3 to 3.5 kg).  </w:t>
      </w:r>
    </w:p>
    <w:p w:rsidR="00B43644" w:rsidRDefault="00B43644" w:rsidP="00B43644">
      <w:r>
        <w:t xml:space="preserve">In combination with metformin + sulfonylurea, SGLT2 inhibitors were superior in terms of body weight change to TZDs (-4.5 kg; 95% CI: -7.0, -2.0), insulin (-4.2 kg; 95% CI: -6.4, -2.1), and DPP-4 inhibitors (-3 kg; 95% CI: -4.5, -1.5). </w:t>
      </w:r>
    </w:p>
    <w:p w:rsidR="00B43644" w:rsidRDefault="00B43644" w:rsidP="00B43644">
      <w:r>
        <w:t xml:space="preserve">In combination with metformin + sulfonylurea, GLP-1 receptor agonists were superior in terms of body weight change to TZDs (-4.7 kg; 95% CI: -5.8, -3.5), insulin (-3.9 kg; 95% CI: -4.6, -3.2), and DPP-4 inhibitors (-1.8 kg; 95% CI: -3.2, -0.5). </w:t>
      </w:r>
    </w:p>
    <w:p w:rsidR="00B43644" w:rsidRDefault="00B43644" w:rsidP="00B43644">
      <w:r>
        <w:t xml:space="preserve">In combination with metformin + sulfonylurea, DPP-4 inhibitors were not different in terms of body weight change when compared to insulins (-1.3 kg, 95% CI: -2.8, 0.2) and </w:t>
      </w:r>
      <w:r>
        <w:lastRenderedPageBreak/>
        <w:t>TZDs (-1.6. kg; 95% CI: -3.4, 0.2), and when combined with metformin + TZD (0.78 kg; 95% CI: -1.1, 2.7).</w:t>
      </w:r>
      <w:r w:rsidR="00690442">
        <w:t xml:space="preserve"> </w:t>
      </w:r>
      <w:r>
        <w:t>In combination with metformin + TZD, DPP-4 inhibitors were superior to sulfonylureas (</w:t>
      </w:r>
      <w:r>
        <w:noBreakHyphen/>
        <w:t>3.1 kg; 95% CI: -5.0, -1.1).</w:t>
      </w:r>
    </w:p>
    <w:p w:rsidR="00B43644" w:rsidRDefault="00B43644" w:rsidP="00B43644">
      <w:r>
        <w:t>The common triple therapy combination of metformin + sulfonylurea + insulin was superior in weight change to metformin + sulfonylurea + TZD (-1.3 kg;</w:t>
      </w:r>
      <w:r w:rsidRPr="00A869FC">
        <w:t xml:space="preserve"> </w:t>
      </w:r>
      <w:r>
        <w:t>95% CI: -2.5 to -0.0 kg), and was inferior to metformin + TZD + DPP-4 inhibitor (2.2 kg;</w:t>
      </w:r>
      <w:r w:rsidRPr="00A869FC">
        <w:t xml:space="preserve"> </w:t>
      </w:r>
      <w:r>
        <w:t xml:space="preserve">95% CI: 0.2 to 4.2 kg). </w:t>
      </w:r>
    </w:p>
    <w:p w:rsidR="0087709E" w:rsidRDefault="0087709E" w:rsidP="00854AE3">
      <w:r>
        <w:t>Not shown in the figures above due to a lack of common arms with the network, the addition of insulin to metformin + GLP-1 receptor agonist had significantly reduced effect on body weight change compared to metformin + GLP-1 receptor agonist dual thera</w:t>
      </w:r>
      <w:r w:rsidR="007156EB">
        <w:t>py (0.79 kg; 95% CI: 0.08, 1.49</w:t>
      </w:r>
      <w:r>
        <w:t>), however it provided a mild reduction in overall weight of 0.16 kg.</w:t>
      </w:r>
    </w:p>
    <w:p w:rsidR="00854AE3" w:rsidRDefault="00854AE3" w:rsidP="00D27008">
      <w:pPr>
        <w:pStyle w:val="Heading4"/>
      </w:pPr>
      <w:r>
        <w:t>6.4.3.3  Safety</w:t>
      </w:r>
    </w:p>
    <w:p w:rsidR="00D27008" w:rsidRPr="00D27008" w:rsidRDefault="00D27008" w:rsidP="00D27008">
      <w:pPr>
        <w:pStyle w:val="Heading5"/>
      </w:pPr>
      <w:r>
        <w:t>Adverse events</w:t>
      </w:r>
    </w:p>
    <w:p w:rsidR="00230D12" w:rsidRDefault="00D23762" w:rsidP="00230D12">
      <w:r>
        <w:t xml:space="preserve">No network existed for analysis of adverse events. </w:t>
      </w:r>
      <w:r w:rsidR="003D7D2E">
        <w:t xml:space="preserve">While adverse events were presented in most trials, the total number of participants that experienced an adverse event was only presented in six trials that compared different treatment groups. </w:t>
      </w:r>
      <w:r w:rsidR="00D27008">
        <w:t xml:space="preserve">Adverse events were difficult to compare as the trials were generally of short duration </w:t>
      </w:r>
      <w:r w:rsidR="003D7D2E">
        <w:t>(four trials of six months,</w:t>
      </w:r>
      <w:r w:rsidR="0093455B" w:rsidRPr="00DF4210">
        <w:rPr>
          <w:vertAlign w:val="superscript"/>
        </w:rPr>
        <w:t>71</w:t>
      </w:r>
      <w:r w:rsidR="00DF4210" w:rsidRPr="00DF4210">
        <w:rPr>
          <w:vertAlign w:val="superscript"/>
        </w:rPr>
        <w:t xml:space="preserve">; </w:t>
      </w:r>
      <w:r w:rsidR="0093455B" w:rsidRPr="00DF4210">
        <w:rPr>
          <w:vertAlign w:val="superscript"/>
        </w:rPr>
        <w:t>72</w:t>
      </w:r>
      <w:r w:rsidR="00DF4210" w:rsidRPr="00DF4210">
        <w:rPr>
          <w:vertAlign w:val="superscript"/>
        </w:rPr>
        <w:t xml:space="preserve">; </w:t>
      </w:r>
      <w:r w:rsidR="0093455B" w:rsidRPr="00DF4210">
        <w:rPr>
          <w:vertAlign w:val="superscript"/>
        </w:rPr>
        <w:t>86</w:t>
      </w:r>
      <w:r w:rsidR="00DF4210" w:rsidRPr="00DF4210">
        <w:rPr>
          <w:vertAlign w:val="superscript"/>
        </w:rPr>
        <w:t xml:space="preserve">; </w:t>
      </w:r>
      <w:r w:rsidR="0093455B" w:rsidRPr="00DF4210">
        <w:rPr>
          <w:vertAlign w:val="superscript"/>
        </w:rPr>
        <w:t>88</w:t>
      </w:r>
      <w:r w:rsidR="00046C56">
        <w:t xml:space="preserve"> and three</w:t>
      </w:r>
      <w:r w:rsidR="003D7D2E">
        <w:t xml:space="preserve"> trials of one year</w:t>
      </w:r>
      <w:r w:rsidR="0093455B" w:rsidRPr="00DF4210">
        <w:rPr>
          <w:vertAlign w:val="superscript"/>
        </w:rPr>
        <w:t>83</w:t>
      </w:r>
      <w:r w:rsidR="00DF4210" w:rsidRPr="00DF4210">
        <w:rPr>
          <w:vertAlign w:val="superscript"/>
        </w:rPr>
        <w:t xml:space="preserve">; </w:t>
      </w:r>
      <w:r w:rsidR="0093455B" w:rsidRPr="00DF4210">
        <w:rPr>
          <w:vertAlign w:val="superscript"/>
        </w:rPr>
        <w:t>84</w:t>
      </w:r>
      <w:r w:rsidR="00DF4210" w:rsidRPr="00DF4210">
        <w:rPr>
          <w:vertAlign w:val="superscript"/>
        </w:rPr>
        <w:t xml:space="preserve">; </w:t>
      </w:r>
      <w:r w:rsidR="0093455B" w:rsidRPr="00DF4210">
        <w:rPr>
          <w:vertAlign w:val="superscript"/>
        </w:rPr>
        <w:t>85</w:t>
      </w:r>
      <w:r w:rsidR="003D7D2E">
        <w:t xml:space="preserve">) </w:t>
      </w:r>
      <w:r w:rsidR="00D27008">
        <w:t xml:space="preserve">and the event rates were too low to provide meaningful analysis. </w:t>
      </w:r>
      <w:r w:rsidR="00230D12">
        <w:t xml:space="preserve">Table 6.3 summarises the odds ratio of adverse events between different triple therapy combinations from direct trials. </w:t>
      </w:r>
    </w:p>
    <w:p w:rsidR="00D27008" w:rsidRDefault="00C141D7" w:rsidP="00D27008">
      <w:r>
        <w:t>Two</w:t>
      </w:r>
      <w:r w:rsidR="00D27008">
        <w:t xml:space="preserve"> other </w:t>
      </w:r>
      <w:r w:rsidR="003D7D2E">
        <w:t>trial</w:t>
      </w:r>
      <w:r w:rsidR="00D27008">
        <w:t xml:space="preserve">s </w:t>
      </w:r>
      <w:r>
        <w:t xml:space="preserve">(three publications) </w:t>
      </w:r>
      <w:r w:rsidR="00D27008">
        <w:t xml:space="preserve">presented adverse event data for trials of a duration </w:t>
      </w:r>
      <w:r>
        <w:t xml:space="preserve">of </w:t>
      </w:r>
      <w:r w:rsidR="00D27008">
        <w:t xml:space="preserve">one year </w:t>
      </w:r>
      <w:r>
        <w:t xml:space="preserve">or more, </w:t>
      </w:r>
      <w:r w:rsidR="00D23762">
        <w:t xml:space="preserve">but these </w:t>
      </w:r>
      <w:r w:rsidR="003D7D2E">
        <w:t xml:space="preserve">trials </w:t>
      </w:r>
      <w:r w:rsidR="00D27008">
        <w:t xml:space="preserve">compared medicines of the same </w:t>
      </w:r>
      <w:r w:rsidR="00D23762">
        <w:t>triple therapy treatment groups.</w:t>
      </w:r>
      <w:r w:rsidR="0093455B" w:rsidRPr="00DF4210">
        <w:rPr>
          <w:vertAlign w:val="superscript"/>
        </w:rPr>
        <w:t>68</w:t>
      </w:r>
      <w:r w:rsidR="00DF4210" w:rsidRPr="00DF4210">
        <w:rPr>
          <w:vertAlign w:val="superscript"/>
        </w:rPr>
        <w:t xml:space="preserve">; </w:t>
      </w:r>
      <w:r w:rsidR="0093455B" w:rsidRPr="00DF4210">
        <w:rPr>
          <w:vertAlign w:val="superscript"/>
        </w:rPr>
        <w:t>78</w:t>
      </w:r>
      <w:r w:rsidR="00DF4210" w:rsidRPr="00DF4210">
        <w:rPr>
          <w:vertAlign w:val="superscript"/>
        </w:rPr>
        <w:t xml:space="preserve">; </w:t>
      </w:r>
      <w:r w:rsidR="0093455B" w:rsidRPr="00DF4210">
        <w:rPr>
          <w:vertAlign w:val="superscript"/>
        </w:rPr>
        <w:t>87</w:t>
      </w:r>
      <w:r w:rsidR="00D23762">
        <w:t xml:space="preserve"> </w:t>
      </w:r>
    </w:p>
    <w:p w:rsidR="00D27008" w:rsidRPr="00D27008" w:rsidRDefault="00D27008" w:rsidP="00D27008">
      <w:pPr>
        <w:rPr>
          <w:b/>
        </w:rPr>
      </w:pPr>
      <w:bookmarkStart w:id="295" w:name="_Ref390853400"/>
      <w:r w:rsidRPr="00D27008">
        <w:rPr>
          <w:b/>
        </w:rPr>
        <w:t xml:space="preserve">Table </w:t>
      </w:r>
      <w:bookmarkEnd w:id="295"/>
      <w:r w:rsidRPr="00D27008">
        <w:rPr>
          <w:b/>
        </w:rPr>
        <w:t>6.3. Comparison of adverse events between different triple therapy combinations.</w:t>
      </w:r>
    </w:p>
    <w:tbl>
      <w:tblPr>
        <w:tblW w:w="5350" w:type="pct"/>
        <w:tblLayout w:type="fixed"/>
        <w:tblLook w:val="04A0" w:firstRow="1" w:lastRow="0" w:firstColumn="1" w:lastColumn="0" w:noHBand="0" w:noVBand="1"/>
      </w:tblPr>
      <w:tblGrid>
        <w:gridCol w:w="1951"/>
        <w:gridCol w:w="1559"/>
        <w:gridCol w:w="1843"/>
        <w:gridCol w:w="1135"/>
        <w:gridCol w:w="1841"/>
        <w:gridCol w:w="1560"/>
      </w:tblGrid>
      <w:tr w:rsidR="00413AE0" w:rsidTr="00046C56">
        <w:trPr>
          <w:trHeight w:val="113"/>
          <w:tblHeader/>
        </w:trPr>
        <w:tc>
          <w:tcPr>
            <w:tcW w:w="986"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413AE0" w:rsidRPr="00413AE0" w:rsidRDefault="00413AE0" w:rsidP="006D5F3C">
            <w:pPr>
              <w:spacing w:before="60" w:after="60" w:line="240" w:lineRule="auto"/>
              <w:rPr>
                <w:b/>
                <w:sz w:val="20"/>
                <w:szCs w:val="20"/>
                <w:lang w:val="en-GB" w:eastAsia="en-GB"/>
              </w:rPr>
            </w:pPr>
            <w:r w:rsidRPr="00413AE0">
              <w:rPr>
                <w:b/>
                <w:sz w:val="20"/>
                <w:szCs w:val="20"/>
                <w:lang w:val="en-GB" w:eastAsia="en-GB"/>
              </w:rPr>
              <w:t>Intervention</w:t>
            </w:r>
          </w:p>
        </w:tc>
        <w:tc>
          <w:tcPr>
            <w:tcW w:w="788"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13AE0" w:rsidRPr="00413AE0" w:rsidRDefault="00413AE0" w:rsidP="006D5F3C">
            <w:pPr>
              <w:spacing w:before="60" w:after="60" w:line="240" w:lineRule="auto"/>
              <w:rPr>
                <w:b/>
                <w:sz w:val="20"/>
                <w:szCs w:val="20"/>
                <w:lang w:val="en-GB" w:eastAsia="en-GB"/>
              </w:rPr>
            </w:pPr>
            <w:r w:rsidRPr="00413AE0">
              <w:rPr>
                <w:b/>
                <w:sz w:val="20"/>
                <w:szCs w:val="20"/>
                <w:lang w:val="en-GB" w:eastAsia="en-GB"/>
              </w:rPr>
              <w:t>Comparator</w:t>
            </w:r>
          </w:p>
        </w:tc>
        <w:tc>
          <w:tcPr>
            <w:tcW w:w="932" w:type="pct"/>
            <w:tcBorders>
              <w:top w:val="single" w:sz="4" w:space="0" w:color="auto"/>
              <w:left w:val="nil"/>
              <w:bottom w:val="single" w:sz="4" w:space="0" w:color="auto"/>
              <w:right w:val="single" w:sz="4" w:space="0" w:color="auto"/>
            </w:tcBorders>
            <w:shd w:val="clear" w:color="auto" w:fill="D9D9D9" w:themeFill="background1" w:themeFillShade="D9"/>
            <w:vAlign w:val="center"/>
            <w:hideMark/>
          </w:tcPr>
          <w:p w:rsidR="00413AE0" w:rsidRPr="00413AE0" w:rsidRDefault="00413AE0" w:rsidP="006D5F3C">
            <w:pPr>
              <w:spacing w:before="60" w:after="60" w:line="240" w:lineRule="auto"/>
              <w:rPr>
                <w:b/>
                <w:sz w:val="20"/>
                <w:szCs w:val="20"/>
                <w:lang w:val="en-GB" w:eastAsia="en-GB"/>
              </w:rPr>
            </w:pPr>
            <w:r w:rsidRPr="00413AE0">
              <w:rPr>
                <w:b/>
                <w:sz w:val="20"/>
                <w:szCs w:val="20"/>
                <w:lang w:val="en-GB" w:eastAsia="en-GB"/>
              </w:rPr>
              <w:t>Trials</w:t>
            </w:r>
          </w:p>
        </w:tc>
        <w:tc>
          <w:tcPr>
            <w:tcW w:w="574" w:type="pct"/>
            <w:tcBorders>
              <w:top w:val="single" w:sz="4" w:space="0" w:color="auto"/>
              <w:left w:val="nil"/>
              <w:bottom w:val="single" w:sz="4" w:space="0" w:color="auto"/>
              <w:right w:val="single" w:sz="4" w:space="0" w:color="auto"/>
            </w:tcBorders>
            <w:shd w:val="clear" w:color="auto" w:fill="D9D9D9" w:themeFill="background1" w:themeFillShade="D9"/>
          </w:tcPr>
          <w:p w:rsidR="00413AE0" w:rsidRPr="00413AE0" w:rsidRDefault="00413AE0" w:rsidP="006D5F3C">
            <w:pPr>
              <w:spacing w:before="60" w:after="60" w:line="240" w:lineRule="auto"/>
              <w:rPr>
                <w:b/>
                <w:sz w:val="20"/>
                <w:szCs w:val="20"/>
                <w:lang w:val="en-GB" w:eastAsia="en-GB"/>
              </w:rPr>
            </w:pPr>
            <w:r w:rsidRPr="00413AE0">
              <w:rPr>
                <w:b/>
                <w:sz w:val="20"/>
                <w:szCs w:val="20"/>
                <w:lang w:val="en-GB" w:eastAsia="en-GB"/>
              </w:rPr>
              <w:t>Duration</w:t>
            </w:r>
          </w:p>
        </w:tc>
        <w:tc>
          <w:tcPr>
            <w:tcW w:w="931"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413AE0" w:rsidRPr="00413AE0" w:rsidRDefault="00413AE0" w:rsidP="006D5F3C">
            <w:pPr>
              <w:spacing w:before="60" w:after="60" w:line="240" w:lineRule="auto"/>
              <w:rPr>
                <w:b/>
                <w:sz w:val="20"/>
                <w:szCs w:val="20"/>
                <w:lang w:val="en-GB" w:eastAsia="en-GB"/>
              </w:rPr>
            </w:pPr>
            <w:r w:rsidRPr="00413AE0">
              <w:rPr>
                <w:b/>
                <w:sz w:val="20"/>
                <w:szCs w:val="20"/>
                <w:lang w:val="en-GB" w:eastAsia="en-GB"/>
              </w:rPr>
              <w:t>OR (95% CI)</w:t>
            </w:r>
          </w:p>
        </w:tc>
        <w:tc>
          <w:tcPr>
            <w:tcW w:w="789" w:type="pct"/>
            <w:tcBorders>
              <w:top w:val="single" w:sz="4" w:space="0" w:color="auto"/>
              <w:left w:val="nil"/>
              <w:bottom w:val="single" w:sz="4" w:space="0" w:color="auto"/>
              <w:right w:val="single" w:sz="4" w:space="0" w:color="auto"/>
            </w:tcBorders>
            <w:shd w:val="clear" w:color="auto" w:fill="D9D9D9" w:themeFill="background1" w:themeFillShade="D9"/>
            <w:vAlign w:val="center"/>
          </w:tcPr>
          <w:p w:rsidR="00413AE0" w:rsidRPr="00413AE0" w:rsidRDefault="00413AE0" w:rsidP="006D5F3C">
            <w:pPr>
              <w:spacing w:before="60" w:after="60" w:line="240" w:lineRule="auto"/>
              <w:rPr>
                <w:b/>
                <w:sz w:val="20"/>
                <w:szCs w:val="20"/>
                <w:lang w:val="en-GB" w:eastAsia="en-GB"/>
              </w:rPr>
            </w:pPr>
            <w:r w:rsidRPr="00413AE0">
              <w:rPr>
                <w:b/>
                <w:sz w:val="20"/>
                <w:szCs w:val="20"/>
                <w:lang w:val="en-GB" w:eastAsia="en-GB"/>
              </w:rPr>
              <w:t>Heterogeneity</w:t>
            </w:r>
          </w:p>
        </w:tc>
      </w:tr>
      <w:tr w:rsidR="00413AE0" w:rsidTr="00413AE0">
        <w:trPr>
          <w:trHeight w:val="113"/>
        </w:trPr>
        <w:tc>
          <w:tcPr>
            <w:tcW w:w="5000" w:type="pct"/>
            <w:gridSpan w:val="6"/>
            <w:tcBorders>
              <w:top w:val="nil"/>
              <w:left w:val="single" w:sz="4" w:space="0" w:color="auto"/>
              <w:bottom w:val="single" w:sz="4" w:space="0" w:color="auto"/>
              <w:right w:val="single" w:sz="4" w:space="0" w:color="auto"/>
            </w:tcBorders>
            <w:shd w:val="clear" w:color="auto" w:fill="D9D9D9" w:themeFill="background1" w:themeFillShade="D9"/>
          </w:tcPr>
          <w:p w:rsidR="00413AE0" w:rsidRPr="00D9094C" w:rsidRDefault="00413AE0" w:rsidP="00B42F08">
            <w:pPr>
              <w:spacing w:before="60" w:after="60" w:line="240" w:lineRule="auto"/>
              <w:rPr>
                <w:b/>
                <w:i/>
                <w:sz w:val="20"/>
                <w:szCs w:val="20"/>
                <w:lang w:val="en-GB" w:eastAsia="en-GB"/>
              </w:rPr>
            </w:pPr>
            <w:r w:rsidRPr="00D9094C">
              <w:rPr>
                <w:b/>
                <w:i/>
                <w:sz w:val="20"/>
                <w:szCs w:val="20"/>
                <w:lang w:val="en-GB" w:eastAsia="en-GB"/>
              </w:rPr>
              <w:t>Triple therapy vs dual therapy</w:t>
            </w:r>
          </w:p>
        </w:tc>
      </w:tr>
      <w:tr w:rsidR="00413AE0" w:rsidTr="00046C56">
        <w:trPr>
          <w:trHeight w:val="113"/>
        </w:trPr>
        <w:tc>
          <w:tcPr>
            <w:tcW w:w="986" w:type="pct"/>
            <w:tcBorders>
              <w:top w:val="nil"/>
              <w:left w:val="single" w:sz="4" w:space="0" w:color="auto"/>
              <w:bottom w:val="single" w:sz="4" w:space="0" w:color="auto"/>
              <w:right w:val="single" w:sz="4" w:space="0" w:color="auto"/>
            </w:tcBorders>
            <w:vAlign w:val="center"/>
            <w:hideMark/>
          </w:tcPr>
          <w:p w:rsidR="00413AE0" w:rsidRPr="00413AE0" w:rsidRDefault="00413AE0" w:rsidP="006D5F3C">
            <w:pPr>
              <w:spacing w:before="60" w:after="60" w:line="240" w:lineRule="auto"/>
              <w:rPr>
                <w:sz w:val="20"/>
                <w:szCs w:val="20"/>
                <w:lang w:val="en-GB" w:eastAsia="en-GB"/>
              </w:rPr>
            </w:pPr>
            <w:r w:rsidRPr="00413AE0">
              <w:rPr>
                <w:sz w:val="20"/>
                <w:szCs w:val="20"/>
                <w:lang w:val="en-GB" w:eastAsia="en-GB"/>
              </w:rPr>
              <w:t>MET + SU + DPP-4</w:t>
            </w:r>
          </w:p>
        </w:tc>
        <w:tc>
          <w:tcPr>
            <w:tcW w:w="788" w:type="pct"/>
            <w:tcBorders>
              <w:top w:val="nil"/>
              <w:left w:val="nil"/>
              <w:bottom w:val="single" w:sz="4" w:space="0" w:color="auto"/>
              <w:right w:val="single" w:sz="4" w:space="0" w:color="auto"/>
            </w:tcBorders>
            <w:noWrap/>
            <w:vAlign w:val="center"/>
            <w:hideMark/>
          </w:tcPr>
          <w:p w:rsidR="00413AE0" w:rsidRPr="00413AE0" w:rsidRDefault="00413AE0" w:rsidP="006D5F3C">
            <w:pPr>
              <w:spacing w:before="60" w:after="60" w:line="240" w:lineRule="auto"/>
              <w:rPr>
                <w:sz w:val="20"/>
                <w:szCs w:val="20"/>
                <w:lang w:val="en-GB" w:eastAsia="en-GB"/>
              </w:rPr>
            </w:pPr>
            <w:r w:rsidRPr="00413AE0">
              <w:rPr>
                <w:sz w:val="20"/>
                <w:szCs w:val="20"/>
                <w:lang w:val="en-GB" w:eastAsia="en-GB"/>
              </w:rPr>
              <w:t>MET + SU</w:t>
            </w:r>
          </w:p>
        </w:tc>
        <w:tc>
          <w:tcPr>
            <w:tcW w:w="932" w:type="pct"/>
            <w:tcBorders>
              <w:top w:val="nil"/>
              <w:left w:val="nil"/>
              <w:bottom w:val="single" w:sz="4" w:space="0" w:color="auto"/>
              <w:right w:val="single" w:sz="4" w:space="0" w:color="auto"/>
            </w:tcBorders>
            <w:noWrap/>
            <w:vAlign w:val="bottom"/>
            <w:hideMark/>
          </w:tcPr>
          <w:p w:rsidR="00413AE0" w:rsidRPr="00413AE0" w:rsidRDefault="00413AE0" w:rsidP="006D5F3C">
            <w:pPr>
              <w:spacing w:before="60" w:after="60" w:line="240" w:lineRule="auto"/>
              <w:rPr>
                <w:sz w:val="20"/>
                <w:szCs w:val="20"/>
                <w:lang w:val="en-GB" w:eastAsia="en-GB"/>
              </w:rPr>
            </w:pPr>
            <w:r w:rsidRPr="00413AE0">
              <w:rPr>
                <w:sz w:val="20"/>
                <w:szCs w:val="20"/>
                <w:lang w:val="en-GB" w:eastAsia="en-GB"/>
              </w:rPr>
              <w:t>Owens 2011</w:t>
            </w:r>
            <w:r w:rsidR="0093455B" w:rsidRPr="00DF4210">
              <w:rPr>
                <w:sz w:val="20"/>
                <w:szCs w:val="20"/>
                <w:vertAlign w:val="superscript"/>
                <w:lang w:val="en-GB" w:eastAsia="en-GB"/>
              </w:rPr>
              <w:t>72</w:t>
            </w:r>
          </w:p>
          <w:p w:rsidR="00413AE0" w:rsidRPr="00413AE0" w:rsidRDefault="00413AE0" w:rsidP="0093455B">
            <w:pPr>
              <w:spacing w:before="60" w:after="60" w:line="240" w:lineRule="auto"/>
              <w:rPr>
                <w:sz w:val="20"/>
                <w:szCs w:val="20"/>
                <w:lang w:val="en-GB" w:eastAsia="en-GB"/>
              </w:rPr>
            </w:pPr>
            <w:r w:rsidRPr="00413AE0">
              <w:rPr>
                <w:sz w:val="20"/>
                <w:szCs w:val="20"/>
                <w:lang w:val="en-GB" w:eastAsia="en-GB"/>
              </w:rPr>
              <w:t>Hermansen 2007</w:t>
            </w:r>
            <w:r w:rsidR="0093455B" w:rsidRPr="00DF4210">
              <w:rPr>
                <w:sz w:val="20"/>
                <w:szCs w:val="20"/>
                <w:vertAlign w:val="superscript"/>
                <w:lang w:val="en-GB" w:eastAsia="en-GB"/>
              </w:rPr>
              <w:t>71</w:t>
            </w:r>
          </w:p>
        </w:tc>
        <w:tc>
          <w:tcPr>
            <w:tcW w:w="574" w:type="pct"/>
            <w:tcBorders>
              <w:top w:val="nil"/>
              <w:left w:val="nil"/>
              <w:bottom w:val="single" w:sz="4" w:space="0" w:color="auto"/>
              <w:right w:val="single" w:sz="4" w:space="0" w:color="auto"/>
            </w:tcBorders>
          </w:tcPr>
          <w:p w:rsidR="00413AE0" w:rsidRPr="00413AE0" w:rsidRDefault="00413AE0" w:rsidP="006D5F3C">
            <w:pPr>
              <w:spacing w:before="60" w:after="60" w:line="240" w:lineRule="auto"/>
              <w:rPr>
                <w:sz w:val="20"/>
                <w:szCs w:val="20"/>
                <w:lang w:val="en-GB" w:eastAsia="en-GB"/>
              </w:rPr>
            </w:pPr>
            <w:r>
              <w:rPr>
                <w:sz w:val="20"/>
                <w:szCs w:val="20"/>
                <w:lang w:val="en-GB" w:eastAsia="en-GB"/>
              </w:rPr>
              <w:t>24 weeks</w:t>
            </w:r>
          </w:p>
        </w:tc>
        <w:tc>
          <w:tcPr>
            <w:tcW w:w="931" w:type="pct"/>
            <w:tcBorders>
              <w:top w:val="nil"/>
              <w:left w:val="single" w:sz="4" w:space="0" w:color="auto"/>
              <w:bottom w:val="single" w:sz="4" w:space="0" w:color="auto"/>
              <w:right w:val="single" w:sz="4" w:space="0" w:color="auto"/>
            </w:tcBorders>
            <w:vAlign w:val="center"/>
            <w:hideMark/>
          </w:tcPr>
          <w:p w:rsidR="00413AE0" w:rsidRPr="00413AE0" w:rsidRDefault="00413AE0" w:rsidP="006D5F3C">
            <w:pPr>
              <w:spacing w:before="60" w:after="60" w:line="240" w:lineRule="auto"/>
              <w:rPr>
                <w:sz w:val="20"/>
                <w:szCs w:val="20"/>
                <w:lang w:val="en-GB" w:eastAsia="en-GB"/>
              </w:rPr>
            </w:pPr>
            <w:r w:rsidRPr="00413AE0">
              <w:rPr>
                <w:sz w:val="20"/>
                <w:szCs w:val="20"/>
                <w:lang w:val="en-GB" w:eastAsia="en-GB"/>
              </w:rPr>
              <w:t>1.12 (0.92, 1.37)*</w:t>
            </w:r>
          </w:p>
        </w:tc>
        <w:tc>
          <w:tcPr>
            <w:tcW w:w="788" w:type="pct"/>
            <w:tcBorders>
              <w:top w:val="nil"/>
              <w:left w:val="nil"/>
              <w:bottom w:val="single" w:sz="4" w:space="0" w:color="auto"/>
              <w:right w:val="single" w:sz="4" w:space="0" w:color="auto"/>
            </w:tcBorders>
            <w:vAlign w:val="center"/>
            <w:hideMark/>
          </w:tcPr>
          <w:p w:rsidR="00413AE0" w:rsidRPr="00413AE0" w:rsidRDefault="00413AE0" w:rsidP="006D5F3C">
            <w:pPr>
              <w:spacing w:before="60" w:after="60" w:line="240" w:lineRule="auto"/>
              <w:rPr>
                <w:sz w:val="20"/>
                <w:szCs w:val="20"/>
                <w:lang w:val="en-GB" w:eastAsia="en-GB"/>
              </w:rPr>
            </w:pPr>
            <w:r w:rsidRPr="00413AE0">
              <w:rPr>
                <w:sz w:val="20"/>
                <w:szCs w:val="20"/>
                <w:lang w:val="en-GB" w:eastAsia="en-GB"/>
              </w:rPr>
              <w:t>I</w:t>
            </w:r>
            <w:r w:rsidRPr="00413AE0">
              <w:rPr>
                <w:sz w:val="20"/>
                <w:szCs w:val="20"/>
                <w:vertAlign w:val="superscript"/>
                <w:lang w:val="en-GB" w:eastAsia="en-GB"/>
              </w:rPr>
              <w:t>2</w:t>
            </w:r>
            <w:r w:rsidRPr="00413AE0">
              <w:rPr>
                <w:sz w:val="20"/>
                <w:szCs w:val="20"/>
                <w:lang w:val="en-GB" w:eastAsia="en-GB"/>
              </w:rPr>
              <w:t xml:space="preserve"> = 0%</w:t>
            </w:r>
          </w:p>
        </w:tc>
      </w:tr>
      <w:tr w:rsidR="00413AE0" w:rsidTr="00046C56">
        <w:trPr>
          <w:trHeight w:val="113"/>
        </w:trPr>
        <w:tc>
          <w:tcPr>
            <w:tcW w:w="986" w:type="pct"/>
            <w:vMerge w:val="restart"/>
            <w:tcBorders>
              <w:top w:val="nil"/>
              <w:left w:val="single" w:sz="4" w:space="0" w:color="auto"/>
              <w:right w:val="single" w:sz="4" w:space="0" w:color="auto"/>
            </w:tcBorders>
            <w:noWrap/>
            <w:vAlign w:val="center"/>
            <w:hideMark/>
          </w:tcPr>
          <w:p w:rsidR="00413AE0" w:rsidRPr="00413AE0" w:rsidRDefault="00413AE0" w:rsidP="006D5F3C">
            <w:pPr>
              <w:spacing w:before="60" w:after="60" w:line="240" w:lineRule="auto"/>
              <w:rPr>
                <w:sz w:val="20"/>
                <w:szCs w:val="20"/>
                <w:lang w:val="en-GB" w:eastAsia="en-GB"/>
              </w:rPr>
            </w:pPr>
            <w:r w:rsidRPr="00413AE0">
              <w:rPr>
                <w:sz w:val="20"/>
                <w:szCs w:val="20"/>
                <w:lang w:val="en-GB" w:eastAsia="en-GB"/>
              </w:rPr>
              <w:t>MET + TZD + DPP-4</w:t>
            </w:r>
          </w:p>
        </w:tc>
        <w:tc>
          <w:tcPr>
            <w:tcW w:w="788" w:type="pct"/>
            <w:vMerge w:val="restart"/>
            <w:tcBorders>
              <w:top w:val="nil"/>
              <w:left w:val="nil"/>
              <w:right w:val="single" w:sz="4" w:space="0" w:color="auto"/>
            </w:tcBorders>
            <w:vAlign w:val="center"/>
            <w:hideMark/>
          </w:tcPr>
          <w:p w:rsidR="00413AE0" w:rsidRPr="00413AE0" w:rsidRDefault="00413AE0" w:rsidP="006D5F3C">
            <w:pPr>
              <w:spacing w:before="60" w:after="60" w:line="240" w:lineRule="auto"/>
              <w:rPr>
                <w:sz w:val="20"/>
                <w:szCs w:val="20"/>
                <w:lang w:val="en-GB" w:eastAsia="en-GB"/>
              </w:rPr>
            </w:pPr>
            <w:r w:rsidRPr="00413AE0">
              <w:rPr>
                <w:sz w:val="20"/>
                <w:szCs w:val="20"/>
                <w:lang w:val="en-GB" w:eastAsia="en-GB"/>
              </w:rPr>
              <w:t>MET + TZD</w:t>
            </w:r>
          </w:p>
        </w:tc>
        <w:tc>
          <w:tcPr>
            <w:tcW w:w="932" w:type="pct"/>
            <w:tcBorders>
              <w:top w:val="nil"/>
              <w:left w:val="nil"/>
              <w:bottom w:val="single" w:sz="4" w:space="0" w:color="auto"/>
              <w:right w:val="single" w:sz="4" w:space="0" w:color="auto"/>
            </w:tcBorders>
            <w:vAlign w:val="center"/>
            <w:hideMark/>
          </w:tcPr>
          <w:p w:rsidR="00413AE0" w:rsidRPr="00413AE0" w:rsidRDefault="00413AE0" w:rsidP="0093455B">
            <w:pPr>
              <w:spacing w:before="60" w:after="60" w:line="240" w:lineRule="auto"/>
              <w:rPr>
                <w:rFonts w:asciiTheme="majorHAnsi" w:hAnsiTheme="majorHAnsi" w:cs="Times New Roman"/>
                <w:sz w:val="20"/>
                <w:szCs w:val="20"/>
              </w:rPr>
            </w:pPr>
            <w:r w:rsidRPr="00413AE0">
              <w:rPr>
                <w:rStyle w:val="TableText"/>
                <w:rFonts w:asciiTheme="majorHAnsi" w:hAnsiTheme="majorHAnsi"/>
                <w:szCs w:val="20"/>
                <w:lang w:val="en-GB"/>
              </w:rPr>
              <w:t>Bosi 2011</w:t>
            </w:r>
            <w:r w:rsidR="0093455B" w:rsidRPr="00DF4210">
              <w:rPr>
                <w:rStyle w:val="TableText"/>
                <w:rFonts w:asciiTheme="majorHAnsi" w:hAnsiTheme="majorHAnsi"/>
                <w:szCs w:val="20"/>
                <w:vertAlign w:val="superscript"/>
                <w:lang w:val="en-GB"/>
              </w:rPr>
              <w:t>85</w:t>
            </w:r>
          </w:p>
        </w:tc>
        <w:tc>
          <w:tcPr>
            <w:tcW w:w="574" w:type="pct"/>
            <w:tcBorders>
              <w:top w:val="nil"/>
              <w:left w:val="nil"/>
              <w:bottom w:val="single" w:sz="4" w:space="0" w:color="auto"/>
              <w:right w:val="single" w:sz="4" w:space="0" w:color="auto"/>
            </w:tcBorders>
          </w:tcPr>
          <w:p w:rsidR="00413AE0" w:rsidRPr="00413AE0" w:rsidRDefault="00D9094C" w:rsidP="006D5F3C">
            <w:pPr>
              <w:spacing w:before="60" w:after="60" w:line="240" w:lineRule="auto"/>
              <w:rPr>
                <w:sz w:val="20"/>
                <w:szCs w:val="20"/>
                <w:lang w:val="en-GB" w:eastAsia="en-GB"/>
              </w:rPr>
            </w:pPr>
            <w:r>
              <w:rPr>
                <w:sz w:val="20"/>
                <w:szCs w:val="20"/>
                <w:lang w:val="en-GB" w:eastAsia="en-GB"/>
              </w:rPr>
              <w:t>1 year</w:t>
            </w:r>
          </w:p>
        </w:tc>
        <w:tc>
          <w:tcPr>
            <w:tcW w:w="931" w:type="pct"/>
            <w:tcBorders>
              <w:top w:val="nil"/>
              <w:left w:val="single" w:sz="4" w:space="0" w:color="auto"/>
              <w:bottom w:val="single" w:sz="4" w:space="0" w:color="auto"/>
              <w:right w:val="single" w:sz="4" w:space="0" w:color="auto"/>
            </w:tcBorders>
            <w:vAlign w:val="center"/>
            <w:hideMark/>
          </w:tcPr>
          <w:p w:rsidR="00413AE0" w:rsidRPr="00413AE0" w:rsidRDefault="00D9094C" w:rsidP="006D5F3C">
            <w:pPr>
              <w:spacing w:before="60" w:after="60" w:line="240" w:lineRule="auto"/>
              <w:rPr>
                <w:sz w:val="20"/>
                <w:szCs w:val="20"/>
                <w:lang w:val="en-GB" w:eastAsia="en-GB"/>
              </w:rPr>
            </w:pPr>
            <w:r>
              <w:rPr>
                <w:sz w:val="20"/>
                <w:szCs w:val="20"/>
                <w:lang w:val="en-GB" w:eastAsia="en-GB"/>
              </w:rPr>
              <w:t>1.13 (0.97, 1.32)</w:t>
            </w:r>
          </w:p>
        </w:tc>
        <w:tc>
          <w:tcPr>
            <w:tcW w:w="788" w:type="pct"/>
            <w:tcBorders>
              <w:top w:val="nil"/>
              <w:left w:val="nil"/>
              <w:bottom w:val="single" w:sz="4" w:space="0" w:color="auto"/>
              <w:right w:val="single" w:sz="4" w:space="0" w:color="auto"/>
            </w:tcBorders>
            <w:vAlign w:val="center"/>
            <w:hideMark/>
          </w:tcPr>
          <w:p w:rsidR="00413AE0" w:rsidRPr="00413AE0" w:rsidRDefault="00D9094C" w:rsidP="006D5F3C">
            <w:pPr>
              <w:spacing w:before="60" w:after="60" w:line="240" w:lineRule="auto"/>
              <w:rPr>
                <w:sz w:val="20"/>
                <w:szCs w:val="20"/>
                <w:lang w:val="en-GB" w:eastAsia="en-GB"/>
              </w:rPr>
            </w:pPr>
            <w:r>
              <w:rPr>
                <w:sz w:val="20"/>
                <w:szCs w:val="20"/>
                <w:lang w:val="en-GB" w:eastAsia="en-GB"/>
              </w:rPr>
              <w:t>N/A</w:t>
            </w:r>
          </w:p>
        </w:tc>
      </w:tr>
      <w:tr w:rsidR="00413AE0" w:rsidTr="00046C56">
        <w:trPr>
          <w:trHeight w:val="113"/>
        </w:trPr>
        <w:tc>
          <w:tcPr>
            <w:tcW w:w="986" w:type="pct"/>
            <w:vMerge/>
            <w:tcBorders>
              <w:left w:val="single" w:sz="4" w:space="0" w:color="auto"/>
              <w:bottom w:val="single" w:sz="4" w:space="0" w:color="auto"/>
              <w:right w:val="single" w:sz="4" w:space="0" w:color="auto"/>
            </w:tcBorders>
            <w:noWrap/>
            <w:vAlign w:val="center"/>
          </w:tcPr>
          <w:p w:rsidR="00413AE0" w:rsidRPr="00413AE0" w:rsidRDefault="00413AE0" w:rsidP="006D5F3C">
            <w:pPr>
              <w:spacing w:before="60" w:after="60" w:line="240" w:lineRule="auto"/>
              <w:rPr>
                <w:sz w:val="20"/>
                <w:szCs w:val="20"/>
                <w:lang w:val="en-GB" w:eastAsia="en-GB"/>
              </w:rPr>
            </w:pPr>
          </w:p>
        </w:tc>
        <w:tc>
          <w:tcPr>
            <w:tcW w:w="788" w:type="pct"/>
            <w:vMerge/>
            <w:tcBorders>
              <w:left w:val="nil"/>
              <w:bottom w:val="single" w:sz="4" w:space="0" w:color="auto"/>
              <w:right w:val="single" w:sz="4" w:space="0" w:color="auto"/>
            </w:tcBorders>
            <w:vAlign w:val="center"/>
          </w:tcPr>
          <w:p w:rsidR="00413AE0" w:rsidRPr="00413AE0" w:rsidRDefault="00413AE0" w:rsidP="006D5F3C">
            <w:pPr>
              <w:spacing w:before="60" w:after="60" w:line="240" w:lineRule="auto"/>
              <w:rPr>
                <w:sz w:val="20"/>
                <w:szCs w:val="20"/>
                <w:lang w:val="en-GB" w:eastAsia="en-GB"/>
              </w:rPr>
            </w:pPr>
          </w:p>
        </w:tc>
        <w:tc>
          <w:tcPr>
            <w:tcW w:w="932" w:type="pct"/>
            <w:tcBorders>
              <w:top w:val="nil"/>
              <w:left w:val="nil"/>
              <w:bottom w:val="single" w:sz="4" w:space="0" w:color="auto"/>
              <w:right w:val="single" w:sz="4" w:space="0" w:color="auto"/>
            </w:tcBorders>
            <w:vAlign w:val="center"/>
          </w:tcPr>
          <w:p w:rsidR="00413AE0" w:rsidRPr="00413AE0" w:rsidRDefault="00413AE0" w:rsidP="0093455B">
            <w:pPr>
              <w:spacing w:before="60" w:after="60" w:line="240" w:lineRule="auto"/>
              <w:rPr>
                <w:rStyle w:val="TableText"/>
                <w:rFonts w:asciiTheme="majorHAnsi" w:hAnsiTheme="majorHAnsi"/>
                <w:szCs w:val="20"/>
                <w:lang w:val="en-GB"/>
              </w:rPr>
            </w:pPr>
            <w:r w:rsidRPr="00413AE0">
              <w:rPr>
                <w:rStyle w:val="TableText"/>
                <w:rFonts w:asciiTheme="majorHAnsi" w:hAnsiTheme="majorHAnsi"/>
                <w:szCs w:val="20"/>
                <w:lang w:val="en-GB"/>
              </w:rPr>
              <w:t>DeFronzo 2012</w:t>
            </w:r>
            <w:r w:rsidR="0093455B" w:rsidRPr="00DF4210">
              <w:rPr>
                <w:rStyle w:val="TableText"/>
                <w:rFonts w:asciiTheme="majorHAnsi" w:hAnsiTheme="majorHAnsi"/>
                <w:szCs w:val="20"/>
                <w:vertAlign w:val="superscript"/>
                <w:lang w:val="en-GB"/>
              </w:rPr>
              <w:t>86</w:t>
            </w:r>
          </w:p>
        </w:tc>
        <w:tc>
          <w:tcPr>
            <w:tcW w:w="574" w:type="pct"/>
            <w:tcBorders>
              <w:top w:val="nil"/>
              <w:left w:val="nil"/>
              <w:bottom w:val="single" w:sz="4" w:space="0" w:color="auto"/>
              <w:right w:val="single" w:sz="4" w:space="0" w:color="auto"/>
            </w:tcBorders>
          </w:tcPr>
          <w:p w:rsidR="00413AE0" w:rsidRPr="00413AE0" w:rsidRDefault="00D9094C" w:rsidP="006D5F3C">
            <w:pPr>
              <w:spacing w:before="60" w:after="60" w:line="240" w:lineRule="auto"/>
              <w:rPr>
                <w:sz w:val="20"/>
                <w:szCs w:val="20"/>
                <w:lang w:val="en-GB" w:eastAsia="en-GB"/>
              </w:rPr>
            </w:pPr>
            <w:r>
              <w:rPr>
                <w:sz w:val="20"/>
                <w:szCs w:val="20"/>
                <w:lang w:val="en-GB" w:eastAsia="en-GB"/>
              </w:rPr>
              <w:t>26 weeks</w:t>
            </w:r>
          </w:p>
        </w:tc>
        <w:tc>
          <w:tcPr>
            <w:tcW w:w="931" w:type="pct"/>
            <w:tcBorders>
              <w:top w:val="nil"/>
              <w:left w:val="single" w:sz="4" w:space="0" w:color="auto"/>
              <w:bottom w:val="single" w:sz="4" w:space="0" w:color="auto"/>
              <w:right w:val="single" w:sz="4" w:space="0" w:color="auto"/>
            </w:tcBorders>
            <w:vAlign w:val="center"/>
          </w:tcPr>
          <w:p w:rsidR="00413AE0" w:rsidRPr="00413AE0" w:rsidRDefault="00D9094C" w:rsidP="006D5F3C">
            <w:pPr>
              <w:spacing w:before="60" w:after="60" w:line="240" w:lineRule="auto"/>
              <w:rPr>
                <w:sz w:val="20"/>
                <w:szCs w:val="20"/>
                <w:lang w:val="en-GB" w:eastAsia="en-GB"/>
              </w:rPr>
            </w:pPr>
            <w:r>
              <w:rPr>
                <w:sz w:val="20"/>
                <w:szCs w:val="20"/>
                <w:lang w:val="en-GB" w:eastAsia="en-GB"/>
              </w:rPr>
              <w:t>0.92 (0.81, 1.05)</w:t>
            </w:r>
          </w:p>
        </w:tc>
        <w:tc>
          <w:tcPr>
            <w:tcW w:w="788" w:type="pct"/>
            <w:tcBorders>
              <w:top w:val="nil"/>
              <w:left w:val="nil"/>
              <w:bottom w:val="single" w:sz="4" w:space="0" w:color="auto"/>
              <w:right w:val="single" w:sz="4" w:space="0" w:color="auto"/>
            </w:tcBorders>
            <w:vAlign w:val="center"/>
          </w:tcPr>
          <w:p w:rsidR="00413AE0" w:rsidRPr="00413AE0" w:rsidRDefault="00D9094C" w:rsidP="006D5F3C">
            <w:pPr>
              <w:spacing w:before="60" w:after="60" w:line="240" w:lineRule="auto"/>
              <w:rPr>
                <w:sz w:val="20"/>
                <w:szCs w:val="20"/>
                <w:lang w:val="en-GB" w:eastAsia="en-GB"/>
              </w:rPr>
            </w:pPr>
            <w:r>
              <w:rPr>
                <w:sz w:val="20"/>
                <w:szCs w:val="20"/>
                <w:lang w:val="en-GB" w:eastAsia="en-GB"/>
              </w:rPr>
              <w:t>N/A</w:t>
            </w:r>
          </w:p>
        </w:tc>
      </w:tr>
      <w:tr w:rsidR="00413AE0" w:rsidTr="00046C56">
        <w:trPr>
          <w:trHeight w:val="113"/>
        </w:trPr>
        <w:tc>
          <w:tcPr>
            <w:tcW w:w="986" w:type="pct"/>
            <w:tcBorders>
              <w:top w:val="nil"/>
              <w:left w:val="single" w:sz="4" w:space="0" w:color="auto"/>
              <w:bottom w:val="single" w:sz="4" w:space="0" w:color="auto"/>
              <w:right w:val="single" w:sz="4" w:space="0" w:color="auto"/>
            </w:tcBorders>
            <w:noWrap/>
            <w:vAlign w:val="center"/>
            <w:hideMark/>
          </w:tcPr>
          <w:p w:rsidR="00413AE0" w:rsidRPr="00413AE0" w:rsidRDefault="00413AE0" w:rsidP="006D5F3C">
            <w:pPr>
              <w:spacing w:before="60" w:after="60" w:line="240" w:lineRule="auto"/>
              <w:rPr>
                <w:sz w:val="20"/>
                <w:szCs w:val="20"/>
                <w:lang w:val="en-GB" w:eastAsia="en-GB"/>
              </w:rPr>
            </w:pPr>
            <w:r w:rsidRPr="00413AE0">
              <w:rPr>
                <w:sz w:val="20"/>
                <w:szCs w:val="20"/>
                <w:lang w:val="en-GB" w:eastAsia="en-GB"/>
              </w:rPr>
              <w:t>MET + GLP-1 + INS</w:t>
            </w:r>
          </w:p>
        </w:tc>
        <w:tc>
          <w:tcPr>
            <w:tcW w:w="788" w:type="pct"/>
            <w:tcBorders>
              <w:top w:val="nil"/>
              <w:left w:val="nil"/>
              <w:bottom w:val="single" w:sz="4" w:space="0" w:color="auto"/>
              <w:right w:val="single" w:sz="4" w:space="0" w:color="auto"/>
            </w:tcBorders>
            <w:vAlign w:val="center"/>
            <w:hideMark/>
          </w:tcPr>
          <w:p w:rsidR="00413AE0" w:rsidRPr="00413AE0" w:rsidRDefault="00413AE0" w:rsidP="006D5F3C">
            <w:pPr>
              <w:spacing w:before="60" w:after="60" w:line="240" w:lineRule="auto"/>
              <w:rPr>
                <w:sz w:val="20"/>
                <w:szCs w:val="20"/>
                <w:lang w:val="en-GB" w:eastAsia="en-GB"/>
              </w:rPr>
            </w:pPr>
            <w:r w:rsidRPr="00413AE0">
              <w:rPr>
                <w:sz w:val="20"/>
                <w:szCs w:val="20"/>
                <w:lang w:val="en-GB" w:eastAsia="en-GB"/>
              </w:rPr>
              <w:t xml:space="preserve">MET + GLP-1 </w:t>
            </w:r>
          </w:p>
        </w:tc>
        <w:tc>
          <w:tcPr>
            <w:tcW w:w="932" w:type="pct"/>
            <w:tcBorders>
              <w:top w:val="nil"/>
              <w:left w:val="nil"/>
              <w:bottom w:val="single" w:sz="4" w:space="0" w:color="auto"/>
              <w:right w:val="single" w:sz="4" w:space="0" w:color="auto"/>
            </w:tcBorders>
            <w:vAlign w:val="center"/>
            <w:hideMark/>
          </w:tcPr>
          <w:p w:rsidR="00413AE0" w:rsidRPr="00413AE0" w:rsidRDefault="00413AE0" w:rsidP="0093455B">
            <w:pPr>
              <w:spacing w:before="60" w:after="60" w:line="240" w:lineRule="auto"/>
              <w:rPr>
                <w:sz w:val="20"/>
                <w:szCs w:val="20"/>
                <w:lang w:val="en-GB" w:eastAsia="en-GB"/>
              </w:rPr>
            </w:pPr>
            <w:r w:rsidRPr="00413AE0">
              <w:rPr>
                <w:sz w:val="20"/>
                <w:szCs w:val="20"/>
                <w:lang w:val="en-GB" w:eastAsia="en-GB"/>
              </w:rPr>
              <w:t>DeVries 2012</w:t>
            </w:r>
            <w:r w:rsidR="0093455B" w:rsidRPr="00DF4210">
              <w:rPr>
                <w:sz w:val="20"/>
                <w:szCs w:val="20"/>
                <w:vertAlign w:val="superscript"/>
                <w:lang w:val="en-GB" w:eastAsia="en-GB"/>
              </w:rPr>
              <w:t>88</w:t>
            </w:r>
          </w:p>
        </w:tc>
        <w:tc>
          <w:tcPr>
            <w:tcW w:w="574" w:type="pct"/>
            <w:tcBorders>
              <w:top w:val="nil"/>
              <w:left w:val="nil"/>
              <w:bottom w:val="single" w:sz="4" w:space="0" w:color="auto"/>
              <w:right w:val="single" w:sz="4" w:space="0" w:color="auto"/>
            </w:tcBorders>
          </w:tcPr>
          <w:p w:rsidR="00413AE0" w:rsidRPr="00D9094C" w:rsidRDefault="00D9094C" w:rsidP="006D5F3C">
            <w:pPr>
              <w:spacing w:before="60" w:after="60" w:line="240" w:lineRule="auto"/>
              <w:rPr>
                <w:sz w:val="20"/>
                <w:szCs w:val="20"/>
                <w:lang w:val="en-GB" w:eastAsia="en-GB"/>
              </w:rPr>
            </w:pPr>
            <w:r w:rsidRPr="00D9094C">
              <w:rPr>
                <w:sz w:val="20"/>
                <w:szCs w:val="20"/>
                <w:lang w:val="en-GB" w:eastAsia="en-GB"/>
              </w:rPr>
              <w:t>26 weeks</w:t>
            </w:r>
          </w:p>
        </w:tc>
        <w:tc>
          <w:tcPr>
            <w:tcW w:w="931" w:type="pct"/>
            <w:tcBorders>
              <w:top w:val="nil"/>
              <w:left w:val="single" w:sz="4" w:space="0" w:color="auto"/>
              <w:bottom w:val="single" w:sz="4" w:space="0" w:color="auto"/>
              <w:right w:val="single" w:sz="4" w:space="0" w:color="auto"/>
            </w:tcBorders>
            <w:vAlign w:val="center"/>
            <w:hideMark/>
          </w:tcPr>
          <w:p w:rsidR="00413AE0" w:rsidRPr="00413AE0" w:rsidRDefault="00413AE0" w:rsidP="006D5F3C">
            <w:pPr>
              <w:spacing w:before="60" w:after="60" w:line="240" w:lineRule="auto"/>
              <w:rPr>
                <w:b/>
                <w:sz w:val="20"/>
                <w:szCs w:val="20"/>
                <w:lang w:val="en-GB" w:eastAsia="en-GB"/>
              </w:rPr>
            </w:pPr>
            <w:r w:rsidRPr="00413AE0">
              <w:rPr>
                <w:b/>
                <w:sz w:val="20"/>
                <w:szCs w:val="20"/>
                <w:lang w:val="en-GB" w:eastAsia="en-GB"/>
              </w:rPr>
              <w:t>1.50 (1.19, 1.90)</w:t>
            </w:r>
          </w:p>
        </w:tc>
        <w:tc>
          <w:tcPr>
            <w:tcW w:w="788" w:type="pct"/>
            <w:tcBorders>
              <w:top w:val="nil"/>
              <w:left w:val="nil"/>
              <w:bottom w:val="single" w:sz="4" w:space="0" w:color="auto"/>
              <w:right w:val="single" w:sz="4" w:space="0" w:color="auto"/>
            </w:tcBorders>
            <w:vAlign w:val="center"/>
            <w:hideMark/>
          </w:tcPr>
          <w:p w:rsidR="00413AE0" w:rsidRPr="00D9094C" w:rsidRDefault="00413AE0" w:rsidP="006D5F3C">
            <w:pPr>
              <w:spacing w:before="60" w:after="60" w:line="240" w:lineRule="auto"/>
              <w:rPr>
                <w:sz w:val="20"/>
                <w:szCs w:val="20"/>
                <w:lang w:val="en-GB" w:eastAsia="en-GB"/>
              </w:rPr>
            </w:pPr>
            <w:r w:rsidRPr="00D9094C">
              <w:rPr>
                <w:sz w:val="20"/>
                <w:szCs w:val="20"/>
                <w:lang w:val="en-GB" w:eastAsia="en-GB"/>
              </w:rPr>
              <w:t>N/A</w:t>
            </w:r>
          </w:p>
        </w:tc>
      </w:tr>
      <w:tr w:rsidR="00413AE0" w:rsidTr="00413AE0">
        <w:trPr>
          <w:trHeight w:val="113"/>
        </w:trPr>
        <w:tc>
          <w:tcPr>
            <w:tcW w:w="5000" w:type="pct"/>
            <w:gridSpan w:val="6"/>
            <w:tcBorders>
              <w:top w:val="nil"/>
              <w:left w:val="single" w:sz="4" w:space="0" w:color="auto"/>
              <w:bottom w:val="single" w:sz="4" w:space="0" w:color="auto"/>
              <w:right w:val="single" w:sz="4" w:space="0" w:color="auto"/>
            </w:tcBorders>
            <w:shd w:val="clear" w:color="auto" w:fill="D9D9D9" w:themeFill="background1" w:themeFillShade="D9"/>
          </w:tcPr>
          <w:p w:rsidR="00413AE0" w:rsidRPr="00D9094C" w:rsidRDefault="00413AE0" w:rsidP="00B42F08">
            <w:pPr>
              <w:spacing w:before="60" w:after="60" w:line="240" w:lineRule="auto"/>
              <w:rPr>
                <w:b/>
                <w:i/>
                <w:sz w:val="20"/>
                <w:szCs w:val="20"/>
                <w:lang w:val="en-GB" w:eastAsia="en-GB"/>
              </w:rPr>
            </w:pPr>
            <w:r w:rsidRPr="00D9094C">
              <w:rPr>
                <w:b/>
                <w:i/>
                <w:sz w:val="20"/>
                <w:szCs w:val="20"/>
                <w:lang w:val="en-GB" w:eastAsia="en-GB"/>
              </w:rPr>
              <w:t>Triple therapy vs triple therapy</w:t>
            </w:r>
          </w:p>
        </w:tc>
      </w:tr>
      <w:tr w:rsidR="00413AE0" w:rsidTr="00046C56">
        <w:trPr>
          <w:trHeight w:val="113"/>
        </w:trPr>
        <w:tc>
          <w:tcPr>
            <w:tcW w:w="986" w:type="pct"/>
            <w:tcBorders>
              <w:top w:val="nil"/>
              <w:left w:val="single" w:sz="4" w:space="0" w:color="auto"/>
              <w:bottom w:val="nil"/>
              <w:right w:val="single" w:sz="4" w:space="0" w:color="auto"/>
            </w:tcBorders>
            <w:vAlign w:val="center"/>
            <w:hideMark/>
          </w:tcPr>
          <w:p w:rsidR="00413AE0" w:rsidRPr="00413AE0" w:rsidRDefault="00413AE0" w:rsidP="006D5F3C">
            <w:pPr>
              <w:spacing w:before="60" w:after="60" w:line="240" w:lineRule="auto"/>
              <w:rPr>
                <w:sz w:val="20"/>
                <w:szCs w:val="20"/>
                <w:lang w:val="en-GB" w:eastAsia="en-GB"/>
              </w:rPr>
            </w:pPr>
            <w:r w:rsidRPr="00413AE0">
              <w:rPr>
                <w:sz w:val="20"/>
                <w:szCs w:val="20"/>
                <w:lang w:val="en-GB" w:eastAsia="en-GB"/>
              </w:rPr>
              <w:t>MET + SU + GLP-1 </w:t>
            </w:r>
          </w:p>
        </w:tc>
        <w:tc>
          <w:tcPr>
            <w:tcW w:w="788" w:type="pct"/>
            <w:tcBorders>
              <w:top w:val="nil"/>
              <w:left w:val="nil"/>
              <w:bottom w:val="nil"/>
              <w:right w:val="single" w:sz="4" w:space="0" w:color="auto"/>
            </w:tcBorders>
            <w:noWrap/>
            <w:vAlign w:val="center"/>
            <w:hideMark/>
          </w:tcPr>
          <w:p w:rsidR="00413AE0" w:rsidRPr="00413AE0" w:rsidRDefault="00413AE0" w:rsidP="006D5F3C">
            <w:pPr>
              <w:spacing w:before="60" w:after="60" w:line="240" w:lineRule="auto"/>
              <w:rPr>
                <w:sz w:val="20"/>
                <w:szCs w:val="20"/>
                <w:lang w:val="en-GB" w:eastAsia="en-GB"/>
              </w:rPr>
            </w:pPr>
            <w:r w:rsidRPr="00413AE0">
              <w:rPr>
                <w:sz w:val="20"/>
                <w:szCs w:val="20"/>
                <w:lang w:val="en-GB" w:eastAsia="en-GB"/>
              </w:rPr>
              <w:t>MET + SU + INS</w:t>
            </w:r>
          </w:p>
        </w:tc>
        <w:tc>
          <w:tcPr>
            <w:tcW w:w="932" w:type="pct"/>
            <w:tcBorders>
              <w:top w:val="nil"/>
              <w:left w:val="nil"/>
              <w:bottom w:val="nil"/>
              <w:right w:val="single" w:sz="4" w:space="0" w:color="auto"/>
            </w:tcBorders>
            <w:noWrap/>
            <w:vAlign w:val="center"/>
            <w:hideMark/>
          </w:tcPr>
          <w:p w:rsidR="00413AE0" w:rsidRPr="00413AE0" w:rsidRDefault="00413AE0" w:rsidP="0093455B">
            <w:pPr>
              <w:spacing w:before="60" w:after="60" w:line="240" w:lineRule="auto"/>
              <w:rPr>
                <w:rFonts w:asciiTheme="majorHAnsi" w:hAnsiTheme="majorHAnsi"/>
                <w:sz w:val="20"/>
                <w:szCs w:val="20"/>
                <w:lang w:val="en-GB" w:eastAsia="en-GB"/>
              </w:rPr>
            </w:pPr>
            <w:r w:rsidRPr="00413AE0">
              <w:rPr>
                <w:rStyle w:val="TableText"/>
                <w:rFonts w:asciiTheme="majorHAnsi" w:hAnsiTheme="majorHAnsi"/>
                <w:szCs w:val="20"/>
                <w:lang w:val="en-GB"/>
              </w:rPr>
              <w:t>Nauck 2007</w:t>
            </w:r>
            <w:r w:rsidR="0093455B" w:rsidRPr="00DF4210">
              <w:rPr>
                <w:rStyle w:val="TableText"/>
                <w:rFonts w:asciiTheme="majorHAnsi" w:hAnsiTheme="majorHAnsi"/>
                <w:szCs w:val="20"/>
                <w:vertAlign w:val="superscript"/>
                <w:lang w:val="en-GB"/>
              </w:rPr>
              <w:t>83</w:t>
            </w:r>
          </w:p>
        </w:tc>
        <w:tc>
          <w:tcPr>
            <w:tcW w:w="574" w:type="pct"/>
            <w:tcBorders>
              <w:top w:val="nil"/>
              <w:left w:val="nil"/>
              <w:bottom w:val="nil"/>
              <w:right w:val="single" w:sz="4" w:space="0" w:color="auto"/>
            </w:tcBorders>
          </w:tcPr>
          <w:p w:rsidR="00413AE0" w:rsidRPr="00D9094C" w:rsidRDefault="00D9094C" w:rsidP="006D5F3C">
            <w:pPr>
              <w:spacing w:before="60" w:after="60" w:line="240" w:lineRule="auto"/>
              <w:rPr>
                <w:sz w:val="20"/>
                <w:szCs w:val="20"/>
                <w:lang w:val="en-GB" w:eastAsia="en-GB"/>
              </w:rPr>
            </w:pPr>
            <w:r w:rsidRPr="00D9094C">
              <w:rPr>
                <w:sz w:val="20"/>
                <w:szCs w:val="20"/>
                <w:lang w:val="en-GB" w:eastAsia="en-GB"/>
              </w:rPr>
              <w:t>1 year</w:t>
            </w:r>
          </w:p>
        </w:tc>
        <w:tc>
          <w:tcPr>
            <w:tcW w:w="931" w:type="pct"/>
            <w:tcBorders>
              <w:top w:val="nil"/>
              <w:left w:val="single" w:sz="4" w:space="0" w:color="auto"/>
              <w:bottom w:val="nil"/>
              <w:right w:val="single" w:sz="4" w:space="0" w:color="auto"/>
            </w:tcBorders>
            <w:noWrap/>
            <w:vAlign w:val="center"/>
            <w:hideMark/>
          </w:tcPr>
          <w:p w:rsidR="00413AE0" w:rsidRPr="00413AE0" w:rsidRDefault="00413AE0" w:rsidP="006D5F3C">
            <w:pPr>
              <w:spacing w:before="60" w:after="60" w:line="240" w:lineRule="auto"/>
              <w:rPr>
                <w:b/>
                <w:sz w:val="20"/>
                <w:szCs w:val="20"/>
                <w:lang w:val="en-GB" w:eastAsia="en-GB"/>
              </w:rPr>
            </w:pPr>
            <w:r w:rsidRPr="00413AE0">
              <w:rPr>
                <w:b/>
                <w:sz w:val="20"/>
                <w:szCs w:val="20"/>
                <w:lang w:val="en-GB" w:eastAsia="en-GB"/>
              </w:rPr>
              <w:t>2.46 (1.70, 3.55)</w:t>
            </w:r>
          </w:p>
        </w:tc>
        <w:tc>
          <w:tcPr>
            <w:tcW w:w="789" w:type="pct"/>
            <w:tcBorders>
              <w:top w:val="nil"/>
              <w:left w:val="nil"/>
              <w:bottom w:val="nil"/>
              <w:right w:val="single" w:sz="4" w:space="0" w:color="auto"/>
            </w:tcBorders>
            <w:vAlign w:val="center"/>
            <w:hideMark/>
          </w:tcPr>
          <w:p w:rsidR="00413AE0" w:rsidRPr="00D9094C" w:rsidRDefault="00413AE0" w:rsidP="006D5F3C">
            <w:pPr>
              <w:spacing w:before="60" w:after="60" w:line="240" w:lineRule="auto"/>
              <w:rPr>
                <w:sz w:val="20"/>
                <w:szCs w:val="20"/>
                <w:lang w:val="en-GB" w:eastAsia="en-GB"/>
              </w:rPr>
            </w:pPr>
            <w:r w:rsidRPr="00D9094C">
              <w:rPr>
                <w:sz w:val="20"/>
                <w:szCs w:val="20"/>
                <w:lang w:val="en-GB" w:eastAsia="en-GB"/>
              </w:rPr>
              <w:t>N/A</w:t>
            </w:r>
          </w:p>
        </w:tc>
      </w:tr>
      <w:tr w:rsidR="00046C56" w:rsidTr="00046C56">
        <w:trPr>
          <w:trHeight w:val="113"/>
        </w:trPr>
        <w:tc>
          <w:tcPr>
            <w:tcW w:w="986" w:type="pct"/>
            <w:tcBorders>
              <w:top w:val="nil"/>
              <w:left w:val="single" w:sz="4" w:space="0" w:color="auto"/>
              <w:bottom w:val="single" w:sz="4" w:space="0" w:color="auto"/>
              <w:right w:val="single" w:sz="4" w:space="0" w:color="auto"/>
            </w:tcBorders>
            <w:vAlign w:val="center"/>
          </w:tcPr>
          <w:p w:rsidR="00046C56" w:rsidRPr="003A4898" w:rsidRDefault="00046C56" w:rsidP="00046C56">
            <w:pPr>
              <w:spacing w:before="60" w:after="60" w:line="240" w:lineRule="auto"/>
              <w:rPr>
                <w:rFonts w:asciiTheme="majorHAnsi" w:hAnsiTheme="majorHAnsi"/>
                <w:sz w:val="20"/>
                <w:szCs w:val="20"/>
                <w:lang w:val="en-GB" w:eastAsia="en-GB"/>
              </w:rPr>
            </w:pPr>
            <w:r w:rsidRPr="003A4898">
              <w:rPr>
                <w:rFonts w:asciiTheme="majorHAnsi" w:hAnsiTheme="majorHAnsi"/>
                <w:sz w:val="20"/>
                <w:szCs w:val="20"/>
                <w:lang w:val="en-GB" w:eastAsia="en-GB"/>
              </w:rPr>
              <w:t>MET</w:t>
            </w:r>
            <w:r>
              <w:rPr>
                <w:rFonts w:asciiTheme="majorHAnsi" w:hAnsiTheme="majorHAnsi"/>
                <w:sz w:val="20"/>
                <w:szCs w:val="20"/>
                <w:lang w:val="en-GB" w:eastAsia="en-GB"/>
              </w:rPr>
              <w:t xml:space="preserve"> </w:t>
            </w:r>
            <w:r w:rsidRPr="003A4898">
              <w:rPr>
                <w:rFonts w:asciiTheme="majorHAnsi" w:hAnsiTheme="majorHAnsi"/>
                <w:sz w:val="20"/>
                <w:szCs w:val="20"/>
                <w:lang w:val="en-GB" w:eastAsia="en-GB"/>
              </w:rPr>
              <w:t>+SU</w:t>
            </w:r>
            <w:r>
              <w:rPr>
                <w:rFonts w:asciiTheme="majorHAnsi" w:hAnsiTheme="majorHAnsi"/>
                <w:sz w:val="20"/>
                <w:szCs w:val="20"/>
                <w:lang w:val="en-GB" w:eastAsia="en-GB"/>
              </w:rPr>
              <w:t xml:space="preserve"> </w:t>
            </w:r>
            <w:r w:rsidRPr="003A4898">
              <w:rPr>
                <w:rFonts w:asciiTheme="majorHAnsi" w:hAnsiTheme="majorHAnsi"/>
                <w:sz w:val="20"/>
                <w:szCs w:val="20"/>
                <w:lang w:val="en-GB" w:eastAsia="en-GB"/>
              </w:rPr>
              <w:t>+</w:t>
            </w:r>
            <w:r>
              <w:rPr>
                <w:rFonts w:asciiTheme="majorHAnsi" w:hAnsiTheme="majorHAnsi"/>
                <w:sz w:val="20"/>
                <w:szCs w:val="20"/>
                <w:lang w:val="en-GB" w:eastAsia="en-GB"/>
              </w:rPr>
              <w:t xml:space="preserve"> </w:t>
            </w:r>
            <w:r w:rsidRPr="003A4898">
              <w:rPr>
                <w:rFonts w:asciiTheme="majorHAnsi" w:hAnsiTheme="majorHAnsi"/>
                <w:sz w:val="20"/>
                <w:szCs w:val="20"/>
                <w:lang w:val="en-GB" w:eastAsia="en-GB"/>
              </w:rPr>
              <w:t>SGLT2</w:t>
            </w:r>
          </w:p>
        </w:tc>
        <w:tc>
          <w:tcPr>
            <w:tcW w:w="788" w:type="pct"/>
            <w:tcBorders>
              <w:top w:val="nil"/>
              <w:left w:val="nil"/>
              <w:bottom w:val="single" w:sz="4" w:space="0" w:color="auto"/>
              <w:right w:val="single" w:sz="4" w:space="0" w:color="auto"/>
            </w:tcBorders>
            <w:noWrap/>
            <w:vAlign w:val="center"/>
          </w:tcPr>
          <w:p w:rsidR="00046C56" w:rsidRPr="003A4898" w:rsidRDefault="00046C56" w:rsidP="00046C56">
            <w:pPr>
              <w:spacing w:before="60" w:after="60" w:line="240" w:lineRule="auto"/>
              <w:rPr>
                <w:rFonts w:asciiTheme="majorHAnsi" w:hAnsiTheme="majorHAnsi"/>
                <w:sz w:val="20"/>
                <w:szCs w:val="20"/>
                <w:lang w:val="en-GB" w:eastAsia="en-GB"/>
              </w:rPr>
            </w:pPr>
            <w:r w:rsidRPr="003A4898">
              <w:rPr>
                <w:rFonts w:asciiTheme="majorHAnsi" w:hAnsiTheme="majorHAnsi"/>
                <w:sz w:val="20"/>
                <w:szCs w:val="20"/>
                <w:lang w:val="en-GB" w:eastAsia="en-GB"/>
              </w:rPr>
              <w:t xml:space="preserve">MET + </w:t>
            </w:r>
            <w:r>
              <w:rPr>
                <w:rFonts w:asciiTheme="majorHAnsi" w:hAnsiTheme="majorHAnsi"/>
                <w:sz w:val="20"/>
                <w:szCs w:val="20"/>
                <w:lang w:val="en-GB" w:eastAsia="en-GB"/>
              </w:rPr>
              <w:t>SU</w:t>
            </w:r>
            <w:r w:rsidRPr="003A4898">
              <w:rPr>
                <w:rFonts w:asciiTheme="majorHAnsi" w:hAnsiTheme="majorHAnsi"/>
                <w:sz w:val="20"/>
                <w:szCs w:val="20"/>
                <w:lang w:val="en-GB" w:eastAsia="en-GB"/>
              </w:rPr>
              <w:t xml:space="preserve"> + DPP-4</w:t>
            </w:r>
          </w:p>
        </w:tc>
        <w:tc>
          <w:tcPr>
            <w:tcW w:w="932" w:type="pct"/>
            <w:tcBorders>
              <w:top w:val="nil"/>
              <w:left w:val="nil"/>
              <w:bottom w:val="single" w:sz="4" w:space="0" w:color="auto"/>
              <w:right w:val="single" w:sz="4" w:space="0" w:color="auto"/>
            </w:tcBorders>
            <w:noWrap/>
            <w:vAlign w:val="center"/>
          </w:tcPr>
          <w:p w:rsidR="00046C56" w:rsidRPr="003A4898" w:rsidRDefault="00046C56" w:rsidP="0093455B">
            <w:pPr>
              <w:spacing w:before="60" w:after="60" w:line="240" w:lineRule="auto"/>
              <w:rPr>
                <w:rStyle w:val="TableText"/>
                <w:rFonts w:asciiTheme="majorHAnsi" w:hAnsiTheme="majorHAnsi"/>
                <w:szCs w:val="20"/>
                <w:lang w:val="en-GB"/>
              </w:rPr>
            </w:pPr>
            <w:r w:rsidRPr="003A4898">
              <w:rPr>
                <w:rStyle w:val="TableText"/>
                <w:rFonts w:asciiTheme="majorHAnsi" w:hAnsiTheme="majorHAnsi"/>
                <w:szCs w:val="20"/>
                <w:lang w:val="en-GB"/>
              </w:rPr>
              <w:t>Schernthaner 2013</w:t>
            </w:r>
            <w:r w:rsidR="0093455B" w:rsidRPr="00DF4210">
              <w:rPr>
                <w:rStyle w:val="TableText"/>
                <w:rFonts w:asciiTheme="majorHAnsi" w:hAnsiTheme="majorHAnsi"/>
                <w:szCs w:val="20"/>
                <w:vertAlign w:val="superscript"/>
                <w:lang w:val="en-GB"/>
              </w:rPr>
              <w:t>84</w:t>
            </w:r>
          </w:p>
        </w:tc>
        <w:tc>
          <w:tcPr>
            <w:tcW w:w="574" w:type="pct"/>
            <w:tcBorders>
              <w:top w:val="nil"/>
              <w:left w:val="nil"/>
              <w:bottom w:val="single" w:sz="4" w:space="0" w:color="auto"/>
              <w:right w:val="single" w:sz="4" w:space="0" w:color="auto"/>
            </w:tcBorders>
          </w:tcPr>
          <w:p w:rsidR="00046C56" w:rsidRPr="003A4898" w:rsidRDefault="00046C56" w:rsidP="00046C56">
            <w:pPr>
              <w:spacing w:before="60" w:after="60" w:line="240" w:lineRule="auto"/>
              <w:rPr>
                <w:rFonts w:asciiTheme="majorHAnsi" w:hAnsiTheme="majorHAnsi"/>
                <w:sz w:val="20"/>
                <w:szCs w:val="20"/>
                <w:lang w:val="en-GB" w:eastAsia="en-GB"/>
              </w:rPr>
            </w:pPr>
            <w:r w:rsidRPr="003A4898">
              <w:rPr>
                <w:rFonts w:asciiTheme="majorHAnsi" w:hAnsiTheme="majorHAnsi"/>
                <w:sz w:val="20"/>
                <w:szCs w:val="20"/>
                <w:lang w:val="en-GB" w:eastAsia="en-GB"/>
              </w:rPr>
              <w:t>1 year</w:t>
            </w:r>
          </w:p>
        </w:tc>
        <w:tc>
          <w:tcPr>
            <w:tcW w:w="931" w:type="pct"/>
            <w:tcBorders>
              <w:top w:val="nil"/>
              <w:left w:val="single" w:sz="4" w:space="0" w:color="auto"/>
              <w:bottom w:val="single" w:sz="4" w:space="0" w:color="auto"/>
              <w:right w:val="single" w:sz="4" w:space="0" w:color="auto"/>
            </w:tcBorders>
            <w:noWrap/>
            <w:vAlign w:val="center"/>
          </w:tcPr>
          <w:p w:rsidR="00046C56" w:rsidRPr="003A4898" w:rsidRDefault="00046C56" w:rsidP="00046C56">
            <w:pPr>
              <w:spacing w:before="60" w:after="60" w:line="240" w:lineRule="auto"/>
              <w:rPr>
                <w:rFonts w:asciiTheme="majorHAnsi" w:hAnsiTheme="majorHAnsi"/>
                <w:b/>
                <w:sz w:val="20"/>
                <w:szCs w:val="20"/>
                <w:lang w:val="en-GB" w:eastAsia="en-GB"/>
              </w:rPr>
            </w:pPr>
            <w:r w:rsidRPr="003A4898">
              <w:rPr>
                <w:rFonts w:asciiTheme="majorHAnsi" w:hAnsiTheme="majorHAnsi"/>
                <w:sz w:val="20"/>
                <w:szCs w:val="20"/>
                <w:lang w:val="en-GB" w:eastAsia="en-GB"/>
              </w:rPr>
              <w:t>0.99 (0.70, 1.39)</w:t>
            </w:r>
          </w:p>
        </w:tc>
        <w:tc>
          <w:tcPr>
            <w:tcW w:w="789" w:type="pct"/>
            <w:tcBorders>
              <w:top w:val="nil"/>
              <w:left w:val="nil"/>
              <w:bottom w:val="single" w:sz="4" w:space="0" w:color="auto"/>
              <w:right w:val="single" w:sz="4" w:space="0" w:color="auto"/>
            </w:tcBorders>
            <w:vAlign w:val="center"/>
          </w:tcPr>
          <w:p w:rsidR="00046C56" w:rsidRPr="003A4898" w:rsidRDefault="00046C56" w:rsidP="00046C56">
            <w:pPr>
              <w:spacing w:before="60" w:after="60" w:line="240" w:lineRule="auto"/>
              <w:rPr>
                <w:rFonts w:asciiTheme="majorHAnsi" w:hAnsiTheme="majorHAnsi"/>
                <w:sz w:val="20"/>
                <w:szCs w:val="20"/>
                <w:lang w:val="en-GB" w:eastAsia="en-GB"/>
              </w:rPr>
            </w:pPr>
            <w:r w:rsidRPr="003A4898">
              <w:rPr>
                <w:rFonts w:asciiTheme="majorHAnsi" w:hAnsiTheme="majorHAnsi"/>
                <w:sz w:val="20"/>
                <w:szCs w:val="20"/>
                <w:lang w:val="en-GB" w:eastAsia="en-GB"/>
              </w:rPr>
              <w:t>N/A</w:t>
            </w:r>
          </w:p>
        </w:tc>
      </w:tr>
    </w:tbl>
    <w:p w:rsidR="00E15734" w:rsidRDefault="00E15734" w:rsidP="00E15734">
      <w:pPr>
        <w:pStyle w:val="Notes"/>
      </w:pPr>
      <w:r w:rsidRPr="00E15734">
        <w:t xml:space="preserve">Statistically significant difference are marked in </w:t>
      </w:r>
      <w:r w:rsidRPr="00E15734">
        <w:rPr>
          <w:b/>
        </w:rPr>
        <w:t>bold</w:t>
      </w:r>
      <w:r w:rsidRPr="00E15734">
        <w:t>.</w:t>
      </w:r>
    </w:p>
    <w:p w:rsidR="006D5F3C" w:rsidRDefault="00E15734" w:rsidP="006D5F3C">
      <w:pPr>
        <w:pStyle w:val="Notes"/>
      </w:pPr>
      <w:r>
        <w:lastRenderedPageBreak/>
        <w:t xml:space="preserve">Abbreviations: </w:t>
      </w:r>
      <w:r w:rsidR="00D27008">
        <w:t>CI = confidence interval; DPP-4 = DPP-4</w:t>
      </w:r>
      <w:r w:rsidR="006D5F3C">
        <w:t xml:space="preserve"> inhibitors</w:t>
      </w:r>
      <w:r w:rsidR="00D27008">
        <w:t xml:space="preserve">; </w:t>
      </w:r>
      <w:r w:rsidR="006D5F3C">
        <w:t>GLP-1-RA</w:t>
      </w:r>
      <w:r w:rsidR="00D27008">
        <w:t>= GLP-1 receptor agonist; INS = insulin; MET = metformin; OR = odds ratio</w:t>
      </w:r>
      <w:r w:rsidR="00046C56">
        <w:t xml:space="preserve">; </w:t>
      </w:r>
      <w:r w:rsidR="00046C56" w:rsidRPr="00B46F97">
        <w:rPr>
          <w:rFonts w:asciiTheme="majorHAnsi" w:hAnsiTheme="majorHAnsi"/>
        </w:rPr>
        <w:t xml:space="preserve">SGLT2 = </w:t>
      </w:r>
      <w:r w:rsidR="00046C56">
        <w:rPr>
          <w:rStyle w:val="TableText"/>
          <w:rFonts w:asciiTheme="majorHAnsi" w:hAnsiTheme="majorHAnsi"/>
        </w:rPr>
        <w:t>SGLT</w:t>
      </w:r>
      <w:r w:rsidR="00046C56" w:rsidRPr="00B46F97">
        <w:rPr>
          <w:rStyle w:val="TableText"/>
          <w:rFonts w:asciiTheme="majorHAnsi" w:hAnsiTheme="majorHAnsi"/>
        </w:rPr>
        <w:t>2 inhibitor</w:t>
      </w:r>
      <w:r w:rsidR="00046C56">
        <w:t xml:space="preserve">; </w:t>
      </w:r>
      <w:r w:rsidR="00D27008">
        <w:t>SU = sulfonylurea;</w:t>
      </w:r>
      <w:r w:rsidR="00046C56">
        <w:t xml:space="preserve"> amd</w:t>
      </w:r>
      <w:r w:rsidR="00D27008">
        <w:t xml:space="preserve"> N/A = not applicable. </w:t>
      </w:r>
    </w:p>
    <w:p w:rsidR="00D27008" w:rsidRDefault="00E15734" w:rsidP="006D5F3C">
      <w:pPr>
        <w:pStyle w:val="Notes"/>
        <w:rPr>
          <w:rFonts w:ascii="Arial Narrow" w:hAnsi="Arial Narrow" w:cs="Arial"/>
          <w:sz w:val="18"/>
          <w:szCs w:val="18"/>
          <w:lang w:eastAsia="en-US"/>
        </w:rPr>
      </w:pPr>
      <w:r>
        <w:t xml:space="preserve">Notes: </w:t>
      </w:r>
      <w:r w:rsidR="00D27008">
        <w:t>* Based on meta-analysis of two trials.</w:t>
      </w:r>
    </w:p>
    <w:p w:rsidR="00D27008" w:rsidRDefault="00D27008" w:rsidP="00D27008"/>
    <w:p w:rsidR="007156EB" w:rsidRDefault="00D27008" w:rsidP="00D27008">
      <w:r>
        <w:t>Only two comparisons showed significan</w:t>
      </w:r>
      <w:r w:rsidR="00A36FA4">
        <w:t>t differences in adverse events:</w:t>
      </w:r>
      <w:r>
        <w:t xml:space="preserve"> </w:t>
      </w:r>
    </w:p>
    <w:p w:rsidR="007156EB" w:rsidRDefault="007156EB" w:rsidP="007156EB">
      <w:pPr>
        <w:pStyle w:val="ListParagraph"/>
        <w:numPr>
          <w:ilvl w:val="0"/>
          <w:numId w:val="63"/>
        </w:numPr>
      </w:pPr>
      <w:r>
        <w:t>M</w:t>
      </w:r>
      <w:r w:rsidR="00D27008">
        <w:t>etformin + sulfonylurea + GLP-1 receptor agonist had significantly higher adverse events than metformin + sulfonylurea + insulin</w:t>
      </w:r>
      <w:r>
        <w:t>.</w:t>
      </w:r>
    </w:p>
    <w:p w:rsidR="00D27008" w:rsidRDefault="007156EB" w:rsidP="007156EB">
      <w:pPr>
        <w:pStyle w:val="ListParagraph"/>
        <w:numPr>
          <w:ilvl w:val="0"/>
          <w:numId w:val="63"/>
        </w:numPr>
      </w:pPr>
      <w:r>
        <w:t>I</w:t>
      </w:r>
      <w:r w:rsidR="00D27008">
        <w:t xml:space="preserve">nsulin </w:t>
      </w:r>
      <w:r>
        <w:t xml:space="preserve">+ metformin + GLP-1 receptor agonist </w:t>
      </w:r>
      <w:r w:rsidR="00D27008">
        <w:t>treatment resulted in significantly higher adverse eve</w:t>
      </w:r>
      <w:r w:rsidR="00F971B5">
        <w:t>nts compared to metformin +</w:t>
      </w:r>
      <w:r w:rsidR="00D27008">
        <w:t xml:space="preserve"> GLP-1 receptor agonist dual therapy.</w:t>
      </w:r>
    </w:p>
    <w:p w:rsidR="00F971B5" w:rsidRDefault="00F971B5" w:rsidP="00EF075B">
      <w:pPr>
        <w:pStyle w:val="Heading5"/>
        <w:keepNext/>
        <w:keepLines/>
      </w:pPr>
      <w:r>
        <w:t>Hypoglycaemia</w:t>
      </w:r>
    </w:p>
    <w:p w:rsidR="00F971B5" w:rsidRDefault="00EF075B" w:rsidP="00EF075B">
      <w:pPr>
        <w:keepNext/>
        <w:keepLines/>
      </w:pPr>
      <w:r>
        <w:t>Seven</w:t>
      </w:r>
      <w:r w:rsidR="00F971B5">
        <w:t xml:space="preserve"> RCTs were identified for inclusion in the network analysis fo</w:t>
      </w:r>
      <w:r w:rsidR="000A53AC">
        <w:t>r hypoglycaemia</w:t>
      </w:r>
      <w:r w:rsidR="00046C56">
        <w:t xml:space="preserve"> at six months</w:t>
      </w:r>
      <w:r w:rsidR="000A53AC">
        <w:t>.</w:t>
      </w:r>
      <w:r w:rsidR="0093455B" w:rsidRPr="00DF4210">
        <w:rPr>
          <w:vertAlign w:val="superscript"/>
        </w:rPr>
        <w:t>70</w:t>
      </w:r>
      <w:r w:rsidR="00DF4210" w:rsidRPr="00DF4210">
        <w:rPr>
          <w:vertAlign w:val="superscript"/>
        </w:rPr>
        <w:t xml:space="preserve">; </w:t>
      </w:r>
      <w:r w:rsidR="0093455B" w:rsidRPr="00DF4210">
        <w:rPr>
          <w:vertAlign w:val="superscript"/>
        </w:rPr>
        <w:t>71</w:t>
      </w:r>
      <w:r w:rsidR="00DF4210" w:rsidRPr="00DF4210">
        <w:rPr>
          <w:vertAlign w:val="superscript"/>
        </w:rPr>
        <w:t xml:space="preserve">; </w:t>
      </w:r>
      <w:r w:rsidR="0093455B" w:rsidRPr="00DF4210">
        <w:rPr>
          <w:vertAlign w:val="superscript"/>
        </w:rPr>
        <w:t>72</w:t>
      </w:r>
      <w:r w:rsidR="00DF4210" w:rsidRPr="00DF4210">
        <w:rPr>
          <w:vertAlign w:val="superscript"/>
        </w:rPr>
        <w:t xml:space="preserve">; </w:t>
      </w:r>
      <w:r w:rsidR="0093455B" w:rsidRPr="00DF4210">
        <w:rPr>
          <w:vertAlign w:val="superscript"/>
        </w:rPr>
        <w:t>73</w:t>
      </w:r>
      <w:r w:rsidR="00DF4210" w:rsidRPr="00DF4210">
        <w:rPr>
          <w:vertAlign w:val="superscript"/>
        </w:rPr>
        <w:t xml:space="preserve">; </w:t>
      </w:r>
      <w:r w:rsidR="0093455B" w:rsidRPr="00DF4210">
        <w:rPr>
          <w:vertAlign w:val="superscript"/>
        </w:rPr>
        <w:t>74</w:t>
      </w:r>
      <w:r w:rsidR="00DF4210" w:rsidRPr="00DF4210">
        <w:rPr>
          <w:vertAlign w:val="superscript"/>
        </w:rPr>
        <w:t xml:space="preserve">; </w:t>
      </w:r>
      <w:r w:rsidR="0093455B" w:rsidRPr="00DF4210">
        <w:rPr>
          <w:vertAlign w:val="superscript"/>
        </w:rPr>
        <w:t>75</w:t>
      </w:r>
      <w:r w:rsidR="00DF4210" w:rsidRPr="00DF4210">
        <w:rPr>
          <w:vertAlign w:val="superscript"/>
        </w:rPr>
        <w:t xml:space="preserve">; </w:t>
      </w:r>
      <w:r w:rsidR="0093455B" w:rsidRPr="00DF4210">
        <w:rPr>
          <w:vertAlign w:val="superscript"/>
        </w:rPr>
        <w:t>76</w:t>
      </w:r>
      <w:r w:rsidR="000A53AC">
        <w:t xml:space="preserve"> </w:t>
      </w:r>
      <w:r w:rsidR="00F971B5">
        <w:t xml:space="preserve">Figure 6.6 and 6.7 present forest plots for the network analysis of hypoglycaemia for triple therapy </w:t>
      </w:r>
      <w:r w:rsidR="000A53AC">
        <w:t>show</w:t>
      </w:r>
      <w:r w:rsidR="00F971B5">
        <w:t>ing the mean difference between the treatment comparisons.</w:t>
      </w:r>
    </w:p>
    <w:p w:rsidR="00A803A6" w:rsidRDefault="00A803A6" w:rsidP="00A803A6">
      <w:bookmarkStart w:id="296" w:name="_Ref390849021"/>
    </w:p>
    <w:p w:rsidR="00F971B5" w:rsidRPr="00F971B5" w:rsidRDefault="00F971B5" w:rsidP="00985960">
      <w:pPr>
        <w:keepNext/>
        <w:keepLines/>
        <w:rPr>
          <w:b/>
        </w:rPr>
      </w:pPr>
      <w:r w:rsidRPr="00F971B5">
        <w:rPr>
          <w:b/>
        </w:rPr>
        <w:t xml:space="preserve">Figure </w:t>
      </w:r>
      <w:bookmarkEnd w:id="296"/>
      <w:r w:rsidRPr="00F971B5">
        <w:rPr>
          <w:b/>
        </w:rPr>
        <w:t>6</w:t>
      </w:r>
      <w:r w:rsidR="00DC5A34">
        <w:rPr>
          <w:b/>
        </w:rPr>
        <w:t>.6. Forest plot of hypoglycaemic</w:t>
      </w:r>
      <w:r w:rsidRPr="00F971B5">
        <w:rPr>
          <w:b/>
        </w:rPr>
        <w:t xml:space="preserve"> events (OR; 95% CI) for different triple therapy combinations compared to metformin + sulfonylurea – network analysis.</w:t>
      </w:r>
    </w:p>
    <w:p w:rsidR="00F971B5" w:rsidRDefault="00046C56" w:rsidP="00985960">
      <w:pPr>
        <w:keepNext/>
        <w:keepLines/>
      </w:pPr>
      <w:r>
        <w:rPr>
          <w:lang w:eastAsia="en-AU"/>
        </w:rPr>
        <w:drawing>
          <wp:inline distT="0" distB="0" distL="0" distR="0" wp14:anchorId="3C5BC751" wp14:editId="27FA469E">
            <wp:extent cx="4766614" cy="203981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4767052" cy="2040003"/>
                    </a:xfrm>
                    <a:prstGeom prst="rect">
                      <a:avLst/>
                    </a:prstGeom>
                  </pic:spPr>
                </pic:pic>
              </a:graphicData>
            </a:graphic>
          </wp:inline>
        </w:drawing>
      </w:r>
    </w:p>
    <w:p w:rsidR="00E15734" w:rsidRDefault="00E15734" w:rsidP="00E15734">
      <w:pPr>
        <w:pStyle w:val="Notes"/>
      </w:pPr>
      <w:r w:rsidRPr="00E15734">
        <w:t xml:space="preserve">Statistically significant difference are marked in </w:t>
      </w:r>
      <w:r w:rsidRPr="00E15734">
        <w:rPr>
          <w:b/>
        </w:rPr>
        <w:t>bold</w:t>
      </w:r>
      <w:r w:rsidRPr="00E15734">
        <w:t>.</w:t>
      </w:r>
    </w:p>
    <w:p w:rsidR="00F971B5" w:rsidRDefault="00E15734" w:rsidP="000A53AC">
      <w:pPr>
        <w:pStyle w:val="Notes"/>
      </w:pPr>
      <w:r>
        <w:t xml:space="preserve">Abbreviations: </w:t>
      </w:r>
      <w:r w:rsidR="00F971B5">
        <w:t>OR = odds ratio; CI = confidence interval; DPP-4-i = DPP-4 inhibitor; GLP-1 = GLP-1 receptor agonist; INS = insulin; MET = metformin; and SU = sulfonylurea.</w:t>
      </w:r>
    </w:p>
    <w:p w:rsidR="00E63155" w:rsidRDefault="00E63155" w:rsidP="00985960">
      <w:pPr>
        <w:keepNext/>
        <w:keepLines/>
        <w:rPr>
          <w:b/>
        </w:rPr>
      </w:pPr>
      <w:bookmarkStart w:id="297" w:name="_Ref390849028"/>
    </w:p>
    <w:p w:rsidR="00F971B5" w:rsidRPr="00DC5A34" w:rsidRDefault="00F971B5" w:rsidP="00985960">
      <w:pPr>
        <w:keepNext/>
        <w:keepLines/>
        <w:rPr>
          <w:b/>
        </w:rPr>
      </w:pPr>
      <w:r w:rsidRPr="00DC5A34">
        <w:rPr>
          <w:b/>
        </w:rPr>
        <w:t xml:space="preserve">Figure </w:t>
      </w:r>
      <w:bookmarkEnd w:id="297"/>
      <w:r w:rsidR="00DC5A34">
        <w:rPr>
          <w:b/>
        </w:rPr>
        <w:t>6.7.</w:t>
      </w:r>
      <w:r w:rsidRPr="00DC5A34">
        <w:rPr>
          <w:b/>
        </w:rPr>
        <w:t xml:space="preserve"> Forest plot of hypoglycaemic events (OR; 95%CI) </w:t>
      </w:r>
      <w:r w:rsidR="00690442">
        <w:rPr>
          <w:b/>
        </w:rPr>
        <w:t xml:space="preserve">at six months </w:t>
      </w:r>
      <w:r w:rsidRPr="00DC5A34">
        <w:rPr>
          <w:b/>
        </w:rPr>
        <w:t>for different triple therapy combinations compared to each other – network analysis.</w:t>
      </w:r>
    </w:p>
    <w:p w:rsidR="00985960" w:rsidRDefault="00046C56" w:rsidP="00985960">
      <w:pPr>
        <w:pStyle w:val="Notes"/>
        <w:keepNext/>
        <w:keepLines/>
      </w:pPr>
      <w:r>
        <w:rPr>
          <w:lang w:val="en-AU"/>
        </w:rPr>
        <w:drawing>
          <wp:inline distT="0" distB="0" distL="0" distR="0" wp14:anchorId="4773ED38" wp14:editId="456064AB">
            <wp:extent cx="5210908" cy="3060205"/>
            <wp:effectExtent l="0" t="0" r="889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214314" cy="3062205"/>
                    </a:xfrm>
                    <a:prstGeom prst="rect">
                      <a:avLst/>
                    </a:prstGeom>
                  </pic:spPr>
                </pic:pic>
              </a:graphicData>
            </a:graphic>
          </wp:inline>
        </w:drawing>
      </w:r>
    </w:p>
    <w:p w:rsidR="00E15734" w:rsidRDefault="00E15734" w:rsidP="00E15734">
      <w:pPr>
        <w:pStyle w:val="Notes"/>
      </w:pPr>
      <w:r w:rsidRPr="00E15734">
        <w:t xml:space="preserve">Statistically significant difference are marked in </w:t>
      </w:r>
      <w:r w:rsidRPr="00E15734">
        <w:rPr>
          <w:b/>
        </w:rPr>
        <w:t>bold</w:t>
      </w:r>
      <w:r w:rsidRPr="00E15734">
        <w:t>.</w:t>
      </w:r>
    </w:p>
    <w:p w:rsidR="00F971B5" w:rsidRDefault="00E15734" w:rsidP="00985960">
      <w:pPr>
        <w:pStyle w:val="Notes"/>
        <w:keepNext/>
        <w:keepLines/>
      </w:pPr>
      <w:r>
        <w:t xml:space="preserve">Abbreviations: </w:t>
      </w:r>
      <w:r w:rsidR="00F971B5">
        <w:t xml:space="preserve">OR = odds ratio; CI = confidence interval; DPP-4-i = </w:t>
      </w:r>
      <w:r w:rsidR="00985960">
        <w:t>DPP</w:t>
      </w:r>
      <w:r w:rsidR="00F971B5">
        <w:t xml:space="preserve">-4 inhibitor; GLP-1 = </w:t>
      </w:r>
      <w:r w:rsidR="00985960">
        <w:t>GLP</w:t>
      </w:r>
      <w:r w:rsidR="00F971B5">
        <w:t xml:space="preserve">-1 receptor agonist; INS = insulin; MET = metformin; </w:t>
      </w:r>
      <w:r w:rsidR="00985960">
        <w:t>and SU = sulfonylurea</w:t>
      </w:r>
      <w:r w:rsidR="00F971B5">
        <w:t>.</w:t>
      </w:r>
    </w:p>
    <w:p w:rsidR="00F971B5" w:rsidRDefault="00F971B5" w:rsidP="00F971B5"/>
    <w:p w:rsidR="00F971B5" w:rsidRDefault="00F971B5" w:rsidP="00F971B5">
      <w:r>
        <w:t xml:space="preserve">TZD </w:t>
      </w:r>
      <w:r w:rsidR="008C3263">
        <w:t>or</w:t>
      </w:r>
      <w:r w:rsidR="000A53AC">
        <w:t xml:space="preserve"> </w:t>
      </w:r>
      <w:r>
        <w:t>insulin</w:t>
      </w:r>
      <w:r w:rsidR="000A53AC">
        <w:t xml:space="preserve"> in combination with metformin + sulfonylurea </w:t>
      </w:r>
      <w:r>
        <w:t xml:space="preserve"> increased the odds of hypoglycaemia when compared to metformin + sulfonylurea</w:t>
      </w:r>
      <w:r w:rsidR="000A53AC">
        <w:t xml:space="preserve"> alone</w:t>
      </w:r>
      <w:r>
        <w:t xml:space="preserve">. Metformin + sulfonylurea + GLP-1 receptor agonist reduced the odds of hypoglycaemia compared to metformin + sulfonylurea + insulin. </w:t>
      </w:r>
    </w:p>
    <w:p w:rsidR="000A53AC" w:rsidRDefault="007156EB" w:rsidP="000A53AC">
      <w:pPr>
        <w:pStyle w:val="Heading4"/>
      </w:pPr>
      <w:r>
        <w:t>6.4.3.4  Other outcome m</w:t>
      </w:r>
      <w:r w:rsidR="000A53AC">
        <w:t>easures</w:t>
      </w:r>
    </w:p>
    <w:p w:rsidR="000A53AC" w:rsidRDefault="000A53AC" w:rsidP="000A53AC">
      <w:r w:rsidRPr="006F47B7">
        <w:t>Reporting of mortality</w:t>
      </w:r>
      <w:r>
        <w:t>, c</w:t>
      </w:r>
      <w:r w:rsidRPr="006F47B7">
        <w:t>ardiovascular and microvascular</w:t>
      </w:r>
      <w:r>
        <w:t xml:space="preserve"> disease, severe hypoglycaemia, urinary tract infections and pancreatitis</w:t>
      </w:r>
      <w:r w:rsidRPr="006F47B7">
        <w:t xml:space="preserve"> varied throughout the trials and it was </w:t>
      </w:r>
      <w:r>
        <w:t xml:space="preserve">often not possible </w:t>
      </w:r>
      <w:r w:rsidRPr="006F47B7">
        <w:t xml:space="preserve">to ascertain if </w:t>
      </w:r>
      <w:r>
        <w:t>the outcome did not occur or was not reported</w:t>
      </w:r>
      <w:r w:rsidRPr="006F47B7">
        <w:t xml:space="preserve">. </w:t>
      </w:r>
      <w:r w:rsidR="003D0AD6">
        <w:t xml:space="preserve">Definitions for hypoglycaemia, serious hypoglycaemia and serious adverse events were also different between trials. </w:t>
      </w:r>
      <w:r w:rsidRPr="006F47B7">
        <w:t xml:space="preserve">For those trials that did report </w:t>
      </w:r>
      <w:r>
        <w:t>these outcomes</w:t>
      </w:r>
      <w:r w:rsidRPr="006F47B7">
        <w:t>, event rates were too low to provide meaningful an</w:t>
      </w:r>
      <w:r>
        <w:t>alyse</w:t>
      </w:r>
      <w:r w:rsidRPr="006F47B7">
        <w:t xml:space="preserve">s. </w:t>
      </w:r>
      <w:r>
        <w:t>There were no statistically significant differences in severe hypoglycaemia, mortality, cardiovascular events, urinary tract infections or pancreatitis in any of the trials that report</w:t>
      </w:r>
      <w:r w:rsidR="003D0AD6">
        <w:t xml:space="preserve">ed these outcomes. </w:t>
      </w:r>
      <w:r>
        <w:t>It is not possible to draw definitive conclusions about other outcomes based on these analyses as the majority of trials were of short duration and involved a l</w:t>
      </w:r>
      <w:r w:rsidR="003D0AD6">
        <w:t xml:space="preserve">ow number of participants.  </w:t>
      </w:r>
    </w:p>
    <w:p w:rsidR="003D0AD6" w:rsidRDefault="0065763F" w:rsidP="0065763F">
      <w:pPr>
        <w:pStyle w:val="Heading4"/>
      </w:pPr>
      <w:r>
        <w:lastRenderedPageBreak/>
        <w:t>6.4.3.5  Discussion</w:t>
      </w:r>
    </w:p>
    <w:p w:rsidR="0065763F" w:rsidRDefault="0065763F" w:rsidP="0065763F">
      <w:r>
        <w:t>The key findings for efficacy in triple therapy demonstrated that all combinations of medicines (except for metformin + TZD + DPP-4 inhibitor) in the network analysis provided a significantly better reduction in HbA</w:t>
      </w:r>
      <w:r w:rsidRPr="00833EDB">
        <w:rPr>
          <w:vertAlign w:val="subscript"/>
        </w:rPr>
        <w:t>1c</w:t>
      </w:r>
      <w:r>
        <w:t xml:space="preserve"> when compared to metformin + sulfonylure</w:t>
      </w:r>
      <w:r w:rsidR="00A803A6">
        <w:t xml:space="preserve">a dual therapy, in the range of </w:t>
      </w:r>
      <w:r>
        <w:t>0.7–1</w:t>
      </w:r>
      <w:r w:rsidR="00046C56">
        <w:t>.1</w:t>
      </w:r>
      <w:r>
        <w:t>%</w:t>
      </w:r>
      <w:r w:rsidR="00046C56">
        <w:t xml:space="preserve"> (8–12 mmol/mol)</w:t>
      </w:r>
      <w:r>
        <w:t xml:space="preserve">. This improvement was clinically relevant when GLP-1 agonist or insulin was added to metformin + sulfonylurea (upper CI greater than the MCID of 0.30%). </w:t>
      </w:r>
    </w:p>
    <w:p w:rsidR="0065763F" w:rsidRDefault="0065763F" w:rsidP="0065763F">
      <w:r>
        <w:t>None of the triple therapy combinations demonstrated clinically relevant differences in HbA</w:t>
      </w:r>
      <w:r w:rsidRPr="00833EDB">
        <w:rPr>
          <w:vertAlign w:val="subscript"/>
        </w:rPr>
        <w:t>1c</w:t>
      </w:r>
      <w:r>
        <w:t xml:space="preserve"> when compared with other triple therapies. However, metformin + sulfonylurea + GLP-1 receptor agonist was significantly better at reducing HbA</w:t>
      </w:r>
      <w:r w:rsidRPr="00F74948">
        <w:rPr>
          <w:vertAlign w:val="subscript"/>
        </w:rPr>
        <w:t>1c</w:t>
      </w:r>
      <w:r>
        <w:t xml:space="preserve"> than metformin + TZD + DPP-4 inhibitor.</w:t>
      </w:r>
    </w:p>
    <w:p w:rsidR="009B07ED" w:rsidRDefault="009B07ED" w:rsidP="0065763F">
      <w:r>
        <w:t xml:space="preserve">Only </w:t>
      </w:r>
      <w:r w:rsidR="00046C56">
        <w:t xml:space="preserve">the </w:t>
      </w:r>
      <w:r w:rsidR="0015135F">
        <w:t xml:space="preserve">triple therapy combinations of </w:t>
      </w:r>
      <w:r w:rsidR="00046C56">
        <w:t xml:space="preserve">metformin + sulfonylurea </w:t>
      </w:r>
      <w:r w:rsidR="0015135F">
        <w:t>+ SGLT2 inhibitor/</w:t>
      </w:r>
      <w:r w:rsidR="0065763F">
        <w:t xml:space="preserve">GLP-1 receptor agonist </w:t>
      </w:r>
      <w:r>
        <w:t>showed</w:t>
      </w:r>
      <w:r w:rsidR="0065763F">
        <w:t xml:space="preserve"> significant reduction</w:t>
      </w:r>
      <w:r w:rsidR="0015135F">
        <w:t>s</w:t>
      </w:r>
      <w:r w:rsidR="0065763F">
        <w:t xml:space="preserve"> in body weight compared to metformin + sulfonylurea</w:t>
      </w:r>
      <w:r w:rsidR="00A627BF">
        <w:t xml:space="preserve"> dual therapy</w:t>
      </w:r>
      <w:r w:rsidR="0065763F">
        <w:t xml:space="preserve">. </w:t>
      </w:r>
    </w:p>
    <w:p w:rsidR="0065763F" w:rsidRDefault="0065763F" w:rsidP="0065763F">
      <w:r>
        <w:t>In terms of body weight change, when used in combination with:</w:t>
      </w:r>
    </w:p>
    <w:p w:rsidR="0065763F" w:rsidRDefault="0065763F" w:rsidP="007156EB">
      <w:pPr>
        <w:pStyle w:val="ListParagraph"/>
        <w:numPr>
          <w:ilvl w:val="0"/>
          <w:numId w:val="52"/>
        </w:numPr>
        <w:ind w:left="567" w:hanging="283"/>
      </w:pPr>
      <w:r>
        <w:t>metformin + sulfonylurea:</w:t>
      </w:r>
    </w:p>
    <w:p w:rsidR="0065763F" w:rsidRDefault="0015135F" w:rsidP="007156EB">
      <w:pPr>
        <w:pStyle w:val="ListParagraph"/>
        <w:numPr>
          <w:ilvl w:val="1"/>
          <w:numId w:val="52"/>
        </w:numPr>
        <w:ind w:left="1134" w:hanging="283"/>
      </w:pPr>
      <w:r>
        <w:t xml:space="preserve">SGLT2 inhibitors and </w:t>
      </w:r>
      <w:r w:rsidR="0065763F">
        <w:t>GLP-1 receptor agonists were s</w:t>
      </w:r>
      <w:r w:rsidR="00615918">
        <w:t xml:space="preserve">uperior to DPP-4 inhibitors, </w:t>
      </w:r>
      <w:r w:rsidR="0065763F">
        <w:t>insulin</w:t>
      </w:r>
      <w:r w:rsidR="00615918">
        <w:t xml:space="preserve"> and TZDs</w:t>
      </w:r>
      <w:r w:rsidR="0065763F">
        <w:t>.</w:t>
      </w:r>
    </w:p>
    <w:p w:rsidR="0065763F" w:rsidRDefault="00F86E56" w:rsidP="007156EB">
      <w:pPr>
        <w:pStyle w:val="ListParagraph"/>
        <w:numPr>
          <w:ilvl w:val="1"/>
          <w:numId w:val="52"/>
        </w:numPr>
        <w:ind w:left="1134" w:hanging="283"/>
      </w:pPr>
      <w:r>
        <w:t xml:space="preserve">Insulin </w:t>
      </w:r>
      <w:r w:rsidR="00A627BF">
        <w:t>was</w:t>
      </w:r>
      <w:r w:rsidR="0065763F">
        <w:t xml:space="preserve"> superior to TZDs.</w:t>
      </w:r>
    </w:p>
    <w:p w:rsidR="00A627BF" w:rsidRDefault="00A627BF" w:rsidP="007156EB">
      <w:pPr>
        <w:pStyle w:val="ListParagraph"/>
        <w:numPr>
          <w:ilvl w:val="1"/>
          <w:numId w:val="52"/>
        </w:numPr>
        <w:ind w:left="1134" w:hanging="283"/>
      </w:pPr>
      <w:r>
        <w:t>DPP-4 inhibitors were not significantly different from insulin or TZDs.</w:t>
      </w:r>
    </w:p>
    <w:p w:rsidR="0065763F" w:rsidRDefault="0065763F" w:rsidP="007156EB">
      <w:pPr>
        <w:pStyle w:val="ListParagraph"/>
        <w:numPr>
          <w:ilvl w:val="0"/>
          <w:numId w:val="52"/>
        </w:numPr>
        <w:ind w:left="567" w:hanging="283"/>
      </w:pPr>
      <w:r>
        <w:t>metformin + TZD:</w:t>
      </w:r>
    </w:p>
    <w:p w:rsidR="0065763F" w:rsidRDefault="0065763F" w:rsidP="007156EB">
      <w:pPr>
        <w:pStyle w:val="ListParagraph"/>
        <w:numPr>
          <w:ilvl w:val="1"/>
          <w:numId w:val="52"/>
        </w:numPr>
        <w:ind w:left="1134" w:hanging="283"/>
      </w:pPr>
      <w:r>
        <w:t>DPP-4 inhibitors were superior to sulfonylureas.</w:t>
      </w:r>
    </w:p>
    <w:p w:rsidR="0065763F" w:rsidRDefault="0065763F" w:rsidP="0065763F">
      <w:r>
        <w:t>When used in combination with metformin + sulfonylurea, insulin had lower adverse events and higher hypoglycaemia events than GLP-1 receptor agonists. Due to the short duration of most trials, low number of participants, limited reporting of adverse events, and the low number of events, meaningful analysis of adverse events including</w:t>
      </w:r>
      <w:r w:rsidR="008C3263">
        <w:t xml:space="preserve"> hypoglycaemia, was difficult. In addition, i</w:t>
      </w:r>
      <w:r>
        <w:t>t was not always clear whether outcomes were not reported, or did not occur.</w:t>
      </w:r>
    </w:p>
    <w:p w:rsidR="0065763F" w:rsidRDefault="0065763F" w:rsidP="0065763F">
      <w:r>
        <w:t xml:space="preserve">The main limitations regarding this review of the comparative efficacy </w:t>
      </w:r>
      <w:r w:rsidR="007156EB">
        <w:t xml:space="preserve">and safety </w:t>
      </w:r>
      <w:r>
        <w:t>of type 2 diabetes medicines when used as triple therapy are:</w:t>
      </w:r>
    </w:p>
    <w:p w:rsidR="0065763F" w:rsidRDefault="0065763F" w:rsidP="007156EB">
      <w:pPr>
        <w:pStyle w:val="ListParagraph"/>
        <w:numPr>
          <w:ilvl w:val="0"/>
          <w:numId w:val="53"/>
        </w:numPr>
      </w:pPr>
      <w:r>
        <w:t>Limited trial data are available with a duration of over six months.</w:t>
      </w:r>
    </w:p>
    <w:p w:rsidR="0065763F" w:rsidRDefault="008C3263" w:rsidP="007156EB">
      <w:pPr>
        <w:pStyle w:val="ListParagraph"/>
        <w:numPr>
          <w:ilvl w:val="0"/>
          <w:numId w:val="53"/>
        </w:numPr>
      </w:pPr>
      <w:r>
        <w:t>T</w:t>
      </w:r>
      <w:r w:rsidR="0065763F">
        <w:t xml:space="preserve">rials were </w:t>
      </w:r>
      <w:r>
        <w:t xml:space="preserve">not </w:t>
      </w:r>
      <w:r w:rsidR="0065763F">
        <w:t>powered to detect differences in adverse events.</w:t>
      </w:r>
    </w:p>
    <w:p w:rsidR="0065763F" w:rsidRDefault="0065763F" w:rsidP="007156EB">
      <w:pPr>
        <w:pStyle w:val="ListParagraph"/>
        <w:numPr>
          <w:ilvl w:val="0"/>
          <w:numId w:val="53"/>
        </w:numPr>
      </w:pPr>
      <w:r>
        <w:t>There is heterogeneity between the trials with differences in patient characteristics, inclusion/exclusion criteria and duration.</w:t>
      </w:r>
    </w:p>
    <w:p w:rsidR="0065763F" w:rsidRDefault="0065763F" w:rsidP="007156EB">
      <w:pPr>
        <w:pStyle w:val="ListParagraph"/>
        <w:numPr>
          <w:ilvl w:val="0"/>
          <w:numId w:val="53"/>
        </w:numPr>
      </w:pPr>
      <w:r>
        <w:t xml:space="preserve">There were differences between the trials for definitions in certain outcomes, including serious adverse events, hypoglycaemia, </w:t>
      </w:r>
      <w:r w:rsidR="00A803A6">
        <w:t xml:space="preserve">and </w:t>
      </w:r>
      <w:r>
        <w:t>severe hypoglycaemia.</w:t>
      </w:r>
    </w:p>
    <w:p w:rsidR="0065763F" w:rsidRDefault="0065763F" w:rsidP="007156EB">
      <w:pPr>
        <w:pStyle w:val="ListParagraph"/>
        <w:numPr>
          <w:ilvl w:val="0"/>
          <w:numId w:val="53"/>
        </w:numPr>
      </w:pPr>
      <w:r>
        <w:t>Performing a network analysis, which uses indirect comparison analyses, may introduce statistical uncertainty.</w:t>
      </w:r>
    </w:p>
    <w:p w:rsidR="00E02B63" w:rsidRDefault="00E02B63" w:rsidP="009A45DB"/>
    <w:p w:rsidR="00D27008" w:rsidRDefault="003D0AD6" w:rsidP="003D0AD6">
      <w:pPr>
        <w:pStyle w:val="Heading3"/>
      </w:pPr>
      <w:r>
        <w:lastRenderedPageBreak/>
        <w:t>6.4.4  Medicines Added to Existing Therapy</w:t>
      </w:r>
    </w:p>
    <w:p w:rsidR="003D0AD6" w:rsidRDefault="003D0AD6" w:rsidP="003D0AD6">
      <w:r>
        <w:t>The literature search identified 12 publications covering 8 RCTs comparing diabetes medicines added to existing therapy. Table 6.4 provides details of these trials.</w:t>
      </w:r>
      <w:r w:rsidR="00351ADE">
        <w:t xml:space="preserve"> </w:t>
      </w:r>
      <w:hyperlink w:anchor="_Appendix_G:_Literature_1" w:history="1">
        <w:r w:rsidR="00D3642C" w:rsidRPr="006E1080">
          <w:rPr>
            <w:rStyle w:val="Hyperlink"/>
          </w:rPr>
          <w:t>Appendix </w:t>
        </w:r>
        <w:r w:rsidR="002E71E3" w:rsidRPr="006E1080">
          <w:rPr>
            <w:rStyle w:val="Hyperlink"/>
          </w:rPr>
          <w:t>G</w:t>
        </w:r>
      </w:hyperlink>
      <w:r w:rsidR="001E19C8">
        <w:t>, Table 3 provides a summary of the non-cardiovascular results for the four trials with</w:t>
      </w:r>
      <w:r w:rsidR="00351ADE">
        <w:t xml:space="preserve"> duration greater than one year; and </w:t>
      </w:r>
      <w:hyperlink w:anchor="_Appendix_G:_Literature_1" w:history="1">
        <w:r w:rsidR="00351ADE" w:rsidRPr="006E1080">
          <w:rPr>
            <w:rStyle w:val="Hyperlink"/>
          </w:rPr>
          <w:t xml:space="preserve">Appendix </w:t>
        </w:r>
        <w:r w:rsidR="002E71E3" w:rsidRPr="006E1080">
          <w:rPr>
            <w:rStyle w:val="Hyperlink"/>
          </w:rPr>
          <w:t>G</w:t>
        </w:r>
      </w:hyperlink>
      <w:r w:rsidR="00351ADE">
        <w:t>, Table 4 provides the results for the four trials with duration less than one year.</w:t>
      </w:r>
    </w:p>
    <w:p w:rsidR="00E50D94" w:rsidRPr="00082421" w:rsidRDefault="00E50D94" w:rsidP="00E50D94">
      <w:r w:rsidRPr="00082421">
        <w:t>Th</w:t>
      </w:r>
      <w:r>
        <w:t>e existing medication trials</w:t>
      </w:r>
      <w:r w:rsidRPr="00082421">
        <w:t xml:space="preserve"> varied in terms of their key features, including countries included (although most were large, worldwide studies), design, risk of bias and the patient population characteristics. </w:t>
      </w:r>
      <w:r>
        <w:t xml:space="preserve">The two </w:t>
      </w:r>
      <w:r w:rsidRPr="00082421">
        <w:t xml:space="preserve">trials </w:t>
      </w:r>
      <w:r w:rsidR="000824CA">
        <w:t xml:space="preserve">examining </w:t>
      </w:r>
      <w:r w:rsidRPr="00082421">
        <w:t>DPP-4 inh</w:t>
      </w:r>
      <w:r w:rsidR="000824CA">
        <w:t>ibitors added to existing medication</w:t>
      </w:r>
      <w:r w:rsidRPr="00082421">
        <w:t>, may be comparable as both trials were large, recruited patients over a similar time period, and are worldwide, double-blind and placebo-controlled.</w:t>
      </w:r>
      <w:r w:rsidR="0093455B" w:rsidRPr="00835E73">
        <w:rPr>
          <w:vertAlign w:val="superscript"/>
        </w:rPr>
        <w:t>4</w:t>
      </w:r>
      <w:r w:rsidR="00835E73" w:rsidRPr="00835E73">
        <w:rPr>
          <w:vertAlign w:val="superscript"/>
        </w:rPr>
        <w:t xml:space="preserve">; </w:t>
      </w:r>
      <w:r w:rsidR="0093455B" w:rsidRPr="00835E73">
        <w:rPr>
          <w:vertAlign w:val="superscript"/>
        </w:rPr>
        <w:t>5</w:t>
      </w:r>
      <w:r w:rsidR="000824CA">
        <w:t xml:space="preserve"> </w:t>
      </w:r>
      <w:r w:rsidRPr="00082421">
        <w:t xml:space="preserve">Although the inclusion and exclusion criteria for the existing medication trials have components that are similar, high levels of heterogeneity would be expected due to patient differences, especially surrounding current medications, age and concomitant disease. </w:t>
      </w:r>
    </w:p>
    <w:p w:rsidR="00206B9A" w:rsidRDefault="00206B9A" w:rsidP="00206B9A">
      <w:pPr>
        <w:pStyle w:val="Heading5"/>
      </w:pPr>
      <w:r>
        <w:t>Trial quality</w:t>
      </w:r>
    </w:p>
    <w:p w:rsidR="00206B9A" w:rsidRPr="00082421" w:rsidRDefault="00206B9A" w:rsidP="00206B9A">
      <w:r w:rsidRPr="00082421">
        <w:t xml:space="preserve">All of the eight trials were </w:t>
      </w:r>
      <w:r>
        <w:t>RCT</w:t>
      </w:r>
      <w:r w:rsidRPr="00082421">
        <w:t>s; half were open-label and half were double-blind. The risk of performance and detection bias in the open-label trials is high as treatment allocation was known to participants and personnel. In general</w:t>
      </w:r>
      <w:r w:rsidR="00F41EFE">
        <w:t>,</w:t>
      </w:r>
      <w:r w:rsidRPr="00082421">
        <w:t xml:space="preserve"> the risk of attrition bias was low across all trials, with intention to treat populations being used in most analyses. Last observation carried forward, which may not be the most appropriate method, was used in most cases to account for missing data. Attrition rates across treatment arms were similar in all trials except Ji 2013, which had a high risk of bias due to large differences in follow-up rates between treatment arms.</w:t>
      </w:r>
      <w:r w:rsidR="0093455B" w:rsidRPr="00DF4210">
        <w:rPr>
          <w:vertAlign w:val="superscript"/>
        </w:rPr>
        <w:t>89</w:t>
      </w:r>
      <w:r w:rsidRPr="00082421">
        <w:t xml:space="preserve"> Buse 2013 had similar levels of attrition across treatment arms</w:t>
      </w:r>
      <w:r>
        <w:t xml:space="preserve">; </w:t>
      </w:r>
      <w:r w:rsidRPr="00082421">
        <w:t>however</w:t>
      </w:r>
      <w:r>
        <w:t>,</w:t>
      </w:r>
      <w:r w:rsidRPr="00082421">
        <w:t xml:space="preserve"> the reasons for attrition were not balanced resulting in the risk of attrition bias being unclear.</w:t>
      </w:r>
      <w:r w:rsidR="0093455B" w:rsidRPr="00DF4210">
        <w:rPr>
          <w:vertAlign w:val="superscript"/>
        </w:rPr>
        <w:t>90</w:t>
      </w:r>
      <w:r w:rsidRPr="00082421">
        <w:t xml:space="preserve"> All trials provided trial register numbers, and the outcomes reported in the papers matched those in the register. All trials were supported by pharmaceutical companies resulting in an unclear risk of additional bias.</w:t>
      </w:r>
    </w:p>
    <w:p w:rsidR="00E97012" w:rsidRDefault="00E97012" w:rsidP="00E97012">
      <w:pPr>
        <w:pStyle w:val="Heading5"/>
      </w:pPr>
      <w:r>
        <w:t>HbA</w:t>
      </w:r>
      <w:r w:rsidRPr="00F41EFE">
        <w:rPr>
          <w:vertAlign w:val="subscript"/>
        </w:rPr>
        <w:t>1c</w:t>
      </w:r>
    </w:p>
    <w:p w:rsidR="00722B74" w:rsidRDefault="00E97012" w:rsidP="00722B74">
      <w:r>
        <w:t>The addition of a sulfonylurea, TZD or DPP-4 inhibitor to existing therapy led to a reduction in HbA</w:t>
      </w:r>
      <w:r w:rsidRPr="008375CC">
        <w:rPr>
          <w:vertAlign w:val="subscript"/>
        </w:rPr>
        <w:t>1c</w:t>
      </w:r>
      <w:r>
        <w:t xml:space="preserve"> compared to the control group of between 0.3% to 0.75%</w:t>
      </w:r>
      <w:r w:rsidR="0015135F" w:rsidRPr="0015135F">
        <w:t xml:space="preserve"> </w:t>
      </w:r>
      <w:r w:rsidR="0015135F">
        <w:t>at the end of the long-term trials (18 months to 5 years duration).</w:t>
      </w:r>
      <w:r w:rsidR="0093455B" w:rsidRPr="0015135F">
        <w:rPr>
          <w:vertAlign w:val="superscript"/>
        </w:rPr>
        <w:t>2</w:t>
      </w:r>
      <w:r w:rsidR="0015135F" w:rsidRPr="0015135F">
        <w:rPr>
          <w:vertAlign w:val="superscript"/>
        </w:rPr>
        <w:t xml:space="preserve">; </w:t>
      </w:r>
      <w:r w:rsidR="0093455B" w:rsidRPr="0015135F">
        <w:rPr>
          <w:vertAlign w:val="superscript"/>
        </w:rPr>
        <w:t>3</w:t>
      </w:r>
      <w:r w:rsidR="0015135F" w:rsidRPr="0015135F">
        <w:rPr>
          <w:vertAlign w:val="superscript"/>
        </w:rPr>
        <w:t xml:space="preserve">; </w:t>
      </w:r>
      <w:r w:rsidR="0093455B" w:rsidRPr="0015135F">
        <w:rPr>
          <w:vertAlign w:val="superscript"/>
        </w:rPr>
        <w:t>4</w:t>
      </w:r>
      <w:r w:rsidR="0015135F" w:rsidRPr="0015135F">
        <w:rPr>
          <w:vertAlign w:val="superscript"/>
        </w:rPr>
        <w:t xml:space="preserve">; </w:t>
      </w:r>
      <w:r w:rsidR="0093455B" w:rsidRPr="0015135F">
        <w:rPr>
          <w:vertAlign w:val="superscript"/>
        </w:rPr>
        <w:t>5</w:t>
      </w:r>
      <w:r w:rsidR="0015135F">
        <w:t xml:space="preserve"> </w:t>
      </w:r>
      <w:r>
        <w:t>The addition of DPP</w:t>
      </w:r>
      <w:r w:rsidRPr="00DF2186">
        <w:t>-4 inhibitor</w:t>
      </w:r>
      <w:r>
        <w:t>s to existing medication (</w:t>
      </w:r>
      <w:r w:rsidRPr="00286D62">
        <w:t>insulin +/- metformin</w:t>
      </w:r>
      <w:r>
        <w:t>) showed a clinically meaningful effect on the change in HbA</w:t>
      </w:r>
      <w:r w:rsidRPr="008375CC">
        <w:rPr>
          <w:vertAlign w:val="subscript"/>
        </w:rPr>
        <w:t>1c</w:t>
      </w:r>
      <w:r>
        <w:t xml:space="preserve"> over 24 weeks  with a mean difference of </w:t>
      </w:r>
      <w:r w:rsidRPr="00C11DD4">
        <w:t xml:space="preserve">-0.6% </w:t>
      </w:r>
      <w:r>
        <w:t xml:space="preserve">compared to existing medication </w:t>
      </w:r>
      <w:r w:rsidR="00F41EFE">
        <w:t>(95% CI: -0.7,</w:t>
      </w:r>
      <w:r w:rsidRPr="00C11DD4">
        <w:t xml:space="preserve"> -0.4</w:t>
      </w:r>
      <w:r>
        <w:t>%</w:t>
      </w:r>
      <w:r w:rsidRPr="00C11DD4">
        <w:t>)</w:t>
      </w:r>
      <w:r>
        <w:t>.</w:t>
      </w:r>
      <w:r w:rsidR="0093455B" w:rsidRPr="00DF4210">
        <w:rPr>
          <w:vertAlign w:val="superscript"/>
        </w:rPr>
        <w:t>91</w:t>
      </w:r>
      <w:r>
        <w:t xml:space="preserve"> Two trials reported different GLP</w:t>
      </w:r>
      <w:r w:rsidRPr="00CC4EC9">
        <w:t>-1 receptor agonist</w:t>
      </w:r>
      <w:r>
        <w:t xml:space="preserve"> regimens with existing medication, with both trials finding no difference between the therapies.</w:t>
      </w:r>
      <w:r w:rsidR="0093455B" w:rsidRPr="00DF4210">
        <w:rPr>
          <w:vertAlign w:val="superscript"/>
        </w:rPr>
        <w:t>89</w:t>
      </w:r>
      <w:r w:rsidR="00DF4210" w:rsidRPr="00DF4210">
        <w:rPr>
          <w:vertAlign w:val="superscript"/>
        </w:rPr>
        <w:t xml:space="preserve">; </w:t>
      </w:r>
      <w:r w:rsidR="0093455B" w:rsidRPr="00DF4210">
        <w:rPr>
          <w:vertAlign w:val="superscript"/>
        </w:rPr>
        <w:t>90</w:t>
      </w:r>
      <w:r>
        <w:t xml:space="preserve"> One trial compared two different insulin therapies which were also shown to be equivalent.</w:t>
      </w:r>
      <w:r w:rsidR="0093455B" w:rsidRPr="00DF4210">
        <w:rPr>
          <w:vertAlign w:val="superscript"/>
        </w:rPr>
        <w:t>92</w:t>
      </w:r>
      <w:r w:rsidR="00722B74">
        <w:t xml:space="preserve"> </w:t>
      </w:r>
    </w:p>
    <w:p w:rsidR="00722B74" w:rsidRDefault="00722B74" w:rsidP="003D0AD6">
      <w:pPr>
        <w:sectPr w:rsidR="00722B74" w:rsidSect="00CA37C0">
          <w:pgSz w:w="11906" w:h="16838"/>
          <w:pgMar w:top="1440" w:right="1440" w:bottom="1440" w:left="1440" w:header="708" w:footer="708" w:gutter="0"/>
          <w:cols w:space="708"/>
          <w:titlePg/>
          <w:docGrid w:linePitch="360"/>
        </w:sectPr>
      </w:pPr>
    </w:p>
    <w:p w:rsidR="003D0AD6" w:rsidRPr="003D0AD6" w:rsidRDefault="003D0AD6" w:rsidP="003D0AD6">
      <w:pPr>
        <w:rPr>
          <w:b/>
        </w:rPr>
      </w:pPr>
      <w:bookmarkStart w:id="298" w:name="_Ref393371993"/>
      <w:r w:rsidRPr="003D0AD6">
        <w:rPr>
          <w:b/>
        </w:rPr>
        <w:lastRenderedPageBreak/>
        <w:t>Table</w:t>
      </w:r>
      <w:bookmarkEnd w:id="298"/>
      <w:r w:rsidR="00E10597">
        <w:rPr>
          <w:b/>
        </w:rPr>
        <w:t xml:space="preserve"> </w:t>
      </w:r>
      <w:r>
        <w:rPr>
          <w:b/>
        </w:rPr>
        <w:t>6.4.</w:t>
      </w:r>
      <w:r w:rsidRPr="003D0AD6">
        <w:rPr>
          <w:b/>
        </w:rPr>
        <w:t xml:space="preserve"> Comp</w:t>
      </w:r>
      <w:r>
        <w:rPr>
          <w:b/>
        </w:rPr>
        <w:t xml:space="preserve">arisons included </w:t>
      </w:r>
      <w:r w:rsidR="00355E20">
        <w:rPr>
          <w:b/>
        </w:rPr>
        <w:t xml:space="preserve">for the eight trials identified examining </w:t>
      </w:r>
      <w:r>
        <w:rPr>
          <w:b/>
        </w:rPr>
        <w:t xml:space="preserve">medicines added to </w:t>
      </w:r>
      <w:r w:rsidRPr="003D0AD6">
        <w:rPr>
          <w:b/>
        </w:rPr>
        <w:t>existing</w:t>
      </w:r>
      <w:r>
        <w:rPr>
          <w:b/>
        </w:rPr>
        <w:t xml:space="preserve"> therapy.</w:t>
      </w:r>
    </w:p>
    <w:tbl>
      <w:tblPr>
        <w:tblStyle w:val="TableGrid1"/>
        <w:tblW w:w="14459" w:type="dxa"/>
        <w:tblInd w:w="-256" w:type="dxa"/>
        <w:tblLayout w:type="fixed"/>
        <w:tblCellMar>
          <w:left w:w="28" w:type="dxa"/>
          <w:right w:w="28" w:type="dxa"/>
        </w:tblCellMar>
        <w:tblLook w:val="04A0" w:firstRow="1" w:lastRow="0" w:firstColumn="1" w:lastColumn="0" w:noHBand="0" w:noVBand="1"/>
      </w:tblPr>
      <w:tblGrid>
        <w:gridCol w:w="1277"/>
        <w:gridCol w:w="1275"/>
        <w:gridCol w:w="1560"/>
        <w:gridCol w:w="708"/>
        <w:gridCol w:w="993"/>
        <w:gridCol w:w="2268"/>
        <w:gridCol w:w="850"/>
        <w:gridCol w:w="2977"/>
        <w:gridCol w:w="1701"/>
        <w:gridCol w:w="850"/>
      </w:tblGrid>
      <w:tr w:rsidR="0015135F" w:rsidRPr="008A72F1" w:rsidTr="0015135F">
        <w:trPr>
          <w:cantSplit/>
          <w:trHeight w:val="20"/>
          <w:tblHeader/>
        </w:trPr>
        <w:tc>
          <w:tcPr>
            <w:tcW w:w="1277" w:type="dxa"/>
            <w:shd w:val="clear" w:color="auto" w:fill="D9D9D9" w:themeFill="background1" w:themeFillShade="D9"/>
            <w:vAlign w:val="center"/>
          </w:tcPr>
          <w:p w:rsidR="0015135F" w:rsidRPr="002A4D15" w:rsidRDefault="0015135F" w:rsidP="0015135F">
            <w:pPr>
              <w:spacing w:before="60" w:after="60" w:line="240" w:lineRule="auto"/>
              <w:jc w:val="center"/>
              <w:rPr>
                <w:rFonts w:asciiTheme="majorHAnsi" w:hAnsiTheme="majorHAnsi"/>
                <w:b/>
                <w:sz w:val="20"/>
                <w:szCs w:val="20"/>
              </w:rPr>
            </w:pPr>
            <w:r w:rsidRPr="002A4D15">
              <w:rPr>
                <w:rFonts w:asciiTheme="majorHAnsi" w:hAnsiTheme="majorHAnsi"/>
                <w:b/>
                <w:sz w:val="20"/>
                <w:szCs w:val="20"/>
              </w:rPr>
              <w:t>Intervention 1</w:t>
            </w:r>
          </w:p>
        </w:tc>
        <w:tc>
          <w:tcPr>
            <w:tcW w:w="1275" w:type="dxa"/>
            <w:shd w:val="clear" w:color="auto" w:fill="D9D9D9" w:themeFill="background1" w:themeFillShade="D9"/>
            <w:vAlign w:val="center"/>
          </w:tcPr>
          <w:p w:rsidR="0015135F" w:rsidRPr="002A4D15" w:rsidRDefault="0015135F" w:rsidP="0015135F">
            <w:pPr>
              <w:spacing w:before="60" w:after="60" w:line="240" w:lineRule="auto"/>
              <w:jc w:val="center"/>
              <w:rPr>
                <w:rFonts w:asciiTheme="majorHAnsi" w:hAnsiTheme="majorHAnsi"/>
                <w:b/>
                <w:sz w:val="20"/>
                <w:szCs w:val="20"/>
              </w:rPr>
            </w:pPr>
            <w:r w:rsidRPr="002A4D15">
              <w:rPr>
                <w:rFonts w:asciiTheme="majorHAnsi" w:hAnsiTheme="majorHAnsi"/>
                <w:b/>
                <w:sz w:val="20"/>
                <w:szCs w:val="20"/>
              </w:rPr>
              <w:t>Intervention 2</w:t>
            </w:r>
          </w:p>
        </w:tc>
        <w:tc>
          <w:tcPr>
            <w:tcW w:w="1560" w:type="dxa"/>
            <w:shd w:val="clear" w:color="auto" w:fill="D9D9D9" w:themeFill="background1" w:themeFillShade="D9"/>
            <w:vAlign w:val="center"/>
          </w:tcPr>
          <w:p w:rsidR="0015135F" w:rsidRPr="002A4D15" w:rsidRDefault="0015135F" w:rsidP="002A4D15">
            <w:pPr>
              <w:spacing w:before="60" w:after="60" w:line="240" w:lineRule="auto"/>
              <w:rPr>
                <w:rFonts w:asciiTheme="majorHAnsi" w:hAnsiTheme="majorHAnsi"/>
                <w:b/>
                <w:sz w:val="20"/>
                <w:szCs w:val="20"/>
              </w:rPr>
            </w:pPr>
            <w:r>
              <w:rPr>
                <w:rFonts w:asciiTheme="majorHAnsi" w:hAnsiTheme="majorHAnsi"/>
                <w:b/>
                <w:sz w:val="20"/>
                <w:szCs w:val="20"/>
              </w:rPr>
              <w:t>Publications</w:t>
            </w:r>
          </w:p>
        </w:tc>
        <w:tc>
          <w:tcPr>
            <w:tcW w:w="708" w:type="dxa"/>
            <w:shd w:val="clear" w:color="auto" w:fill="D9D9D9" w:themeFill="background1" w:themeFillShade="D9"/>
            <w:vAlign w:val="center"/>
          </w:tcPr>
          <w:p w:rsidR="0015135F" w:rsidRPr="002A4D15" w:rsidRDefault="0015135F" w:rsidP="002A4D15">
            <w:pPr>
              <w:spacing w:before="60" w:after="60" w:line="240" w:lineRule="auto"/>
              <w:rPr>
                <w:rFonts w:asciiTheme="majorHAnsi" w:hAnsiTheme="majorHAnsi"/>
                <w:b/>
                <w:sz w:val="20"/>
                <w:szCs w:val="20"/>
              </w:rPr>
            </w:pPr>
            <w:r w:rsidRPr="002A4D15">
              <w:rPr>
                <w:rFonts w:asciiTheme="majorHAnsi" w:hAnsiTheme="majorHAnsi"/>
                <w:b/>
                <w:sz w:val="20"/>
                <w:szCs w:val="20"/>
              </w:rPr>
              <w:t>N</w:t>
            </w:r>
          </w:p>
        </w:tc>
        <w:tc>
          <w:tcPr>
            <w:tcW w:w="993" w:type="dxa"/>
            <w:shd w:val="clear" w:color="auto" w:fill="D9D9D9" w:themeFill="background1" w:themeFillShade="D9"/>
            <w:vAlign w:val="center"/>
          </w:tcPr>
          <w:p w:rsidR="0015135F" w:rsidRDefault="0015135F" w:rsidP="002A4D15">
            <w:pPr>
              <w:spacing w:before="60" w:after="60" w:line="240" w:lineRule="auto"/>
              <w:rPr>
                <w:rFonts w:asciiTheme="majorHAnsi" w:hAnsiTheme="majorHAnsi"/>
                <w:b/>
                <w:sz w:val="20"/>
                <w:szCs w:val="20"/>
              </w:rPr>
            </w:pPr>
            <w:r>
              <w:rPr>
                <w:rFonts w:asciiTheme="majorHAnsi" w:hAnsiTheme="majorHAnsi"/>
                <w:b/>
                <w:sz w:val="20"/>
                <w:szCs w:val="20"/>
              </w:rPr>
              <w:t>Design/</w:t>
            </w:r>
          </w:p>
          <w:p w:rsidR="0015135F" w:rsidRPr="002A4D15" w:rsidRDefault="0015135F" w:rsidP="002A4D15">
            <w:pPr>
              <w:spacing w:before="60" w:after="60" w:line="240" w:lineRule="auto"/>
              <w:rPr>
                <w:rFonts w:asciiTheme="majorHAnsi" w:hAnsiTheme="majorHAnsi"/>
                <w:b/>
                <w:sz w:val="20"/>
                <w:szCs w:val="20"/>
              </w:rPr>
            </w:pPr>
            <w:r w:rsidRPr="002A4D15">
              <w:rPr>
                <w:rFonts w:asciiTheme="majorHAnsi" w:hAnsiTheme="majorHAnsi"/>
                <w:b/>
                <w:sz w:val="20"/>
                <w:szCs w:val="20"/>
              </w:rPr>
              <w:t>Duration</w:t>
            </w:r>
          </w:p>
        </w:tc>
        <w:tc>
          <w:tcPr>
            <w:tcW w:w="2268" w:type="dxa"/>
            <w:shd w:val="clear" w:color="auto" w:fill="D9D9D9" w:themeFill="background1" w:themeFillShade="D9"/>
          </w:tcPr>
          <w:p w:rsidR="0015135F" w:rsidRPr="002A4D15" w:rsidRDefault="0015135F" w:rsidP="002A4D15">
            <w:pPr>
              <w:spacing w:before="60" w:after="60" w:line="240" w:lineRule="auto"/>
              <w:rPr>
                <w:rFonts w:asciiTheme="majorHAnsi" w:hAnsiTheme="majorHAnsi"/>
                <w:b/>
                <w:sz w:val="20"/>
                <w:szCs w:val="20"/>
              </w:rPr>
            </w:pPr>
            <w:r w:rsidRPr="002A4D15">
              <w:rPr>
                <w:rFonts w:asciiTheme="majorHAnsi" w:hAnsiTheme="majorHAnsi"/>
                <w:b/>
                <w:sz w:val="20"/>
                <w:szCs w:val="20"/>
              </w:rPr>
              <w:t>Disease characteristics</w:t>
            </w:r>
          </w:p>
        </w:tc>
        <w:tc>
          <w:tcPr>
            <w:tcW w:w="850" w:type="dxa"/>
            <w:shd w:val="clear" w:color="auto" w:fill="D9D9D9" w:themeFill="background1" w:themeFillShade="D9"/>
            <w:vAlign w:val="center"/>
          </w:tcPr>
          <w:p w:rsidR="0015135F" w:rsidRPr="002A4D15" w:rsidRDefault="0015135F" w:rsidP="002A4D15">
            <w:pPr>
              <w:spacing w:before="60" w:after="60" w:line="240" w:lineRule="auto"/>
              <w:rPr>
                <w:rFonts w:asciiTheme="majorHAnsi" w:hAnsiTheme="majorHAnsi"/>
                <w:b/>
                <w:sz w:val="20"/>
                <w:szCs w:val="20"/>
              </w:rPr>
            </w:pPr>
            <w:r w:rsidRPr="002A4D15">
              <w:rPr>
                <w:rFonts w:asciiTheme="majorHAnsi" w:hAnsiTheme="majorHAnsi"/>
                <w:b/>
                <w:sz w:val="20"/>
                <w:szCs w:val="20"/>
              </w:rPr>
              <w:t>RoB</w:t>
            </w:r>
          </w:p>
        </w:tc>
        <w:tc>
          <w:tcPr>
            <w:tcW w:w="2977" w:type="dxa"/>
            <w:shd w:val="clear" w:color="auto" w:fill="D9D9D9" w:themeFill="background1" w:themeFillShade="D9"/>
            <w:vAlign w:val="center"/>
          </w:tcPr>
          <w:p w:rsidR="0015135F" w:rsidRPr="002A4D15" w:rsidRDefault="0015135F" w:rsidP="002A4D15">
            <w:pPr>
              <w:spacing w:before="60" w:after="60" w:line="240" w:lineRule="auto"/>
              <w:rPr>
                <w:rFonts w:asciiTheme="majorHAnsi" w:hAnsiTheme="majorHAnsi"/>
                <w:b/>
                <w:sz w:val="20"/>
                <w:szCs w:val="20"/>
              </w:rPr>
            </w:pPr>
            <w:r w:rsidRPr="002A4D15">
              <w:rPr>
                <w:rFonts w:asciiTheme="majorHAnsi" w:hAnsiTheme="majorHAnsi"/>
                <w:b/>
                <w:sz w:val="20"/>
                <w:szCs w:val="20"/>
              </w:rPr>
              <w:t>Primary outcome</w:t>
            </w:r>
          </w:p>
        </w:tc>
        <w:tc>
          <w:tcPr>
            <w:tcW w:w="1701" w:type="dxa"/>
            <w:shd w:val="clear" w:color="auto" w:fill="D9D9D9" w:themeFill="background1" w:themeFillShade="D9"/>
            <w:vAlign w:val="center"/>
          </w:tcPr>
          <w:p w:rsidR="0015135F" w:rsidRPr="002A4D15" w:rsidRDefault="0015135F" w:rsidP="002A4D15">
            <w:pPr>
              <w:spacing w:before="60" w:after="60" w:line="240" w:lineRule="auto"/>
              <w:rPr>
                <w:rFonts w:asciiTheme="majorHAnsi" w:hAnsiTheme="majorHAnsi"/>
                <w:b/>
                <w:sz w:val="20"/>
                <w:szCs w:val="20"/>
              </w:rPr>
            </w:pPr>
            <w:r w:rsidRPr="002A4D15">
              <w:rPr>
                <w:rFonts w:asciiTheme="majorHAnsi" w:hAnsiTheme="majorHAnsi"/>
                <w:b/>
                <w:sz w:val="20"/>
                <w:szCs w:val="20"/>
              </w:rPr>
              <w:t>Other outcomes</w:t>
            </w:r>
          </w:p>
        </w:tc>
        <w:tc>
          <w:tcPr>
            <w:tcW w:w="850" w:type="dxa"/>
            <w:shd w:val="clear" w:color="auto" w:fill="D9D9D9" w:themeFill="background1" w:themeFillShade="D9"/>
            <w:vAlign w:val="center"/>
          </w:tcPr>
          <w:p w:rsidR="0015135F" w:rsidRPr="002A4D15" w:rsidRDefault="0015135F" w:rsidP="0015135F">
            <w:pPr>
              <w:spacing w:before="60" w:after="60" w:line="240" w:lineRule="auto"/>
              <w:jc w:val="center"/>
              <w:rPr>
                <w:rFonts w:asciiTheme="majorHAnsi" w:hAnsiTheme="majorHAnsi"/>
                <w:b/>
                <w:sz w:val="20"/>
                <w:szCs w:val="20"/>
              </w:rPr>
            </w:pPr>
            <w:r>
              <w:rPr>
                <w:rFonts w:asciiTheme="majorHAnsi" w:hAnsiTheme="majorHAnsi"/>
                <w:b/>
                <w:sz w:val="20"/>
                <w:szCs w:val="20"/>
              </w:rPr>
              <w:t>Seen by PBAC?</w:t>
            </w:r>
            <w:r w:rsidR="00470430" w:rsidRPr="00470430">
              <w:rPr>
                <w:rFonts w:asciiTheme="majorHAnsi" w:hAnsiTheme="majorHAnsi"/>
                <w:b/>
                <w:sz w:val="20"/>
                <w:szCs w:val="20"/>
                <w:vertAlign w:val="superscript"/>
              </w:rPr>
              <w:t>a</w:t>
            </w:r>
          </w:p>
        </w:tc>
      </w:tr>
      <w:tr w:rsidR="0015135F" w:rsidRPr="008A72F1" w:rsidTr="0015135F">
        <w:trPr>
          <w:cantSplit/>
          <w:trHeight w:val="20"/>
        </w:trPr>
        <w:tc>
          <w:tcPr>
            <w:tcW w:w="1277"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EM + SU</w:t>
            </w:r>
          </w:p>
        </w:tc>
        <w:tc>
          <w:tcPr>
            <w:tcW w:w="1275"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EM</w:t>
            </w:r>
          </w:p>
        </w:tc>
        <w:tc>
          <w:tcPr>
            <w:tcW w:w="1560" w:type="dxa"/>
            <w:vAlign w:val="center"/>
          </w:tcPr>
          <w:p w:rsidR="0015135F" w:rsidRPr="002A4D15" w:rsidRDefault="0015135F" w:rsidP="002A4D15">
            <w:pPr>
              <w:spacing w:before="60" w:after="60" w:line="240" w:lineRule="auto"/>
              <w:rPr>
                <w:rStyle w:val="TableText"/>
                <w:rFonts w:asciiTheme="majorHAnsi" w:hAnsiTheme="majorHAnsi"/>
                <w:szCs w:val="20"/>
              </w:rPr>
            </w:pPr>
            <w:r w:rsidRPr="002A4D15">
              <w:rPr>
                <w:rStyle w:val="TableText"/>
                <w:rFonts w:asciiTheme="majorHAnsi" w:hAnsiTheme="majorHAnsi"/>
                <w:szCs w:val="20"/>
              </w:rPr>
              <w:t>ADVANCE 2008</w:t>
            </w:r>
            <w:r w:rsidR="0093455B" w:rsidRPr="00835E73">
              <w:rPr>
                <w:rStyle w:val="TableText"/>
                <w:rFonts w:asciiTheme="majorHAnsi" w:hAnsiTheme="majorHAnsi"/>
                <w:szCs w:val="20"/>
                <w:vertAlign w:val="superscript"/>
              </w:rPr>
              <w:t>2</w:t>
            </w:r>
          </w:p>
          <w:p w:rsidR="0015135F" w:rsidRPr="002A4D15" w:rsidRDefault="0015135F" w:rsidP="0093455B">
            <w:pPr>
              <w:spacing w:before="60" w:after="60" w:line="240" w:lineRule="auto"/>
              <w:rPr>
                <w:rStyle w:val="TableText"/>
                <w:rFonts w:asciiTheme="majorHAnsi" w:hAnsiTheme="majorHAnsi"/>
                <w:szCs w:val="20"/>
                <w:lang w:eastAsia="en-AU"/>
              </w:rPr>
            </w:pPr>
            <w:r w:rsidRPr="002A4D15">
              <w:rPr>
                <w:rStyle w:val="TableText"/>
                <w:rFonts w:asciiTheme="majorHAnsi" w:hAnsiTheme="majorHAnsi"/>
                <w:szCs w:val="20"/>
              </w:rPr>
              <w:t>Zoun</w:t>
            </w:r>
            <w:r>
              <w:rPr>
                <w:rStyle w:val="TableText"/>
                <w:rFonts w:asciiTheme="majorHAnsi" w:hAnsiTheme="majorHAnsi"/>
                <w:szCs w:val="20"/>
              </w:rPr>
              <w:t>gas  2010</w:t>
            </w:r>
            <w:r w:rsidR="0093455B" w:rsidRPr="00DF4210">
              <w:rPr>
                <w:rStyle w:val="TableText"/>
                <w:rFonts w:asciiTheme="majorHAnsi" w:hAnsiTheme="majorHAnsi"/>
                <w:szCs w:val="20"/>
                <w:vertAlign w:val="superscript"/>
              </w:rPr>
              <w:t>93</w:t>
            </w:r>
            <w:r w:rsidRPr="002A4D15">
              <w:rPr>
                <w:rStyle w:val="TableText"/>
                <w:rFonts w:asciiTheme="majorHAnsi" w:hAnsiTheme="majorHAnsi"/>
                <w:szCs w:val="20"/>
                <w:lang w:eastAsia="en-AU"/>
              </w:rPr>
              <w:t xml:space="preserve"> </w:t>
            </w:r>
          </w:p>
        </w:tc>
        <w:tc>
          <w:tcPr>
            <w:tcW w:w="708"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11,140</w:t>
            </w:r>
          </w:p>
        </w:tc>
        <w:tc>
          <w:tcPr>
            <w:tcW w:w="993" w:type="dxa"/>
            <w:vAlign w:val="center"/>
          </w:tcPr>
          <w:p w:rsidR="0015135F" w:rsidRDefault="0015135F" w:rsidP="002A4D15">
            <w:pPr>
              <w:spacing w:before="60" w:after="60" w:line="240" w:lineRule="auto"/>
              <w:rPr>
                <w:rFonts w:asciiTheme="majorHAnsi" w:hAnsiTheme="majorHAnsi"/>
                <w:sz w:val="20"/>
                <w:szCs w:val="20"/>
              </w:rPr>
            </w:pPr>
            <w:r>
              <w:rPr>
                <w:rFonts w:asciiTheme="majorHAnsi" w:hAnsiTheme="majorHAnsi"/>
                <w:sz w:val="20"/>
                <w:szCs w:val="20"/>
              </w:rPr>
              <w:t>R, OL</w:t>
            </w:r>
          </w:p>
          <w:p w:rsidR="0015135F" w:rsidRPr="002A4D15" w:rsidRDefault="0015135F" w:rsidP="002A4D15">
            <w:pPr>
              <w:spacing w:before="60" w:after="60" w:line="240" w:lineRule="auto"/>
              <w:rPr>
                <w:rFonts w:asciiTheme="majorHAnsi" w:hAnsiTheme="majorHAnsi"/>
                <w:sz w:val="20"/>
                <w:szCs w:val="20"/>
              </w:rPr>
            </w:pPr>
            <w:r>
              <w:rPr>
                <w:rFonts w:asciiTheme="majorHAnsi" w:hAnsiTheme="majorHAnsi"/>
                <w:sz w:val="20"/>
                <w:szCs w:val="20"/>
              </w:rPr>
              <w:t>5 years</w:t>
            </w:r>
          </w:p>
        </w:tc>
        <w:tc>
          <w:tcPr>
            <w:tcW w:w="2268" w:type="dxa"/>
            <w:vAlign w:val="center"/>
          </w:tcPr>
          <w:p w:rsidR="0015135F" w:rsidRPr="002A4D15" w:rsidRDefault="0015135F" w:rsidP="002A4D15">
            <w:pPr>
              <w:spacing w:before="60" w:after="60" w:line="240" w:lineRule="auto"/>
              <w:rPr>
                <w:rFonts w:asciiTheme="majorHAnsi" w:hAnsiTheme="majorHAnsi"/>
                <w:sz w:val="20"/>
                <w:szCs w:val="20"/>
                <w:highlight w:val="yellow"/>
              </w:rPr>
            </w:pPr>
            <w:r>
              <w:rPr>
                <w:rStyle w:val="TableText"/>
                <w:rFonts w:asciiTheme="majorHAnsi" w:hAnsiTheme="majorHAnsi"/>
                <w:szCs w:val="20"/>
              </w:rPr>
              <w:t>Macro- or micro-</w:t>
            </w:r>
            <w:r w:rsidRPr="002A4D15">
              <w:rPr>
                <w:rStyle w:val="TableText"/>
                <w:rFonts w:asciiTheme="majorHAnsi" w:hAnsiTheme="majorHAnsi"/>
                <w:szCs w:val="20"/>
              </w:rPr>
              <w:t>vascular disease or ≥1 other risk factor of vascular disease</w:t>
            </w:r>
            <w:r>
              <w:rPr>
                <w:rStyle w:val="TableText"/>
                <w:rFonts w:asciiTheme="majorHAnsi" w:hAnsiTheme="majorHAnsi"/>
                <w:szCs w:val="20"/>
              </w:rPr>
              <w:t>.</w:t>
            </w:r>
          </w:p>
        </w:tc>
        <w:tc>
          <w:tcPr>
            <w:tcW w:w="850"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Unclear</w:t>
            </w:r>
          </w:p>
        </w:tc>
        <w:tc>
          <w:tcPr>
            <w:tcW w:w="2977"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Composite of major macrovascular events</w:t>
            </w:r>
            <w:r w:rsidR="00470430">
              <w:rPr>
                <w:rFonts w:asciiTheme="majorHAnsi" w:hAnsiTheme="majorHAnsi"/>
                <w:sz w:val="20"/>
                <w:szCs w:val="20"/>
                <w:vertAlign w:val="superscript"/>
              </w:rPr>
              <w:t>b</w:t>
            </w:r>
            <w:r w:rsidRPr="002A4D15">
              <w:rPr>
                <w:rFonts w:asciiTheme="majorHAnsi" w:hAnsiTheme="majorHAnsi"/>
                <w:sz w:val="20"/>
                <w:szCs w:val="20"/>
              </w:rPr>
              <w:t xml:space="preserve"> and major microvascular events</w:t>
            </w:r>
            <w:r w:rsidR="00470430">
              <w:rPr>
                <w:rFonts w:asciiTheme="majorHAnsi" w:hAnsiTheme="majorHAnsi"/>
                <w:sz w:val="20"/>
                <w:szCs w:val="20"/>
                <w:vertAlign w:val="superscript"/>
              </w:rPr>
              <w:t>c</w:t>
            </w:r>
            <w:r w:rsidRPr="002A4D15">
              <w:rPr>
                <w:rFonts w:asciiTheme="majorHAnsi" w:hAnsiTheme="majorHAnsi"/>
                <w:sz w:val="20"/>
                <w:szCs w:val="20"/>
              </w:rPr>
              <w:t>,  assessed both jointly and separately.</w:t>
            </w:r>
          </w:p>
        </w:tc>
        <w:tc>
          <w:tcPr>
            <w:tcW w:w="1701"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HbA</w:t>
            </w:r>
            <w:r w:rsidRPr="002A4D15">
              <w:rPr>
                <w:rFonts w:asciiTheme="majorHAnsi" w:hAnsiTheme="majorHAnsi"/>
                <w:sz w:val="20"/>
                <w:szCs w:val="20"/>
                <w:vertAlign w:val="subscript"/>
              </w:rPr>
              <w:t>1c</w:t>
            </w:r>
            <w:r>
              <w:rPr>
                <w:rFonts w:asciiTheme="majorHAnsi" w:hAnsiTheme="majorHAnsi"/>
                <w:sz w:val="20"/>
                <w:szCs w:val="20"/>
              </w:rPr>
              <w:t>, BW, Hypo</w:t>
            </w:r>
            <w:r>
              <w:rPr>
                <w:rFonts w:asciiTheme="majorHAnsi" w:hAnsiTheme="majorHAnsi"/>
                <w:sz w:val="20"/>
                <w:szCs w:val="20"/>
              </w:rPr>
              <w:noBreakHyphen/>
            </w:r>
            <w:r w:rsidRPr="002A4D15">
              <w:rPr>
                <w:rFonts w:asciiTheme="majorHAnsi" w:hAnsiTheme="majorHAnsi"/>
                <w:sz w:val="20"/>
                <w:szCs w:val="20"/>
              </w:rPr>
              <w:t>G, CV events</w:t>
            </w:r>
          </w:p>
        </w:tc>
        <w:tc>
          <w:tcPr>
            <w:tcW w:w="850" w:type="dxa"/>
            <w:vAlign w:val="center"/>
          </w:tcPr>
          <w:p w:rsidR="0015135F" w:rsidRPr="00387857" w:rsidRDefault="0015135F" w:rsidP="009B07ED">
            <w:pPr>
              <w:spacing w:after="0" w:line="240" w:lineRule="auto"/>
              <w:jc w:val="center"/>
              <w:rPr>
                <w:rFonts w:asciiTheme="majorHAnsi" w:hAnsiTheme="majorHAnsi"/>
                <w:sz w:val="20"/>
                <w:szCs w:val="20"/>
              </w:rPr>
            </w:pPr>
            <w:r w:rsidRPr="00387857">
              <w:rPr>
                <w:rFonts w:asciiTheme="majorHAnsi" w:hAnsiTheme="majorHAnsi"/>
                <w:sz w:val="20"/>
                <w:szCs w:val="20"/>
              </w:rPr>
              <w:t>No</w:t>
            </w:r>
          </w:p>
        </w:tc>
      </w:tr>
      <w:tr w:rsidR="0015135F" w:rsidRPr="008A72F1" w:rsidTr="0015135F">
        <w:trPr>
          <w:cantSplit/>
          <w:trHeight w:val="20"/>
        </w:trPr>
        <w:tc>
          <w:tcPr>
            <w:tcW w:w="1277"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 xml:space="preserve">EM + TZD  </w:t>
            </w:r>
          </w:p>
        </w:tc>
        <w:tc>
          <w:tcPr>
            <w:tcW w:w="1275"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EM</w:t>
            </w:r>
          </w:p>
        </w:tc>
        <w:tc>
          <w:tcPr>
            <w:tcW w:w="1560" w:type="dxa"/>
            <w:vAlign w:val="center"/>
          </w:tcPr>
          <w:p w:rsidR="0015135F" w:rsidRPr="002A4D15" w:rsidRDefault="0015135F" w:rsidP="002A4D15">
            <w:pPr>
              <w:spacing w:before="60" w:after="60" w:line="240" w:lineRule="auto"/>
              <w:rPr>
                <w:rStyle w:val="TableText"/>
                <w:rFonts w:asciiTheme="majorHAnsi" w:hAnsiTheme="majorHAnsi"/>
                <w:szCs w:val="20"/>
              </w:rPr>
            </w:pPr>
            <w:r w:rsidRPr="002A4D15">
              <w:rPr>
                <w:rStyle w:val="TableText"/>
                <w:rFonts w:asciiTheme="majorHAnsi" w:hAnsiTheme="majorHAnsi"/>
                <w:szCs w:val="20"/>
              </w:rPr>
              <w:t>Dormandy 2005</w:t>
            </w:r>
            <w:r w:rsidR="0093455B" w:rsidRPr="00835E73">
              <w:rPr>
                <w:rStyle w:val="TableText"/>
                <w:rFonts w:asciiTheme="majorHAnsi" w:hAnsiTheme="majorHAnsi"/>
                <w:szCs w:val="20"/>
                <w:vertAlign w:val="superscript"/>
              </w:rPr>
              <w:t>3</w:t>
            </w:r>
            <w:r>
              <w:rPr>
                <w:rStyle w:val="TableText"/>
                <w:rFonts w:asciiTheme="majorHAnsi" w:hAnsiTheme="majorHAnsi"/>
                <w:szCs w:val="20"/>
              </w:rPr>
              <w:t xml:space="preserve"> </w:t>
            </w:r>
          </w:p>
          <w:p w:rsidR="0015135F" w:rsidRDefault="0015135F" w:rsidP="002A4D15">
            <w:pPr>
              <w:spacing w:before="60" w:after="60" w:line="240" w:lineRule="auto"/>
              <w:rPr>
                <w:rStyle w:val="TableText"/>
                <w:rFonts w:asciiTheme="majorHAnsi" w:hAnsiTheme="majorHAnsi"/>
                <w:szCs w:val="20"/>
              </w:rPr>
            </w:pPr>
            <w:r>
              <w:rPr>
                <w:rStyle w:val="TableText"/>
                <w:rFonts w:asciiTheme="majorHAnsi" w:hAnsiTheme="majorHAnsi"/>
                <w:szCs w:val="20"/>
              </w:rPr>
              <w:t>Doehner 2012</w:t>
            </w:r>
            <w:r w:rsidR="0093455B" w:rsidRPr="00DF4210">
              <w:rPr>
                <w:rStyle w:val="TableText"/>
                <w:rFonts w:asciiTheme="majorHAnsi" w:hAnsiTheme="majorHAnsi"/>
                <w:szCs w:val="20"/>
                <w:vertAlign w:val="superscript"/>
              </w:rPr>
              <w:t>94</w:t>
            </w:r>
          </w:p>
          <w:p w:rsidR="0015135F" w:rsidRPr="002A4D15" w:rsidRDefault="0015135F" w:rsidP="0093455B">
            <w:pPr>
              <w:spacing w:before="60" w:after="60" w:line="240" w:lineRule="auto"/>
              <w:rPr>
                <w:rStyle w:val="TableText"/>
                <w:rFonts w:asciiTheme="majorHAnsi" w:hAnsiTheme="majorHAnsi"/>
                <w:szCs w:val="20"/>
              </w:rPr>
            </w:pPr>
            <w:r w:rsidRPr="002A4D15">
              <w:rPr>
                <w:rStyle w:val="TableText"/>
                <w:rFonts w:asciiTheme="majorHAnsi" w:hAnsiTheme="majorHAnsi"/>
                <w:szCs w:val="20"/>
              </w:rPr>
              <w:t>Erdmann 2010</w:t>
            </w:r>
            <w:r w:rsidR="0093455B" w:rsidRPr="00DF4210">
              <w:rPr>
                <w:rStyle w:val="TableText"/>
                <w:rFonts w:asciiTheme="majorHAnsi" w:hAnsiTheme="majorHAnsi"/>
                <w:szCs w:val="20"/>
                <w:vertAlign w:val="superscript"/>
              </w:rPr>
              <w:t>95</w:t>
            </w:r>
          </w:p>
        </w:tc>
        <w:tc>
          <w:tcPr>
            <w:tcW w:w="708"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5,238</w:t>
            </w:r>
          </w:p>
        </w:tc>
        <w:tc>
          <w:tcPr>
            <w:tcW w:w="993" w:type="dxa"/>
            <w:vAlign w:val="center"/>
          </w:tcPr>
          <w:p w:rsidR="0015135F" w:rsidRDefault="0015135F" w:rsidP="002A4D15">
            <w:pPr>
              <w:spacing w:before="60" w:after="60" w:line="240" w:lineRule="auto"/>
              <w:rPr>
                <w:rStyle w:val="TableText"/>
                <w:rFonts w:asciiTheme="majorHAnsi" w:hAnsiTheme="majorHAnsi"/>
                <w:szCs w:val="20"/>
              </w:rPr>
            </w:pPr>
            <w:r>
              <w:rPr>
                <w:rStyle w:val="TableText"/>
                <w:rFonts w:asciiTheme="majorHAnsi" w:hAnsiTheme="majorHAnsi"/>
                <w:szCs w:val="20"/>
              </w:rPr>
              <w:t>R, DB</w:t>
            </w:r>
          </w:p>
          <w:p w:rsidR="0015135F" w:rsidRPr="002A4D15" w:rsidRDefault="0015135F" w:rsidP="002A4D15">
            <w:pPr>
              <w:spacing w:before="60" w:after="60" w:line="240" w:lineRule="auto"/>
              <w:rPr>
                <w:rFonts w:asciiTheme="majorHAnsi" w:hAnsiTheme="majorHAnsi"/>
                <w:sz w:val="20"/>
                <w:szCs w:val="20"/>
              </w:rPr>
            </w:pPr>
            <w:r w:rsidRPr="002A4D15">
              <w:rPr>
                <w:rStyle w:val="TableText"/>
                <w:rFonts w:asciiTheme="majorHAnsi" w:hAnsiTheme="majorHAnsi"/>
                <w:szCs w:val="20"/>
              </w:rPr>
              <w:t>34.5 mths</w:t>
            </w:r>
          </w:p>
        </w:tc>
        <w:tc>
          <w:tcPr>
            <w:tcW w:w="2268" w:type="dxa"/>
            <w:vAlign w:val="center"/>
          </w:tcPr>
          <w:p w:rsidR="0015135F" w:rsidRPr="002A4D15" w:rsidRDefault="0015135F" w:rsidP="002A4D15">
            <w:pPr>
              <w:spacing w:before="60" w:after="60" w:line="240" w:lineRule="auto"/>
              <w:rPr>
                <w:rFonts w:asciiTheme="majorHAnsi" w:hAnsiTheme="majorHAnsi"/>
                <w:sz w:val="20"/>
                <w:szCs w:val="20"/>
                <w:highlight w:val="yellow"/>
              </w:rPr>
            </w:pPr>
            <w:r w:rsidRPr="002A4D15">
              <w:rPr>
                <w:rStyle w:val="TableText"/>
                <w:rFonts w:asciiTheme="majorHAnsi" w:hAnsiTheme="majorHAnsi"/>
                <w:szCs w:val="20"/>
              </w:rPr>
              <w:t>Macrovascular disease</w:t>
            </w:r>
            <w:r>
              <w:rPr>
                <w:rStyle w:val="TableText"/>
                <w:rFonts w:asciiTheme="majorHAnsi" w:hAnsiTheme="majorHAnsi"/>
                <w:szCs w:val="20"/>
              </w:rPr>
              <w:t>.</w:t>
            </w:r>
          </w:p>
        </w:tc>
        <w:tc>
          <w:tcPr>
            <w:tcW w:w="850"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Low</w:t>
            </w:r>
          </w:p>
        </w:tc>
        <w:tc>
          <w:tcPr>
            <w:tcW w:w="2977"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Composite of all-cause mortality, non-fatal MI, stroke, ACS, endovascular or surgical intervention in the coronary or leg arteries, and amputation above the ankle</w:t>
            </w:r>
            <w:r>
              <w:rPr>
                <w:rFonts w:asciiTheme="majorHAnsi" w:hAnsiTheme="majorHAnsi"/>
                <w:sz w:val="20"/>
                <w:szCs w:val="20"/>
              </w:rPr>
              <w:t>.</w:t>
            </w:r>
          </w:p>
        </w:tc>
        <w:tc>
          <w:tcPr>
            <w:tcW w:w="1701"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HbA</w:t>
            </w:r>
            <w:r w:rsidRPr="002A4D15">
              <w:rPr>
                <w:rFonts w:asciiTheme="majorHAnsi" w:hAnsiTheme="majorHAnsi"/>
                <w:sz w:val="20"/>
                <w:szCs w:val="20"/>
                <w:vertAlign w:val="subscript"/>
              </w:rPr>
              <w:t>1c</w:t>
            </w:r>
            <w:r>
              <w:rPr>
                <w:rFonts w:asciiTheme="majorHAnsi" w:hAnsiTheme="majorHAnsi"/>
                <w:sz w:val="20"/>
                <w:szCs w:val="20"/>
              </w:rPr>
              <w:t>, BW, SAE, CV </w:t>
            </w:r>
            <w:r w:rsidRPr="002A4D15">
              <w:rPr>
                <w:rFonts w:asciiTheme="majorHAnsi" w:hAnsiTheme="majorHAnsi"/>
                <w:sz w:val="20"/>
                <w:szCs w:val="20"/>
              </w:rPr>
              <w:t>events</w:t>
            </w:r>
          </w:p>
        </w:tc>
        <w:tc>
          <w:tcPr>
            <w:tcW w:w="850" w:type="dxa"/>
            <w:vAlign w:val="center"/>
          </w:tcPr>
          <w:p w:rsidR="0015135F" w:rsidRPr="00387857" w:rsidRDefault="0015135F" w:rsidP="009B07ED">
            <w:pPr>
              <w:spacing w:after="0" w:line="240" w:lineRule="auto"/>
              <w:jc w:val="center"/>
              <w:rPr>
                <w:rFonts w:asciiTheme="majorHAnsi" w:hAnsiTheme="majorHAnsi"/>
                <w:sz w:val="20"/>
                <w:szCs w:val="20"/>
              </w:rPr>
            </w:pPr>
            <w:r w:rsidRPr="00387857">
              <w:rPr>
                <w:rFonts w:asciiTheme="majorHAnsi" w:hAnsiTheme="majorHAnsi"/>
                <w:sz w:val="20"/>
                <w:szCs w:val="20"/>
              </w:rPr>
              <w:t>Yes</w:t>
            </w:r>
          </w:p>
        </w:tc>
      </w:tr>
      <w:tr w:rsidR="0015135F" w:rsidRPr="008A72F1" w:rsidTr="0015135F">
        <w:trPr>
          <w:cantSplit/>
          <w:trHeight w:val="20"/>
        </w:trPr>
        <w:tc>
          <w:tcPr>
            <w:tcW w:w="1277" w:type="dxa"/>
            <w:vMerge w:val="restart"/>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EM + DPP-4</w:t>
            </w:r>
          </w:p>
        </w:tc>
        <w:tc>
          <w:tcPr>
            <w:tcW w:w="1275" w:type="dxa"/>
            <w:vMerge w:val="restart"/>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 xml:space="preserve">EM </w:t>
            </w:r>
          </w:p>
        </w:tc>
        <w:tc>
          <w:tcPr>
            <w:tcW w:w="1560" w:type="dxa"/>
            <w:vAlign w:val="center"/>
          </w:tcPr>
          <w:p w:rsidR="0015135F" w:rsidRPr="002A4D15" w:rsidRDefault="0015135F" w:rsidP="0093455B">
            <w:pPr>
              <w:spacing w:before="60" w:after="60" w:line="240" w:lineRule="auto"/>
              <w:rPr>
                <w:rStyle w:val="TableText"/>
                <w:rFonts w:asciiTheme="majorHAnsi" w:hAnsiTheme="majorHAnsi"/>
                <w:szCs w:val="20"/>
              </w:rPr>
            </w:pPr>
            <w:r w:rsidRPr="002A4D15">
              <w:rPr>
                <w:rStyle w:val="TableText"/>
                <w:rFonts w:asciiTheme="majorHAnsi" w:hAnsiTheme="majorHAnsi"/>
                <w:szCs w:val="20"/>
              </w:rPr>
              <w:t>Scir</w:t>
            </w:r>
            <w:r>
              <w:rPr>
                <w:rStyle w:val="TableText"/>
                <w:rFonts w:asciiTheme="majorHAnsi" w:hAnsiTheme="majorHAnsi"/>
                <w:szCs w:val="20"/>
              </w:rPr>
              <w:t>ica 2013</w:t>
            </w:r>
            <w:r w:rsidR="0093455B" w:rsidRPr="00835E73">
              <w:rPr>
                <w:rStyle w:val="TableText"/>
                <w:rFonts w:asciiTheme="majorHAnsi" w:hAnsiTheme="majorHAnsi"/>
                <w:szCs w:val="20"/>
                <w:vertAlign w:val="superscript"/>
              </w:rPr>
              <w:t>4</w:t>
            </w:r>
          </w:p>
        </w:tc>
        <w:tc>
          <w:tcPr>
            <w:tcW w:w="708" w:type="dxa"/>
            <w:vAlign w:val="center"/>
          </w:tcPr>
          <w:p w:rsidR="0015135F" w:rsidRPr="002A4D15" w:rsidRDefault="0015135F" w:rsidP="002A4D15">
            <w:pPr>
              <w:spacing w:before="60" w:after="60" w:line="240" w:lineRule="auto"/>
              <w:rPr>
                <w:rStyle w:val="TableText"/>
                <w:rFonts w:asciiTheme="majorHAnsi" w:hAnsiTheme="majorHAnsi"/>
                <w:szCs w:val="20"/>
              </w:rPr>
            </w:pPr>
            <w:r w:rsidRPr="002A4D15">
              <w:rPr>
                <w:rStyle w:val="TableText"/>
                <w:rFonts w:asciiTheme="majorHAnsi" w:hAnsiTheme="majorHAnsi"/>
                <w:szCs w:val="20"/>
              </w:rPr>
              <w:t>16,492</w:t>
            </w:r>
          </w:p>
        </w:tc>
        <w:tc>
          <w:tcPr>
            <w:tcW w:w="993" w:type="dxa"/>
            <w:vAlign w:val="center"/>
          </w:tcPr>
          <w:p w:rsidR="0015135F" w:rsidRDefault="0015135F" w:rsidP="002A4D15">
            <w:pPr>
              <w:spacing w:before="60" w:after="60" w:line="240" w:lineRule="auto"/>
              <w:rPr>
                <w:rStyle w:val="TableText"/>
                <w:rFonts w:asciiTheme="majorHAnsi" w:hAnsiTheme="majorHAnsi"/>
                <w:szCs w:val="20"/>
              </w:rPr>
            </w:pPr>
            <w:r>
              <w:rPr>
                <w:rStyle w:val="TableText"/>
                <w:rFonts w:asciiTheme="majorHAnsi" w:hAnsiTheme="majorHAnsi"/>
                <w:szCs w:val="20"/>
              </w:rPr>
              <w:t>R, DB, PC</w:t>
            </w:r>
          </w:p>
          <w:p w:rsidR="0015135F" w:rsidRPr="002A4D15" w:rsidRDefault="0015135F" w:rsidP="002A4D15">
            <w:pPr>
              <w:spacing w:before="60" w:after="60" w:line="240" w:lineRule="auto"/>
              <w:rPr>
                <w:rStyle w:val="TableText"/>
                <w:rFonts w:asciiTheme="majorHAnsi" w:hAnsiTheme="majorHAnsi"/>
                <w:szCs w:val="20"/>
              </w:rPr>
            </w:pPr>
            <w:r w:rsidRPr="002A4D15">
              <w:rPr>
                <w:rStyle w:val="TableText"/>
                <w:rFonts w:asciiTheme="majorHAnsi" w:hAnsiTheme="majorHAnsi"/>
                <w:szCs w:val="20"/>
              </w:rPr>
              <w:t>2.1 y</w:t>
            </w:r>
            <w:r>
              <w:rPr>
                <w:rStyle w:val="TableText"/>
                <w:rFonts w:asciiTheme="majorHAnsi" w:hAnsiTheme="majorHAnsi"/>
                <w:szCs w:val="20"/>
              </w:rPr>
              <w:t>ea</w:t>
            </w:r>
            <w:r w:rsidRPr="002A4D15">
              <w:rPr>
                <w:rStyle w:val="TableText"/>
                <w:rFonts w:asciiTheme="majorHAnsi" w:hAnsiTheme="majorHAnsi"/>
                <w:szCs w:val="20"/>
              </w:rPr>
              <w:t>rs</w:t>
            </w:r>
          </w:p>
        </w:tc>
        <w:tc>
          <w:tcPr>
            <w:tcW w:w="2268" w:type="dxa"/>
            <w:vAlign w:val="center"/>
          </w:tcPr>
          <w:p w:rsidR="0015135F" w:rsidRPr="002A4D15" w:rsidRDefault="0015135F" w:rsidP="002A4D15">
            <w:pPr>
              <w:spacing w:before="60" w:after="60" w:line="240" w:lineRule="auto"/>
              <w:rPr>
                <w:rFonts w:asciiTheme="majorHAnsi" w:hAnsiTheme="majorHAnsi"/>
                <w:sz w:val="20"/>
                <w:szCs w:val="20"/>
                <w:highlight w:val="yellow"/>
              </w:rPr>
            </w:pPr>
            <w:r w:rsidRPr="002A4D15">
              <w:rPr>
                <w:rStyle w:val="TableText"/>
                <w:rFonts w:asciiTheme="majorHAnsi" w:hAnsiTheme="majorHAnsi"/>
                <w:szCs w:val="20"/>
              </w:rPr>
              <w:t>CVD or multiple risk factors for vascular disease</w:t>
            </w:r>
            <w:r>
              <w:rPr>
                <w:rStyle w:val="TableText"/>
                <w:rFonts w:asciiTheme="majorHAnsi" w:hAnsiTheme="majorHAnsi"/>
                <w:szCs w:val="20"/>
              </w:rPr>
              <w:t>.</w:t>
            </w:r>
          </w:p>
        </w:tc>
        <w:tc>
          <w:tcPr>
            <w:tcW w:w="850"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Low</w:t>
            </w:r>
          </w:p>
        </w:tc>
        <w:tc>
          <w:tcPr>
            <w:tcW w:w="2977" w:type="dxa"/>
            <w:vAlign w:val="center"/>
          </w:tcPr>
          <w:p w:rsidR="0015135F" w:rsidRPr="002A4D15" w:rsidRDefault="0015135F" w:rsidP="002A4D15">
            <w:pPr>
              <w:spacing w:before="60" w:after="60" w:line="240" w:lineRule="auto"/>
              <w:rPr>
                <w:rFonts w:asciiTheme="majorHAnsi" w:hAnsiTheme="majorHAnsi" w:cs="Times New Roman"/>
                <w:sz w:val="20"/>
                <w:szCs w:val="20"/>
              </w:rPr>
            </w:pPr>
            <w:r w:rsidRPr="002A4D15">
              <w:rPr>
                <w:rFonts w:asciiTheme="majorHAnsi" w:hAnsiTheme="majorHAnsi" w:cs="Times New Roman"/>
                <w:sz w:val="20"/>
                <w:szCs w:val="20"/>
              </w:rPr>
              <w:t>Composite of CV death, MI or ischaemic stroke</w:t>
            </w:r>
            <w:r>
              <w:rPr>
                <w:rFonts w:asciiTheme="majorHAnsi" w:hAnsiTheme="majorHAnsi" w:cs="Times New Roman"/>
                <w:sz w:val="20"/>
                <w:szCs w:val="20"/>
              </w:rPr>
              <w:t>.</w:t>
            </w:r>
          </w:p>
        </w:tc>
        <w:tc>
          <w:tcPr>
            <w:tcW w:w="1701"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HbA1c, Hypo-G, Pan, CV events</w:t>
            </w:r>
          </w:p>
        </w:tc>
        <w:tc>
          <w:tcPr>
            <w:tcW w:w="850" w:type="dxa"/>
            <w:vAlign w:val="center"/>
          </w:tcPr>
          <w:p w:rsidR="0015135F" w:rsidRPr="00387857" w:rsidRDefault="0015135F" w:rsidP="009B07ED">
            <w:pPr>
              <w:spacing w:after="0" w:line="240" w:lineRule="auto"/>
              <w:jc w:val="center"/>
              <w:rPr>
                <w:rFonts w:asciiTheme="majorHAnsi" w:hAnsiTheme="majorHAnsi"/>
                <w:sz w:val="20"/>
                <w:szCs w:val="20"/>
              </w:rPr>
            </w:pPr>
            <w:r w:rsidRPr="00387857">
              <w:rPr>
                <w:rFonts w:asciiTheme="majorHAnsi" w:hAnsiTheme="majorHAnsi"/>
                <w:sz w:val="20"/>
                <w:szCs w:val="20"/>
              </w:rPr>
              <w:t>Yes</w:t>
            </w:r>
          </w:p>
        </w:tc>
      </w:tr>
      <w:tr w:rsidR="0015135F" w:rsidRPr="008A72F1" w:rsidTr="0015135F">
        <w:trPr>
          <w:cantSplit/>
          <w:trHeight w:val="20"/>
        </w:trPr>
        <w:tc>
          <w:tcPr>
            <w:tcW w:w="1277" w:type="dxa"/>
            <w:vMerge/>
            <w:vAlign w:val="center"/>
          </w:tcPr>
          <w:p w:rsidR="0015135F" w:rsidRPr="002A4D15" w:rsidRDefault="0015135F" w:rsidP="002A4D15">
            <w:pPr>
              <w:spacing w:before="60" w:after="60" w:line="240" w:lineRule="auto"/>
              <w:rPr>
                <w:rFonts w:asciiTheme="majorHAnsi" w:hAnsiTheme="majorHAnsi"/>
                <w:sz w:val="20"/>
                <w:szCs w:val="20"/>
              </w:rPr>
            </w:pPr>
          </w:p>
        </w:tc>
        <w:tc>
          <w:tcPr>
            <w:tcW w:w="1275" w:type="dxa"/>
            <w:vMerge/>
            <w:vAlign w:val="center"/>
          </w:tcPr>
          <w:p w:rsidR="0015135F" w:rsidRPr="002A4D15" w:rsidRDefault="0015135F" w:rsidP="002A4D15">
            <w:pPr>
              <w:spacing w:before="60" w:after="60" w:line="240" w:lineRule="auto"/>
              <w:rPr>
                <w:rFonts w:asciiTheme="majorHAnsi" w:hAnsiTheme="majorHAnsi"/>
                <w:sz w:val="20"/>
                <w:szCs w:val="20"/>
              </w:rPr>
            </w:pPr>
          </w:p>
        </w:tc>
        <w:tc>
          <w:tcPr>
            <w:tcW w:w="1560" w:type="dxa"/>
            <w:vAlign w:val="center"/>
          </w:tcPr>
          <w:p w:rsidR="0015135F" w:rsidRPr="002A4D15" w:rsidRDefault="0015135F" w:rsidP="0093455B">
            <w:pPr>
              <w:spacing w:before="60" w:after="60" w:line="240" w:lineRule="auto"/>
              <w:rPr>
                <w:rStyle w:val="TableText"/>
                <w:rFonts w:asciiTheme="majorHAnsi" w:hAnsiTheme="majorHAnsi"/>
                <w:szCs w:val="20"/>
              </w:rPr>
            </w:pPr>
            <w:r>
              <w:rPr>
                <w:rStyle w:val="TableText"/>
                <w:rFonts w:asciiTheme="majorHAnsi" w:hAnsiTheme="majorHAnsi"/>
                <w:szCs w:val="20"/>
              </w:rPr>
              <w:t>White 2013</w:t>
            </w:r>
            <w:r w:rsidR="0093455B" w:rsidRPr="00835E73">
              <w:rPr>
                <w:rStyle w:val="TableText"/>
                <w:rFonts w:asciiTheme="majorHAnsi" w:hAnsiTheme="majorHAnsi"/>
                <w:szCs w:val="20"/>
                <w:vertAlign w:val="superscript"/>
              </w:rPr>
              <w:t>5</w:t>
            </w:r>
          </w:p>
        </w:tc>
        <w:tc>
          <w:tcPr>
            <w:tcW w:w="708" w:type="dxa"/>
            <w:vAlign w:val="center"/>
          </w:tcPr>
          <w:p w:rsidR="0015135F" w:rsidRPr="002A4D15" w:rsidRDefault="0015135F" w:rsidP="002A4D15">
            <w:pPr>
              <w:spacing w:before="60" w:after="60" w:line="240" w:lineRule="auto"/>
              <w:rPr>
                <w:rStyle w:val="TableText"/>
                <w:rFonts w:asciiTheme="majorHAnsi" w:hAnsiTheme="majorHAnsi"/>
                <w:szCs w:val="20"/>
              </w:rPr>
            </w:pPr>
            <w:r w:rsidRPr="002A4D15">
              <w:rPr>
                <w:rStyle w:val="TableText"/>
                <w:rFonts w:asciiTheme="majorHAnsi" w:hAnsiTheme="majorHAnsi"/>
                <w:szCs w:val="20"/>
              </w:rPr>
              <w:t>5,380</w:t>
            </w:r>
          </w:p>
        </w:tc>
        <w:tc>
          <w:tcPr>
            <w:tcW w:w="993" w:type="dxa"/>
            <w:vAlign w:val="center"/>
          </w:tcPr>
          <w:p w:rsidR="0015135F" w:rsidRDefault="0015135F" w:rsidP="003D35F2">
            <w:pPr>
              <w:spacing w:before="60" w:after="60" w:line="240" w:lineRule="auto"/>
              <w:rPr>
                <w:rStyle w:val="TableText"/>
                <w:rFonts w:asciiTheme="majorHAnsi" w:hAnsiTheme="majorHAnsi"/>
                <w:szCs w:val="20"/>
              </w:rPr>
            </w:pPr>
            <w:r>
              <w:rPr>
                <w:rStyle w:val="TableText"/>
                <w:rFonts w:asciiTheme="majorHAnsi" w:hAnsiTheme="majorHAnsi"/>
                <w:szCs w:val="20"/>
              </w:rPr>
              <w:t>R, DB, PC</w:t>
            </w:r>
          </w:p>
          <w:p w:rsidR="0015135F" w:rsidRPr="002A4D15" w:rsidRDefault="0015135F" w:rsidP="002A4D15">
            <w:pPr>
              <w:spacing w:before="60" w:after="60" w:line="240" w:lineRule="auto"/>
              <w:rPr>
                <w:rStyle w:val="TableText"/>
                <w:rFonts w:asciiTheme="majorHAnsi" w:hAnsiTheme="majorHAnsi"/>
                <w:szCs w:val="20"/>
              </w:rPr>
            </w:pPr>
            <w:r w:rsidRPr="002A4D15">
              <w:rPr>
                <w:rStyle w:val="TableText"/>
                <w:rFonts w:asciiTheme="majorHAnsi" w:hAnsiTheme="majorHAnsi"/>
                <w:szCs w:val="20"/>
              </w:rPr>
              <w:t>18 mths</w:t>
            </w:r>
          </w:p>
        </w:tc>
        <w:tc>
          <w:tcPr>
            <w:tcW w:w="2268" w:type="dxa"/>
            <w:vAlign w:val="center"/>
          </w:tcPr>
          <w:p w:rsidR="0015135F" w:rsidRPr="002A4D15" w:rsidRDefault="0015135F" w:rsidP="002A4D15">
            <w:pPr>
              <w:spacing w:before="60" w:after="60" w:line="240" w:lineRule="auto"/>
              <w:rPr>
                <w:rFonts w:asciiTheme="majorHAnsi" w:hAnsiTheme="majorHAnsi"/>
                <w:sz w:val="20"/>
                <w:szCs w:val="20"/>
                <w:highlight w:val="yellow"/>
              </w:rPr>
            </w:pPr>
            <w:r w:rsidRPr="002A4D15">
              <w:rPr>
                <w:rStyle w:val="TableText"/>
                <w:rFonts w:asciiTheme="majorHAnsi" w:hAnsiTheme="majorHAnsi"/>
                <w:szCs w:val="20"/>
              </w:rPr>
              <w:t>Recent ACS</w:t>
            </w:r>
          </w:p>
        </w:tc>
        <w:tc>
          <w:tcPr>
            <w:tcW w:w="850"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Low</w:t>
            </w:r>
          </w:p>
        </w:tc>
        <w:tc>
          <w:tcPr>
            <w:tcW w:w="2977" w:type="dxa"/>
            <w:vAlign w:val="center"/>
          </w:tcPr>
          <w:p w:rsidR="0015135F" w:rsidRPr="002A4D15" w:rsidRDefault="0015135F" w:rsidP="002A4D15">
            <w:pPr>
              <w:spacing w:before="60" w:after="60" w:line="240" w:lineRule="auto"/>
              <w:rPr>
                <w:rFonts w:asciiTheme="majorHAnsi" w:hAnsiTheme="majorHAnsi" w:cs="Times New Roman"/>
                <w:sz w:val="20"/>
                <w:szCs w:val="20"/>
              </w:rPr>
            </w:pPr>
            <w:r w:rsidRPr="002A4D15">
              <w:rPr>
                <w:rFonts w:asciiTheme="majorHAnsi" w:hAnsiTheme="majorHAnsi" w:cs="Times New Roman"/>
                <w:sz w:val="20"/>
                <w:szCs w:val="20"/>
              </w:rPr>
              <w:t>Composite of death from CV</w:t>
            </w:r>
            <w:r w:rsidRPr="002A4D15">
              <w:rPr>
                <w:rFonts w:asciiTheme="majorHAnsi" w:hAnsiTheme="majorHAnsi"/>
                <w:sz w:val="20"/>
                <w:szCs w:val="20"/>
              </w:rPr>
              <w:t>D</w:t>
            </w:r>
            <w:r w:rsidRPr="002A4D15">
              <w:rPr>
                <w:rFonts w:asciiTheme="majorHAnsi" w:hAnsiTheme="majorHAnsi" w:cs="Times New Roman"/>
                <w:sz w:val="20"/>
                <w:szCs w:val="20"/>
              </w:rPr>
              <w:t>, non-fatal MI or non-fatal stroke</w:t>
            </w:r>
            <w:r>
              <w:rPr>
                <w:rFonts w:asciiTheme="majorHAnsi" w:hAnsiTheme="majorHAnsi" w:cs="Times New Roman"/>
                <w:sz w:val="20"/>
                <w:szCs w:val="20"/>
              </w:rPr>
              <w:t>.</w:t>
            </w:r>
          </w:p>
        </w:tc>
        <w:tc>
          <w:tcPr>
            <w:tcW w:w="1701"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HbA1c, BW, SAE, Pan, CV events</w:t>
            </w:r>
          </w:p>
        </w:tc>
        <w:tc>
          <w:tcPr>
            <w:tcW w:w="850" w:type="dxa"/>
            <w:vAlign w:val="center"/>
          </w:tcPr>
          <w:p w:rsidR="0015135F" w:rsidRPr="00387857" w:rsidRDefault="0015135F" w:rsidP="009B07ED">
            <w:pPr>
              <w:spacing w:after="0" w:line="240" w:lineRule="auto"/>
              <w:jc w:val="center"/>
              <w:rPr>
                <w:rFonts w:asciiTheme="majorHAnsi" w:hAnsiTheme="majorHAnsi"/>
                <w:sz w:val="20"/>
                <w:szCs w:val="20"/>
              </w:rPr>
            </w:pPr>
            <w:r w:rsidRPr="00387857">
              <w:rPr>
                <w:rFonts w:asciiTheme="majorHAnsi" w:hAnsiTheme="majorHAnsi"/>
                <w:sz w:val="20"/>
                <w:szCs w:val="20"/>
              </w:rPr>
              <w:t>Yes</w:t>
            </w:r>
          </w:p>
        </w:tc>
      </w:tr>
      <w:tr w:rsidR="0015135F" w:rsidRPr="008A72F1" w:rsidTr="0015135F">
        <w:trPr>
          <w:cantSplit/>
          <w:trHeight w:val="20"/>
        </w:trPr>
        <w:tc>
          <w:tcPr>
            <w:tcW w:w="1277"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EM + GLP-1</w:t>
            </w:r>
          </w:p>
        </w:tc>
        <w:tc>
          <w:tcPr>
            <w:tcW w:w="1275"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EM</w:t>
            </w:r>
            <w:r>
              <w:rPr>
                <w:rFonts w:asciiTheme="majorHAnsi" w:hAnsiTheme="majorHAnsi"/>
                <w:sz w:val="20"/>
                <w:szCs w:val="20"/>
              </w:rPr>
              <w:t xml:space="preserve"> + GLP-1</w:t>
            </w:r>
          </w:p>
        </w:tc>
        <w:tc>
          <w:tcPr>
            <w:tcW w:w="1560" w:type="dxa"/>
            <w:vAlign w:val="center"/>
          </w:tcPr>
          <w:p w:rsidR="0015135F" w:rsidRPr="002A4D15" w:rsidRDefault="0015135F" w:rsidP="0093455B">
            <w:pPr>
              <w:spacing w:before="60" w:after="60" w:line="240" w:lineRule="auto"/>
              <w:rPr>
                <w:rStyle w:val="TableText"/>
                <w:rFonts w:asciiTheme="majorHAnsi" w:hAnsiTheme="majorHAnsi"/>
                <w:szCs w:val="20"/>
                <w:lang w:eastAsia="en-AU"/>
              </w:rPr>
            </w:pPr>
            <w:r>
              <w:rPr>
                <w:rStyle w:val="TableText"/>
                <w:rFonts w:asciiTheme="majorHAnsi" w:hAnsiTheme="majorHAnsi"/>
                <w:szCs w:val="20"/>
              </w:rPr>
              <w:t>Ji 2013</w:t>
            </w:r>
            <w:r w:rsidR="0093455B" w:rsidRPr="00DF4210">
              <w:rPr>
                <w:rStyle w:val="TableText"/>
                <w:rFonts w:asciiTheme="majorHAnsi" w:hAnsiTheme="majorHAnsi"/>
                <w:szCs w:val="20"/>
                <w:vertAlign w:val="superscript"/>
              </w:rPr>
              <w:t>89</w:t>
            </w:r>
          </w:p>
        </w:tc>
        <w:tc>
          <w:tcPr>
            <w:tcW w:w="708"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Style w:val="TableText"/>
                <w:rFonts w:asciiTheme="majorHAnsi" w:hAnsiTheme="majorHAnsi"/>
                <w:szCs w:val="20"/>
              </w:rPr>
              <w:t>681</w:t>
            </w:r>
          </w:p>
        </w:tc>
        <w:tc>
          <w:tcPr>
            <w:tcW w:w="993" w:type="dxa"/>
            <w:vAlign w:val="center"/>
          </w:tcPr>
          <w:p w:rsidR="0015135F" w:rsidRDefault="0015135F" w:rsidP="003D35F2">
            <w:pPr>
              <w:spacing w:before="60" w:after="60" w:line="240" w:lineRule="auto"/>
              <w:rPr>
                <w:rFonts w:asciiTheme="majorHAnsi" w:hAnsiTheme="majorHAnsi"/>
                <w:sz w:val="20"/>
                <w:szCs w:val="20"/>
              </w:rPr>
            </w:pPr>
            <w:r>
              <w:rPr>
                <w:rFonts w:asciiTheme="majorHAnsi" w:hAnsiTheme="majorHAnsi"/>
                <w:sz w:val="20"/>
                <w:szCs w:val="20"/>
              </w:rPr>
              <w:t>R, OL</w:t>
            </w:r>
          </w:p>
          <w:p w:rsidR="0015135F" w:rsidRPr="002A4D15" w:rsidRDefault="0015135F" w:rsidP="002A4D15">
            <w:pPr>
              <w:spacing w:before="60" w:after="60" w:line="240" w:lineRule="auto"/>
              <w:rPr>
                <w:rStyle w:val="TableText"/>
                <w:rFonts w:asciiTheme="majorHAnsi" w:hAnsiTheme="majorHAnsi"/>
                <w:szCs w:val="20"/>
              </w:rPr>
            </w:pPr>
            <w:r w:rsidRPr="002A4D15">
              <w:rPr>
                <w:rStyle w:val="TableText"/>
                <w:rFonts w:asciiTheme="majorHAnsi" w:hAnsiTheme="majorHAnsi"/>
                <w:szCs w:val="20"/>
              </w:rPr>
              <w:t>26 w</w:t>
            </w:r>
            <w:r>
              <w:rPr>
                <w:rStyle w:val="TableText"/>
                <w:rFonts w:asciiTheme="majorHAnsi" w:hAnsiTheme="majorHAnsi"/>
                <w:szCs w:val="20"/>
              </w:rPr>
              <w:t>ee</w:t>
            </w:r>
            <w:r w:rsidRPr="002A4D15">
              <w:rPr>
                <w:rStyle w:val="TableText"/>
                <w:rFonts w:asciiTheme="majorHAnsi" w:hAnsiTheme="majorHAnsi"/>
                <w:szCs w:val="20"/>
              </w:rPr>
              <w:t>ks</w:t>
            </w:r>
          </w:p>
        </w:tc>
        <w:tc>
          <w:tcPr>
            <w:tcW w:w="2268"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Type 2 diabetes</w:t>
            </w:r>
          </w:p>
        </w:tc>
        <w:tc>
          <w:tcPr>
            <w:tcW w:w="850"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Unclear</w:t>
            </w:r>
          </w:p>
        </w:tc>
        <w:tc>
          <w:tcPr>
            <w:tcW w:w="2977"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HbA</w:t>
            </w:r>
            <w:r w:rsidRPr="002A4D15">
              <w:rPr>
                <w:rFonts w:asciiTheme="majorHAnsi" w:hAnsiTheme="majorHAnsi"/>
                <w:sz w:val="20"/>
                <w:szCs w:val="20"/>
                <w:vertAlign w:val="subscript"/>
              </w:rPr>
              <w:t>1c</w:t>
            </w:r>
          </w:p>
        </w:tc>
        <w:tc>
          <w:tcPr>
            <w:tcW w:w="1701"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BW, AE, SAE, Hypo-G</w:t>
            </w:r>
          </w:p>
        </w:tc>
        <w:tc>
          <w:tcPr>
            <w:tcW w:w="850" w:type="dxa"/>
            <w:vAlign w:val="center"/>
          </w:tcPr>
          <w:p w:rsidR="0015135F" w:rsidRPr="00387857" w:rsidRDefault="0015135F" w:rsidP="009B07ED">
            <w:pPr>
              <w:spacing w:after="0" w:line="240" w:lineRule="auto"/>
              <w:jc w:val="center"/>
              <w:rPr>
                <w:rFonts w:asciiTheme="majorHAnsi" w:hAnsiTheme="majorHAnsi"/>
                <w:sz w:val="20"/>
                <w:szCs w:val="20"/>
              </w:rPr>
            </w:pPr>
            <w:r w:rsidRPr="00387857">
              <w:rPr>
                <w:rFonts w:asciiTheme="majorHAnsi" w:hAnsiTheme="majorHAnsi"/>
                <w:sz w:val="20"/>
                <w:szCs w:val="20"/>
              </w:rPr>
              <w:t>Yes</w:t>
            </w:r>
          </w:p>
        </w:tc>
      </w:tr>
      <w:tr w:rsidR="0015135F" w:rsidRPr="008A72F1" w:rsidTr="0015135F">
        <w:trPr>
          <w:cantSplit/>
          <w:trHeight w:val="20"/>
        </w:trPr>
        <w:tc>
          <w:tcPr>
            <w:tcW w:w="1277" w:type="dxa"/>
            <w:vAlign w:val="center"/>
          </w:tcPr>
          <w:p w:rsidR="0015135F" w:rsidRPr="002A4D15" w:rsidRDefault="0015135F" w:rsidP="002A4D15">
            <w:pPr>
              <w:spacing w:before="60" w:after="60" w:line="240" w:lineRule="auto"/>
              <w:rPr>
                <w:rFonts w:asciiTheme="majorHAnsi" w:hAnsiTheme="majorHAnsi"/>
                <w:sz w:val="20"/>
                <w:szCs w:val="20"/>
              </w:rPr>
            </w:pPr>
            <w:r>
              <w:rPr>
                <w:rFonts w:asciiTheme="majorHAnsi" w:hAnsiTheme="majorHAnsi"/>
                <w:sz w:val="20"/>
                <w:szCs w:val="20"/>
              </w:rPr>
              <w:t>EM + GLP-1</w:t>
            </w:r>
          </w:p>
        </w:tc>
        <w:tc>
          <w:tcPr>
            <w:tcW w:w="1275"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EM + GLP-1</w:t>
            </w:r>
          </w:p>
        </w:tc>
        <w:tc>
          <w:tcPr>
            <w:tcW w:w="1560" w:type="dxa"/>
            <w:vAlign w:val="center"/>
          </w:tcPr>
          <w:p w:rsidR="0015135F" w:rsidRPr="002A4D15" w:rsidRDefault="0015135F" w:rsidP="0093455B">
            <w:pPr>
              <w:spacing w:before="60" w:after="60" w:line="240" w:lineRule="auto"/>
              <w:rPr>
                <w:rStyle w:val="TableText"/>
                <w:rFonts w:asciiTheme="majorHAnsi" w:hAnsiTheme="majorHAnsi"/>
                <w:szCs w:val="20"/>
                <w:lang w:eastAsia="en-AU"/>
              </w:rPr>
            </w:pPr>
            <w:r>
              <w:rPr>
                <w:rStyle w:val="TableText"/>
                <w:rFonts w:asciiTheme="majorHAnsi" w:hAnsiTheme="majorHAnsi"/>
                <w:szCs w:val="20"/>
              </w:rPr>
              <w:t>Buse 2013</w:t>
            </w:r>
            <w:r w:rsidR="0093455B" w:rsidRPr="00DF4210">
              <w:rPr>
                <w:rStyle w:val="TableText"/>
                <w:rFonts w:asciiTheme="majorHAnsi" w:hAnsiTheme="majorHAnsi"/>
                <w:szCs w:val="20"/>
                <w:vertAlign w:val="superscript"/>
              </w:rPr>
              <w:t>90</w:t>
            </w:r>
          </w:p>
        </w:tc>
        <w:tc>
          <w:tcPr>
            <w:tcW w:w="708"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Style w:val="TableText"/>
                <w:rFonts w:asciiTheme="majorHAnsi" w:hAnsiTheme="majorHAnsi"/>
                <w:szCs w:val="20"/>
              </w:rPr>
              <w:t>911</w:t>
            </w:r>
          </w:p>
        </w:tc>
        <w:tc>
          <w:tcPr>
            <w:tcW w:w="993" w:type="dxa"/>
            <w:vAlign w:val="center"/>
          </w:tcPr>
          <w:p w:rsidR="0015135F" w:rsidRDefault="0015135F" w:rsidP="003D35F2">
            <w:pPr>
              <w:spacing w:before="60" w:after="60" w:line="240" w:lineRule="auto"/>
              <w:rPr>
                <w:rFonts w:asciiTheme="majorHAnsi" w:hAnsiTheme="majorHAnsi"/>
                <w:sz w:val="20"/>
                <w:szCs w:val="20"/>
              </w:rPr>
            </w:pPr>
            <w:r>
              <w:rPr>
                <w:rFonts w:asciiTheme="majorHAnsi" w:hAnsiTheme="majorHAnsi"/>
                <w:sz w:val="20"/>
                <w:szCs w:val="20"/>
              </w:rPr>
              <w:t>R, OL</w:t>
            </w:r>
          </w:p>
          <w:p w:rsidR="0015135F" w:rsidRPr="002A4D15" w:rsidRDefault="0015135F" w:rsidP="002A4D15">
            <w:pPr>
              <w:spacing w:before="60" w:after="60" w:line="240" w:lineRule="auto"/>
              <w:rPr>
                <w:rFonts w:asciiTheme="majorHAnsi" w:hAnsiTheme="majorHAnsi"/>
                <w:sz w:val="20"/>
                <w:szCs w:val="20"/>
              </w:rPr>
            </w:pPr>
            <w:r w:rsidRPr="002A4D15">
              <w:rPr>
                <w:rStyle w:val="TableText"/>
                <w:rFonts w:asciiTheme="majorHAnsi" w:hAnsiTheme="majorHAnsi"/>
                <w:szCs w:val="20"/>
              </w:rPr>
              <w:t>26 w</w:t>
            </w:r>
            <w:r>
              <w:rPr>
                <w:rStyle w:val="TableText"/>
                <w:rFonts w:asciiTheme="majorHAnsi" w:hAnsiTheme="majorHAnsi"/>
                <w:szCs w:val="20"/>
              </w:rPr>
              <w:t>ee</w:t>
            </w:r>
            <w:r w:rsidRPr="002A4D15">
              <w:rPr>
                <w:rStyle w:val="TableText"/>
                <w:rFonts w:asciiTheme="majorHAnsi" w:hAnsiTheme="majorHAnsi"/>
                <w:szCs w:val="20"/>
              </w:rPr>
              <w:t>ks</w:t>
            </w:r>
          </w:p>
        </w:tc>
        <w:tc>
          <w:tcPr>
            <w:tcW w:w="2268"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Type 2 diabetes</w:t>
            </w:r>
          </w:p>
        </w:tc>
        <w:tc>
          <w:tcPr>
            <w:tcW w:w="850"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Unclear</w:t>
            </w:r>
          </w:p>
        </w:tc>
        <w:tc>
          <w:tcPr>
            <w:tcW w:w="2977"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HbA</w:t>
            </w:r>
            <w:r w:rsidRPr="002A4D15">
              <w:rPr>
                <w:rFonts w:asciiTheme="majorHAnsi" w:hAnsiTheme="majorHAnsi"/>
                <w:sz w:val="20"/>
                <w:szCs w:val="20"/>
                <w:vertAlign w:val="subscript"/>
              </w:rPr>
              <w:t>1c</w:t>
            </w:r>
          </w:p>
        </w:tc>
        <w:tc>
          <w:tcPr>
            <w:tcW w:w="1701"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BW, AE, Hypo-G</w:t>
            </w:r>
          </w:p>
        </w:tc>
        <w:tc>
          <w:tcPr>
            <w:tcW w:w="850" w:type="dxa"/>
            <w:vAlign w:val="center"/>
          </w:tcPr>
          <w:p w:rsidR="0015135F" w:rsidRPr="00387857" w:rsidRDefault="0015135F" w:rsidP="009B07ED">
            <w:pPr>
              <w:spacing w:after="0" w:line="240" w:lineRule="auto"/>
              <w:jc w:val="center"/>
              <w:rPr>
                <w:rFonts w:asciiTheme="majorHAnsi" w:hAnsiTheme="majorHAnsi"/>
                <w:sz w:val="20"/>
                <w:szCs w:val="20"/>
              </w:rPr>
            </w:pPr>
            <w:r w:rsidRPr="00387857">
              <w:rPr>
                <w:rFonts w:asciiTheme="majorHAnsi" w:hAnsiTheme="majorHAnsi"/>
                <w:sz w:val="20"/>
                <w:szCs w:val="20"/>
              </w:rPr>
              <w:t>Yes</w:t>
            </w:r>
          </w:p>
        </w:tc>
      </w:tr>
      <w:tr w:rsidR="0015135F" w:rsidRPr="008A72F1" w:rsidTr="0015135F">
        <w:trPr>
          <w:cantSplit/>
          <w:trHeight w:val="20"/>
        </w:trPr>
        <w:tc>
          <w:tcPr>
            <w:tcW w:w="1277"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EM + INS</w:t>
            </w:r>
          </w:p>
        </w:tc>
        <w:tc>
          <w:tcPr>
            <w:tcW w:w="1275"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EM + INS</w:t>
            </w:r>
          </w:p>
        </w:tc>
        <w:tc>
          <w:tcPr>
            <w:tcW w:w="1560" w:type="dxa"/>
            <w:vAlign w:val="center"/>
          </w:tcPr>
          <w:p w:rsidR="0015135F" w:rsidRDefault="0015135F" w:rsidP="002A4D15">
            <w:pPr>
              <w:spacing w:before="60" w:after="60" w:line="240" w:lineRule="auto"/>
              <w:rPr>
                <w:rStyle w:val="TableText"/>
                <w:rFonts w:asciiTheme="majorHAnsi" w:hAnsiTheme="majorHAnsi"/>
                <w:szCs w:val="20"/>
              </w:rPr>
            </w:pPr>
            <w:r w:rsidRPr="002A4D15">
              <w:rPr>
                <w:rStyle w:val="TableText"/>
                <w:rFonts w:asciiTheme="majorHAnsi" w:hAnsiTheme="majorHAnsi"/>
                <w:szCs w:val="20"/>
              </w:rPr>
              <w:t>Buse 200</w:t>
            </w:r>
            <w:r>
              <w:rPr>
                <w:rStyle w:val="TableText"/>
                <w:rFonts w:asciiTheme="majorHAnsi" w:hAnsiTheme="majorHAnsi"/>
                <w:szCs w:val="20"/>
              </w:rPr>
              <w:t>9</w:t>
            </w:r>
            <w:r w:rsidR="0093455B" w:rsidRPr="00DF4210">
              <w:rPr>
                <w:rStyle w:val="TableText"/>
                <w:rFonts w:asciiTheme="majorHAnsi" w:hAnsiTheme="majorHAnsi"/>
                <w:szCs w:val="20"/>
                <w:vertAlign w:val="superscript"/>
              </w:rPr>
              <w:t>92</w:t>
            </w:r>
          </w:p>
          <w:p w:rsidR="0015135F" w:rsidRPr="002A4D15" w:rsidRDefault="0015135F" w:rsidP="0093455B">
            <w:pPr>
              <w:spacing w:before="60" w:after="60" w:line="240" w:lineRule="auto"/>
              <w:rPr>
                <w:rStyle w:val="TableText"/>
                <w:rFonts w:asciiTheme="majorHAnsi" w:hAnsiTheme="majorHAnsi"/>
                <w:szCs w:val="20"/>
              </w:rPr>
            </w:pPr>
            <w:r>
              <w:rPr>
                <w:rStyle w:val="TableText"/>
                <w:rFonts w:asciiTheme="majorHAnsi" w:hAnsiTheme="majorHAnsi"/>
                <w:szCs w:val="20"/>
              </w:rPr>
              <w:t>Herman 2011</w:t>
            </w:r>
            <w:r w:rsidR="0093455B" w:rsidRPr="00DF4210">
              <w:rPr>
                <w:rStyle w:val="TableText"/>
                <w:rFonts w:asciiTheme="majorHAnsi" w:hAnsiTheme="majorHAnsi"/>
                <w:szCs w:val="20"/>
                <w:vertAlign w:val="superscript"/>
              </w:rPr>
              <w:t>96</w:t>
            </w:r>
          </w:p>
        </w:tc>
        <w:tc>
          <w:tcPr>
            <w:tcW w:w="708"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2,091</w:t>
            </w:r>
          </w:p>
        </w:tc>
        <w:tc>
          <w:tcPr>
            <w:tcW w:w="993" w:type="dxa"/>
            <w:vAlign w:val="center"/>
          </w:tcPr>
          <w:p w:rsidR="0015135F" w:rsidRDefault="0015135F" w:rsidP="003D35F2">
            <w:pPr>
              <w:spacing w:before="60" w:after="60" w:line="240" w:lineRule="auto"/>
              <w:rPr>
                <w:rFonts w:asciiTheme="majorHAnsi" w:hAnsiTheme="majorHAnsi"/>
                <w:sz w:val="20"/>
                <w:szCs w:val="20"/>
              </w:rPr>
            </w:pPr>
            <w:r>
              <w:rPr>
                <w:rFonts w:asciiTheme="majorHAnsi" w:hAnsiTheme="majorHAnsi"/>
                <w:sz w:val="20"/>
                <w:szCs w:val="20"/>
              </w:rPr>
              <w:t>R, OL</w:t>
            </w:r>
          </w:p>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24 w</w:t>
            </w:r>
            <w:r>
              <w:rPr>
                <w:rFonts w:asciiTheme="majorHAnsi" w:hAnsiTheme="majorHAnsi"/>
                <w:sz w:val="20"/>
                <w:szCs w:val="20"/>
              </w:rPr>
              <w:t>ee</w:t>
            </w:r>
            <w:r w:rsidRPr="002A4D15">
              <w:rPr>
                <w:rFonts w:asciiTheme="majorHAnsi" w:hAnsiTheme="majorHAnsi"/>
                <w:sz w:val="20"/>
                <w:szCs w:val="20"/>
              </w:rPr>
              <w:t>ks</w:t>
            </w:r>
          </w:p>
        </w:tc>
        <w:tc>
          <w:tcPr>
            <w:tcW w:w="2268"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 xml:space="preserve">Type 2 diabetes, insulin naïve </w:t>
            </w:r>
          </w:p>
        </w:tc>
        <w:tc>
          <w:tcPr>
            <w:tcW w:w="850"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Unclear</w:t>
            </w:r>
          </w:p>
        </w:tc>
        <w:tc>
          <w:tcPr>
            <w:tcW w:w="2977"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HbA</w:t>
            </w:r>
            <w:r w:rsidRPr="002A4D15">
              <w:rPr>
                <w:rFonts w:asciiTheme="majorHAnsi" w:hAnsiTheme="majorHAnsi"/>
                <w:sz w:val="20"/>
                <w:szCs w:val="20"/>
                <w:vertAlign w:val="subscript"/>
              </w:rPr>
              <w:t>1c</w:t>
            </w:r>
          </w:p>
        </w:tc>
        <w:tc>
          <w:tcPr>
            <w:tcW w:w="1701"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BW, AE, SAE, Hypo-G</w:t>
            </w:r>
          </w:p>
        </w:tc>
        <w:tc>
          <w:tcPr>
            <w:tcW w:w="850" w:type="dxa"/>
            <w:vAlign w:val="center"/>
          </w:tcPr>
          <w:p w:rsidR="0015135F" w:rsidRPr="00387857" w:rsidRDefault="0015135F" w:rsidP="009B07ED">
            <w:pPr>
              <w:spacing w:after="0" w:line="240" w:lineRule="auto"/>
              <w:jc w:val="center"/>
              <w:rPr>
                <w:rFonts w:asciiTheme="majorHAnsi" w:hAnsiTheme="majorHAnsi"/>
                <w:sz w:val="20"/>
                <w:szCs w:val="20"/>
              </w:rPr>
            </w:pPr>
            <w:r w:rsidRPr="00387857">
              <w:rPr>
                <w:rFonts w:asciiTheme="majorHAnsi" w:hAnsiTheme="majorHAnsi"/>
                <w:sz w:val="20"/>
                <w:szCs w:val="20"/>
              </w:rPr>
              <w:t>Yes</w:t>
            </w:r>
          </w:p>
        </w:tc>
      </w:tr>
      <w:tr w:rsidR="0015135F" w:rsidRPr="008A72F1" w:rsidTr="0015135F">
        <w:trPr>
          <w:cantSplit/>
          <w:trHeight w:val="20"/>
        </w:trPr>
        <w:tc>
          <w:tcPr>
            <w:tcW w:w="1277"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EM + INS + DPP-4</w:t>
            </w:r>
          </w:p>
        </w:tc>
        <w:tc>
          <w:tcPr>
            <w:tcW w:w="1275"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EM + INS</w:t>
            </w:r>
          </w:p>
        </w:tc>
        <w:tc>
          <w:tcPr>
            <w:tcW w:w="1560" w:type="dxa"/>
            <w:vAlign w:val="center"/>
          </w:tcPr>
          <w:p w:rsidR="0015135F" w:rsidRPr="002A4D15" w:rsidRDefault="0015135F" w:rsidP="0093455B">
            <w:pPr>
              <w:spacing w:before="60" w:after="60" w:line="240" w:lineRule="auto"/>
              <w:rPr>
                <w:rStyle w:val="TableText"/>
                <w:rFonts w:asciiTheme="majorHAnsi" w:hAnsiTheme="majorHAnsi"/>
                <w:szCs w:val="20"/>
                <w:lang w:eastAsia="en-AU"/>
              </w:rPr>
            </w:pPr>
            <w:r>
              <w:rPr>
                <w:rStyle w:val="TableText"/>
                <w:rFonts w:asciiTheme="majorHAnsi" w:hAnsiTheme="majorHAnsi"/>
                <w:szCs w:val="20"/>
              </w:rPr>
              <w:t>Vilsboll 2010</w:t>
            </w:r>
            <w:r w:rsidR="0093455B" w:rsidRPr="00DF4210">
              <w:rPr>
                <w:rStyle w:val="TableText"/>
                <w:rFonts w:asciiTheme="majorHAnsi" w:hAnsiTheme="majorHAnsi"/>
                <w:szCs w:val="20"/>
                <w:vertAlign w:val="superscript"/>
              </w:rPr>
              <w:t>91</w:t>
            </w:r>
          </w:p>
        </w:tc>
        <w:tc>
          <w:tcPr>
            <w:tcW w:w="708" w:type="dxa"/>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641</w:t>
            </w:r>
          </w:p>
        </w:tc>
        <w:tc>
          <w:tcPr>
            <w:tcW w:w="993" w:type="dxa"/>
            <w:vAlign w:val="center"/>
          </w:tcPr>
          <w:p w:rsidR="0015135F" w:rsidRDefault="0015135F" w:rsidP="003D35F2">
            <w:pPr>
              <w:spacing w:before="60" w:after="60" w:line="240" w:lineRule="auto"/>
              <w:rPr>
                <w:rStyle w:val="TableText"/>
                <w:rFonts w:asciiTheme="majorHAnsi" w:hAnsiTheme="majorHAnsi"/>
                <w:szCs w:val="20"/>
              </w:rPr>
            </w:pPr>
            <w:r>
              <w:rPr>
                <w:rStyle w:val="TableText"/>
                <w:rFonts w:asciiTheme="majorHAnsi" w:hAnsiTheme="majorHAnsi"/>
                <w:szCs w:val="20"/>
              </w:rPr>
              <w:t>R, DB, PC</w:t>
            </w:r>
          </w:p>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24 w</w:t>
            </w:r>
            <w:r>
              <w:rPr>
                <w:rFonts w:asciiTheme="majorHAnsi" w:hAnsiTheme="majorHAnsi"/>
                <w:sz w:val="20"/>
                <w:szCs w:val="20"/>
              </w:rPr>
              <w:t>ee</w:t>
            </w:r>
            <w:r w:rsidRPr="002A4D15">
              <w:rPr>
                <w:rFonts w:asciiTheme="majorHAnsi" w:hAnsiTheme="majorHAnsi"/>
                <w:sz w:val="20"/>
                <w:szCs w:val="20"/>
              </w:rPr>
              <w:t>ks</w:t>
            </w:r>
          </w:p>
        </w:tc>
        <w:tc>
          <w:tcPr>
            <w:tcW w:w="2268" w:type="dxa"/>
            <w:shd w:val="clear" w:color="auto" w:fill="auto"/>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Type 2 diabetes</w:t>
            </w:r>
          </w:p>
        </w:tc>
        <w:tc>
          <w:tcPr>
            <w:tcW w:w="850" w:type="dxa"/>
            <w:shd w:val="clear" w:color="auto" w:fill="auto"/>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Low</w:t>
            </w:r>
          </w:p>
        </w:tc>
        <w:tc>
          <w:tcPr>
            <w:tcW w:w="2977" w:type="dxa"/>
            <w:shd w:val="clear" w:color="auto" w:fill="auto"/>
            <w:vAlign w:val="center"/>
          </w:tcPr>
          <w:p w:rsidR="0015135F" w:rsidRPr="002A4D15" w:rsidRDefault="0015135F" w:rsidP="002A4D15">
            <w:pPr>
              <w:spacing w:before="60" w:after="60" w:line="240" w:lineRule="auto"/>
              <w:rPr>
                <w:rFonts w:asciiTheme="majorHAnsi" w:hAnsiTheme="majorHAnsi"/>
                <w:sz w:val="20"/>
                <w:szCs w:val="20"/>
              </w:rPr>
            </w:pPr>
            <w:r w:rsidRPr="002A4D15">
              <w:rPr>
                <w:rFonts w:asciiTheme="majorHAnsi" w:hAnsiTheme="majorHAnsi"/>
                <w:sz w:val="20"/>
                <w:szCs w:val="20"/>
              </w:rPr>
              <w:t>HbA</w:t>
            </w:r>
            <w:r w:rsidRPr="002A4D15">
              <w:rPr>
                <w:rFonts w:asciiTheme="majorHAnsi" w:hAnsiTheme="majorHAnsi"/>
                <w:sz w:val="20"/>
                <w:szCs w:val="20"/>
                <w:vertAlign w:val="subscript"/>
              </w:rPr>
              <w:t>1c</w:t>
            </w:r>
          </w:p>
        </w:tc>
        <w:tc>
          <w:tcPr>
            <w:tcW w:w="1701" w:type="dxa"/>
            <w:shd w:val="clear" w:color="auto" w:fill="auto"/>
            <w:vAlign w:val="center"/>
          </w:tcPr>
          <w:p w:rsidR="0015135F" w:rsidRPr="002A4D15" w:rsidRDefault="0015135F" w:rsidP="002A4D15">
            <w:pPr>
              <w:spacing w:before="60" w:after="60" w:line="240" w:lineRule="auto"/>
              <w:rPr>
                <w:rFonts w:asciiTheme="majorHAnsi" w:hAnsiTheme="majorHAnsi"/>
                <w:sz w:val="20"/>
                <w:szCs w:val="20"/>
              </w:rPr>
            </w:pPr>
            <w:r>
              <w:rPr>
                <w:rFonts w:asciiTheme="majorHAnsi" w:hAnsiTheme="majorHAnsi"/>
                <w:sz w:val="20"/>
                <w:szCs w:val="20"/>
              </w:rPr>
              <w:t>BW, AE, SAE, Hypo</w:t>
            </w:r>
            <w:r>
              <w:rPr>
                <w:rFonts w:asciiTheme="majorHAnsi" w:hAnsiTheme="majorHAnsi"/>
                <w:sz w:val="20"/>
                <w:szCs w:val="20"/>
              </w:rPr>
              <w:noBreakHyphen/>
            </w:r>
            <w:r w:rsidRPr="002A4D15">
              <w:rPr>
                <w:rFonts w:asciiTheme="majorHAnsi" w:hAnsiTheme="majorHAnsi"/>
                <w:sz w:val="20"/>
                <w:szCs w:val="20"/>
              </w:rPr>
              <w:t>G, UTI</w:t>
            </w:r>
          </w:p>
        </w:tc>
        <w:tc>
          <w:tcPr>
            <w:tcW w:w="850" w:type="dxa"/>
            <w:vAlign w:val="center"/>
          </w:tcPr>
          <w:p w:rsidR="0015135F" w:rsidRPr="00387857" w:rsidRDefault="0015135F" w:rsidP="009B07ED">
            <w:pPr>
              <w:spacing w:before="60" w:after="60" w:line="240" w:lineRule="auto"/>
              <w:jc w:val="center"/>
              <w:rPr>
                <w:rFonts w:asciiTheme="majorHAnsi" w:hAnsiTheme="majorHAnsi"/>
                <w:sz w:val="20"/>
                <w:szCs w:val="20"/>
              </w:rPr>
            </w:pPr>
            <w:r w:rsidRPr="00387857">
              <w:rPr>
                <w:rFonts w:asciiTheme="majorHAnsi" w:hAnsiTheme="majorHAnsi"/>
                <w:sz w:val="20"/>
                <w:szCs w:val="20"/>
              </w:rPr>
              <w:t>No</w:t>
            </w:r>
          </w:p>
        </w:tc>
      </w:tr>
    </w:tbl>
    <w:p w:rsidR="003D0AD6" w:rsidRPr="008A72F1" w:rsidRDefault="00E15734" w:rsidP="003D0AD6">
      <w:pPr>
        <w:pStyle w:val="Notes"/>
      </w:pPr>
      <w:r>
        <w:t xml:space="preserve">Abbreviations: </w:t>
      </w:r>
      <w:r w:rsidR="003D0AD6">
        <w:t xml:space="preserve">EM = existing medication; </w:t>
      </w:r>
      <w:r w:rsidR="00E10597">
        <w:t>DPP-4</w:t>
      </w:r>
      <w:r w:rsidR="003D0AD6" w:rsidRPr="008A72F1">
        <w:t xml:space="preserve"> = </w:t>
      </w:r>
      <w:r w:rsidR="003D0AD6">
        <w:t>DPP</w:t>
      </w:r>
      <w:r w:rsidR="00E10597">
        <w:t>-4 inhibitor; GLP-1</w:t>
      </w:r>
      <w:r w:rsidR="003D0AD6" w:rsidRPr="008A72F1">
        <w:t xml:space="preserve"> = </w:t>
      </w:r>
      <w:r w:rsidR="003D0AD6">
        <w:t>GLP</w:t>
      </w:r>
      <w:r w:rsidR="003D0AD6" w:rsidRPr="008A72F1">
        <w:t xml:space="preserve">-1 receptor agonist; SU = sulfonylurea; INS = insulin; </w:t>
      </w:r>
      <w:r w:rsidR="00E10597">
        <w:t>SGLT2</w:t>
      </w:r>
      <w:r w:rsidR="003D0AD6">
        <w:t xml:space="preserve"> = SGLT</w:t>
      </w:r>
      <w:r w:rsidR="003D0AD6" w:rsidRPr="00E40D77">
        <w:t>2 inhibitor</w:t>
      </w:r>
      <w:r w:rsidR="003D0AD6">
        <w:t>;</w:t>
      </w:r>
      <w:r w:rsidR="00E63155">
        <w:rPr>
          <w:rStyle w:val="TableText"/>
        </w:rPr>
        <w:t xml:space="preserve"> </w:t>
      </w:r>
      <w:r w:rsidR="003D0AD6">
        <w:t xml:space="preserve">mths = months; </w:t>
      </w:r>
      <w:r w:rsidR="003D0AD6" w:rsidRPr="008A72F1">
        <w:t xml:space="preserve">BW = body weight; AE = adverse event; SAE = serious adverse event; Hypo-G = hypoglycaemia; </w:t>
      </w:r>
      <w:r w:rsidR="003D0AD6">
        <w:t xml:space="preserve">Pan = pancreatitis; </w:t>
      </w:r>
      <w:r w:rsidR="003D0AD6" w:rsidRPr="008A72F1">
        <w:t>RoB = risk of bias</w:t>
      </w:r>
      <w:r w:rsidR="003D0AD6">
        <w:t xml:space="preserve">; ACS = acute coronary syndrome; CV = cardiovascular; CVD = cardiovascular disease; </w:t>
      </w:r>
      <w:r w:rsidR="003D35F2">
        <w:t xml:space="preserve">R = Randomised; OL = Open label; DB = Double blind, PC = Placebo controlled; </w:t>
      </w:r>
      <w:r w:rsidR="003D0AD6">
        <w:t xml:space="preserve">and MI = myocardial infarction. </w:t>
      </w:r>
    </w:p>
    <w:p w:rsidR="003D0AD6" w:rsidRPr="00470430" w:rsidRDefault="00E15734" w:rsidP="00470430">
      <w:pPr>
        <w:rPr>
          <w:rFonts w:asciiTheme="majorHAnsi" w:hAnsiTheme="majorHAnsi"/>
          <w:sz w:val="20"/>
          <w:szCs w:val="20"/>
        </w:rPr>
        <w:sectPr w:rsidR="003D0AD6" w:rsidRPr="00470430" w:rsidSect="003D0AD6">
          <w:pgSz w:w="16838" w:h="11906" w:orient="landscape"/>
          <w:pgMar w:top="1440" w:right="1440" w:bottom="1440" w:left="1440" w:header="708" w:footer="708" w:gutter="0"/>
          <w:cols w:space="708"/>
          <w:titlePg/>
          <w:docGrid w:linePitch="360"/>
        </w:sectPr>
      </w:pPr>
      <w:r w:rsidRPr="00470430">
        <w:rPr>
          <w:sz w:val="20"/>
          <w:szCs w:val="20"/>
        </w:rPr>
        <w:t>Notes:</w:t>
      </w:r>
      <w:r w:rsidRPr="00470430">
        <w:rPr>
          <w:sz w:val="20"/>
          <w:szCs w:val="20"/>
          <w:vertAlign w:val="superscript"/>
        </w:rPr>
        <w:t xml:space="preserve"> </w:t>
      </w:r>
      <w:r w:rsidR="003D0AD6" w:rsidRPr="00470430">
        <w:rPr>
          <w:sz w:val="20"/>
          <w:szCs w:val="20"/>
          <w:vertAlign w:val="superscript"/>
        </w:rPr>
        <w:t>a</w:t>
      </w:r>
      <w:r w:rsidR="00470430" w:rsidRPr="00470430">
        <w:rPr>
          <w:rFonts w:asciiTheme="majorHAnsi" w:hAnsiTheme="majorHAnsi"/>
          <w:sz w:val="20"/>
          <w:szCs w:val="20"/>
        </w:rPr>
        <w:t xml:space="preserve"> Trials </w:t>
      </w:r>
      <w:r w:rsidR="00470430">
        <w:rPr>
          <w:rFonts w:asciiTheme="majorHAnsi" w:hAnsiTheme="majorHAnsi"/>
          <w:sz w:val="20"/>
          <w:szCs w:val="20"/>
        </w:rPr>
        <w:t>in submissions from 2002–</w:t>
      </w:r>
      <w:r w:rsidR="00470430" w:rsidRPr="00470430">
        <w:rPr>
          <w:rFonts w:asciiTheme="majorHAnsi" w:hAnsiTheme="majorHAnsi"/>
          <w:sz w:val="20"/>
          <w:szCs w:val="20"/>
        </w:rPr>
        <w:t xml:space="preserve">2013; </w:t>
      </w:r>
      <w:r w:rsidR="00470430" w:rsidRPr="00470430">
        <w:rPr>
          <w:sz w:val="20"/>
          <w:szCs w:val="20"/>
          <w:vertAlign w:val="superscript"/>
        </w:rPr>
        <w:t>b</w:t>
      </w:r>
      <w:r w:rsidR="00470430" w:rsidRPr="00470430">
        <w:rPr>
          <w:sz w:val="20"/>
          <w:szCs w:val="20"/>
        </w:rPr>
        <w:t xml:space="preserve"> </w:t>
      </w:r>
      <w:r w:rsidR="003D0AD6" w:rsidRPr="00470430">
        <w:rPr>
          <w:sz w:val="20"/>
          <w:szCs w:val="20"/>
        </w:rPr>
        <w:t>Death from CV causes, non-fatal MI or non-fatal stroke</w:t>
      </w:r>
      <w:r w:rsidRPr="00470430">
        <w:rPr>
          <w:sz w:val="20"/>
          <w:szCs w:val="20"/>
        </w:rPr>
        <w:t xml:space="preserve">; </w:t>
      </w:r>
      <w:r w:rsidR="00470430" w:rsidRPr="00470430">
        <w:rPr>
          <w:sz w:val="20"/>
          <w:szCs w:val="20"/>
          <w:vertAlign w:val="superscript"/>
        </w:rPr>
        <w:t>c</w:t>
      </w:r>
      <w:r w:rsidR="003D0AD6" w:rsidRPr="00470430">
        <w:rPr>
          <w:sz w:val="20"/>
          <w:szCs w:val="20"/>
        </w:rPr>
        <w:t xml:space="preserve"> New or worse</w:t>
      </w:r>
      <w:r w:rsidR="001442BD" w:rsidRPr="00470430">
        <w:rPr>
          <w:sz w:val="20"/>
          <w:szCs w:val="20"/>
        </w:rPr>
        <w:t>ning nephropathy or retinopathy</w:t>
      </w:r>
      <w:r w:rsidR="00722B74" w:rsidRPr="00470430">
        <w:rPr>
          <w:sz w:val="20"/>
          <w:szCs w:val="20"/>
        </w:rPr>
        <w:t>.</w:t>
      </w:r>
    </w:p>
    <w:p w:rsidR="0015135F" w:rsidRDefault="0015135F" w:rsidP="0015135F">
      <w:pPr>
        <w:pStyle w:val="Heading5"/>
      </w:pPr>
      <w:bookmarkStart w:id="299" w:name="_Ref390853446"/>
      <w:bookmarkStart w:id="300" w:name="_Ref390683024"/>
      <w:r>
        <w:lastRenderedPageBreak/>
        <w:t>Body weight</w:t>
      </w:r>
    </w:p>
    <w:p w:rsidR="0015135F" w:rsidRDefault="0015135F" w:rsidP="0015135F">
      <w:r>
        <w:t>The addition of a sulfonylurea or a GLP-1 receptor agonist to existing medication produced weight reduction from baseline;</w:t>
      </w:r>
      <w:r w:rsidR="0093455B" w:rsidRPr="00DF4210">
        <w:rPr>
          <w:vertAlign w:val="superscript"/>
        </w:rPr>
        <w:t>2</w:t>
      </w:r>
      <w:r w:rsidR="00DF4210" w:rsidRPr="00DF4210">
        <w:rPr>
          <w:vertAlign w:val="superscript"/>
        </w:rPr>
        <w:t xml:space="preserve">; </w:t>
      </w:r>
      <w:r w:rsidR="0093455B" w:rsidRPr="00DF4210">
        <w:rPr>
          <w:vertAlign w:val="superscript"/>
        </w:rPr>
        <w:t>89</w:t>
      </w:r>
      <w:r>
        <w:t xml:space="preserve"> however, in the sulfonylurea trial existing medication was associated with even greater weight reduction.</w:t>
      </w:r>
      <w:r w:rsidR="002174E2">
        <w:rPr>
          <w:vertAlign w:val="superscript"/>
        </w:rPr>
        <w:t>2</w:t>
      </w:r>
      <w:r>
        <w:t xml:space="preserve"> The addition of TZDs and insulin showed weight gain from baseline of around 3.6 kg.</w:t>
      </w:r>
      <w:r w:rsidR="0093455B" w:rsidRPr="00DF4210">
        <w:rPr>
          <w:vertAlign w:val="superscript"/>
        </w:rPr>
        <w:t>3</w:t>
      </w:r>
      <w:r w:rsidR="00DF4210" w:rsidRPr="00DF4210">
        <w:rPr>
          <w:vertAlign w:val="superscript"/>
        </w:rPr>
        <w:t xml:space="preserve">; </w:t>
      </w:r>
      <w:r w:rsidR="0093455B" w:rsidRPr="00DF4210">
        <w:rPr>
          <w:vertAlign w:val="superscript"/>
        </w:rPr>
        <w:t>92</w:t>
      </w:r>
      <w:r>
        <w:t xml:space="preserve"> </w:t>
      </w:r>
    </w:p>
    <w:p w:rsidR="0015135F" w:rsidRDefault="0015135F" w:rsidP="0015135F">
      <w:pPr>
        <w:pStyle w:val="Heading5"/>
        <w:keepNext/>
        <w:keepLines/>
      </w:pPr>
      <w:r>
        <w:t>Adverse events</w:t>
      </w:r>
    </w:p>
    <w:p w:rsidR="0015135F" w:rsidRDefault="0015135F" w:rsidP="0015135F">
      <w:pPr>
        <w:keepNext/>
        <w:keepLines/>
      </w:pPr>
      <w:r>
        <w:t>For the trials that reported all adverse events (n=4) and serious adverse events (n=6), none demonstrated a difference in events across the treatment arms. The addition of sulfonylureas (OR: 1.4;</w:t>
      </w:r>
      <w:r w:rsidRPr="00082421">
        <w:t xml:space="preserve"> 95% CI: 1.31</w:t>
      </w:r>
      <w:r>
        <w:t>,</w:t>
      </w:r>
      <w:r w:rsidRPr="00082421">
        <w:t xml:space="preserve"> 1.49)</w:t>
      </w:r>
      <w:r>
        <w:t>,</w:t>
      </w:r>
      <w:r w:rsidR="0093455B" w:rsidRPr="00835E73">
        <w:rPr>
          <w:vertAlign w:val="superscript"/>
        </w:rPr>
        <w:t>2</w:t>
      </w:r>
      <w:r>
        <w:t xml:space="preserve"> TZDs (OR: 1.39;</w:t>
      </w:r>
      <w:r w:rsidRPr="00082421">
        <w:t xml:space="preserve"> 95% CI: 1.23</w:t>
      </w:r>
      <w:r>
        <w:t>,</w:t>
      </w:r>
      <w:r w:rsidRPr="00082421">
        <w:t xml:space="preserve"> 1.57)</w:t>
      </w:r>
      <w:r w:rsidR="0093455B" w:rsidRPr="00835E73">
        <w:rPr>
          <w:vertAlign w:val="superscript"/>
        </w:rPr>
        <w:t>3</w:t>
      </w:r>
      <w:r>
        <w:t xml:space="preserve"> and DPP-4 inhibitors (OR: 1.17;</w:t>
      </w:r>
      <w:r w:rsidRPr="00082421">
        <w:t xml:space="preserve"> 95% CI; 1.07</w:t>
      </w:r>
      <w:r>
        <w:t>,</w:t>
      </w:r>
      <w:r w:rsidRPr="00082421">
        <w:t xml:space="preserve"> 1.28)</w:t>
      </w:r>
      <w:r w:rsidR="0093455B" w:rsidRPr="00835E73">
        <w:rPr>
          <w:vertAlign w:val="superscript"/>
        </w:rPr>
        <w:t>4</w:t>
      </w:r>
      <w:r>
        <w:t xml:space="preserve"> to existing therapy increased the occurrence of hypoglycaemia at two years, while the addition of DPP-4 inhibitors to existing therapy showed no difference in hypoglycaemic events at 18 months </w:t>
      </w:r>
      <w:r w:rsidRPr="00082421">
        <w:t xml:space="preserve">(OR: </w:t>
      </w:r>
      <w:r>
        <w:t>1.04;</w:t>
      </w:r>
      <w:r w:rsidRPr="00082421">
        <w:t xml:space="preserve"> 95% CI: </w:t>
      </w:r>
      <w:r>
        <w:t>0.84,</w:t>
      </w:r>
      <w:r w:rsidRPr="00082421">
        <w:t xml:space="preserve"> 1.</w:t>
      </w:r>
      <w:r>
        <w:t>29</w:t>
      </w:r>
      <w:r w:rsidRPr="005A0FE1">
        <w:t>)</w:t>
      </w:r>
      <w:r>
        <w:t>.</w:t>
      </w:r>
      <w:r w:rsidR="0093455B" w:rsidRPr="00835E73">
        <w:rPr>
          <w:vertAlign w:val="superscript"/>
        </w:rPr>
        <w:t>5</w:t>
      </w:r>
      <w:r>
        <w:t xml:space="preserve"> </w:t>
      </w:r>
    </w:p>
    <w:p w:rsidR="00690442" w:rsidRDefault="0015135F" w:rsidP="00690442">
      <w:r>
        <w:t>Only one trial reported on urinary tract infections. There was no difference between the rate of urinary tract infection at 24 weeks when DPP</w:t>
      </w:r>
      <w:r w:rsidRPr="00CC4EC9">
        <w:t>-4 inhibitor</w:t>
      </w:r>
      <w:r>
        <w:t>s were added to existing medication, compared to existing medication (OR: 1.49, 95% CI; 0</w:t>
      </w:r>
      <w:r w:rsidRPr="00D93096">
        <w:t>.</w:t>
      </w:r>
      <w:r>
        <w:t>52, 4</w:t>
      </w:r>
      <w:r w:rsidRPr="00D93096">
        <w:t>.</w:t>
      </w:r>
      <w:r>
        <w:t>22).</w:t>
      </w:r>
      <w:r w:rsidR="0093455B" w:rsidRPr="00DF4210">
        <w:rPr>
          <w:vertAlign w:val="superscript"/>
        </w:rPr>
        <w:t>91</w:t>
      </w:r>
      <w:r>
        <w:t xml:space="preserve"> There was also no difference between the rates of pancreatitis when DPP-4 inhibitors were added to existing medication, compared to existing medication at 18 months or 2.1 years.</w:t>
      </w:r>
      <w:r w:rsidR="0093455B" w:rsidRPr="00835E73">
        <w:rPr>
          <w:vertAlign w:val="superscript"/>
        </w:rPr>
        <w:t>4</w:t>
      </w:r>
      <w:r w:rsidRPr="00835E73">
        <w:rPr>
          <w:vertAlign w:val="superscript"/>
        </w:rPr>
        <w:t xml:space="preserve">; </w:t>
      </w:r>
      <w:r w:rsidR="0093455B" w:rsidRPr="00835E73">
        <w:rPr>
          <w:vertAlign w:val="superscript"/>
        </w:rPr>
        <w:t>5</w:t>
      </w:r>
    </w:p>
    <w:p w:rsidR="00141AD4" w:rsidRDefault="00DD2BDF" w:rsidP="0015135F">
      <w:pPr>
        <w:pStyle w:val="Heading5"/>
      </w:pPr>
      <w:r>
        <w:t>Cardiovascular o</w:t>
      </w:r>
      <w:r w:rsidR="00141AD4">
        <w:t>utcomes</w:t>
      </w:r>
    </w:p>
    <w:p w:rsidR="00C12E26" w:rsidRDefault="00141AD4" w:rsidP="00C12E26">
      <w:r>
        <w:t>There were four trials greater than one year du</w:t>
      </w:r>
      <w:r w:rsidR="00BE7456">
        <w:t>r</w:t>
      </w:r>
      <w:r>
        <w:t>ation that were specifically aimed at examining cardiovascular disease and mortality in patien</w:t>
      </w:r>
      <w:r w:rsidR="00342547">
        <w:t>ts at high risk of heart disease</w:t>
      </w:r>
      <w:r>
        <w:t xml:space="preserve">. Table 6.5 </w:t>
      </w:r>
      <w:r w:rsidRPr="006F47B7">
        <w:t xml:space="preserve">summarises the </w:t>
      </w:r>
      <w:r>
        <w:t>cardiovascular outcomes</w:t>
      </w:r>
      <w:r w:rsidRPr="006F47B7">
        <w:t xml:space="preserve"> between different therapy combinations from</w:t>
      </w:r>
      <w:r>
        <w:t xml:space="preserve"> the</w:t>
      </w:r>
      <w:r w:rsidRPr="006F47B7">
        <w:t xml:space="preserve"> direct trials.</w:t>
      </w:r>
      <w:r>
        <w:t xml:space="preserve"> The definition/grouping of cardiovascular disease outcomes was reported differently in these trials. </w:t>
      </w:r>
      <w:r w:rsidR="00C12E26">
        <w:t>There were also differences in included patients, trial design, and background medication.</w:t>
      </w:r>
    </w:p>
    <w:p w:rsidR="00A723FB" w:rsidRPr="00082421" w:rsidRDefault="00141AD4" w:rsidP="00A723FB">
      <w:r>
        <w:t>While in all trials the added medication provided a reduction in HbA</w:t>
      </w:r>
      <w:r w:rsidRPr="00722F85">
        <w:rPr>
          <w:vertAlign w:val="subscript"/>
        </w:rPr>
        <w:t>1c</w:t>
      </w:r>
      <w:r>
        <w:t xml:space="preserve">, only sulfonylureas reduced the level of combined </w:t>
      </w:r>
      <w:r w:rsidR="00A723FB">
        <w:t xml:space="preserve">major </w:t>
      </w:r>
      <w:r>
        <w:t xml:space="preserve">microvascular and macrovascular outcomes (HR: 0.90; 95% CI: 0.82, 0.98). </w:t>
      </w:r>
      <w:r w:rsidR="00A723FB">
        <w:t xml:space="preserve">Major microvascular events were reduced </w:t>
      </w:r>
      <w:r w:rsidR="00A723FB" w:rsidRPr="00082421">
        <w:t>(HR: 0.86; 95% CI: 0.77</w:t>
      </w:r>
      <w:r w:rsidR="00A723FB">
        <w:t>,</w:t>
      </w:r>
      <w:r w:rsidR="00A723FB" w:rsidRPr="00082421">
        <w:t xml:space="preserve"> 0.97</w:t>
      </w:r>
      <w:r w:rsidR="00A723FB">
        <w:t xml:space="preserve">), particularly there was a </w:t>
      </w:r>
      <w:r w:rsidR="00A723FB" w:rsidRPr="00082421">
        <w:t>reduction in nephropathy as measured by macroalbuminuria (2.9% vs. 4.1%; HR</w:t>
      </w:r>
      <w:r w:rsidR="00A723FB">
        <w:t>:</w:t>
      </w:r>
      <w:r w:rsidR="00A723FB" w:rsidRPr="00082421">
        <w:t xml:space="preserve"> 0.70; 95% CI: 0.57</w:t>
      </w:r>
      <w:r w:rsidR="00A723FB">
        <w:t>,</w:t>
      </w:r>
      <w:r w:rsidR="00A723FB" w:rsidRPr="00082421">
        <w:t xml:space="preserve"> 0.85), with a trend toward a reduction in the need for renal replacement therapy</w:t>
      </w:r>
      <w:r w:rsidR="00ED75EB">
        <w:t xml:space="preserve"> or death from renal causes</w:t>
      </w:r>
      <w:r w:rsidR="00A723FB">
        <w:t>. N</w:t>
      </w:r>
      <w:r w:rsidR="00A723FB" w:rsidRPr="00082421">
        <w:t>o statistically significant reductions were observed for major macrovascular events (HR: 0.94; 95% CI</w:t>
      </w:r>
      <w:r w:rsidR="00A723FB">
        <w:t>:</w:t>
      </w:r>
      <w:r w:rsidR="00A723FB" w:rsidRPr="00082421">
        <w:t xml:space="preserve"> 0.84</w:t>
      </w:r>
      <w:r w:rsidR="00A723FB">
        <w:t>, 1.06)</w:t>
      </w:r>
      <w:r w:rsidR="00A723FB" w:rsidRPr="00082421">
        <w:t xml:space="preserve"> or for death from any cause (HR: 0.93; 95% CI: 0.83</w:t>
      </w:r>
      <w:r w:rsidR="00A723FB">
        <w:t>, 1.06</w:t>
      </w:r>
      <w:r w:rsidR="00A723FB" w:rsidRPr="00082421">
        <w:t xml:space="preserve">). More patients with </w:t>
      </w:r>
      <w:r w:rsidR="00A723FB">
        <w:t>sulfonylurea</w:t>
      </w:r>
      <w:r w:rsidR="00A723FB" w:rsidRPr="00082421">
        <w:t xml:space="preserve"> added to existing medication were hospitalised</w:t>
      </w:r>
      <w:r w:rsidR="00A723FB">
        <w:t xml:space="preserve"> for any cause (44.9% vs. 42.8%;</w:t>
      </w:r>
      <w:r w:rsidR="00A723FB" w:rsidRPr="00082421">
        <w:t xml:space="preserve"> HR</w:t>
      </w:r>
      <w:r w:rsidR="00A723FB">
        <w:t>:</w:t>
      </w:r>
      <w:r w:rsidR="00A723FB" w:rsidRPr="00082421">
        <w:t xml:space="preserve"> 1.07</w:t>
      </w:r>
      <w:r w:rsidR="00A723FB">
        <w:t>;</w:t>
      </w:r>
      <w:r w:rsidR="00A723FB" w:rsidRPr="00082421">
        <w:t xml:space="preserve"> 95% CI: 1.01</w:t>
      </w:r>
      <w:r w:rsidR="00A723FB">
        <w:t>,</w:t>
      </w:r>
      <w:r w:rsidR="00A723FB" w:rsidRPr="00082421">
        <w:t xml:space="preserve"> 1.13), partly </w:t>
      </w:r>
      <w:r w:rsidR="00ED75EB">
        <w:t xml:space="preserve">due to </w:t>
      </w:r>
      <w:r w:rsidR="00A723FB" w:rsidRPr="00082421">
        <w:t xml:space="preserve">hospitalisations </w:t>
      </w:r>
      <w:r w:rsidR="00A723FB">
        <w:t>for severe hypoglycaemia.</w:t>
      </w:r>
      <w:r w:rsidR="0093455B" w:rsidRPr="00835E73">
        <w:rPr>
          <w:vertAlign w:val="superscript"/>
        </w:rPr>
        <w:t>2</w:t>
      </w:r>
    </w:p>
    <w:p w:rsidR="00165120" w:rsidRDefault="00141AD4" w:rsidP="00141AD4">
      <w:r>
        <w:t xml:space="preserve">The addition of TZDs to exisiting medication reduced major macrovascular outcomes </w:t>
      </w:r>
      <w:r w:rsidR="00165120">
        <w:t>(</w:t>
      </w:r>
      <w:r w:rsidR="00165120" w:rsidRPr="00082421">
        <w:t>death from any cause, n</w:t>
      </w:r>
      <w:r w:rsidR="00165120">
        <w:t xml:space="preserve">on-fatal </w:t>
      </w:r>
      <w:r w:rsidR="00DD2BDF">
        <w:t xml:space="preserve">MI </w:t>
      </w:r>
      <w:r w:rsidR="00165120" w:rsidRPr="00082421">
        <w:t>excluding silent</w:t>
      </w:r>
      <w:r w:rsidR="00DD2BDF">
        <w:t xml:space="preserve"> MI</w:t>
      </w:r>
      <w:r w:rsidR="00165120" w:rsidRPr="00082421">
        <w:t>, or stroke</w:t>
      </w:r>
      <w:r w:rsidR="00165120">
        <w:t>) (HR: 0.84; 95% CI: 0.72, 0.98). However, t</w:t>
      </w:r>
      <w:r>
        <w:t xml:space="preserve">he risk of heart failure (OR: 1.49; 95% CI: 1.23, 1.8) and </w:t>
      </w:r>
      <w:r>
        <w:lastRenderedPageBreak/>
        <w:t>hospitalisation due to heart failure (OR: 1.42; 95% CI: 1.1, 1.83)</w:t>
      </w:r>
      <w:r w:rsidR="00165120">
        <w:t xml:space="preserve"> was increased, but there was no difference in fatal heart failure</w:t>
      </w:r>
      <w:r>
        <w:t>.</w:t>
      </w:r>
      <w:r w:rsidR="0093455B" w:rsidRPr="00835E73">
        <w:rPr>
          <w:vertAlign w:val="superscript"/>
        </w:rPr>
        <w:t>3</w:t>
      </w:r>
      <w:r>
        <w:t xml:space="preserve"> </w:t>
      </w:r>
    </w:p>
    <w:p w:rsidR="00141AD4" w:rsidRDefault="00C12E26" w:rsidP="00141AD4">
      <w:r>
        <w:t xml:space="preserve">Two trials examining the addition of DPP-4 inhibitors to existing medication did not show a difference in primary endpoints </w:t>
      </w:r>
      <w:r w:rsidR="00ED75EB">
        <w:t xml:space="preserve">(a composite of cardiovascular death, nonfatal myocardial infarction or nonfatal ischemic stroke) </w:t>
      </w:r>
      <w:r>
        <w:t>between the DPP-4 inhibitor group and placebo.</w:t>
      </w:r>
      <w:r w:rsidR="0093455B" w:rsidRPr="00835E73">
        <w:rPr>
          <w:vertAlign w:val="superscript"/>
        </w:rPr>
        <w:t>4</w:t>
      </w:r>
      <w:r w:rsidR="00835E73" w:rsidRPr="00835E73">
        <w:rPr>
          <w:vertAlign w:val="superscript"/>
        </w:rPr>
        <w:t xml:space="preserve">; </w:t>
      </w:r>
      <w:r w:rsidR="0093455B" w:rsidRPr="00835E73">
        <w:rPr>
          <w:vertAlign w:val="superscript"/>
        </w:rPr>
        <w:t>5</w:t>
      </w:r>
      <w:r>
        <w:t xml:space="preserve"> However, </w:t>
      </w:r>
      <w:r w:rsidR="00141AD4">
        <w:t>DPP-4 inhibitors a</w:t>
      </w:r>
      <w:r>
        <w:t>dded to existing medication did increase</w:t>
      </w:r>
      <w:r w:rsidR="00141AD4">
        <w:t xml:space="preserve"> the risk of hospitalisation due to heart failure compared to exisiting medication </w:t>
      </w:r>
      <w:r w:rsidR="00ED75EB">
        <w:t xml:space="preserve">in one trial </w:t>
      </w:r>
      <w:r w:rsidR="00141AD4">
        <w:t>(HR: 1.27; 95% CI:</w:t>
      </w:r>
      <w:r w:rsidR="00DD2BDF">
        <w:t xml:space="preserve"> </w:t>
      </w:r>
      <w:r w:rsidR="00141AD4">
        <w:t>1.07, 1.51).</w:t>
      </w:r>
      <w:r w:rsidR="0093455B" w:rsidRPr="00835E73">
        <w:rPr>
          <w:vertAlign w:val="superscript"/>
        </w:rPr>
        <w:t>4</w:t>
      </w:r>
      <w:r w:rsidR="00141AD4">
        <w:t xml:space="preserve"> </w:t>
      </w:r>
    </w:p>
    <w:p w:rsidR="00141AD4" w:rsidRDefault="00141AD4" w:rsidP="002E07FF">
      <w:pPr>
        <w:rPr>
          <w:b/>
        </w:rPr>
      </w:pPr>
    </w:p>
    <w:p w:rsidR="002E07FF" w:rsidRPr="002E07FF" w:rsidRDefault="002E07FF" w:rsidP="00BC6868">
      <w:pPr>
        <w:keepNext/>
        <w:keepLines/>
        <w:rPr>
          <w:b/>
        </w:rPr>
      </w:pPr>
      <w:r w:rsidRPr="002E07FF">
        <w:rPr>
          <w:b/>
        </w:rPr>
        <w:lastRenderedPageBreak/>
        <w:t xml:space="preserve">Table </w:t>
      </w:r>
      <w:bookmarkEnd w:id="299"/>
      <w:r>
        <w:rPr>
          <w:b/>
        </w:rPr>
        <w:t xml:space="preserve">6.5. </w:t>
      </w:r>
      <w:r w:rsidRPr="002E07FF">
        <w:rPr>
          <w:b/>
        </w:rPr>
        <w:t xml:space="preserve">Primary and key secondary cardiovascular outcome results from </w:t>
      </w:r>
      <w:r>
        <w:rPr>
          <w:b/>
        </w:rPr>
        <w:t xml:space="preserve">the medicines added to exisitng therapy </w:t>
      </w:r>
      <w:r w:rsidRPr="002E07FF">
        <w:rPr>
          <w:b/>
        </w:rPr>
        <w:t xml:space="preserve">trials with a duration </w:t>
      </w:r>
      <w:r>
        <w:rPr>
          <w:b/>
        </w:rPr>
        <w:t>of &gt;</w:t>
      </w:r>
      <w:r w:rsidRPr="002E07FF">
        <w:rPr>
          <w:b/>
        </w:rPr>
        <w:t>1 year</w:t>
      </w:r>
      <w:bookmarkEnd w:id="300"/>
      <w:r>
        <w:rPr>
          <w:b/>
        </w:rPr>
        <w:t>.</w:t>
      </w:r>
    </w:p>
    <w:tbl>
      <w:tblPr>
        <w:tblW w:w="54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005"/>
        <w:gridCol w:w="1701"/>
        <w:gridCol w:w="1843"/>
        <w:gridCol w:w="1711"/>
        <w:gridCol w:w="1690"/>
      </w:tblGrid>
      <w:tr w:rsidR="000B5B9E" w:rsidRPr="00DF45A0" w:rsidTr="00E15734">
        <w:trPr>
          <w:cantSplit/>
          <w:trHeight w:val="288"/>
          <w:tblHeader/>
        </w:trPr>
        <w:tc>
          <w:tcPr>
            <w:tcW w:w="1510" w:type="pct"/>
            <w:shd w:val="clear" w:color="auto" w:fill="D9D9D9" w:themeFill="background1" w:themeFillShade="D9"/>
            <w:noWrap/>
            <w:vAlign w:val="center"/>
          </w:tcPr>
          <w:p w:rsidR="002E07FF" w:rsidRPr="000B5B9E" w:rsidRDefault="000B5B9E" w:rsidP="00BC6868">
            <w:pPr>
              <w:keepNext/>
              <w:keepLines/>
              <w:spacing w:before="60" w:after="60" w:line="240" w:lineRule="auto"/>
              <w:rPr>
                <w:rStyle w:val="TableText"/>
                <w:rFonts w:asciiTheme="majorHAnsi" w:hAnsiTheme="majorHAnsi"/>
                <w:b/>
                <w:szCs w:val="20"/>
              </w:rPr>
            </w:pPr>
            <w:r w:rsidRPr="000B5B9E">
              <w:rPr>
                <w:rStyle w:val="TableText"/>
                <w:rFonts w:asciiTheme="majorHAnsi" w:hAnsiTheme="majorHAnsi"/>
                <w:b/>
                <w:szCs w:val="20"/>
              </w:rPr>
              <w:t>Comparison</w:t>
            </w:r>
          </w:p>
        </w:tc>
        <w:tc>
          <w:tcPr>
            <w:tcW w:w="855" w:type="pct"/>
            <w:shd w:val="clear" w:color="auto" w:fill="D9D9D9" w:themeFill="background1" w:themeFillShade="D9"/>
            <w:noWrap/>
            <w:vAlign w:val="center"/>
          </w:tcPr>
          <w:p w:rsidR="002E07FF" w:rsidRPr="002E07FF" w:rsidRDefault="002E07FF" w:rsidP="00BC6868">
            <w:pPr>
              <w:keepNext/>
              <w:keepLines/>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EM vs. EM + SU</w:t>
            </w:r>
          </w:p>
        </w:tc>
        <w:tc>
          <w:tcPr>
            <w:tcW w:w="926" w:type="pct"/>
            <w:shd w:val="clear" w:color="auto" w:fill="D9D9D9" w:themeFill="background1" w:themeFillShade="D9"/>
            <w:noWrap/>
            <w:vAlign w:val="center"/>
          </w:tcPr>
          <w:p w:rsidR="002E07FF" w:rsidRPr="002E07FF" w:rsidRDefault="002E07FF" w:rsidP="00BC6868">
            <w:pPr>
              <w:keepNext/>
              <w:keepLines/>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EM vs. EM + TZD</w:t>
            </w:r>
          </w:p>
        </w:tc>
        <w:tc>
          <w:tcPr>
            <w:tcW w:w="1710" w:type="pct"/>
            <w:gridSpan w:val="2"/>
            <w:shd w:val="clear" w:color="auto" w:fill="D9D9D9" w:themeFill="background1" w:themeFillShade="D9"/>
            <w:noWrap/>
            <w:vAlign w:val="center"/>
          </w:tcPr>
          <w:p w:rsidR="002E07FF" w:rsidRPr="002E07FF" w:rsidRDefault="002E07FF" w:rsidP="00BC6868">
            <w:pPr>
              <w:keepNext/>
              <w:keepLines/>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EM vs. EM + DPP-4 inhibitors</w:t>
            </w:r>
          </w:p>
        </w:tc>
      </w:tr>
      <w:tr w:rsidR="000B5B9E" w:rsidRPr="00DF45A0" w:rsidTr="00E15734">
        <w:trPr>
          <w:cantSplit/>
          <w:trHeight w:val="288"/>
          <w:tblHeader/>
        </w:trPr>
        <w:tc>
          <w:tcPr>
            <w:tcW w:w="1510" w:type="pct"/>
            <w:shd w:val="clear" w:color="auto" w:fill="D9D9D9" w:themeFill="background1" w:themeFillShade="D9"/>
            <w:noWrap/>
            <w:vAlign w:val="center"/>
            <w:hideMark/>
          </w:tcPr>
          <w:p w:rsidR="002E07FF" w:rsidRPr="000B5B9E" w:rsidRDefault="000B5B9E" w:rsidP="00BC6868">
            <w:pPr>
              <w:keepNext/>
              <w:keepLines/>
              <w:spacing w:before="60" w:after="60" w:line="240" w:lineRule="auto"/>
              <w:rPr>
                <w:rStyle w:val="TableText"/>
                <w:rFonts w:asciiTheme="majorHAnsi" w:hAnsiTheme="majorHAnsi"/>
                <w:b/>
                <w:szCs w:val="20"/>
              </w:rPr>
            </w:pPr>
            <w:r w:rsidRPr="000B5B9E">
              <w:rPr>
                <w:rStyle w:val="TableText"/>
                <w:rFonts w:asciiTheme="majorHAnsi" w:hAnsiTheme="majorHAnsi"/>
                <w:b/>
                <w:szCs w:val="20"/>
              </w:rPr>
              <w:t>Trial</w:t>
            </w:r>
            <w:r>
              <w:rPr>
                <w:rStyle w:val="TableText"/>
                <w:rFonts w:asciiTheme="majorHAnsi" w:hAnsiTheme="majorHAnsi"/>
                <w:b/>
                <w:szCs w:val="20"/>
              </w:rPr>
              <w:t xml:space="preserve"> publication</w:t>
            </w:r>
          </w:p>
        </w:tc>
        <w:tc>
          <w:tcPr>
            <w:tcW w:w="855" w:type="pct"/>
            <w:shd w:val="clear" w:color="auto" w:fill="D9D9D9" w:themeFill="background1" w:themeFillShade="D9"/>
            <w:noWrap/>
            <w:vAlign w:val="center"/>
            <w:hideMark/>
          </w:tcPr>
          <w:p w:rsidR="002E07FF" w:rsidRPr="002E07FF" w:rsidRDefault="002E07FF" w:rsidP="0093455B">
            <w:pPr>
              <w:keepNext/>
              <w:keepLines/>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Advance 2008</w:t>
            </w:r>
            <w:r w:rsidR="0093455B" w:rsidRPr="00835E73">
              <w:rPr>
                <w:rStyle w:val="TableText"/>
                <w:rFonts w:asciiTheme="majorHAnsi" w:hAnsiTheme="majorHAnsi"/>
                <w:b/>
                <w:szCs w:val="20"/>
                <w:vertAlign w:val="superscript"/>
              </w:rPr>
              <w:t>2</w:t>
            </w:r>
          </w:p>
        </w:tc>
        <w:tc>
          <w:tcPr>
            <w:tcW w:w="926" w:type="pct"/>
            <w:shd w:val="clear" w:color="auto" w:fill="D9D9D9" w:themeFill="background1" w:themeFillShade="D9"/>
            <w:noWrap/>
            <w:vAlign w:val="center"/>
            <w:hideMark/>
          </w:tcPr>
          <w:p w:rsidR="002E07FF" w:rsidRPr="002E07FF" w:rsidRDefault="002E07FF" w:rsidP="0093455B">
            <w:pPr>
              <w:keepNext/>
              <w:keepLines/>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Dormandy 2005</w:t>
            </w:r>
            <w:r w:rsidR="0093455B" w:rsidRPr="00835E73">
              <w:rPr>
                <w:rStyle w:val="TableText"/>
                <w:rFonts w:asciiTheme="majorHAnsi" w:hAnsiTheme="majorHAnsi"/>
                <w:b/>
                <w:szCs w:val="20"/>
                <w:vertAlign w:val="superscript"/>
              </w:rPr>
              <w:t>3</w:t>
            </w:r>
          </w:p>
        </w:tc>
        <w:tc>
          <w:tcPr>
            <w:tcW w:w="860" w:type="pct"/>
            <w:shd w:val="clear" w:color="auto" w:fill="D9D9D9" w:themeFill="background1" w:themeFillShade="D9"/>
            <w:noWrap/>
            <w:vAlign w:val="center"/>
            <w:hideMark/>
          </w:tcPr>
          <w:p w:rsidR="002E07FF" w:rsidRPr="002E07FF" w:rsidRDefault="002E07FF" w:rsidP="0093455B">
            <w:pPr>
              <w:keepNext/>
              <w:keepLines/>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Scirica 2013</w:t>
            </w:r>
            <w:r w:rsidR="0093455B" w:rsidRPr="00835E73">
              <w:rPr>
                <w:rStyle w:val="TableText"/>
                <w:rFonts w:asciiTheme="majorHAnsi" w:hAnsiTheme="majorHAnsi"/>
                <w:b/>
                <w:szCs w:val="20"/>
                <w:vertAlign w:val="superscript"/>
              </w:rPr>
              <w:t>4</w:t>
            </w:r>
          </w:p>
        </w:tc>
        <w:tc>
          <w:tcPr>
            <w:tcW w:w="850" w:type="pct"/>
            <w:shd w:val="clear" w:color="auto" w:fill="D9D9D9" w:themeFill="background1" w:themeFillShade="D9"/>
            <w:noWrap/>
            <w:vAlign w:val="center"/>
            <w:hideMark/>
          </w:tcPr>
          <w:p w:rsidR="002E07FF" w:rsidRPr="002E07FF" w:rsidRDefault="002E07FF" w:rsidP="0093455B">
            <w:pPr>
              <w:keepNext/>
              <w:keepLines/>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White 2013</w:t>
            </w:r>
            <w:r w:rsidR="0093455B" w:rsidRPr="00835E73">
              <w:rPr>
                <w:rStyle w:val="TableText"/>
                <w:rFonts w:asciiTheme="majorHAnsi" w:hAnsiTheme="majorHAnsi"/>
                <w:b/>
                <w:szCs w:val="20"/>
                <w:vertAlign w:val="superscript"/>
              </w:rPr>
              <w:t>5</w:t>
            </w:r>
          </w:p>
        </w:tc>
      </w:tr>
      <w:tr w:rsidR="000B5B9E" w:rsidRPr="00C6581C" w:rsidTr="00E15734">
        <w:trPr>
          <w:cantSplit/>
          <w:trHeight w:val="239"/>
        </w:trPr>
        <w:tc>
          <w:tcPr>
            <w:tcW w:w="1510" w:type="pct"/>
            <w:shd w:val="clear" w:color="auto" w:fill="auto"/>
            <w:vAlign w:val="center"/>
            <w:hideMark/>
          </w:tcPr>
          <w:p w:rsidR="002E07FF" w:rsidRPr="002E07FF" w:rsidRDefault="002E07FF" w:rsidP="00BC6868">
            <w:pPr>
              <w:keepNext/>
              <w:keepLines/>
              <w:spacing w:before="60" w:after="60" w:line="240" w:lineRule="auto"/>
              <w:rPr>
                <w:rStyle w:val="TableText"/>
                <w:rFonts w:asciiTheme="majorHAnsi" w:hAnsiTheme="majorHAnsi"/>
                <w:szCs w:val="20"/>
              </w:rPr>
            </w:pPr>
            <w:r w:rsidRPr="002E07FF">
              <w:rPr>
                <w:rStyle w:val="TableText"/>
                <w:rFonts w:asciiTheme="majorHAnsi" w:hAnsiTheme="majorHAnsi"/>
                <w:szCs w:val="20"/>
              </w:rPr>
              <w:t>Trial duration</w:t>
            </w:r>
          </w:p>
        </w:tc>
        <w:tc>
          <w:tcPr>
            <w:tcW w:w="855" w:type="pct"/>
            <w:shd w:val="clear" w:color="auto" w:fill="auto"/>
            <w:noWrap/>
            <w:vAlign w:val="center"/>
            <w:hideMark/>
          </w:tcPr>
          <w:p w:rsidR="002E07FF" w:rsidRPr="002E07FF" w:rsidRDefault="002E07FF" w:rsidP="00BC6868">
            <w:pPr>
              <w:keepNext/>
              <w:keepLines/>
              <w:spacing w:before="60" w:after="60" w:line="240" w:lineRule="auto"/>
              <w:jc w:val="center"/>
              <w:rPr>
                <w:rStyle w:val="TableText"/>
                <w:rFonts w:asciiTheme="majorHAnsi" w:hAnsiTheme="majorHAnsi"/>
                <w:szCs w:val="20"/>
              </w:rPr>
            </w:pPr>
            <w:r w:rsidRPr="002E07FF">
              <w:rPr>
                <w:rStyle w:val="TableText"/>
                <w:rFonts w:asciiTheme="majorHAnsi" w:hAnsiTheme="majorHAnsi"/>
                <w:szCs w:val="20"/>
              </w:rPr>
              <w:t>5 years (median)</w:t>
            </w:r>
          </w:p>
        </w:tc>
        <w:tc>
          <w:tcPr>
            <w:tcW w:w="926" w:type="pct"/>
            <w:shd w:val="clear" w:color="auto" w:fill="auto"/>
            <w:noWrap/>
            <w:vAlign w:val="center"/>
            <w:hideMark/>
          </w:tcPr>
          <w:p w:rsidR="002E07FF" w:rsidRPr="002E07FF" w:rsidRDefault="002E07FF" w:rsidP="00BC6868">
            <w:pPr>
              <w:keepNext/>
              <w:keepLines/>
              <w:spacing w:before="60" w:after="60" w:line="240" w:lineRule="auto"/>
              <w:jc w:val="center"/>
              <w:rPr>
                <w:rStyle w:val="TableText"/>
                <w:rFonts w:asciiTheme="majorHAnsi" w:hAnsiTheme="majorHAnsi"/>
                <w:szCs w:val="20"/>
              </w:rPr>
            </w:pPr>
            <w:r w:rsidRPr="002E07FF">
              <w:rPr>
                <w:rStyle w:val="TableText"/>
                <w:rFonts w:asciiTheme="majorHAnsi" w:hAnsiTheme="majorHAnsi"/>
                <w:szCs w:val="20"/>
              </w:rPr>
              <w:t>34.5 months</w:t>
            </w:r>
          </w:p>
        </w:tc>
        <w:tc>
          <w:tcPr>
            <w:tcW w:w="860" w:type="pct"/>
            <w:shd w:val="clear" w:color="auto" w:fill="auto"/>
            <w:noWrap/>
            <w:vAlign w:val="center"/>
            <w:hideMark/>
          </w:tcPr>
          <w:p w:rsidR="002E07FF" w:rsidRPr="002E07FF" w:rsidRDefault="002E07FF" w:rsidP="00BC6868">
            <w:pPr>
              <w:keepNext/>
              <w:keepLines/>
              <w:spacing w:before="60" w:after="60" w:line="240" w:lineRule="auto"/>
              <w:jc w:val="center"/>
              <w:rPr>
                <w:rStyle w:val="TableText"/>
                <w:rFonts w:asciiTheme="majorHAnsi" w:hAnsiTheme="majorHAnsi"/>
                <w:szCs w:val="20"/>
              </w:rPr>
            </w:pPr>
            <w:r w:rsidRPr="002E07FF">
              <w:rPr>
                <w:rStyle w:val="TableText"/>
                <w:rFonts w:asciiTheme="majorHAnsi" w:hAnsiTheme="majorHAnsi"/>
                <w:szCs w:val="20"/>
              </w:rPr>
              <w:t>2.1 year</w:t>
            </w:r>
            <w:r w:rsidR="000B5B9E">
              <w:rPr>
                <w:rStyle w:val="TableText"/>
                <w:rFonts w:asciiTheme="majorHAnsi" w:hAnsiTheme="majorHAnsi"/>
                <w:szCs w:val="20"/>
              </w:rPr>
              <w:t>s</w:t>
            </w:r>
          </w:p>
        </w:tc>
        <w:tc>
          <w:tcPr>
            <w:tcW w:w="850" w:type="pct"/>
            <w:shd w:val="clear" w:color="auto" w:fill="auto"/>
            <w:noWrap/>
            <w:vAlign w:val="center"/>
            <w:hideMark/>
          </w:tcPr>
          <w:p w:rsidR="002E07FF" w:rsidRPr="002E07FF" w:rsidRDefault="002E07FF" w:rsidP="00BC6868">
            <w:pPr>
              <w:keepNext/>
              <w:keepLines/>
              <w:spacing w:before="60" w:after="60" w:line="240" w:lineRule="auto"/>
              <w:jc w:val="center"/>
              <w:rPr>
                <w:rStyle w:val="TableText"/>
                <w:rFonts w:asciiTheme="majorHAnsi" w:hAnsiTheme="majorHAnsi"/>
                <w:szCs w:val="20"/>
              </w:rPr>
            </w:pPr>
            <w:r w:rsidRPr="002E07FF">
              <w:rPr>
                <w:rStyle w:val="TableText"/>
                <w:rFonts w:asciiTheme="majorHAnsi" w:hAnsiTheme="majorHAnsi"/>
                <w:szCs w:val="20"/>
              </w:rPr>
              <w:t>18 months</w:t>
            </w:r>
          </w:p>
        </w:tc>
      </w:tr>
      <w:tr w:rsidR="000B5B9E" w:rsidRPr="00C6581C" w:rsidTr="00E15734">
        <w:trPr>
          <w:cantSplit/>
          <w:trHeight w:val="129"/>
        </w:trPr>
        <w:tc>
          <w:tcPr>
            <w:tcW w:w="1510" w:type="pct"/>
            <w:shd w:val="clear" w:color="auto" w:fill="auto"/>
            <w:noWrap/>
            <w:vAlign w:val="center"/>
            <w:hideMark/>
          </w:tcPr>
          <w:p w:rsidR="000B5B9E" w:rsidRPr="002E07FF" w:rsidRDefault="000B5B9E" w:rsidP="00BC6868">
            <w:pPr>
              <w:keepNext/>
              <w:keepLines/>
              <w:spacing w:before="60" w:after="60" w:line="240" w:lineRule="auto"/>
              <w:rPr>
                <w:rStyle w:val="TableText"/>
                <w:rFonts w:asciiTheme="majorHAnsi" w:hAnsiTheme="majorHAnsi"/>
                <w:szCs w:val="20"/>
              </w:rPr>
            </w:pPr>
            <w:r w:rsidRPr="002E07FF">
              <w:rPr>
                <w:rStyle w:val="TableText"/>
                <w:rFonts w:asciiTheme="majorHAnsi" w:hAnsiTheme="majorHAnsi"/>
                <w:szCs w:val="20"/>
              </w:rPr>
              <w:t>N</w:t>
            </w:r>
          </w:p>
        </w:tc>
        <w:tc>
          <w:tcPr>
            <w:tcW w:w="855" w:type="pct"/>
            <w:shd w:val="clear" w:color="auto" w:fill="auto"/>
            <w:noWrap/>
            <w:vAlign w:val="center"/>
            <w:hideMark/>
          </w:tcPr>
          <w:p w:rsidR="000B5B9E" w:rsidRDefault="000B5B9E"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 xml:space="preserve">EM + SU: </w:t>
            </w:r>
            <w:r w:rsidRPr="002E07FF">
              <w:rPr>
                <w:rStyle w:val="TableText"/>
                <w:rFonts w:asciiTheme="majorHAnsi" w:hAnsiTheme="majorHAnsi"/>
                <w:szCs w:val="20"/>
              </w:rPr>
              <w:t>5,571</w:t>
            </w:r>
          </w:p>
          <w:p w:rsidR="000B5B9E" w:rsidRPr="002E07FF" w:rsidRDefault="000B5B9E"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EM:5,569</w:t>
            </w:r>
          </w:p>
        </w:tc>
        <w:tc>
          <w:tcPr>
            <w:tcW w:w="926" w:type="pct"/>
            <w:shd w:val="clear" w:color="auto" w:fill="auto"/>
            <w:noWrap/>
            <w:vAlign w:val="center"/>
            <w:hideMark/>
          </w:tcPr>
          <w:p w:rsidR="000B5B9E" w:rsidRDefault="000B5B9E"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 xml:space="preserve">EM + TZD: </w:t>
            </w:r>
            <w:r w:rsidRPr="002E07FF">
              <w:rPr>
                <w:rStyle w:val="TableText"/>
                <w:rFonts w:asciiTheme="majorHAnsi" w:hAnsiTheme="majorHAnsi"/>
                <w:szCs w:val="20"/>
              </w:rPr>
              <w:t>2,605</w:t>
            </w:r>
          </w:p>
          <w:p w:rsidR="000B5B9E" w:rsidRPr="002E07FF" w:rsidRDefault="000B5B9E"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EM: 2,633</w:t>
            </w:r>
          </w:p>
        </w:tc>
        <w:tc>
          <w:tcPr>
            <w:tcW w:w="860" w:type="pct"/>
            <w:shd w:val="clear" w:color="auto" w:fill="auto"/>
            <w:noWrap/>
            <w:vAlign w:val="center"/>
            <w:hideMark/>
          </w:tcPr>
          <w:p w:rsidR="000B5B9E" w:rsidRDefault="000B5B9E"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 xml:space="preserve">EM + DPP-4: </w:t>
            </w:r>
            <w:r w:rsidRPr="002E07FF">
              <w:rPr>
                <w:rStyle w:val="TableText"/>
                <w:rFonts w:asciiTheme="majorHAnsi" w:hAnsiTheme="majorHAnsi"/>
                <w:szCs w:val="20"/>
              </w:rPr>
              <w:t>8,280</w:t>
            </w:r>
          </w:p>
          <w:p w:rsidR="000B5B9E" w:rsidRPr="002E07FF" w:rsidRDefault="000B5B9E"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EM + PBO: 8,212</w:t>
            </w:r>
          </w:p>
        </w:tc>
        <w:tc>
          <w:tcPr>
            <w:tcW w:w="850" w:type="pct"/>
            <w:shd w:val="clear" w:color="auto" w:fill="auto"/>
            <w:noWrap/>
            <w:vAlign w:val="center"/>
            <w:hideMark/>
          </w:tcPr>
          <w:p w:rsidR="000B5B9E" w:rsidRDefault="000B5B9E"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 xml:space="preserve">EM + DPP-4: </w:t>
            </w:r>
            <w:r w:rsidRPr="002E07FF">
              <w:rPr>
                <w:rStyle w:val="TableText"/>
                <w:rFonts w:asciiTheme="majorHAnsi" w:hAnsiTheme="majorHAnsi"/>
                <w:szCs w:val="20"/>
              </w:rPr>
              <w:t>2,701</w:t>
            </w:r>
          </w:p>
          <w:p w:rsidR="000B5B9E" w:rsidRPr="002E07FF" w:rsidRDefault="000B5B9E"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EM + PBO: 2,679</w:t>
            </w:r>
          </w:p>
        </w:tc>
      </w:tr>
      <w:tr w:rsidR="000B5B9E" w:rsidRPr="00DF45A0" w:rsidTr="00E15734">
        <w:trPr>
          <w:cantSplit/>
          <w:trHeight w:val="288"/>
        </w:trPr>
        <w:tc>
          <w:tcPr>
            <w:tcW w:w="1510" w:type="pct"/>
            <w:shd w:val="clear" w:color="auto" w:fill="auto"/>
            <w:vAlign w:val="center"/>
          </w:tcPr>
          <w:p w:rsidR="002E07FF" w:rsidRPr="002E07FF" w:rsidRDefault="002E07FF" w:rsidP="00BC6868">
            <w:pPr>
              <w:keepNext/>
              <w:keepLines/>
              <w:spacing w:before="60" w:after="60" w:line="240" w:lineRule="auto"/>
              <w:rPr>
                <w:rFonts w:asciiTheme="majorHAnsi" w:hAnsiTheme="majorHAnsi"/>
                <w:sz w:val="20"/>
                <w:szCs w:val="20"/>
              </w:rPr>
            </w:pPr>
            <w:r w:rsidRPr="002E07FF">
              <w:rPr>
                <w:rFonts w:asciiTheme="majorHAnsi" w:hAnsiTheme="majorHAnsi"/>
                <w:sz w:val="20"/>
                <w:szCs w:val="20"/>
              </w:rPr>
              <w:t>Death from any cause</w:t>
            </w:r>
          </w:p>
        </w:tc>
        <w:tc>
          <w:tcPr>
            <w:tcW w:w="855" w:type="pct"/>
            <w:shd w:val="clear" w:color="auto" w:fill="auto"/>
            <w:noWrap/>
            <w:vAlign w:val="center"/>
          </w:tcPr>
          <w:p w:rsidR="002E07FF" w:rsidRPr="002E07FF" w:rsidRDefault="002E07FF" w:rsidP="00BC6868">
            <w:pPr>
              <w:keepNext/>
              <w:keepLines/>
              <w:spacing w:before="60" w:after="60" w:line="240" w:lineRule="auto"/>
              <w:jc w:val="center"/>
              <w:rPr>
                <w:rFonts w:asciiTheme="majorHAnsi" w:hAnsiTheme="majorHAnsi"/>
                <w:sz w:val="20"/>
                <w:szCs w:val="20"/>
              </w:rPr>
            </w:pPr>
            <w:r w:rsidRPr="002E07FF">
              <w:rPr>
                <w:rFonts w:asciiTheme="majorHAnsi" w:hAnsiTheme="majorHAnsi"/>
                <w:sz w:val="20"/>
                <w:szCs w:val="20"/>
              </w:rPr>
              <w:t>0.93 (0.83, 1.06)</w:t>
            </w:r>
            <w:r w:rsidRPr="002E07FF">
              <w:rPr>
                <w:rStyle w:val="TableText"/>
                <w:rFonts w:asciiTheme="majorHAnsi" w:hAnsiTheme="majorHAnsi"/>
                <w:szCs w:val="20"/>
                <w:vertAlign w:val="superscript"/>
              </w:rPr>
              <w:t>a</w:t>
            </w:r>
          </w:p>
        </w:tc>
        <w:tc>
          <w:tcPr>
            <w:tcW w:w="926" w:type="pct"/>
            <w:shd w:val="clear" w:color="auto" w:fill="auto"/>
            <w:noWrap/>
            <w:vAlign w:val="center"/>
          </w:tcPr>
          <w:p w:rsidR="002E07FF" w:rsidRPr="002E07FF" w:rsidRDefault="002E07FF" w:rsidP="00BC6868">
            <w:pPr>
              <w:keepNext/>
              <w:keepLines/>
              <w:spacing w:before="60" w:after="60" w:line="240" w:lineRule="auto"/>
              <w:jc w:val="center"/>
              <w:rPr>
                <w:rStyle w:val="TableText"/>
                <w:rFonts w:asciiTheme="majorHAnsi" w:hAnsiTheme="majorHAnsi"/>
                <w:szCs w:val="20"/>
              </w:rPr>
            </w:pPr>
            <w:r w:rsidRPr="002E07FF">
              <w:rPr>
                <w:rStyle w:val="TableText"/>
                <w:rFonts w:asciiTheme="majorHAnsi" w:hAnsiTheme="majorHAnsi"/>
                <w:szCs w:val="20"/>
              </w:rPr>
              <w:t>0·96 (0.78, 1.18)</w:t>
            </w:r>
            <w:r w:rsidRPr="002E07FF">
              <w:rPr>
                <w:rStyle w:val="TableText"/>
                <w:rFonts w:asciiTheme="majorHAnsi" w:hAnsiTheme="majorHAnsi"/>
                <w:szCs w:val="20"/>
                <w:vertAlign w:val="superscript"/>
              </w:rPr>
              <w:t>a</w:t>
            </w:r>
          </w:p>
        </w:tc>
        <w:tc>
          <w:tcPr>
            <w:tcW w:w="860" w:type="pct"/>
            <w:shd w:val="clear" w:color="auto" w:fill="auto"/>
            <w:vAlign w:val="center"/>
          </w:tcPr>
          <w:p w:rsidR="002E07FF" w:rsidRPr="002E07FF" w:rsidRDefault="007F6CE5"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50" w:type="pct"/>
            <w:shd w:val="clear" w:color="auto" w:fill="auto"/>
            <w:noWrap/>
            <w:vAlign w:val="center"/>
          </w:tcPr>
          <w:p w:rsidR="002E07FF" w:rsidRPr="007F6CE5" w:rsidRDefault="007F6CE5" w:rsidP="00BC6868">
            <w:pPr>
              <w:keepNext/>
              <w:keepLines/>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r>
      <w:tr w:rsidR="000B5B9E" w:rsidRPr="00DF45A0" w:rsidTr="00E15734">
        <w:trPr>
          <w:cantSplit/>
          <w:trHeight w:val="288"/>
        </w:trPr>
        <w:tc>
          <w:tcPr>
            <w:tcW w:w="1510" w:type="pct"/>
            <w:shd w:val="clear" w:color="auto" w:fill="auto"/>
            <w:vAlign w:val="center"/>
          </w:tcPr>
          <w:p w:rsidR="002E07FF" w:rsidRPr="002E07FF" w:rsidRDefault="002E07FF" w:rsidP="00BC6868">
            <w:pPr>
              <w:keepNext/>
              <w:keepLines/>
              <w:spacing w:before="60" w:after="60" w:line="240" w:lineRule="auto"/>
              <w:rPr>
                <w:rFonts w:asciiTheme="majorHAnsi" w:hAnsiTheme="majorHAnsi"/>
                <w:sz w:val="20"/>
                <w:szCs w:val="20"/>
              </w:rPr>
            </w:pPr>
            <w:r w:rsidRPr="002E07FF">
              <w:rPr>
                <w:rStyle w:val="TableText"/>
                <w:rFonts w:asciiTheme="majorHAnsi" w:hAnsiTheme="majorHAnsi"/>
                <w:szCs w:val="20"/>
              </w:rPr>
              <w:t>Heart failure</w:t>
            </w:r>
          </w:p>
        </w:tc>
        <w:tc>
          <w:tcPr>
            <w:tcW w:w="855" w:type="pct"/>
            <w:shd w:val="clear" w:color="auto" w:fill="auto"/>
            <w:noWrap/>
            <w:vAlign w:val="center"/>
          </w:tcPr>
          <w:p w:rsidR="002E07FF" w:rsidRPr="002E07FF" w:rsidRDefault="002E07FF" w:rsidP="00BC6868">
            <w:pPr>
              <w:keepNext/>
              <w:keepLines/>
              <w:spacing w:before="60" w:after="60" w:line="240" w:lineRule="auto"/>
              <w:jc w:val="center"/>
              <w:rPr>
                <w:rFonts w:asciiTheme="majorHAnsi" w:hAnsiTheme="majorHAnsi"/>
                <w:sz w:val="20"/>
                <w:szCs w:val="20"/>
              </w:rPr>
            </w:pPr>
            <w:r w:rsidRPr="002E07FF">
              <w:rPr>
                <w:rStyle w:val="TableText"/>
                <w:rFonts w:asciiTheme="majorHAnsi" w:hAnsiTheme="majorHAnsi"/>
                <w:szCs w:val="20"/>
              </w:rPr>
              <w:t>5 (−14 to 21)</w:t>
            </w:r>
            <w:r w:rsidRPr="002E07FF">
              <w:rPr>
                <w:rStyle w:val="TableText"/>
                <w:rFonts w:asciiTheme="majorHAnsi" w:hAnsiTheme="majorHAnsi"/>
                <w:szCs w:val="20"/>
                <w:vertAlign w:val="superscript"/>
              </w:rPr>
              <w:t>d</w:t>
            </w:r>
          </w:p>
        </w:tc>
        <w:tc>
          <w:tcPr>
            <w:tcW w:w="926" w:type="pct"/>
            <w:shd w:val="clear" w:color="auto" w:fill="auto"/>
            <w:noWrap/>
            <w:vAlign w:val="center"/>
          </w:tcPr>
          <w:p w:rsidR="002E07FF" w:rsidRPr="002E07FF" w:rsidRDefault="002E07FF" w:rsidP="00BC6868">
            <w:pPr>
              <w:keepNext/>
              <w:keepLines/>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1.49 (1.23, 1.8)</w:t>
            </w:r>
            <w:r w:rsidRPr="002E07FF">
              <w:rPr>
                <w:rStyle w:val="TableText"/>
                <w:rFonts w:asciiTheme="majorHAnsi" w:hAnsiTheme="majorHAnsi"/>
                <w:b/>
                <w:szCs w:val="20"/>
                <w:vertAlign w:val="superscript"/>
              </w:rPr>
              <w:t>b</w:t>
            </w:r>
          </w:p>
        </w:tc>
        <w:tc>
          <w:tcPr>
            <w:tcW w:w="860" w:type="pct"/>
            <w:shd w:val="clear" w:color="auto" w:fill="auto"/>
            <w:vAlign w:val="center"/>
          </w:tcPr>
          <w:p w:rsidR="002E07FF" w:rsidRPr="002E07FF" w:rsidRDefault="007F6CE5"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50" w:type="pct"/>
            <w:shd w:val="clear" w:color="auto" w:fill="auto"/>
            <w:noWrap/>
            <w:vAlign w:val="center"/>
          </w:tcPr>
          <w:p w:rsidR="002E07FF" w:rsidRPr="007F6CE5" w:rsidRDefault="007F6CE5" w:rsidP="00BC6868">
            <w:pPr>
              <w:keepNext/>
              <w:keepLines/>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r>
      <w:tr w:rsidR="000B5B9E" w:rsidRPr="00DF45A0" w:rsidTr="00E15734">
        <w:trPr>
          <w:cantSplit/>
          <w:trHeight w:val="288"/>
        </w:trPr>
        <w:tc>
          <w:tcPr>
            <w:tcW w:w="1510" w:type="pct"/>
            <w:shd w:val="clear" w:color="auto" w:fill="auto"/>
            <w:vAlign w:val="center"/>
          </w:tcPr>
          <w:p w:rsidR="002E07FF" w:rsidRPr="002E07FF" w:rsidRDefault="002E07FF" w:rsidP="00BC6868">
            <w:pPr>
              <w:keepNext/>
              <w:keepLines/>
              <w:spacing w:before="60" w:after="60" w:line="240" w:lineRule="auto"/>
              <w:rPr>
                <w:rFonts w:asciiTheme="majorHAnsi" w:hAnsiTheme="majorHAnsi"/>
                <w:sz w:val="20"/>
                <w:szCs w:val="20"/>
              </w:rPr>
            </w:pPr>
            <w:r w:rsidRPr="002E07FF">
              <w:rPr>
                <w:rStyle w:val="TableText"/>
                <w:rFonts w:asciiTheme="majorHAnsi" w:hAnsiTheme="majorHAnsi"/>
                <w:szCs w:val="20"/>
              </w:rPr>
              <w:t>Hospitalisation due to heart failure</w:t>
            </w:r>
          </w:p>
        </w:tc>
        <w:tc>
          <w:tcPr>
            <w:tcW w:w="855" w:type="pct"/>
            <w:shd w:val="clear" w:color="auto" w:fill="auto"/>
            <w:noWrap/>
            <w:vAlign w:val="center"/>
          </w:tcPr>
          <w:p w:rsidR="002E07FF" w:rsidRPr="002E07FF" w:rsidRDefault="007F6CE5" w:rsidP="00BC6868">
            <w:pPr>
              <w:keepNext/>
              <w:keepLines/>
              <w:spacing w:before="60" w:after="60" w:line="240" w:lineRule="auto"/>
              <w:jc w:val="center"/>
              <w:rPr>
                <w:rFonts w:asciiTheme="majorHAnsi" w:hAnsiTheme="majorHAnsi"/>
                <w:sz w:val="20"/>
                <w:szCs w:val="20"/>
              </w:rPr>
            </w:pPr>
            <w:r>
              <w:rPr>
                <w:rFonts w:asciiTheme="majorHAnsi" w:hAnsiTheme="majorHAnsi"/>
                <w:sz w:val="20"/>
                <w:szCs w:val="20"/>
              </w:rPr>
              <w:t>NR</w:t>
            </w:r>
          </w:p>
        </w:tc>
        <w:tc>
          <w:tcPr>
            <w:tcW w:w="926" w:type="pct"/>
            <w:shd w:val="clear" w:color="auto" w:fill="auto"/>
            <w:noWrap/>
            <w:vAlign w:val="center"/>
          </w:tcPr>
          <w:p w:rsidR="002E07FF" w:rsidRPr="002E07FF" w:rsidRDefault="002E07FF" w:rsidP="00BC6868">
            <w:pPr>
              <w:keepNext/>
              <w:keepLines/>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1.42 (1.1, 1.83)</w:t>
            </w:r>
            <w:r w:rsidRPr="002E07FF">
              <w:rPr>
                <w:rStyle w:val="TableText"/>
                <w:rFonts w:asciiTheme="majorHAnsi" w:hAnsiTheme="majorHAnsi"/>
                <w:b/>
                <w:szCs w:val="20"/>
                <w:vertAlign w:val="superscript"/>
              </w:rPr>
              <w:t>b</w:t>
            </w:r>
          </w:p>
        </w:tc>
        <w:tc>
          <w:tcPr>
            <w:tcW w:w="860" w:type="pct"/>
            <w:shd w:val="clear" w:color="auto" w:fill="auto"/>
            <w:vAlign w:val="center"/>
          </w:tcPr>
          <w:p w:rsidR="002E07FF" w:rsidRPr="00E63155" w:rsidRDefault="002E07FF" w:rsidP="00BC6868">
            <w:pPr>
              <w:keepNext/>
              <w:keepLines/>
              <w:spacing w:before="60" w:after="60" w:line="240" w:lineRule="auto"/>
              <w:jc w:val="center"/>
              <w:rPr>
                <w:rStyle w:val="TableText"/>
                <w:rFonts w:asciiTheme="majorHAnsi" w:hAnsiTheme="majorHAnsi"/>
                <w:b/>
                <w:szCs w:val="20"/>
              </w:rPr>
            </w:pPr>
            <w:r w:rsidRPr="00E63155">
              <w:rPr>
                <w:rStyle w:val="CommentReference"/>
                <w:rFonts w:asciiTheme="majorHAnsi" w:hAnsiTheme="majorHAnsi"/>
                <w:b/>
                <w:sz w:val="20"/>
                <w:szCs w:val="20"/>
              </w:rPr>
              <w:t>1.27 (1.07, 1.51)</w:t>
            </w:r>
            <w:r w:rsidRPr="00E63155">
              <w:rPr>
                <w:rStyle w:val="TableText"/>
                <w:rFonts w:asciiTheme="majorHAnsi" w:hAnsiTheme="majorHAnsi"/>
                <w:b/>
                <w:szCs w:val="20"/>
                <w:vertAlign w:val="superscript"/>
              </w:rPr>
              <w:t>a</w:t>
            </w:r>
          </w:p>
        </w:tc>
        <w:tc>
          <w:tcPr>
            <w:tcW w:w="850" w:type="pct"/>
            <w:shd w:val="clear" w:color="auto" w:fill="auto"/>
            <w:noWrap/>
            <w:vAlign w:val="center"/>
          </w:tcPr>
          <w:p w:rsidR="002E07FF" w:rsidRPr="007F6CE5" w:rsidRDefault="007F6CE5" w:rsidP="00BC6868">
            <w:pPr>
              <w:keepNext/>
              <w:keepLines/>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r>
      <w:tr w:rsidR="000B5B9E" w:rsidRPr="00DF45A0" w:rsidTr="00E15734">
        <w:trPr>
          <w:cantSplit/>
          <w:trHeight w:val="288"/>
        </w:trPr>
        <w:tc>
          <w:tcPr>
            <w:tcW w:w="1510" w:type="pct"/>
            <w:shd w:val="clear" w:color="auto" w:fill="auto"/>
            <w:vAlign w:val="center"/>
          </w:tcPr>
          <w:p w:rsidR="002E07FF" w:rsidRPr="002E07FF" w:rsidRDefault="002E07FF" w:rsidP="00BC6868">
            <w:pPr>
              <w:pStyle w:val="TableFooter"/>
              <w:keepNext/>
              <w:keepLines/>
              <w:spacing w:before="60" w:after="60"/>
              <w:jc w:val="left"/>
              <w:rPr>
                <w:rFonts w:asciiTheme="majorHAnsi" w:hAnsiTheme="majorHAnsi" w:cs="Times New Roman"/>
                <w:sz w:val="20"/>
                <w:szCs w:val="20"/>
              </w:rPr>
            </w:pPr>
            <w:r w:rsidRPr="002E07FF">
              <w:rPr>
                <w:rFonts w:asciiTheme="majorHAnsi" w:hAnsiTheme="majorHAnsi"/>
                <w:sz w:val="20"/>
                <w:szCs w:val="20"/>
              </w:rPr>
              <w:t>Major microvascular events:</w:t>
            </w:r>
            <w:r w:rsidRPr="002E07FF">
              <w:rPr>
                <w:rStyle w:val="TableText"/>
                <w:rFonts w:asciiTheme="majorHAnsi" w:hAnsiTheme="majorHAnsi"/>
                <w:szCs w:val="20"/>
              </w:rPr>
              <w:t xml:space="preserve"> </w:t>
            </w:r>
            <w:r w:rsidRPr="002E07FF">
              <w:rPr>
                <w:rFonts w:asciiTheme="majorHAnsi" w:hAnsiTheme="majorHAnsi"/>
                <w:sz w:val="20"/>
                <w:szCs w:val="20"/>
              </w:rPr>
              <w:t>new or worsening nephropathy or retinopathy</w:t>
            </w:r>
          </w:p>
        </w:tc>
        <w:tc>
          <w:tcPr>
            <w:tcW w:w="855" w:type="pct"/>
            <w:shd w:val="clear" w:color="auto" w:fill="auto"/>
            <w:noWrap/>
            <w:vAlign w:val="center"/>
          </w:tcPr>
          <w:p w:rsidR="002E07FF" w:rsidRPr="002E07FF" w:rsidRDefault="002E07FF" w:rsidP="00BC6868">
            <w:pPr>
              <w:keepNext/>
              <w:keepLines/>
              <w:spacing w:before="60" w:after="60" w:line="240" w:lineRule="auto"/>
              <w:jc w:val="center"/>
              <w:rPr>
                <w:rFonts w:asciiTheme="majorHAnsi" w:hAnsiTheme="majorHAnsi"/>
                <w:b/>
                <w:sz w:val="20"/>
                <w:szCs w:val="20"/>
              </w:rPr>
            </w:pPr>
            <w:r w:rsidRPr="002E07FF">
              <w:rPr>
                <w:rFonts w:asciiTheme="majorHAnsi" w:hAnsiTheme="majorHAnsi"/>
                <w:b/>
                <w:sz w:val="20"/>
                <w:szCs w:val="20"/>
              </w:rPr>
              <w:t>0.86 (0.77, 0.97)</w:t>
            </w:r>
            <w:r w:rsidRPr="002E07FF">
              <w:rPr>
                <w:rStyle w:val="TableText"/>
                <w:rFonts w:asciiTheme="majorHAnsi" w:hAnsiTheme="majorHAnsi"/>
                <w:szCs w:val="20"/>
                <w:vertAlign w:val="superscript"/>
              </w:rPr>
              <w:t>a</w:t>
            </w:r>
          </w:p>
        </w:tc>
        <w:tc>
          <w:tcPr>
            <w:tcW w:w="926" w:type="pct"/>
            <w:shd w:val="clear" w:color="auto" w:fill="auto"/>
            <w:noWrap/>
            <w:vAlign w:val="center"/>
          </w:tcPr>
          <w:p w:rsidR="002E07FF" w:rsidRPr="007F6CE5" w:rsidRDefault="007F6CE5" w:rsidP="00BC6868">
            <w:pPr>
              <w:keepNext/>
              <w:keepLines/>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c>
          <w:tcPr>
            <w:tcW w:w="860" w:type="pct"/>
            <w:shd w:val="clear" w:color="auto" w:fill="auto"/>
            <w:vAlign w:val="center"/>
          </w:tcPr>
          <w:p w:rsidR="002E07FF" w:rsidRPr="002E07FF" w:rsidRDefault="007F6CE5"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50" w:type="pct"/>
            <w:shd w:val="clear" w:color="auto" w:fill="auto"/>
            <w:noWrap/>
            <w:vAlign w:val="center"/>
          </w:tcPr>
          <w:p w:rsidR="002E07FF" w:rsidRPr="007F6CE5" w:rsidRDefault="007F6CE5" w:rsidP="00BC6868">
            <w:pPr>
              <w:keepNext/>
              <w:keepLines/>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r>
      <w:tr w:rsidR="000B5B9E" w:rsidRPr="00DF45A0" w:rsidTr="00E15734">
        <w:trPr>
          <w:cantSplit/>
          <w:trHeight w:val="288"/>
        </w:trPr>
        <w:tc>
          <w:tcPr>
            <w:tcW w:w="1510" w:type="pct"/>
            <w:shd w:val="clear" w:color="auto" w:fill="auto"/>
            <w:vAlign w:val="center"/>
          </w:tcPr>
          <w:p w:rsidR="002E07FF" w:rsidRPr="002E07FF" w:rsidRDefault="002E07FF" w:rsidP="00BC6868">
            <w:pPr>
              <w:keepNext/>
              <w:keepLines/>
              <w:spacing w:before="60" w:after="60" w:line="240" w:lineRule="auto"/>
              <w:rPr>
                <w:rFonts w:asciiTheme="majorHAnsi" w:hAnsiTheme="majorHAnsi"/>
                <w:sz w:val="20"/>
                <w:szCs w:val="20"/>
              </w:rPr>
            </w:pPr>
            <w:r w:rsidRPr="002E07FF">
              <w:rPr>
                <w:rFonts w:asciiTheme="majorHAnsi" w:hAnsiTheme="majorHAnsi"/>
                <w:sz w:val="20"/>
                <w:szCs w:val="20"/>
              </w:rPr>
              <w:t>Major macrovascular events:</w:t>
            </w:r>
            <w:r w:rsidRPr="002E07FF">
              <w:rPr>
                <w:rStyle w:val="TableText"/>
                <w:rFonts w:asciiTheme="majorHAnsi" w:hAnsiTheme="majorHAnsi"/>
                <w:szCs w:val="20"/>
              </w:rPr>
              <w:t xml:space="preserve"> CV death, non-fatal MI and non-fatal stroke.</w:t>
            </w:r>
          </w:p>
        </w:tc>
        <w:tc>
          <w:tcPr>
            <w:tcW w:w="855" w:type="pct"/>
            <w:shd w:val="clear" w:color="auto" w:fill="auto"/>
            <w:noWrap/>
            <w:vAlign w:val="center"/>
          </w:tcPr>
          <w:p w:rsidR="002E07FF" w:rsidRPr="002E07FF" w:rsidRDefault="002E07FF" w:rsidP="00BC6868">
            <w:pPr>
              <w:keepNext/>
              <w:keepLines/>
              <w:spacing w:before="60" w:after="60" w:line="240" w:lineRule="auto"/>
              <w:jc w:val="center"/>
              <w:rPr>
                <w:rFonts w:asciiTheme="majorHAnsi" w:hAnsiTheme="majorHAnsi"/>
                <w:sz w:val="20"/>
                <w:szCs w:val="20"/>
              </w:rPr>
            </w:pPr>
            <w:r w:rsidRPr="002E07FF">
              <w:rPr>
                <w:rFonts w:asciiTheme="majorHAnsi" w:hAnsiTheme="majorHAnsi"/>
                <w:sz w:val="20"/>
                <w:szCs w:val="20"/>
              </w:rPr>
              <w:t>0.94 (0.84, 1.06)</w:t>
            </w:r>
            <w:r w:rsidRPr="002E07FF">
              <w:rPr>
                <w:rStyle w:val="TableText"/>
                <w:rFonts w:asciiTheme="majorHAnsi" w:hAnsiTheme="majorHAnsi"/>
                <w:szCs w:val="20"/>
                <w:vertAlign w:val="superscript"/>
              </w:rPr>
              <w:t>a</w:t>
            </w:r>
          </w:p>
        </w:tc>
        <w:tc>
          <w:tcPr>
            <w:tcW w:w="926" w:type="pct"/>
            <w:shd w:val="clear" w:color="auto" w:fill="auto"/>
            <w:noWrap/>
            <w:vAlign w:val="center"/>
          </w:tcPr>
          <w:p w:rsidR="002E07FF" w:rsidRPr="002E07FF" w:rsidRDefault="002E07FF" w:rsidP="00BC6868">
            <w:pPr>
              <w:keepNext/>
              <w:keepLines/>
              <w:spacing w:before="60" w:after="60" w:line="240" w:lineRule="auto"/>
              <w:jc w:val="center"/>
              <w:rPr>
                <w:rStyle w:val="TableText"/>
                <w:rFonts w:asciiTheme="majorHAnsi" w:hAnsiTheme="majorHAnsi"/>
                <w:b/>
                <w:szCs w:val="20"/>
              </w:rPr>
            </w:pPr>
            <w:r w:rsidRPr="002E07FF">
              <w:rPr>
                <w:rStyle w:val="TableText"/>
                <w:rFonts w:asciiTheme="majorHAnsi" w:hAnsiTheme="majorHAnsi"/>
                <w:b/>
                <w:szCs w:val="20"/>
              </w:rPr>
              <w:t>0.84 (0.72, 0.98)</w:t>
            </w:r>
            <w:r w:rsidRPr="002E07FF">
              <w:rPr>
                <w:rStyle w:val="TableText"/>
                <w:rFonts w:asciiTheme="majorHAnsi" w:hAnsiTheme="majorHAnsi"/>
                <w:szCs w:val="20"/>
                <w:vertAlign w:val="superscript"/>
              </w:rPr>
              <w:t>a</w:t>
            </w:r>
          </w:p>
        </w:tc>
        <w:tc>
          <w:tcPr>
            <w:tcW w:w="860" w:type="pct"/>
            <w:shd w:val="clear" w:color="auto" w:fill="auto"/>
            <w:vAlign w:val="center"/>
          </w:tcPr>
          <w:p w:rsidR="002E07FF" w:rsidRPr="00E63155" w:rsidRDefault="002E07FF" w:rsidP="00BC6868">
            <w:pPr>
              <w:keepNext/>
              <w:keepLines/>
              <w:spacing w:before="60" w:after="60" w:line="240" w:lineRule="auto"/>
              <w:jc w:val="center"/>
              <w:rPr>
                <w:rStyle w:val="TableText"/>
                <w:rFonts w:asciiTheme="majorHAnsi" w:hAnsiTheme="majorHAnsi"/>
                <w:szCs w:val="20"/>
              </w:rPr>
            </w:pPr>
            <w:r w:rsidRPr="00E63155">
              <w:rPr>
                <w:rStyle w:val="CommentReference"/>
                <w:rFonts w:asciiTheme="majorHAnsi" w:hAnsiTheme="majorHAnsi"/>
                <w:sz w:val="20"/>
                <w:szCs w:val="20"/>
              </w:rPr>
              <w:t>1.00 (0.89, 1.12)</w:t>
            </w:r>
            <w:r w:rsidRPr="00E63155">
              <w:rPr>
                <w:rStyle w:val="TableText"/>
                <w:rFonts w:asciiTheme="majorHAnsi" w:hAnsiTheme="majorHAnsi"/>
                <w:szCs w:val="20"/>
                <w:vertAlign w:val="superscript"/>
              </w:rPr>
              <w:t>a</w:t>
            </w:r>
          </w:p>
        </w:tc>
        <w:tc>
          <w:tcPr>
            <w:tcW w:w="850" w:type="pct"/>
            <w:shd w:val="clear" w:color="auto" w:fill="auto"/>
            <w:noWrap/>
            <w:vAlign w:val="center"/>
          </w:tcPr>
          <w:p w:rsidR="002E07FF" w:rsidRPr="00E63155" w:rsidRDefault="002E07FF" w:rsidP="00BC6868">
            <w:pPr>
              <w:keepNext/>
              <w:keepLines/>
              <w:spacing w:before="60" w:after="60" w:line="240" w:lineRule="auto"/>
              <w:jc w:val="center"/>
              <w:rPr>
                <w:rStyle w:val="TableText"/>
                <w:rFonts w:asciiTheme="majorHAnsi" w:hAnsiTheme="majorHAnsi"/>
                <w:szCs w:val="20"/>
              </w:rPr>
            </w:pPr>
            <w:r w:rsidRPr="00E63155">
              <w:rPr>
                <w:rStyle w:val="CommentReference"/>
                <w:rFonts w:asciiTheme="majorHAnsi" w:hAnsiTheme="majorHAnsi"/>
                <w:sz w:val="20"/>
                <w:szCs w:val="20"/>
              </w:rPr>
              <w:t>0.96 (≤ 1.16)</w:t>
            </w:r>
            <w:r w:rsidRPr="00E63155">
              <w:rPr>
                <w:rStyle w:val="CommentReference"/>
                <w:rFonts w:asciiTheme="majorHAnsi" w:hAnsiTheme="majorHAnsi"/>
                <w:sz w:val="20"/>
                <w:szCs w:val="20"/>
                <w:vertAlign w:val="superscript"/>
              </w:rPr>
              <w:t>c</w:t>
            </w:r>
          </w:p>
        </w:tc>
      </w:tr>
      <w:tr w:rsidR="000B5B9E" w:rsidRPr="00DF45A0" w:rsidTr="00E15734">
        <w:trPr>
          <w:cantSplit/>
          <w:trHeight w:val="288"/>
        </w:trPr>
        <w:tc>
          <w:tcPr>
            <w:tcW w:w="1510" w:type="pct"/>
            <w:shd w:val="clear" w:color="auto" w:fill="auto"/>
            <w:vAlign w:val="center"/>
          </w:tcPr>
          <w:p w:rsidR="002E07FF" w:rsidRPr="002E07FF" w:rsidRDefault="002E07FF" w:rsidP="005B54B5">
            <w:pPr>
              <w:keepNext/>
              <w:keepLines/>
              <w:spacing w:before="60" w:after="60" w:line="240" w:lineRule="auto"/>
              <w:rPr>
                <w:rFonts w:asciiTheme="majorHAnsi" w:hAnsiTheme="majorHAnsi"/>
                <w:sz w:val="20"/>
                <w:szCs w:val="20"/>
              </w:rPr>
            </w:pPr>
            <w:r w:rsidRPr="002E07FF">
              <w:rPr>
                <w:rFonts w:asciiTheme="majorHAnsi" w:hAnsiTheme="majorHAnsi"/>
                <w:sz w:val="20"/>
                <w:szCs w:val="20"/>
              </w:rPr>
              <w:t>Death from any cause, non-fatal</w:t>
            </w:r>
            <w:r w:rsidR="005B54B5">
              <w:rPr>
                <w:rFonts w:asciiTheme="majorHAnsi" w:hAnsiTheme="majorHAnsi"/>
                <w:sz w:val="20"/>
                <w:szCs w:val="20"/>
              </w:rPr>
              <w:t xml:space="preserve"> MI</w:t>
            </w:r>
            <w:r w:rsidRPr="002E07FF">
              <w:rPr>
                <w:rFonts w:asciiTheme="majorHAnsi" w:hAnsiTheme="majorHAnsi"/>
                <w:sz w:val="20"/>
                <w:szCs w:val="20"/>
              </w:rPr>
              <w:t>, stroke, acute coronary syndrome, leg amputation/revascularisation and coronary revascularisation</w:t>
            </w:r>
          </w:p>
        </w:tc>
        <w:tc>
          <w:tcPr>
            <w:tcW w:w="855" w:type="pct"/>
            <w:shd w:val="clear" w:color="auto" w:fill="auto"/>
            <w:noWrap/>
            <w:vAlign w:val="center"/>
          </w:tcPr>
          <w:p w:rsidR="002E07FF" w:rsidRPr="002E07FF" w:rsidRDefault="007F6CE5" w:rsidP="00BC6868">
            <w:pPr>
              <w:keepNext/>
              <w:keepLines/>
              <w:spacing w:before="60" w:after="60" w:line="240" w:lineRule="auto"/>
              <w:jc w:val="center"/>
              <w:rPr>
                <w:rFonts w:asciiTheme="majorHAnsi" w:hAnsiTheme="majorHAnsi"/>
                <w:sz w:val="20"/>
                <w:szCs w:val="20"/>
              </w:rPr>
            </w:pPr>
            <w:r>
              <w:rPr>
                <w:rFonts w:asciiTheme="majorHAnsi" w:hAnsiTheme="majorHAnsi"/>
                <w:sz w:val="20"/>
                <w:szCs w:val="20"/>
              </w:rPr>
              <w:t>NR</w:t>
            </w:r>
          </w:p>
        </w:tc>
        <w:tc>
          <w:tcPr>
            <w:tcW w:w="926" w:type="pct"/>
            <w:shd w:val="clear" w:color="auto" w:fill="auto"/>
            <w:noWrap/>
            <w:vAlign w:val="center"/>
          </w:tcPr>
          <w:p w:rsidR="002E07FF" w:rsidRPr="002E07FF" w:rsidRDefault="002E07FF" w:rsidP="00BC6868">
            <w:pPr>
              <w:keepNext/>
              <w:keepLines/>
              <w:spacing w:before="60" w:after="60" w:line="240" w:lineRule="auto"/>
              <w:jc w:val="center"/>
              <w:rPr>
                <w:rStyle w:val="TableText"/>
                <w:rFonts w:asciiTheme="majorHAnsi" w:hAnsiTheme="majorHAnsi"/>
                <w:szCs w:val="20"/>
              </w:rPr>
            </w:pPr>
            <w:r w:rsidRPr="002E07FF">
              <w:rPr>
                <w:rFonts w:asciiTheme="majorHAnsi" w:hAnsiTheme="majorHAnsi" w:cs="Times New Roman"/>
                <w:sz w:val="20"/>
                <w:szCs w:val="20"/>
              </w:rPr>
              <w:t>0.90 (0.80, 1.02)</w:t>
            </w:r>
            <w:r w:rsidRPr="002E07FF">
              <w:rPr>
                <w:rStyle w:val="TableText"/>
                <w:rFonts w:asciiTheme="majorHAnsi" w:hAnsiTheme="majorHAnsi"/>
                <w:szCs w:val="20"/>
                <w:vertAlign w:val="superscript"/>
              </w:rPr>
              <w:t>a</w:t>
            </w:r>
          </w:p>
        </w:tc>
        <w:tc>
          <w:tcPr>
            <w:tcW w:w="860" w:type="pct"/>
            <w:shd w:val="clear" w:color="auto" w:fill="auto"/>
            <w:vAlign w:val="center"/>
          </w:tcPr>
          <w:p w:rsidR="002E07FF" w:rsidRPr="002E07FF" w:rsidRDefault="007F6CE5"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50" w:type="pct"/>
            <w:shd w:val="clear" w:color="auto" w:fill="auto"/>
            <w:noWrap/>
            <w:vAlign w:val="center"/>
          </w:tcPr>
          <w:p w:rsidR="002E07FF" w:rsidRPr="007F6CE5" w:rsidRDefault="007F6CE5" w:rsidP="00BC6868">
            <w:pPr>
              <w:keepNext/>
              <w:keepLines/>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r>
      <w:tr w:rsidR="000B5B9E" w:rsidRPr="00DF45A0" w:rsidTr="00E15734">
        <w:trPr>
          <w:cantSplit/>
          <w:trHeight w:val="288"/>
        </w:trPr>
        <w:tc>
          <w:tcPr>
            <w:tcW w:w="1510" w:type="pct"/>
            <w:shd w:val="clear" w:color="auto" w:fill="auto"/>
            <w:vAlign w:val="center"/>
            <w:hideMark/>
          </w:tcPr>
          <w:p w:rsidR="002E07FF" w:rsidRPr="002E07FF" w:rsidRDefault="002E07FF" w:rsidP="00BC6868">
            <w:pPr>
              <w:keepNext/>
              <w:keepLines/>
              <w:spacing w:before="60" w:after="60" w:line="240" w:lineRule="auto"/>
              <w:rPr>
                <w:rStyle w:val="TableText"/>
                <w:rFonts w:asciiTheme="majorHAnsi" w:hAnsiTheme="majorHAnsi"/>
                <w:szCs w:val="20"/>
              </w:rPr>
            </w:pPr>
            <w:r w:rsidRPr="002E07FF">
              <w:rPr>
                <w:rFonts w:asciiTheme="majorHAnsi" w:hAnsiTheme="majorHAnsi"/>
                <w:sz w:val="20"/>
                <w:szCs w:val="20"/>
              </w:rPr>
              <w:t>Combined major macrovascular and microvascular events</w:t>
            </w:r>
          </w:p>
        </w:tc>
        <w:tc>
          <w:tcPr>
            <w:tcW w:w="855" w:type="pct"/>
            <w:shd w:val="clear" w:color="auto" w:fill="auto"/>
            <w:noWrap/>
            <w:vAlign w:val="center"/>
          </w:tcPr>
          <w:p w:rsidR="002E07FF" w:rsidRPr="002E07FF" w:rsidRDefault="002E07FF" w:rsidP="00BC6868">
            <w:pPr>
              <w:keepNext/>
              <w:keepLines/>
              <w:spacing w:before="60" w:after="60" w:line="240" w:lineRule="auto"/>
              <w:jc w:val="center"/>
              <w:rPr>
                <w:rStyle w:val="TableText"/>
                <w:rFonts w:asciiTheme="majorHAnsi" w:hAnsiTheme="majorHAnsi"/>
                <w:b/>
                <w:szCs w:val="20"/>
              </w:rPr>
            </w:pPr>
            <w:r w:rsidRPr="002E07FF">
              <w:rPr>
                <w:rFonts w:asciiTheme="majorHAnsi" w:hAnsiTheme="majorHAnsi"/>
                <w:b/>
                <w:sz w:val="20"/>
                <w:szCs w:val="20"/>
              </w:rPr>
              <w:t>0.90 (0.82, 0.98)</w:t>
            </w:r>
            <w:r w:rsidRPr="002E07FF">
              <w:rPr>
                <w:rStyle w:val="TableText"/>
                <w:rFonts w:asciiTheme="majorHAnsi" w:hAnsiTheme="majorHAnsi"/>
                <w:szCs w:val="20"/>
                <w:vertAlign w:val="superscript"/>
              </w:rPr>
              <w:t>a</w:t>
            </w:r>
          </w:p>
        </w:tc>
        <w:tc>
          <w:tcPr>
            <w:tcW w:w="926" w:type="pct"/>
            <w:shd w:val="clear" w:color="auto" w:fill="auto"/>
            <w:noWrap/>
            <w:vAlign w:val="center"/>
          </w:tcPr>
          <w:p w:rsidR="002E07FF" w:rsidRPr="007F6CE5" w:rsidRDefault="007F6CE5" w:rsidP="00BC6868">
            <w:pPr>
              <w:keepNext/>
              <w:keepLines/>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c>
          <w:tcPr>
            <w:tcW w:w="860" w:type="pct"/>
            <w:shd w:val="clear" w:color="auto" w:fill="auto"/>
            <w:vAlign w:val="center"/>
          </w:tcPr>
          <w:p w:rsidR="002E07FF" w:rsidRPr="002E07FF" w:rsidRDefault="007F6CE5"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50" w:type="pct"/>
            <w:shd w:val="clear" w:color="auto" w:fill="auto"/>
            <w:noWrap/>
            <w:vAlign w:val="center"/>
          </w:tcPr>
          <w:p w:rsidR="002E07FF" w:rsidRPr="007F6CE5" w:rsidRDefault="007F6CE5" w:rsidP="00BC6868">
            <w:pPr>
              <w:keepNext/>
              <w:keepLines/>
              <w:spacing w:before="60" w:after="60" w:line="240" w:lineRule="auto"/>
              <w:jc w:val="center"/>
              <w:rPr>
                <w:rStyle w:val="TableText"/>
                <w:rFonts w:asciiTheme="majorHAnsi" w:hAnsiTheme="majorHAnsi"/>
                <w:szCs w:val="20"/>
              </w:rPr>
            </w:pPr>
            <w:r w:rsidRPr="007F6CE5">
              <w:rPr>
                <w:rStyle w:val="TableText"/>
                <w:rFonts w:asciiTheme="majorHAnsi" w:hAnsiTheme="majorHAnsi"/>
                <w:szCs w:val="20"/>
              </w:rPr>
              <w:t>NR</w:t>
            </w:r>
          </w:p>
        </w:tc>
      </w:tr>
      <w:tr w:rsidR="000B5B9E" w:rsidRPr="00DF45A0" w:rsidTr="00E15734">
        <w:trPr>
          <w:cantSplit/>
          <w:trHeight w:val="288"/>
        </w:trPr>
        <w:tc>
          <w:tcPr>
            <w:tcW w:w="1510" w:type="pct"/>
            <w:shd w:val="clear" w:color="auto" w:fill="auto"/>
            <w:noWrap/>
            <w:vAlign w:val="center"/>
            <w:hideMark/>
          </w:tcPr>
          <w:p w:rsidR="002E07FF" w:rsidRPr="002E07FF" w:rsidRDefault="002E07FF" w:rsidP="00BC6868">
            <w:pPr>
              <w:keepNext/>
              <w:keepLines/>
              <w:spacing w:before="60" w:after="60" w:line="240" w:lineRule="auto"/>
              <w:rPr>
                <w:rStyle w:val="TableText"/>
                <w:rFonts w:asciiTheme="majorHAnsi" w:hAnsiTheme="majorHAnsi"/>
                <w:szCs w:val="20"/>
              </w:rPr>
            </w:pPr>
            <w:r w:rsidRPr="002E07FF">
              <w:rPr>
                <w:rStyle w:val="CommentReference"/>
                <w:rFonts w:asciiTheme="majorHAnsi" w:hAnsiTheme="majorHAnsi"/>
                <w:sz w:val="20"/>
                <w:szCs w:val="20"/>
              </w:rPr>
              <w:t>CV death, MI, stroke, hospitalisation for unstable angina, HF, or coronary revascularisation: secondary efficacy end point</w:t>
            </w:r>
          </w:p>
        </w:tc>
        <w:tc>
          <w:tcPr>
            <w:tcW w:w="855" w:type="pct"/>
            <w:shd w:val="clear" w:color="auto" w:fill="auto"/>
            <w:vAlign w:val="center"/>
          </w:tcPr>
          <w:p w:rsidR="002E07FF" w:rsidRPr="002E07FF" w:rsidRDefault="007F6CE5"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926" w:type="pct"/>
            <w:shd w:val="clear" w:color="auto" w:fill="auto"/>
            <w:noWrap/>
            <w:vAlign w:val="center"/>
          </w:tcPr>
          <w:p w:rsidR="002E07FF" w:rsidRPr="002E07FF" w:rsidRDefault="007F6CE5"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60" w:type="pct"/>
            <w:shd w:val="clear" w:color="auto" w:fill="auto"/>
            <w:noWrap/>
            <w:vAlign w:val="center"/>
          </w:tcPr>
          <w:p w:rsidR="002E07FF" w:rsidRPr="00E63155" w:rsidRDefault="002E07FF" w:rsidP="00BC6868">
            <w:pPr>
              <w:keepNext/>
              <w:keepLines/>
              <w:spacing w:before="60" w:after="60" w:line="240" w:lineRule="auto"/>
              <w:jc w:val="center"/>
              <w:rPr>
                <w:rStyle w:val="TableText"/>
                <w:rFonts w:asciiTheme="majorHAnsi" w:hAnsiTheme="majorHAnsi"/>
                <w:szCs w:val="20"/>
              </w:rPr>
            </w:pPr>
            <w:r w:rsidRPr="00E63155">
              <w:rPr>
                <w:rStyle w:val="CommentReference"/>
                <w:rFonts w:asciiTheme="majorHAnsi" w:hAnsiTheme="majorHAnsi"/>
                <w:sz w:val="20"/>
                <w:szCs w:val="20"/>
              </w:rPr>
              <w:t>1.02 (0.94, 1.11)</w:t>
            </w:r>
            <w:r w:rsidRPr="00E63155">
              <w:rPr>
                <w:rStyle w:val="TableText"/>
                <w:rFonts w:asciiTheme="majorHAnsi" w:hAnsiTheme="majorHAnsi"/>
                <w:szCs w:val="20"/>
                <w:vertAlign w:val="superscript"/>
              </w:rPr>
              <w:t>a</w:t>
            </w:r>
          </w:p>
        </w:tc>
        <w:tc>
          <w:tcPr>
            <w:tcW w:w="850" w:type="pct"/>
            <w:shd w:val="clear" w:color="auto" w:fill="auto"/>
            <w:noWrap/>
            <w:vAlign w:val="center"/>
          </w:tcPr>
          <w:p w:rsidR="002E07FF" w:rsidRPr="00E63155" w:rsidRDefault="007F6CE5"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r>
      <w:tr w:rsidR="000B5B9E" w:rsidRPr="00DF45A0" w:rsidTr="00E15734">
        <w:trPr>
          <w:cantSplit/>
          <w:trHeight w:val="288"/>
        </w:trPr>
        <w:tc>
          <w:tcPr>
            <w:tcW w:w="1510" w:type="pct"/>
            <w:shd w:val="clear" w:color="auto" w:fill="auto"/>
            <w:noWrap/>
            <w:vAlign w:val="center"/>
          </w:tcPr>
          <w:p w:rsidR="002E07FF" w:rsidRPr="002E07FF" w:rsidRDefault="002E07FF" w:rsidP="00BC6868">
            <w:pPr>
              <w:keepNext/>
              <w:keepLines/>
              <w:spacing w:before="60" w:after="60" w:line="240" w:lineRule="auto"/>
              <w:rPr>
                <w:rStyle w:val="TableText"/>
                <w:rFonts w:asciiTheme="majorHAnsi" w:hAnsiTheme="majorHAnsi"/>
                <w:szCs w:val="20"/>
              </w:rPr>
            </w:pPr>
            <w:r w:rsidRPr="002E07FF">
              <w:rPr>
                <w:rStyle w:val="TableText"/>
                <w:rFonts w:asciiTheme="majorHAnsi" w:hAnsiTheme="majorHAnsi"/>
                <w:szCs w:val="20"/>
              </w:rPr>
              <w:t>CV death, MI, stroke or urgent revascularization due to unstable angina</w:t>
            </w:r>
            <w:r w:rsidRPr="002E07FF">
              <w:rPr>
                <w:rStyle w:val="CommentReference"/>
                <w:rFonts w:asciiTheme="majorHAnsi" w:hAnsiTheme="majorHAnsi"/>
                <w:sz w:val="20"/>
                <w:szCs w:val="20"/>
              </w:rPr>
              <w:t>:</w:t>
            </w:r>
            <w:r w:rsidRPr="002E07FF">
              <w:rPr>
                <w:rStyle w:val="CommentReference"/>
                <w:rFonts w:asciiTheme="majorHAnsi" w:hAnsiTheme="majorHAnsi"/>
                <w:b/>
                <w:sz w:val="20"/>
                <w:szCs w:val="20"/>
              </w:rPr>
              <w:t xml:space="preserve"> </w:t>
            </w:r>
            <w:r w:rsidRPr="002E07FF">
              <w:rPr>
                <w:rStyle w:val="CommentReference"/>
                <w:rFonts w:asciiTheme="majorHAnsi" w:hAnsiTheme="majorHAnsi"/>
                <w:sz w:val="20"/>
                <w:szCs w:val="20"/>
              </w:rPr>
              <w:t>secondary efficacy end point</w:t>
            </w:r>
          </w:p>
        </w:tc>
        <w:tc>
          <w:tcPr>
            <w:tcW w:w="855" w:type="pct"/>
            <w:shd w:val="clear" w:color="auto" w:fill="auto"/>
            <w:vAlign w:val="center"/>
          </w:tcPr>
          <w:p w:rsidR="002E07FF" w:rsidRPr="002E07FF" w:rsidRDefault="007F6CE5"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926" w:type="pct"/>
            <w:shd w:val="clear" w:color="auto" w:fill="auto"/>
            <w:noWrap/>
            <w:vAlign w:val="center"/>
          </w:tcPr>
          <w:p w:rsidR="002E07FF" w:rsidRPr="002E07FF" w:rsidRDefault="007F6CE5"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60" w:type="pct"/>
            <w:shd w:val="clear" w:color="auto" w:fill="auto"/>
            <w:noWrap/>
            <w:vAlign w:val="center"/>
          </w:tcPr>
          <w:p w:rsidR="002E07FF" w:rsidRPr="00E63155" w:rsidRDefault="007F6CE5" w:rsidP="00BC6868">
            <w:pPr>
              <w:keepNext/>
              <w:keepLines/>
              <w:spacing w:before="60" w:after="60" w:line="240" w:lineRule="auto"/>
              <w:jc w:val="center"/>
              <w:rPr>
                <w:rStyle w:val="TableText"/>
                <w:rFonts w:asciiTheme="majorHAnsi" w:hAnsiTheme="majorHAnsi"/>
                <w:szCs w:val="20"/>
              </w:rPr>
            </w:pPr>
            <w:r>
              <w:rPr>
                <w:rStyle w:val="TableText"/>
                <w:rFonts w:asciiTheme="majorHAnsi" w:hAnsiTheme="majorHAnsi"/>
                <w:szCs w:val="20"/>
              </w:rPr>
              <w:t>NR</w:t>
            </w:r>
          </w:p>
        </w:tc>
        <w:tc>
          <w:tcPr>
            <w:tcW w:w="850" w:type="pct"/>
            <w:shd w:val="clear" w:color="auto" w:fill="auto"/>
            <w:noWrap/>
            <w:vAlign w:val="center"/>
          </w:tcPr>
          <w:p w:rsidR="002E07FF" w:rsidRPr="00E63155" w:rsidRDefault="002E07FF" w:rsidP="00BC6868">
            <w:pPr>
              <w:keepNext/>
              <w:keepLines/>
              <w:spacing w:before="60" w:after="60" w:line="240" w:lineRule="auto"/>
              <w:jc w:val="center"/>
              <w:rPr>
                <w:rStyle w:val="TableText"/>
                <w:rFonts w:asciiTheme="majorHAnsi" w:hAnsiTheme="majorHAnsi"/>
                <w:szCs w:val="20"/>
              </w:rPr>
            </w:pPr>
            <w:r w:rsidRPr="00E63155">
              <w:rPr>
                <w:rStyle w:val="CommentReference"/>
                <w:rFonts w:asciiTheme="majorHAnsi" w:hAnsiTheme="majorHAnsi"/>
                <w:sz w:val="20"/>
                <w:szCs w:val="20"/>
              </w:rPr>
              <w:t>0.95 (≤ 1.14)</w:t>
            </w:r>
            <w:r w:rsidRPr="00E63155">
              <w:rPr>
                <w:rStyle w:val="CommentReference"/>
                <w:rFonts w:asciiTheme="majorHAnsi" w:hAnsiTheme="majorHAnsi"/>
                <w:sz w:val="20"/>
                <w:szCs w:val="20"/>
                <w:vertAlign w:val="superscript"/>
              </w:rPr>
              <w:t>c</w:t>
            </w:r>
          </w:p>
        </w:tc>
      </w:tr>
    </w:tbl>
    <w:p w:rsidR="002E07FF" w:rsidRDefault="002E07FF" w:rsidP="00BC6868">
      <w:pPr>
        <w:pStyle w:val="Notes"/>
        <w:keepNext/>
        <w:keepLines/>
      </w:pPr>
      <w:r w:rsidRPr="00E15734">
        <w:t xml:space="preserve">Statistically significant difference are marked in </w:t>
      </w:r>
      <w:r w:rsidRPr="00E15734">
        <w:rPr>
          <w:b/>
        </w:rPr>
        <w:t>bold</w:t>
      </w:r>
      <w:r w:rsidRPr="00E15734">
        <w:t>.</w:t>
      </w:r>
    </w:p>
    <w:p w:rsidR="00E15734" w:rsidRPr="00E15734" w:rsidRDefault="00E15734" w:rsidP="00BC6868">
      <w:pPr>
        <w:pStyle w:val="Notes"/>
        <w:keepNext/>
        <w:keepLines/>
      </w:pPr>
      <w:r>
        <w:t xml:space="preserve">Abbreviations: CV = cardiovascular, MI = myocardial infarction; </w:t>
      </w:r>
      <w:r w:rsidRPr="00E15734">
        <w:t xml:space="preserve">EM = Existing medication; </w:t>
      </w:r>
      <w:r>
        <w:t>DPP-4</w:t>
      </w:r>
      <w:r w:rsidRPr="00E15734">
        <w:t xml:space="preserve"> = </w:t>
      </w:r>
      <w:r>
        <w:t xml:space="preserve">DPP-4 inhibitor; </w:t>
      </w:r>
      <w:r w:rsidR="007F6CE5">
        <w:t xml:space="preserve">NR = Not reported; </w:t>
      </w:r>
      <w:r>
        <w:t>and SU = sulfonylurea</w:t>
      </w:r>
      <w:r w:rsidRPr="00E15734">
        <w:t>.</w:t>
      </w:r>
    </w:p>
    <w:p w:rsidR="002E07FF" w:rsidRPr="00E15734" w:rsidRDefault="00E15734" w:rsidP="00BC6868">
      <w:pPr>
        <w:pStyle w:val="Notes"/>
        <w:keepNext/>
        <w:keepLines/>
      </w:pPr>
      <w:r w:rsidRPr="00E15734">
        <w:t>Notes:</w:t>
      </w:r>
      <w:r>
        <w:rPr>
          <w:vertAlign w:val="superscript"/>
        </w:rPr>
        <w:t xml:space="preserve"> </w:t>
      </w:r>
      <w:r w:rsidR="002E07FF" w:rsidRPr="00E15734">
        <w:rPr>
          <w:vertAlign w:val="superscript"/>
        </w:rPr>
        <w:t>a</w:t>
      </w:r>
      <w:r>
        <w:t xml:space="preserve"> </w:t>
      </w:r>
      <w:r>
        <w:rPr>
          <w:rStyle w:val="CommentReference"/>
          <w:sz w:val="20"/>
          <w:szCs w:val="20"/>
        </w:rPr>
        <w:t>H</w:t>
      </w:r>
      <w:r w:rsidR="002E07FF" w:rsidRPr="00E15734">
        <w:rPr>
          <w:rStyle w:val="CommentReference"/>
          <w:sz w:val="20"/>
          <w:szCs w:val="20"/>
        </w:rPr>
        <w:t>azard ratio (95% confidence interval)</w:t>
      </w:r>
      <w:r>
        <w:rPr>
          <w:rStyle w:val="CommentReference"/>
          <w:sz w:val="20"/>
          <w:szCs w:val="20"/>
        </w:rPr>
        <w:t xml:space="preserve">; </w:t>
      </w:r>
      <w:r w:rsidR="002E07FF" w:rsidRPr="00E15734">
        <w:rPr>
          <w:vertAlign w:val="superscript"/>
        </w:rPr>
        <w:t>b</w:t>
      </w:r>
      <w:r w:rsidR="002E07FF" w:rsidRPr="00E15734">
        <w:t xml:space="preserve"> </w:t>
      </w:r>
      <w:r>
        <w:t>O</w:t>
      </w:r>
      <w:r w:rsidR="002E07FF" w:rsidRPr="00E15734">
        <w:t>dds ratio (95% CI)</w:t>
      </w:r>
      <w:r>
        <w:t>;</w:t>
      </w:r>
      <w:r w:rsidR="002E07FF" w:rsidRPr="00E15734">
        <w:t xml:space="preserve"> </w:t>
      </w:r>
      <w:r w:rsidR="002E07FF" w:rsidRPr="00E15734">
        <w:rPr>
          <w:rStyle w:val="CommentReference"/>
          <w:sz w:val="20"/>
          <w:szCs w:val="20"/>
          <w:vertAlign w:val="superscript"/>
        </w:rPr>
        <w:t>c</w:t>
      </w:r>
      <w:r>
        <w:rPr>
          <w:rStyle w:val="CommentReference"/>
          <w:sz w:val="20"/>
          <w:szCs w:val="20"/>
        </w:rPr>
        <w:t xml:space="preserve"> H</w:t>
      </w:r>
      <w:r w:rsidR="002E07FF" w:rsidRPr="00E15734">
        <w:rPr>
          <w:rStyle w:val="CommentReference"/>
          <w:sz w:val="20"/>
          <w:szCs w:val="20"/>
        </w:rPr>
        <w:t>azard ratio (the upper boundary of the one-sided repeated CI, at an alpha level of 0.01</w:t>
      </w:r>
      <w:r>
        <w:rPr>
          <w:rStyle w:val="CommentReference"/>
          <w:sz w:val="20"/>
          <w:szCs w:val="20"/>
        </w:rPr>
        <w:t>);</w:t>
      </w:r>
      <w:r w:rsidR="002E07FF" w:rsidRPr="00E15734">
        <w:rPr>
          <w:rStyle w:val="CommentReference"/>
          <w:sz w:val="20"/>
          <w:szCs w:val="20"/>
        </w:rPr>
        <w:t xml:space="preserve"> </w:t>
      </w:r>
      <w:r w:rsidR="002E07FF" w:rsidRPr="00E15734">
        <w:rPr>
          <w:rStyle w:val="CommentReference"/>
          <w:sz w:val="20"/>
          <w:szCs w:val="20"/>
          <w:vertAlign w:val="superscript"/>
        </w:rPr>
        <w:t>d</w:t>
      </w:r>
      <w:r>
        <w:rPr>
          <w:rStyle w:val="CommentReference"/>
          <w:sz w:val="20"/>
          <w:szCs w:val="20"/>
        </w:rPr>
        <w:t xml:space="preserve"> R</w:t>
      </w:r>
      <w:r w:rsidR="002E07FF" w:rsidRPr="00E15734">
        <w:t>elative risk reduction (95% CI).</w:t>
      </w:r>
    </w:p>
    <w:p w:rsidR="0065763F" w:rsidRDefault="0065763F" w:rsidP="002E07FF"/>
    <w:p w:rsidR="00340864" w:rsidRDefault="00340864" w:rsidP="00DD2BDF">
      <w:pPr>
        <w:pStyle w:val="Heading5"/>
        <w:keepNext/>
        <w:keepLines/>
      </w:pPr>
      <w:r>
        <w:lastRenderedPageBreak/>
        <w:t>Discussion</w:t>
      </w:r>
    </w:p>
    <w:p w:rsidR="00340864" w:rsidRDefault="00340864" w:rsidP="00DD2BDF">
      <w:pPr>
        <w:keepNext/>
        <w:keepLines/>
      </w:pPr>
      <w:r>
        <w:t xml:space="preserve">Four trials were identified that examined </w:t>
      </w:r>
      <w:r w:rsidR="00A26D2D">
        <w:t>long term</w:t>
      </w:r>
      <w:r>
        <w:t xml:space="preserve"> effects for “real life” situations where an additional drug was added to patients at risk of heart disease on concurrent existing diabetes medicines. These trials demonstrated that the addition of an extra drug (sulfonylurea, TZD or DPP-4 inhibitor) provided a statistically significant reduction in HbA</w:t>
      </w:r>
      <w:r w:rsidRPr="00245833">
        <w:rPr>
          <w:vertAlign w:val="subscript"/>
        </w:rPr>
        <w:t>1c</w:t>
      </w:r>
      <w:r>
        <w:t xml:space="preserve"> compared to being on existing medication alone, with no difference in magnitude between the three therapeutic groups. Only sulfonylurea addition provided weight reduction, with TZD and DPP-4 inhibitors demonstrating weight gain</w:t>
      </w:r>
      <w:r w:rsidR="00DD2BDF">
        <w:t xml:space="preserve"> compared to baseline</w:t>
      </w:r>
      <w:r>
        <w:t xml:space="preserve">. </w:t>
      </w:r>
      <w:r w:rsidRPr="00CA2DAB">
        <w:t>When added to existing medication, sulfonylurea</w:t>
      </w:r>
      <w:r>
        <w:t>,</w:t>
      </w:r>
      <w:r w:rsidRPr="00CA2DAB">
        <w:t xml:space="preserve"> </w:t>
      </w:r>
      <w:r>
        <w:t>TZD and</w:t>
      </w:r>
      <w:r w:rsidRPr="00CA2DAB">
        <w:t xml:space="preserve"> DPP-4 inhibitor</w:t>
      </w:r>
      <w:r>
        <w:t>s</w:t>
      </w:r>
      <w:r w:rsidRPr="00CA2DAB">
        <w:t xml:space="preserve"> had increased o</w:t>
      </w:r>
      <w:r>
        <w:t>dds ratios of hypoglycaemia</w:t>
      </w:r>
      <w:r w:rsidRPr="00CA2DAB">
        <w:t xml:space="preserve"> </w:t>
      </w:r>
      <w:r>
        <w:t xml:space="preserve">compared to existing medication in trials of greater than two years duration. </w:t>
      </w:r>
    </w:p>
    <w:p w:rsidR="00340864" w:rsidRPr="00F8429B" w:rsidRDefault="00340864" w:rsidP="00340864">
      <w:pPr>
        <w:rPr>
          <w:lang w:val="en-GB" w:eastAsia="en-GB"/>
        </w:rPr>
      </w:pPr>
      <w:r>
        <w:rPr>
          <w:lang w:val="en-GB" w:eastAsia="en-GB"/>
        </w:rPr>
        <w:t xml:space="preserve">There are very limited data on the </w:t>
      </w:r>
      <w:r w:rsidR="00A26D2D">
        <w:rPr>
          <w:lang w:val="en-GB" w:eastAsia="en-GB"/>
        </w:rPr>
        <w:t>long term</w:t>
      </w:r>
      <w:r>
        <w:rPr>
          <w:lang w:val="en-GB" w:eastAsia="en-GB"/>
        </w:rPr>
        <w:t xml:space="preserve"> effectiveness and safety of combined therapies. </w:t>
      </w:r>
      <w:r>
        <w:t>The addition of sulfonylurea to existing medication provided some reduction in the level of combined microvascular and macrovascular outcomes compared to existing medication alone, particularly major microvascular events. The other therapies that compared the addition of a drug to existing medication showed an increased risk of heart failure (TZD) and hospitalisation due to heart failure (TZD and DPP-4 inhibitors). Adition of TZDs to existing medication was associated with a reduction in major macrovascular events, while DPP-4 inhibitors had no effect on this outcome. It is important to note that the trials may not be comparable due to differences in included patients, trial design, background medication, outcome definitions and improvement in glycaemic control.</w:t>
      </w:r>
    </w:p>
    <w:p w:rsidR="006B1E1D" w:rsidRDefault="006B1E1D" w:rsidP="00340864">
      <w:pPr>
        <w:rPr>
          <w:rStyle w:val="Heading2Char"/>
        </w:rPr>
      </w:pPr>
    </w:p>
    <w:p w:rsidR="00026CCF" w:rsidRDefault="00026CCF" w:rsidP="00947CC4">
      <w:pPr>
        <w:rPr>
          <w:rStyle w:val="Heading2Char"/>
        </w:rPr>
      </w:pPr>
    </w:p>
    <w:p w:rsidR="00951702" w:rsidRPr="005A4825" w:rsidRDefault="00951702" w:rsidP="006B6C55">
      <w:pPr>
        <w:rPr>
          <w:rFonts w:eastAsia="Calibri"/>
          <w:lang w:eastAsia="en-AU"/>
        </w:rPr>
      </w:pPr>
    </w:p>
    <w:p w:rsidR="007112A3" w:rsidRDefault="00CA3C8E" w:rsidP="00492694">
      <w:pPr>
        <w:pStyle w:val="Heading1"/>
      </w:pPr>
      <w:r>
        <w:rPr>
          <w:rStyle w:val="Heading1Char"/>
        </w:rPr>
        <w:br w:type="page"/>
      </w:r>
      <w:bookmarkStart w:id="301" w:name="_Toc382906751"/>
      <w:bookmarkStart w:id="302" w:name="_Toc397947728"/>
      <w:bookmarkStart w:id="303" w:name="_Toc403399569"/>
      <w:r w:rsidR="00610C50">
        <w:lastRenderedPageBreak/>
        <w:t>References</w:t>
      </w:r>
      <w:bookmarkEnd w:id="301"/>
      <w:bookmarkEnd w:id="302"/>
      <w:bookmarkEnd w:id="303"/>
    </w:p>
    <w:p w:rsidR="0093455B" w:rsidRPr="0093455B" w:rsidRDefault="0093455B" w:rsidP="0093455B">
      <w:pPr>
        <w:spacing w:after="0" w:line="240" w:lineRule="auto"/>
        <w:rPr>
          <w:rFonts w:ascii="Calibri" w:hAnsi="Calibri"/>
          <w:sz w:val="22"/>
        </w:rPr>
      </w:pPr>
      <w:bookmarkStart w:id="304" w:name="_Glossary"/>
      <w:bookmarkStart w:id="305" w:name="_ENREF_1"/>
      <w:bookmarkEnd w:id="304"/>
      <w:r w:rsidRPr="0093455B">
        <w:rPr>
          <w:rFonts w:ascii="Calibri" w:hAnsi="Calibri"/>
          <w:sz w:val="22"/>
        </w:rPr>
        <w:t>1.  Yoon, K.H.</w:t>
      </w:r>
      <w:r w:rsidRPr="0093455B">
        <w:rPr>
          <w:rFonts w:ascii="Calibri" w:hAnsi="Calibri"/>
          <w:i/>
          <w:sz w:val="22"/>
        </w:rPr>
        <w:t xml:space="preserve"> et al.</w:t>
      </w:r>
      <w:r w:rsidRPr="0093455B">
        <w:rPr>
          <w:rFonts w:ascii="Calibri" w:hAnsi="Calibri"/>
          <w:sz w:val="22"/>
        </w:rPr>
        <w:t xml:space="preserve"> (2011), 'Effect of initial combination therapy with sitagliptin, a dipeptidyl peptidase-4 inhibitor, and pioglitazone on glycemic control and measures of beta-cell function in patients with type 2 diabetes'. </w:t>
      </w:r>
      <w:r w:rsidRPr="0093455B">
        <w:rPr>
          <w:rFonts w:ascii="Calibri" w:hAnsi="Calibri"/>
          <w:i/>
          <w:sz w:val="22"/>
        </w:rPr>
        <w:t>International Journal of Clinical Practice</w:t>
      </w:r>
      <w:r w:rsidRPr="0093455B">
        <w:rPr>
          <w:rFonts w:ascii="Calibri" w:hAnsi="Calibri"/>
          <w:sz w:val="22"/>
        </w:rPr>
        <w:t>, 65(2): 154-64.</w:t>
      </w:r>
      <w:bookmarkEnd w:id="305"/>
    </w:p>
    <w:p w:rsidR="0093455B" w:rsidRPr="0093455B" w:rsidRDefault="0093455B" w:rsidP="0093455B">
      <w:pPr>
        <w:spacing w:after="0" w:line="240" w:lineRule="auto"/>
        <w:rPr>
          <w:rFonts w:ascii="Calibri" w:hAnsi="Calibri"/>
          <w:sz w:val="22"/>
        </w:rPr>
      </w:pPr>
      <w:bookmarkStart w:id="306" w:name="_ENREF_2"/>
      <w:r w:rsidRPr="0093455B">
        <w:rPr>
          <w:rFonts w:ascii="Calibri" w:hAnsi="Calibri"/>
          <w:sz w:val="22"/>
        </w:rPr>
        <w:t>2.  Advance Collaborative Group</w:t>
      </w:r>
      <w:r w:rsidRPr="0093455B">
        <w:rPr>
          <w:rFonts w:ascii="Calibri" w:hAnsi="Calibri"/>
          <w:i/>
          <w:sz w:val="22"/>
        </w:rPr>
        <w:t xml:space="preserve"> et al.</w:t>
      </w:r>
      <w:r w:rsidRPr="0093455B">
        <w:rPr>
          <w:rFonts w:ascii="Calibri" w:hAnsi="Calibri"/>
          <w:sz w:val="22"/>
        </w:rPr>
        <w:t xml:space="preserve"> (2008), 'Intensive blood glucose control and vascular outcomes in patients with type 2 diabetes'. </w:t>
      </w:r>
      <w:r w:rsidRPr="0093455B">
        <w:rPr>
          <w:rFonts w:ascii="Calibri" w:hAnsi="Calibri"/>
          <w:i/>
          <w:sz w:val="22"/>
        </w:rPr>
        <w:t>N Engl J Med</w:t>
      </w:r>
      <w:r w:rsidRPr="0093455B">
        <w:rPr>
          <w:rFonts w:ascii="Calibri" w:hAnsi="Calibri"/>
          <w:sz w:val="22"/>
        </w:rPr>
        <w:t>, 358(24): 2560-72.</w:t>
      </w:r>
      <w:bookmarkEnd w:id="306"/>
    </w:p>
    <w:p w:rsidR="0093455B" w:rsidRPr="0093455B" w:rsidRDefault="0093455B" w:rsidP="0093455B">
      <w:pPr>
        <w:spacing w:after="0" w:line="240" w:lineRule="auto"/>
        <w:rPr>
          <w:rFonts w:ascii="Calibri" w:hAnsi="Calibri"/>
          <w:sz w:val="22"/>
        </w:rPr>
      </w:pPr>
      <w:bookmarkStart w:id="307" w:name="_ENREF_3"/>
      <w:r w:rsidRPr="0093455B">
        <w:rPr>
          <w:rFonts w:ascii="Calibri" w:hAnsi="Calibri"/>
          <w:sz w:val="22"/>
        </w:rPr>
        <w:t>3.  Dormandy, J.A.</w:t>
      </w:r>
      <w:r w:rsidRPr="0093455B">
        <w:rPr>
          <w:rFonts w:ascii="Calibri" w:hAnsi="Calibri"/>
          <w:i/>
          <w:sz w:val="22"/>
        </w:rPr>
        <w:t xml:space="preserve"> et al.</w:t>
      </w:r>
      <w:r w:rsidRPr="0093455B">
        <w:rPr>
          <w:rFonts w:ascii="Calibri" w:hAnsi="Calibri"/>
          <w:sz w:val="22"/>
        </w:rPr>
        <w:t xml:space="preserve"> (2005), 'Secondary prevention of macrovascular events in patients with type 2 diabetes in the PROactive Study (PROspective pioglitAzone Clinical Trial In macroVascular Events): a randomised controlled trial'. </w:t>
      </w:r>
      <w:r w:rsidRPr="0093455B">
        <w:rPr>
          <w:rFonts w:ascii="Calibri" w:hAnsi="Calibri"/>
          <w:i/>
          <w:sz w:val="22"/>
        </w:rPr>
        <w:t>Lancet</w:t>
      </w:r>
      <w:r w:rsidRPr="0093455B">
        <w:rPr>
          <w:rFonts w:ascii="Calibri" w:hAnsi="Calibri"/>
          <w:sz w:val="22"/>
        </w:rPr>
        <w:t>, 366(9493): 1279-89.</w:t>
      </w:r>
      <w:bookmarkEnd w:id="307"/>
    </w:p>
    <w:p w:rsidR="0093455B" w:rsidRPr="0093455B" w:rsidRDefault="0093455B" w:rsidP="0093455B">
      <w:pPr>
        <w:spacing w:after="0" w:line="240" w:lineRule="auto"/>
        <w:rPr>
          <w:rFonts w:ascii="Calibri" w:hAnsi="Calibri"/>
          <w:sz w:val="22"/>
        </w:rPr>
      </w:pPr>
      <w:bookmarkStart w:id="308" w:name="_ENREF_4"/>
      <w:r w:rsidRPr="0093455B">
        <w:rPr>
          <w:rFonts w:ascii="Calibri" w:hAnsi="Calibri"/>
          <w:sz w:val="22"/>
        </w:rPr>
        <w:t>4.  Scirica, B.M.</w:t>
      </w:r>
      <w:r w:rsidRPr="0093455B">
        <w:rPr>
          <w:rFonts w:ascii="Calibri" w:hAnsi="Calibri"/>
          <w:i/>
          <w:sz w:val="22"/>
        </w:rPr>
        <w:t xml:space="preserve"> et al.</w:t>
      </w:r>
      <w:r w:rsidRPr="0093455B">
        <w:rPr>
          <w:rFonts w:ascii="Calibri" w:hAnsi="Calibri"/>
          <w:sz w:val="22"/>
        </w:rPr>
        <w:t xml:space="preserve"> (2013), 'Saxagliptin and cardiovascular outcomes in patients with type 2 diabetes mellitus'. </w:t>
      </w:r>
      <w:r w:rsidRPr="0093455B">
        <w:rPr>
          <w:rFonts w:ascii="Calibri" w:hAnsi="Calibri"/>
          <w:i/>
          <w:sz w:val="22"/>
        </w:rPr>
        <w:t>N Engl J Med</w:t>
      </w:r>
      <w:r w:rsidRPr="0093455B">
        <w:rPr>
          <w:rFonts w:ascii="Calibri" w:hAnsi="Calibri"/>
          <w:sz w:val="22"/>
        </w:rPr>
        <w:t>, 369(14): 1317-26.</w:t>
      </w:r>
      <w:bookmarkEnd w:id="308"/>
    </w:p>
    <w:p w:rsidR="0093455B" w:rsidRPr="0093455B" w:rsidRDefault="0093455B" w:rsidP="0093455B">
      <w:pPr>
        <w:spacing w:after="0" w:line="240" w:lineRule="auto"/>
        <w:rPr>
          <w:rFonts w:ascii="Calibri" w:hAnsi="Calibri"/>
          <w:sz w:val="22"/>
        </w:rPr>
      </w:pPr>
      <w:bookmarkStart w:id="309" w:name="_ENREF_5"/>
      <w:r w:rsidRPr="0093455B">
        <w:rPr>
          <w:rFonts w:ascii="Calibri" w:hAnsi="Calibri"/>
          <w:sz w:val="22"/>
        </w:rPr>
        <w:t>5.  White, W.B.</w:t>
      </w:r>
      <w:r w:rsidRPr="0093455B">
        <w:rPr>
          <w:rFonts w:ascii="Calibri" w:hAnsi="Calibri"/>
          <w:i/>
          <w:sz w:val="22"/>
        </w:rPr>
        <w:t xml:space="preserve"> et al.</w:t>
      </w:r>
      <w:r w:rsidRPr="0093455B">
        <w:rPr>
          <w:rFonts w:ascii="Calibri" w:hAnsi="Calibri"/>
          <w:sz w:val="22"/>
        </w:rPr>
        <w:t xml:space="preserve"> (2013), 'Alogliptin after acute coronary syndrome in patients with type 2 diabetes'. </w:t>
      </w:r>
      <w:r w:rsidRPr="0093455B">
        <w:rPr>
          <w:rFonts w:ascii="Calibri" w:hAnsi="Calibri"/>
          <w:i/>
          <w:sz w:val="22"/>
        </w:rPr>
        <w:t>N Engl J Med</w:t>
      </w:r>
      <w:r w:rsidRPr="0093455B">
        <w:rPr>
          <w:rFonts w:ascii="Calibri" w:hAnsi="Calibri"/>
          <w:sz w:val="22"/>
        </w:rPr>
        <w:t>, 369(14): 1327-35.</w:t>
      </w:r>
      <w:bookmarkEnd w:id="309"/>
    </w:p>
    <w:p w:rsidR="0093455B" w:rsidRPr="0093455B" w:rsidRDefault="0093455B" w:rsidP="0093455B">
      <w:pPr>
        <w:spacing w:after="0" w:line="240" w:lineRule="auto"/>
        <w:rPr>
          <w:rFonts w:ascii="Calibri" w:hAnsi="Calibri"/>
          <w:sz w:val="22"/>
        </w:rPr>
      </w:pPr>
      <w:bookmarkStart w:id="310" w:name="_ENREF_6"/>
      <w:r w:rsidRPr="0093455B">
        <w:rPr>
          <w:rFonts w:ascii="Calibri" w:hAnsi="Calibri"/>
          <w:sz w:val="22"/>
        </w:rPr>
        <w:t>6.  Colagiuri, S.</w:t>
      </w:r>
      <w:r w:rsidRPr="0093455B">
        <w:rPr>
          <w:rFonts w:ascii="Calibri" w:hAnsi="Calibri"/>
          <w:i/>
          <w:sz w:val="22"/>
        </w:rPr>
        <w:t xml:space="preserve"> et al.</w:t>
      </w:r>
      <w:r w:rsidRPr="0093455B">
        <w:rPr>
          <w:rFonts w:ascii="Calibri" w:hAnsi="Calibri"/>
          <w:sz w:val="22"/>
        </w:rPr>
        <w:t xml:space="preserve"> (2009), </w:t>
      </w:r>
      <w:r w:rsidRPr="0093455B">
        <w:rPr>
          <w:rFonts w:ascii="Calibri" w:hAnsi="Calibri"/>
          <w:i/>
          <w:sz w:val="22"/>
        </w:rPr>
        <w:t>National Evidence Based Guideline for Blood Glucose Control in Type 2 Diabetes</w:t>
      </w:r>
      <w:r w:rsidRPr="0093455B">
        <w:rPr>
          <w:rFonts w:ascii="Calibri" w:hAnsi="Calibri"/>
          <w:sz w:val="22"/>
        </w:rPr>
        <w:t>. Diabetes Australia &amp; the NHMRC, Canberra.</w:t>
      </w:r>
      <w:bookmarkEnd w:id="310"/>
    </w:p>
    <w:p w:rsidR="0093455B" w:rsidRPr="0093455B" w:rsidRDefault="0093455B" w:rsidP="0093455B">
      <w:pPr>
        <w:spacing w:after="0" w:line="240" w:lineRule="auto"/>
        <w:rPr>
          <w:rFonts w:ascii="Calibri" w:hAnsi="Calibri"/>
          <w:sz w:val="22"/>
        </w:rPr>
      </w:pPr>
      <w:bookmarkStart w:id="311" w:name="_ENREF_7"/>
      <w:r w:rsidRPr="0093455B">
        <w:rPr>
          <w:rFonts w:ascii="Calibri" w:hAnsi="Calibri"/>
          <w:sz w:val="22"/>
        </w:rPr>
        <w:t xml:space="preserve">7.  World Health Organization (2013), </w:t>
      </w:r>
      <w:r w:rsidRPr="0093455B">
        <w:rPr>
          <w:rFonts w:ascii="Calibri" w:hAnsi="Calibri"/>
          <w:i/>
          <w:sz w:val="22"/>
        </w:rPr>
        <w:t>Diabetes (Fact sheet No. 312)</w:t>
      </w:r>
      <w:r w:rsidRPr="0093455B">
        <w:rPr>
          <w:rFonts w:ascii="Calibri" w:hAnsi="Calibri"/>
          <w:sz w:val="22"/>
        </w:rPr>
        <w:t xml:space="preserve">. Accessed on: 12 November 2013, at: </w:t>
      </w:r>
      <w:r w:rsidRPr="0028026D">
        <w:rPr>
          <w:rFonts w:ascii="Calibri" w:hAnsi="Calibri"/>
          <w:sz w:val="22"/>
        </w:rPr>
        <w:t>http://www.who.int/mediacentre/factsheets/fs312/en/index.html</w:t>
      </w:r>
      <w:bookmarkEnd w:id="311"/>
    </w:p>
    <w:p w:rsidR="0093455B" w:rsidRPr="0093455B" w:rsidRDefault="0093455B" w:rsidP="0093455B">
      <w:pPr>
        <w:spacing w:after="0" w:line="240" w:lineRule="auto"/>
        <w:rPr>
          <w:rFonts w:ascii="Calibri" w:hAnsi="Calibri"/>
          <w:sz w:val="22"/>
        </w:rPr>
      </w:pPr>
      <w:bookmarkStart w:id="312" w:name="_ENREF_8"/>
      <w:r w:rsidRPr="0093455B">
        <w:rPr>
          <w:rFonts w:ascii="Calibri" w:hAnsi="Calibri"/>
          <w:sz w:val="22"/>
        </w:rPr>
        <w:t xml:space="preserve">8.  Australian Institute of Health and Welfare (2013), </w:t>
      </w:r>
      <w:r w:rsidRPr="0093455B">
        <w:rPr>
          <w:rFonts w:ascii="Calibri" w:hAnsi="Calibri"/>
          <w:i/>
          <w:sz w:val="22"/>
        </w:rPr>
        <w:t>Incidence of insulin-treated diabetes in Australia 2000–2009</w:t>
      </w:r>
      <w:r w:rsidRPr="0093455B">
        <w:rPr>
          <w:rFonts w:ascii="Calibri" w:hAnsi="Calibri"/>
          <w:sz w:val="22"/>
        </w:rPr>
        <w:t xml:space="preserve">. Accessed on: 12 November 2013, at: </w:t>
      </w:r>
      <w:r w:rsidRPr="0028026D">
        <w:rPr>
          <w:rFonts w:ascii="Calibri" w:hAnsi="Calibri"/>
          <w:sz w:val="22"/>
        </w:rPr>
        <w:t>http://www.aihw.gov.au/diabetes/incidence/#t1</w:t>
      </w:r>
      <w:bookmarkEnd w:id="312"/>
    </w:p>
    <w:p w:rsidR="0093455B" w:rsidRPr="0093455B" w:rsidRDefault="0093455B" w:rsidP="0093455B">
      <w:pPr>
        <w:spacing w:after="0" w:line="240" w:lineRule="auto"/>
        <w:rPr>
          <w:rFonts w:ascii="Calibri" w:hAnsi="Calibri"/>
          <w:sz w:val="22"/>
        </w:rPr>
      </w:pPr>
      <w:bookmarkStart w:id="313" w:name="_ENREF_9"/>
      <w:r w:rsidRPr="0093455B">
        <w:rPr>
          <w:rFonts w:ascii="Calibri" w:hAnsi="Calibri"/>
          <w:sz w:val="22"/>
        </w:rPr>
        <w:t xml:space="preserve">9.  Shaw, J. and Chisholm, D. (2003), '1: Epidemiology and prevention of type 2 diabetes and the metabolic syndrome'. </w:t>
      </w:r>
      <w:r w:rsidRPr="0093455B">
        <w:rPr>
          <w:rFonts w:ascii="Calibri" w:hAnsi="Calibri"/>
          <w:i/>
          <w:sz w:val="22"/>
        </w:rPr>
        <w:t>Medical Journal of Australia</w:t>
      </w:r>
      <w:r w:rsidRPr="0093455B">
        <w:rPr>
          <w:rFonts w:ascii="Calibri" w:hAnsi="Calibri"/>
          <w:sz w:val="22"/>
        </w:rPr>
        <w:t>, 179(7): 379-83.</w:t>
      </w:r>
      <w:bookmarkEnd w:id="313"/>
    </w:p>
    <w:p w:rsidR="0093455B" w:rsidRPr="0093455B" w:rsidRDefault="0093455B" w:rsidP="0093455B">
      <w:pPr>
        <w:spacing w:after="0" w:line="240" w:lineRule="auto"/>
        <w:rPr>
          <w:rFonts w:ascii="Calibri" w:hAnsi="Calibri"/>
          <w:sz w:val="22"/>
        </w:rPr>
      </w:pPr>
      <w:bookmarkStart w:id="314" w:name="_ENREF_10"/>
      <w:r w:rsidRPr="0093455B">
        <w:rPr>
          <w:rFonts w:ascii="Calibri" w:hAnsi="Calibri"/>
          <w:sz w:val="22"/>
        </w:rPr>
        <w:t xml:space="preserve">10.  Diabetes Australia (2012), </w:t>
      </w:r>
      <w:r w:rsidRPr="0093455B">
        <w:rPr>
          <w:rFonts w:ascii="Calibri" w:hAnsi="Calibri"/>
          <w:i/>
          <w:sz w:val="22"/>
        </w:rPr>
        <w:t>Gestational diabetes fact sheet</w:t>
      </w:r>
      <w:r w:rsidRPr="0093455B">
        <w:rPr>
          <w:rFonts w:ascii="Calibri" w:hAnsi="Calibri"/>
          <w:sz w:val="22"/>
        </w:rPr>
        <w:t xml:space="preserve">. Accessed on: 16 December November 2013, at: </w:t>
      </w:r>
      <w:r w:rsidRPr="0028026D">
        <w:rPr>
          <w:rFonts w:ascii="Calibri" w:hAnsi="Calibri"/>
          <w:sz w:val="22"/>
        </w:rPr>
        <w:t>http://www.diabetesaustralia.com.au/en/Living-with-Diabetes/Gestational-Diabetes/</w:t>
      </w:r>
      <w:bookmarkEnd w:id="314"/>
    </w:p>
    <w:p w:rsidR="0093455B" w:rsidRPr="0093455B" w:rsidRDefault="0093455B" w:rsidP="0093455B">
      <w:pPr>
        <w:spacing w:after="0" w:line="240" w:lineRule="auto"/>
        <w:rPr>
          <w:rFonts w:ascii="Calibri" w:hAnsi="Calibri"/>
          <w:sz w:val="22"/>
        </w:rPr>
      </w:pPr>
      <w:bookmarkStart w:id="315" w:name="_ENREF_11"/>
      <w:r w:rsidRPr="0093455B">
        <w:rPr>
          <w:rFonts w:ascii="Calibri" w:hAnsi="Calibri"/>
          <w:sz w:val="22"/>
        </w:rPr>
        <w:t>11.  Colagiuri, R.</w:t>
      </w:r>
      <w:r w:rsidRPr="0093455B">
        <w:rPr>
          <w:rFonts w:ascii="Calibri" w:hAnsi="Calibri"/>
          <w:i/>
          <w:sz w:val="22"/>
        </w:rPr>
        <w:t xml:space="preserve"> et al.</w:t>
      </w:r>
      <w:r w:rsidRPr="0093455B">
        <w:rPr>
          <w:rFonts w:ascii="Calibri" w:hAnsi="Calibri"/>
          <w:sz w:val="22"/>
        </w:rPr>
        <w:t xml:space="preserve"> (2009), </w:t>
      </w:r>
      <w:r w:rsidRPr="0093455B">
        <w:rPr>
          <w:rFonts w:ascii="Calibri" w:hAnsi="Calibri"/>
          <w:i/>
          <w:sz w:val="22"/>
        </w:rPr>
        <w:t>National Evidence Based Guideline for the Primary Prevention of Type 2 Diabetes</w:t>
      </w:r>
      <w:r w:rsidRPr="0093455B">
        <w:rPr>
          <w:rFonts w:ascii="Calibri" w:hAnsi="Calibri"/>
          <w:sz w:val="22"/>
        </w:rPr>
        <w:t>. Diabetes Australia &amp; NHMRC, Canberra.</w:t>
      </w:r>
      <w:bookmarkEnd w:id="315"/>
    </w:p>
    <w:p w:rsidR="0093455B" w:rsidRPr="0093455B" w:rsidRDefault="0093455B" w:rsidP="0093455B">
      <w:pPr>
        <w:spacing w:after="0" w:line="240" w:lineRule="auto"/>
        <w:rPr>
          <w:rFonts w:ascii="Calibri" w:hAnsi="Calibri"/>
          <w:sz w:val="22"/>
        </w:rPr>
      </w:pPr>
      <w:bookmarkStart w:id="316" w:name="_ENREF_12"/>
      <w:r w:rsidRPr="0093455B">
        <w:rPr>
          <w:rFonts w:ascii="Calibri" w:hAnsi="Calibri"/>
          <w:sz w:val="22"/>
        </w:rPr>
        <w:t xml:space="preserve">12.  Tuomilehto, J., Schwarz, P. and Lindstrom, J. (2011), 'Long-term benefits from lifestyle interventions for type 2 diabetes prevention: time to expand the efforts'. </w:t>
      </w:r>
      <w:r w:rsidRPr="0093455B">
        <w:rPr>
          <w:rFonts w:ascii="Calibri" w:hAnsi="Calibri"/>
          <w:i/>
          <w:sz w:val="22"/>
        </w:rPr>
        <w:t>Diabetes Care</w:t>
      </w:r>
      <w:r w:rsidRPr="0093455B">
        <w:rPr>
          <w:rFonts w:ascii="Calibri" w:hAnsi="Calibri"/>
          <w:sz w:val="22"/>
        </w:rPr>
        <w:t>, 34(Suppl 2): S210-4.</w:t>
      </w:r>
      <w:bookmarkEnd w:id="316"/>
    </w:p>
    <w:p w:rsidR="0093455B" w:rsidRPr="0093455B" w:rsidRDefault="0093455B" w:rsidP="0093455B">
      <w:pPr>
        <w:spacing w:after="0" w:line="240" w:lineRule="auto"/>
        <w:rPr>
          <w:rFonts w:ascii="Calibri" w:hAnsi="Calibri"/>
          <w:sz w:val="22"/>
        </w:rPr>
      </w:pPr>
      <w:bookmarkStart w:id="317" w:name="_ENREF_13"/>
      <w:r w:rsidRPr="0093455B">
        <w:rPr>
          <w:rFonts w:ascii="Calibri" w:hAnsi="Calibri"/>
          <w:sz w:val="22"/>
        </w:rPr>
        <w:t>13.  Schellenberg, E.S.</w:t>
      </w:r>
      <w:r w:rsidRPr="0093455B">
        <w:rPr>
          <w:rFonts w:ascii="Calibri" w:hAnsi="Calibri"/>
          <w:i/>
          <w:sz w:val="22"/>
        </w:rPr>
        <w:t xml:space="preserve"> et al.</w:t>
      </w:r>
      <w:r w:rsidRPr="0093455B">
        <w:rPr>
          <w:rFonts w:ascii="Calibri" w:hAnsi="Calibri"/>
          <w:sz w:val="22"/>
        </w:rPr>
        <w:t xml:space="preserve"> (2013), 'Lifestyle interventions for patients with and at risk for type 2 diabetes: a systematic review and meta-analysis'. </w:t>
      </w:r>
      <w:r w:rsidRPr="0093455B">
        <w:rPr>
          <w:rFonts w:ascii="Calibri" w:hAnsi="Calibri"/>
          <w:i/>
          <w:sz w:val="22"/>
        </w:rPr>
        <w:t>Ann Intern Med</w:t>
      </w:r>
      <w:r w:rsidRPr="0093455B">
        <w:rPr>
          <w:rFonts w:ascii="Calibri" w:hAnsi="Calibri"/>
          <w:sz w:val="22"/>
        </w:rPr>
        <w:t>, 159(8): 543-51.</w:t>
      </w:r>
      <w:bookmarkEnd w:id="317"/>
    </w:p>
    <w:p w:rsidR="0093455B" w:rsidRPr="0093455B" w:rsidRDefault="0093455B" w:rsidP="0093455B">
      <w:pPr>
        <w:spacing w:after="0" w:line="240" w:lineRule="auto"/>
        <w:rPr>
          <w:rFonts w:ascii="Calibri" w:hAnsi="Calibri"/>
          <w:sz w:val="22"/>
        </w:rPr>
      </w:pPr>
      <w:bookmarkStart w:id="318" w:name="_ENREF_14"/>
      <w:r w:rsidRPr="0093455B">
        <w:rPr>
          <w:rFonts w:ascii="Calibri" w:hAnsi="Calibri"/>
          <w:sz w:val="22"/>
        </w:rPr>
        <w:t>14.  Gillies, C.L.</w:t>
      </w:r>
      <w:r w:rsidRPr="0093455B">
        <w:rPr>
          <w:rFonts w:ascii="Calibri" w:hAnsi="Calibri"/>
          <w:i/>
          <w:sz w:val="22"/>
        </w:rPr>
        <w:t xml:space="preserve"> et al.</w:t>
      </w:r>
      <w:r w:rsidRPr="0093455B">
        <w:rPr>
          <w:rFonts w:ascii="Calibri" w:hAnsi="Calibri"/>
          <w:sz w:val="22"/>
        </w:rPr>
        <w:t xml:space="preserve"> (2007), 'Pharmacological and lifestyle interventions to prevent or delay type 2 diabetes in people with impaired glucose tolerance: systematic review and meta-analysis'. </w:t>
      </w:r>
      <w:r w:rsidRPr="0093455B">
        <w:rPr>
          <w:rFonts w:ascii="Calibri" w:hAnsi="Calibri"/>
          <w:i/>
          <w:sz w:val="22"/>
        </w:rPr>
        <w:t>BMJ</w:t>
      </w:r>
      <w:r w:rsidRPr="0093455B">
        <w:rPr>
          <w:rFonts w:ascii="Calibri" w:hAnsi="Calibri"/>
          <w:sz w:val="22"/>
        </w:rPr>
        <w:t>, 334(7588): 299.</w:t>
      </w:r>
      <w:bookmarkEnd w:id="318"/>
    </w:p>
    <w:p w:rsidR="0093455B" w:rsidRPr="0093455B" w:rsidRDefault="0093455B" w:rsidP="0093455B">
      <w:pPr>
        <w:spacing w:after="0" w:line="240" w:lineRule="auto"/>
        <w:rPr>
          <w:rFonts w:ascii="Calibri" w:hAnsi="Calibri"/>
          <w:sz w:val="22"/>
        </w:rPr>
      </w:pPr>
      <w:bookmarkStart w:id="319" w:name="_ENREF_15"/>
      <w:r w:rsidRPr="0093455B">
        <w:rPr>
          <w:rFonts w:ascii="Calibri" w:hAnsi="Calibri"/>
          <w:sz w:val="22"/>
        </w:rPr>
        <w:t>15.  Knowler, W.C.</w:t>
      </w:r>
      <w:r w:rsidRPr="0093455B">
        <w:rPr>
          <w:rFonts w:ascii="Calibri" w:hAnsi="Calibri"/>
          <w:i/>
          <w:sz w:val="22"/>
        </w:rPr>
        <w:t xml:space="preserve"> et al.</w:t>
      </w:r>
      <w:r w:rsidRPr="0093455B">
        <w:rPr>
          <w:rFonts w:ascii="Calibri" w:hAnsi="Calibri"/>
          <w:sz w:val="22"/>
        </w:rPr>
        <w:t xml:space="preserve"> (2002), 'Reduction in the incidence of type 2 diabetes with lifestyle intervention or metformin'. </w:t>
      </w:r>
      <w:r w:rsidRPr="0093455B">
        <w:rPr>
          <w:rFonts w:ascii="Calibri" w:hAnsi="Calibri"/>
          <w:i/>
          <w:sz w:val="22"/>
        </w:rPr>
        <w:t>N Engl J Med</w:t>
      </w:r>
      <w:r w:rsidRPr="0093455B">
        <w:rPr>
          <w:rFonts w:ascii="Calibri" w:hAnsi="Calibri"/>
          <w:sz w:val="22"/>
        </w:rPr>
        <w:t>, 346(6): 393-403.</w:t>
      </w:r>
      <w:bookmarkEnd w:id="319"/>
    </w:p>
    <w:p w:rsidR="0093455B" w:rsidRPr="0093455B" w:rsidRDefault="0093455B" w:rsidP="0093455B">
      <w:pPr>
        <w:spacing w:after="0" w:line="240" w:lineRule="auto"/>
        <w:rPr>
          <w:rFonts w:ascii="Calibri" w:hAnsi="Calibri"/>
          <w:sz w:val="22"/>
        </w:rPr>
      </w:pPr>
      <w:bookmarkStart w:id="320" w:name="_ENREF_16"/>
      <w:r w:rsidRPr="0093455B">
        <w:rPr>
          <w:rFonts w:ascii="Calibri" w:hAnsi="Calibri"/>
          <w:sz w:val="22"/>
        </w:rPr>
        <w:t>16.  Orozco, L.J.</w:t>
      </w:r>
      <w:r w:rsidRPr="0093455B">
        <w:rPr>
          <w:rFonts w:ascii="Calibri" w:hAnsi="Calibri"/>
          <w:i/>
          <w:sz w:val="22"/>
        </w:rPr>
        <w:t xml:space="preserve"> et al.</w:t>
      </w:r>
      <w:r w:rsidRPr="0093455B">
        <w:rPr>
          <w:rFonts w:ascii="Calibri" w:hAnsi="Calibri"/>
          <w:sz w:val="22"/>
        </w:rPr>
        <w:t xml:space="preserve"> (2008), </w:t>
      </w:r>
      <w:r w:rsidRPr="0093455B">
        <w:rPr>
          <w:rFonts w:ascii="Calibri" w:hAnsi="Calibri"/>
          <w:i/>
          <w:sz w:val="22"/>
        </w:rPr>
        <w:t>Exercise or exercise and diet for preventing type 2 diabetes mellitus</w:t>
      </w:r>
      <w:r w:rsidRPr="0093455B">
        <w:rPr>
          <w:rFonts w:ascii="Calibri" w:hAnsi="Calibri"/>
          <w:sz w:val="22"/>
        </w:rPr>
        <w:t>. Cochrane Database of Systematic Reviews, Issue 3. Art. No.: CD003054. DOI:10.1002/14651858.CD003054.pub3.</w:t>
      </w:r>
      <w:bookmarkEnd w:id="320"/>
    </w:p>
    <w:p w:rsidR="0093455B" w:rsidRPr="0093455B" w:rsidRDefault="0093455B" w:rsidP="0093455B">
      <w:pPr>
        <w:spacing w:after="0" w:line="240" w:lineRule="auto"/>
        <w:rPr>
          <w:rFonts w:ascii="Calibri" w:hAnsi="Calibri"/>
          <w:sz w:val="22"/>
        </w:rPr>
      </w:pPr>
      <w:bookmarkStart w:id="321" w:name="_ENREF_17"/>
      <w:r w:rsidRPr="0093455B">
        <w:rPr>
          <w:rFonts w:ascii="Calibri" w:hAnsi="Calibri"/>
          <w:sz w:val="22"/>
        </w:rPr>
        <w:t>17.  Ebrahim, S.</w:t>
      </w:r>
      <w:r w:rsidRPr="0093455B">
        <w:rPr>
          <w:rFonts w:ascii="Calibri" w:hAnsi="Calibri"/>
          <w:i/>
          <w:sz w:val="22"/>
        </w:rPr>
        <w:t xml:space="preserve"> et al.</w:t>
      </w:r>
      <w:r w:rsidRPr="0093455B">
        <w:rPr>
          <w:rFonts w:ascii="Calibri" w:hAnsi="Calibri"/>
          <w:sz w:val="22"/>
        </w:rPr>
        <w:t xml:space="preserve"> (2011), </w:t>
      </w:r>
      <w:r w:rsidRPr="0093455B">
        <w:rPr>
          <w:rFonts w:ascii="Calibri" w:hAnsi="Calibri"/>
          <w:i/>
          <w:sz w:val="22"/>
        </w:rPr>
        <w:t>Multiple risk factor interventions for primary prevention of coronary heart disease</w:t>
      </w:r>
      <w:r w:rsidRPr="0093455B">
        <w:rPr>
          <w:rFonts w:ascii="Calibri" w:hAnsi="Calibri"/>
          <w:sz w:val="22"/>
        </w:rPr>
        <w:t>. Cochrane Database of Systematic Reviews, Issue 1. Art. No.: CD001561. DOI:10.1002/14651858.CD001561.pub3.</w:t>
      </w:r>
      <w:bookmarkEnd w:id="321"/>
    </w:p>
    <w:p w:rsidR="0093455B" w:rsidRPr="0093455B" w:rsidRDefault="0093455B" w:rsidP="0093455B">
      <w:pPr>
        <w:spacing w:after="0" w:line="240" w:lineRule="auto"/>
        <w:rPr>
          <w:rFonts w:ascii="Calibri" w:hAnsi="Calibri"/>
          <w:sz w:val="22"/>
        </w:rPr>
      </w:pPr>
      <w:bookmarkStart w:id="322" w:name="_ENREF_18"/>
      <w:r w:rsidRPr="0093455B">
        <w:rPr>
          <w:rFonts w:ascii="Calibri" w:hAnsi="Calibri"/>
          <w:sz w:val="22"/>
        </w:rPr>
        <w:t>18.  Knowler, W.C.</w:t>
      </w:r>
      <w:r w:rsidRPr="0093455B">
        <w:rPr>
          <w:rFonts w:ascii="Calibri" w:hAnsi="Calibri"/>
          <w:i/>
          <w:sz w:val="22"/>
        </w:rPr>
        <w:t xml:space="preserve"> et al.</w:t>
      </w:r>
      <w:r w:rsidRPr="0093455B">
        <w:rPr>
          <w:rFonts w:ascii="Calibri" w:hAnsi="Calibri"/>
          <w:sz w:val="22"/>
        </w:rPr>
        <w:t xml:space="preserve"> (2009), '10-year follow-up of diabetes incidence and weight loss in the Diabetes Prevention Program Outcomes Study'. </w:t>
      </w:r>
      <w:r w:rsidRPr="0093455B">
        <w:rPr>
          <w:rFonts w:ascii="Calibri" w:hAnsi="Calibri"/>
          <w:i/>
          <w:sz w:val="22"/>
        </w:rPr>
        <w:t>Lancet</w:t>
      </w:r>
      <w:r w:rsidRPr="0093455B">
        <w:rPr>
          <w:rFonts w:ascii="Calibri" w:hAnsi="Calibri"/>
          <w:sz w:val="22"/>
        </w:rPr>
        <w:t>, 374(9702): 1677-86.</w:t>
      </w:r>
      <w:bookmarkEnd w:id="322"/>
    </w:p>
    <w:p w:rsidR="0093455B" w:rsidRPr="0093455B" w:rsidRDefault="0093455B" w:rsidP="0093455B">
      <w:pPr>
        <w:spacing w:after="0" w:line="240" w:lineRule="auto"/>
        <w:rPr>
          <w:rFonts w:ascii="Calibri" w:hAnsi="Calibri"/>
          <w:sz w:val="22"/>
        </w:rPr>
      </w:pPr>
      <w:bookmarkStart w:id="323" w:name="_ENREF_19"/>
      <w:r w:rsidRPr="0093455B">
        <w:rPr>
          <w:rFonts w:ascii="Calibri" w:hAnsi="Calibri"/>
          <w:sz w:val="22"/>
        </w:rPr>
        <w:t>19.  Li, R.</w:t>
      </w:r>
      <w:r w:rsidRPr="0093455B">
        <w:rPr>
          <w:rFonts w:ascii="Calibri" w:hAnsi="Calibri"/>
          <w:i/>
          <w:sz w:val="22"/>
        </w:rPr>
        <w:t xml:space="preserve"> et al.</w:t>
      </w:r>
      <w:r w:rsidRPr="0093455B">
        <w:rPr>
          <w:rFonts w:ascii="Calibri" w:hAnsi="Calibri"/>
          <w:sz w:val="22"/>
        </w:rPr>
        <w:t xml:space="preserve"> (2010), 'Cost-effectiveness of interventions to prevent and control diabetes mellitus: a systematic review'. </w:t>
      </w:r>
      <w:r w:rsidRPr="0093455B">
        <w:rPr>
          <w:rFonts w:ascii="Calibri" w:hAnsi="Calibri"/>
          <w:i/>
          <w:sz w:val="22"/>
        </w:rPr>
        <w:t>Diabetes Care</w:t>
      </w:r>
      <w:r w:rsidRPr="0093455B">
        <w:rPr>
          <w:rFonts w:ascii="Calibri" w:hAnsi="Calibri"/>
          <w:sz w:val="22"/>
        </w:rPr>
        <w:t>, 33(8): 1872-94.</w:t>
      </w:r>
      <w:bookmarkEnd w:id="323"/>
    </w:p>
    <w:p w:rsidR="0093455B" w:rsidRPr="0093455B" w:rsidRDefault="0093455B" w:rsidP="0093455B">
      <w:pPr>
        <w:spacing w:after="0" w:line="240" w:lineRule="auto"/>
        <w:rPr>
          <w:rFonts w:ascii="Calibri" w:hAnsi="Calibri"/>
          <w:sz w:val="22"/>
        </w:rPr>
      </w:pPr>
      <w:bookmarkStart w:id="324" w:name="_ENREF_20"/>
      <w:r w:rsidRPr="0093455B">
        <w:rPr>
          <w:rFonts w:ascii="Calibri" w:hAnsi="Calibri"/>
          <w:sz w:val="22"/>
        </w:rPr>
        <w:t>20.  Uusitupa, M.</w:t>
      </w:r>
      <w:r w:rsidRPr="0093455B">
        <w:rPr>
          <w:rFonts w:ascii="Calibri" w:hAnsi="Calibri"/>
          <w:i/>
          <w:sz w:val="22"/>
        </w:rPr>
        <w:t xml:space="preserve"> et al.</w:t>
      </w:r>
      <w:r w:rsidRPr="0093455B">
        <w:rPr>
          <w:rFonts w:ascii="Calibri" w:hAnsi="Calibri"/>
          <w:sz w:val="22"/>
        </w:rPr>
        <w:t xml:space="preserve"> (2003), 'Long-term improvement in insulin sensitivity by changing lifestyles of people with impaired glucose tolerance: 4-year results from the Finnish Diabetes Prevention Study'. </w:t>
      </w:r>
      <w:r w:rsidRPr="0093455B">
        <w:rPr>
          <w:rFonts w:ascii="Calibri" w:hAnsi="Calibri"/>
          <w:i/>
          <w:sz w:val="22"/>
        </w:rPr>
        <w:t>Diabetes</w:t>
      </w:r>
      <w:r w:rsidRPr="0093455B">
        <w:rPr>
          <w:rFonts w:ascii="Calibri" w:hAnsi="Calibri"/>
          <w:sz w:val="22"/>
        </w:rPr>
        <w:t>, 52(10): 2532-8.</w:t>
      </w:r>
      <w:bookmarkEnd w:id="324"/>
    </w:p>
    <w:p w:rsidR="0093455B" w:rsidRPr="0093455B" w:rsidRDefault="0093455B" w:rsidP="0093455B">
      <w:pPr>
        <w:spacing w:after="0" w:line="240" w:lineRule="auto"/>
        <w:rPr>
          <w:rFonts w:ascii="Calibri" w:hAnsi="Calibri"/>
          <w:sz w:val="22"/>
        </w:rPr>
      </w:pPr>
      <w:bookmarkStart w:id="325" w:name="_ENREF_21"/>
      <w:r w:rsidRPr="0093455B">
        <w:rPr>
          <w:rFonts w:ascii="Calibri" w:hAnsi="Calibri"/>
          <w:sz w:val="22"/>
        </w:rPr>
        <w:lastRenderedPageBreak/>
        <w:t>21.  Laatikainen, T.</w:t>
      </w:r>
      <w:r w:rsidRPr="0093455B">
        <w:rPr>
          <w:rFonts w:ascii="Calibri" w:hAnsi="Calibri"/>
          <w:i/>
          <w:sz w:val="22"/>
        </w:rPr>
        <w:t xml:space="preserve"> et al.</w:t>
      </w:r>
      <w:r w:rsidRPr="0093455B">
        <w:rPr>
          <w:rFonts w:ascii="Calibri" w:hAnsi="Calibri"/>
          <w:sz w:val="22"/>
        </w:rPr>
        <w:t xml:space="preserve"> (2007), 'Prevention of type 2 diabetes by lifestyle intervention in an Australian primary health care setting: Greater Green Triangle (GGT) Diabetes Prevention Project'. </w:t>
      </w:r>
      <w:r w:rsidRPr="0093455B">
        <w:rPr>
          <w:rFonts w:ascii="Calibri" w:hAnsi="Calibri"/>
          <w:i/>
          <w:sz w:val="22"/>
        </w:rPr>
        <w:t>BMC Public Health</w:t>
      </w:r>
      <w:r w:rsidRPr="0093455B">
        <w:rPr>
          <w:rFonts w:ascii="Calibri" w:hAnsi="Calibri"/>
          <w:sz w:val="22"/>
        </w:rPr>
        <w:t>, 7(249.</w:t>
      </w:r>
      <w:bookmarkEnd w:id="325"/>
    </w:p>
    <w:p w:rsidR="0093455B" w:rsidRPr="0093455B" w:rsidRDefault="0093455B" w:rsidP="0093455B">
      <w:pPr>
        <w:spacing w:after="0" w:line="240" w:lineRule="auto"/>
        <w:rPr>
          <w:rFonts w:ascii="Calibri" w:hAnsi="Calibri"/>
          <w:sz w:val="22"/>
        </w:rPr>
      </w:pPr>
      <w:bookmarkStart w:id="326" w:name="_ENREF_22"/>
      <w:r w:rsidRPr="0093455B">
        <w:rPr>
          <w:rFonts w:ascii="Calibri" w:hAnsi="Calibri"/>
          <w:sz w:val="22"/>
        </w:rPr>
        <w:t xml:space="preserve">22.  Diabetes Australia - Victoria (2011), </w:t>
      </w:r>
      <w:r w:rsidRPr="0093455B">
        <w:rPr>
          <w:rFonts w:ascii="Calibri" w:hAnsi="Calibri"/>
          <w:i/>
          <w:sz w:val="22"/>
        </w:rPr>
        <w:t>About the Life! program</w:t>
      </w:r>
      <w:r w:rsidRPr="0093455B">
        <w:rPr>
          <w:rFonts w:ascii="Calibri" w:hAnsi="Calibri"/>
          <w:sz w:val="22"/>
        </w:rPr>
        <w:t xml:space="preserve">. Accessed on: 13 January 2014, at: </w:t>
      </w:r>
      <w:r w:rsidRPr="0028026D">
        <w:rPr>
          <w:rFonts w:ascii="Calibri" w:hAnsi="Calibri"/>
          <w:sz w:val="22"/>
        </w:rPr>
        <w:t>http://www.diabeteslife.org.au/about-the-life-program/about-the-life-program</w:t>
      </w:r>
      <w:bookmarkEnd w:id="326"/>
    </w:p>
    <w:p w:rsidR="0093455B" w:rsidRPr="0093455B" w:rsidRDefault="0093455B" w:rsidP="0093455B">
      <w:pPr>
        <w:spacing w:after="0" w:line="240" w:lineRule="auto"/>
        <w:rPr>
          <w:rFonts w:ascii="Calibri" w:hAnsi="Calibri"/>
          <w:sz w:val="22"/>
        </w:rPr>
      </w:pPr>
      <w:bookmarkStart w:id="327" w:name="_ENREF_23"/>
      <w:r w:rsidRPr="0093455B">
        <w:rPr>
          <w:rFonts w:ascii="Calibri" w:hAnsi="Calibri"/>
          <w:sz w:val="22"/>
        </w:rPr>
        <w:t xml:space="preserve">23.  World Health Organization (2011), </w:t>
      </w:r>
      <w:r w:rsidRPr="0093455B">
        <w:rPr>
          <w:rFonts w:ascii="Calibri" w:hAnsi="Calibri"/>
          <w:i/>
          <w:sz w:val="22"/>
        </w:rPr>
        <w:t>Use of Glycated Haemoglobin (HbA1c) in the Diagnosis of Diabetes Mellitus: Abbreviated Report of a WHO Consultation</w:t>
      </w:r>
      <w:r w:rsidRPr="0093455B">
        <w:rPr>
          <w:rFonts w:ascii="Calibri" w:hAnsi="Calibri"/>
          <w:sz w:val="22"/>
        </w:rPr>
        <w:t>. WHO, Geneva.</w:t>
      </w:r>
      <w:bookmarkEnd w:id="327"/>
    </w:p>
    <w:p w:rsidR="0093455B" w:rsidRPr="0093455B" w:rsidRDefault="0093455B" w:rsidP="0093455B">
      <w:pPr>
        <w:spacing w:after="0" w:line="240" w:lineRule="auto"/>
        <w:rPr>
          <w:rFonts w:ascii="Calibri" w:hAnsi="Calibri"/>
          <w:sz w:val="22"/>
        </w:rPr>
      </w:pPr>
      <w:bookmarkStart w:id="328" w:name="_ENREF_24"/>
      <w:r w:rsidRPr="0093455B">
        <w:rPr>
          <w:rFonts w:ascii="Calibri" w:hAnsi="Calibri"/>
          <w:sz w:val="22"/>
        </w:rPr>
        <w:t xml:space="preserve">24.  World Health Organization and International Diabetes Federation (2006), </w:t>
      </w:r>
      <w:r w:rsidRPr="0093455B">
        <w:rPr>
          <w:rFonts w:ascii="Calibri" w:hAnsi="Calibri"/>
          <w:i/>
          <w:sz w:val="22"/>
        </w:rPr>
        <w:t>Definition and Diagnosis of Diabetes Mellitus and Intermediate Hyperglycemia. Issue 5: What diagnostic tests should be used to define glycaemic status</w:t>
      </w:r>
      <w:r w:rsidRPr="0093455B">
        <w:rPr>
          <w:rFonts w:ascii="Calibri" w:hAnsi="Calibri"/>
          <w:sz w:val="22"/>
        </w:rPr>
        <w:t>. WHO, Geneva.</w:t>
      </w:r>
      <w:bookmarkEnd w:id="328"/>
    </w:p>
    <w:p w:rsidR="0093455B" w:rsidRPr="0093455B" w:rsidRDefault="0093455B" w:rsidP="0093455B">
      <w:pPr>
        <w:spacing w:after="0" w:line="240" w:lineRule="auto"/>
        <w:rPr>
          <w:rFonts w:ascii="Calibri" w:hAnsi="Calibri"/>
          <w:sz w:val="22"/>
        </w:rPr>
      </w:pPr>
      <w:bookmarkStart w:id="329" w:name="_ENREF_25"/>
      <w:r w:rsidRPr="0093455B">
        <w:rPr>
          <w:rFonts w:ascii="Calibri" w:hAnsi="Calibri"/>
          <w:sz w:val="22"/>
        </w:rPr>
        <w:t xml:space="preserve">25.  Medical Services Advisory Committee (2014), </w:t>
      </w:r>
      <w:r w:rsidRPr="0093455B">
        <w:rPr>
          <w:rFonts w:ascii="Calibri" w:hAnsi="Calibri"/>
          <w:i/>
          <w:sz w:val="22"/>
        </w:rPr>
        <w:t>MSAC Public Summary Document: Application No. 1267 - HbA1C testing for the diagnosis of diabetes mellitus</w:t>
      </w:r>
      <w:r w:rsidRPr="0093455B">
        <w:rPr>
          <w:rFonts w:ascii="Calibri" w:hAnsi="Calibri"/>
          <w:sz w:val="22"/>
        </w:rPr>
        <w:t>. Department of Health, Canberra.</w:t>
      </w:r>
      <w:bookmarkEnd w:id="329"/>
    </w:p>
    <w:p w:rsidR="0093455B" w:rsidRPr="0093455B" w:rsidRDefault="0093455B" w:rsidP="0093455B">
      <w:pPr>
        <w:spacing w:after="0" w:line="240" w:lineRule="auto"/>
        <w:rPr>
          <w:rFonts w:ascii="Calibri" w:hAnsi="Calibri"/>
          <w:sz w:val="22"/>
        </w:rPr>
      </w:pPr>
      <w:bookmarkStart w:id="330" w:name="_ENREF_26"/>
      <w:r w:rsidRPr="0093455B">
        <w:rPr>
          <w:rFonts w:ascii="Calibri" w:hAnsi="Calibri"/>
          <w:sz w:val="22"/>
        </w:rPr>
        <w:t xml:space="preserve">26.  Royal Australian College of General Practitioners and Diabetes Australia (2014), </w:t>
      </w:r>
      <w:r w:rsidRPr="0093455B">
        <w:rPr>
          <w:rFonts w:ascii="Calibri" w:hAnsi="Calibri"/>
          <w:i/>
          <w:sz w:val="22"/>
        </w:rPr>
        <w:t>General practice management of type 2 diabetes - 2014-15</w:t>
      </w:r>
      <w:r w:rsidRPr="0093455B">
        <w:rPr>
          <w:rFonts w:ascii="Calibri" w:hAnsi="Calibri"/>
          <w:sz w:val="22"/>
        </w:rPr>
        <w:t>. RACGP, Melbourne.</w:t>
      </w:r>
      <w:bookmarkEnd w:id="330"/>
    </w:p>
    <w:p w:rsidR="0093455B" w:rsidRPr="0093455B" w:rsidRDefault="0093455B" w:rsidP="0093455B">
      <w:pPr>
        <w:spacing w:after="0" w:line="240" w:lineRule="auto"/>
        <w:rPr>
          <w:rFonts w:ascii="Calibri" w:hAnsi="Calibri"/>
          <w:sz w:val="22"/>
        </w:rPr>
      </w:pPr>
      <w:bookmarkStart w:id="331" w:name="_ENREF_27"/>
      <w:r w:rsidRPr="0093455B">
        <w:rPr>
          <w:rFonts w:ascii="Calibri" w:hAnsi="Calibri"/>
          <w:sz w:val="22"/>
        </w:rPr>
        <w:t xml:space="preserve">27.  Australian Bureau of Statistics (2013), </w:t>
      </w:r>
      <w:r w:rsidRPr="0093455B">
        <w:rPr>
          <w:rFonts w:ascii="Calibri" w:hAnsi="Calibri"/>
          <w:i/>
          <w:sz w:val="22"/>
        </w:rPr>
        <w:t>Australian Health Survey: Updated Results, 2011-12 diabetes mellitus (Cat. No. 4364.0.55.003)</w:t>
      </w:r>
      <w:r w:rsidRPr="0093455B">
        <w:rPr>
          <w:rFonts w:ascii="Calibri" w:hAnsi="Calibri"/>
          <w:sz w:val="22"/>
        </w:rPr>
        <w:t xml:space="preserve">. Accessed on: 28 November 2013, at: </w:t>
      </w:r>
      <w:r w:rsidRPr="0028026D">
        <w:rPr>
          <w:rFonts w:ascii="Calibri" w:hAnsi="Calibri"/>
          <w:sz w:val="22"/>
        </w:rPr>
        <w:t>http://www.abs.gov.au/ausstats/abs@.nsf/Lookup/1A8F3DE217DE1057CA257B82001792F4?opendocument</w:t>
      </w:r>
      <w:bookmarkEnd w:id="331"/>
    </w:p>
    <w:p w:rsidR="0093455B" w:rsidRPr="0093455B" w:rsidRDefault="0093455B" w:rsidP="0093455B">
      <w:pPr>
        <w:spacing w:after="0" w:line="240" w:lineRule="auto"/>
        <w:rPr>
          <w:rFonts w:ascii="Calibri" w:hAnsi="Calibri"/>
          <w:sz w:val="22"/>
        </w:rPr>
      </w:pPr>
      <w:bookmarkStart w:id="332" w:name="_ENREF_28"/>
      <w:r w:rsidRPr="0093455B">
        <w:rPr>
          <w:rFonts w:ascii="Calibri" w:hAnsi="Calibri"/>
          <w:sz w:val="22"/>
        </w:rPr>
        <w:t xml:space="preserve">28.  Australian Bureau of Statistics (2013), </w:t>
      </w:r>
      <w:r w:rsidRPr="0093455B">
        <w:rPr>
          <w:rFonts w:ascii="Calibri" w:hAnsi="Calibri"/>
          <w:i/>
          <w:sz w:val="22"/>
        </w:rPr>
        <w:t>Australian Health Survey: Biomedical Results for Chronic Diseases, 2011-12 (4364.0.55.005)</w:t>
      </w:r>
      <w:r w:rsidRPr="0093455B">
        <w:rPr>
          <w:rFonts w:ascii="Calibri" w:hAnsi="Calibri"/>
          <w:sz w:val="22"/>
        </w:rPr>
        <w:t xml:space="preserve">. Accessed on: 16 December 2013, at: </w:t>
      </w:r>
      <w:r w:rsidRPr="0028026D">
        <w:rPr>
          <w:rFonts w:ascii="Calibri" w:hAnsi="Calibri"/>
          <w:sz w:val="22"/>
        </w:rPr>
        <w:t>http://www.abs.gov.au/ausstats/abs@.nsf/Lookup/9769589F9E465EE6CA257BBB00121648?opendocument</w:t>
      </w:r>
      <w:bookmarkEnd w:id="332"/>
    </w:p>
    <w:p w:rsidR="0093455B" w:rsidRPr="0093455B" w:rsidRDefault="0093455B" w:rsidP="0093455B">
      <w:pPr>
        <w:spacing w:after="0" w:line="240" w:lineRule="auto"/>
        <w:rPr>
          <w:rFonts w:ascii="Calibri" w:hAnsi="Calibri"/>
          <w:sz w:val="22"/>
        </w:rPr>
      </w:pPr>
      <w:bookmarkStart w:id="333" w:name="_ENREF_29"/>
      <w:r w:rsidRPr="0093455B">
        <w:rPr>
          <w:rFonts w:ascii="Calibri" w:hAnsi="Calibri"/>
          <w:sz w:val="22"/>
        </w:rPr>
        <w:t xml:space="preserve">29.  Australian Institute of Health and Welfare (2014), </w:t>
      </w:r>
      <w:r w:rsidRPr="0093455B">
        <w:rPr>
          <w:rFonts w:ascii="Calibri" w:hAnsi="Calibri"/>
          <w:i/>
          <w:sz w:val="22"/>
        </w:rPr>
        <w:t>Type 2 diabetes in Australia's children and young people: a working paper</w:t>
      </w:r>
      <w:r w:rsidRPr="0093455B">
        <w:rPr>
          <w:rFonts w:ascii="Calibri" w:hAnsi="Calibri"/>
          <w:sz w:val="22"/>
        </w:rPr>
        <w:t>. AIHW, Canberra.</w:t>
      </w:r>
      <w:bookmarkEnd w:id="333"/>
    </w:p>
    <w:p w:rsidR="0093455B" w:rsidRPr="0093455B" w:rsidRDefault="0093455B" w:rsidP="0093455B">
      <w:pPr>
        <w:spacing w:after="0" w:line="240" w:lineRule="auto"/>
        <w:rPr>
          <w:rFonts w:ascii="Calibri" w:hAnsi="Calibri"/>
          <w:sz w:val="22"/>
        </w:rPr>
      </w:pPr>
      <w:bookmarkStart w:id="334" w:name="_ENREF_30"/>
      <w:r w:rsidRPr="0093455B">
        <w:rPr>
          <w:rFonts w:ascii="Calibri" w:hAnsi="Calibri"/>
          <w:sz w:val="22"/>
        </w:rPr>
        <w:t xml:space="preserve">30.  International Diabetes Federation (2012), </w:t>
      </w:r>
      <w:r w:rsidRPr="0093455B">
        <w:rPr>
          <w:rFonts w:ascii="Calibri" w:hAnsi="Calibri"/>
          <w:i/>
          <w:sz w:val="22"/>
        </w:rPr>
        <w:t>Diabetes Atlas (5th edition)</w:t>
      </w:r>
      <w:r w:rsidRPr="0093455B">
        <w:rPr>
          <w:rFonts w:ascii="Calibri" w:hAnsi="Calibri"/>
          <w:sz w:val="22"/>
        </w:rPr>
        <w:t>. IDF, Brussels.</w:t>
      </w:r>
      <w:bookmarkEnd w:id="334"/>
    </w:p>
    <w:p w:rsidR="0093455B" w:rsidRPr="0093455B" w:rsidRDefault="0093455B" w:rsidP="0093455B">
      <w:pPr>
        <w:spacing w:after="0" w:line="240" w:lineRule="auto"/>
        <w:rPr>
          <w:rFonts w:ascii="Calibri" w:hAnsi="Calibri"/>
          <w:sz w:val="22"/>
        </w:rPr>
      </w:pPr>
      <w:bookmarkStart w:id="335" w:name="_ENREF_31"/>
      <w:r w:rsidRPr="0093455B">
        <w:rPr>
          <w:rFonts w:ascii="Calibri" w:hAnsi="Calibri"/>
          <w:sz w:val="22"/>
        </w:rPr>
        <w:t xml:space="preserve">31.  Australian Bureau of Statistics (2013), </w:t>
      </w:r>
      <w:r w:rsidRPr="0093455B">
        <w:rPr>
          <w:rFonts w:ascii="Calibri" w:hAnsi="Calibri"/>
          <w:i/>
          <w:sz w:val="22"/>
        </w:rPr>
        <w:t>Australian Aboriginal and Torres Strait Islander Health Survey: First Results, Australia, 2012-13 (4727.0.55.001)</w:t>
      </w:r>
      <w:r w:rsidRPr="0093455B">
        <w:rPr>
          <w:rFonts w:ascii="Calibri" w:hAnsi="Calibri"/>
          <w:sz w:val="22"/>
        </w:rPr>
        <w:t xml:space="preserve">. Accessed on: 16 December 2013, at: </w:t>
      </w:r>
      <w:r w:rsidRPr="0028026D">
        <w:rPr>
          <w:rFonts w:ascii="Calibri" w:hAnsi="Calibri"/>
          <w:sz w:val="22"/>
        </w:rPr>
        <w:t>http://www.abs.gov.au/ausstats/abs@.nsf/Lookup/CD58150AC0A36286CA257C2F0014591C?opendocument</w:t>
      </w:r>
      <w:bookmarkEnd w:id="335"/>
    </w:p>
    <w:p w:rsidR="0093455B" w:rsidRPr="0093455B" w:rsidRDefault="0093455B" w:rsidP="0093455B">
      <w:pPr>
        <w:spacing w:after="0" w:line="240" w:lineRule="auto"/>
        <w:rPr>
          <w:rFonts w:ascii="Calibri" w:hAnsi="Calibri"/>
          <w:sz w:val="22"/>
        </w:rPr>
      </w:pPr>
      <w:bookmarkStart w:id="336" w:name="_ENREF_32"/>
      <w:r w:rsidRPr="0093455B">
        <w:rPr>
          <w:rFonts w:ascii="Calibri" w:hAnsi="Calibri"/>
          <w:sz w:val="22"/>
        </w:rPr>
        <w:t xml:space="preserve">32.  Victoria, W. (2012), </w:t>
      </w:r>
      <w:r w:rsidRPr="0093455B">
        <w:rPr>
          <w:rFonts w:ascii="Calibri" w:hAnsi="Calibri"/>
          <w:i/>
          <w:sz w:val="22"/>
        </w:rPr>
        <w:t>WorkHealth Checks: Selected findings</w:t>
      </w:r>
      <w:r w:rsidRPr="0093455B">
        <w:rPr>
          <w:rFonts w:ascii="Calibri" w:hAnsi="Calibri"/>
          <w:sz w:val="22"/>
        </w:rPr>
        <w:t xml:space="preserve">. Accessed on: 1/08/2014, at: </w:t>
      </w:r>
      <w:r w:rsidRPr="0028026D">
        <w:rPr>
          <w:rFonts w:ascii="Calibri" w:hAnsi="Calibri"/>
          <w:sz w:val="22"/>
        </w:rPr>
        <w:t>http://www.vwa.vic.gov.au/__data/assets/pdf_file/0006/120849/WorkHealth-checks-500K-results-fact-sheet.pdf</w:t>
      </w:r>
      <w:bookmarkEnd w:id="336"/>
    </w:p>
    <w:p w:rsidR="0093455B" w:rsidRPr="0093455B" w:rsidRDefault="0093455B" w:rsidP="0093455B">
      <w:pPr>
        <w:spacing w:after="0" w:line="240" w:lineRule="auto"/>
        <w:rPr>
          <w:rFonts w:ascii="Calibri" w:hAnsi="Calibri"/>
          <w:sz w:val="22"/>
        </w:rPr>
      </w:pPr>
      <w:bookmarkStart w:id="337" w:name="_ENREF_33"/>
      <w:r w:rsidRPr="0093455B">
        <w:rPr>
          <w:rFonts w:ascii="Calibri" w:hAnsi="Calibri"/>
          <w:sz w:val="22"/>
        </w:rPr>
        <w:t xml:space="preserve">33.  Australian Bureau of Statistics (2013), </w:t>
      </w:r>
      <w:r w:rsidRPr="0093455B">
        <w:rPr>
          <w:rFonts w:ascii="Calibri" w:hAnsi="Calibri"/>
          <w:i/>
          <w:sz w:val="22"/>
        </w:rPr>
        <w:t>Causes of Death Australia (3303.0)</w:t>
      </w:r>
      <w:r w:rsidRPr="0093455B">
        <w:rPr>
          <w:rFonts w:ascii="Calibri" w:hAnsi="Calibri"/>
          <w:sz w:val="22"/>
        </w:rPr>
        <w:t xml:space="preserve">. Accessed on: 2 August 2013, at: </w:t>
      </w:r>
      <w:r w:rsidRPr="0028026D">
        <w:rPr>
          <w:rFonts w:ascii="Calibri" w:hAnsi="Calibri"/>
          <w:sz w:val="22"/>
        </w:rPr>
        <w:t>http://www.abs.gov.au/ausstats/abs@.nsf/Lookup/3303.0Chapter42011</w:t>
      </w:r>
      <w:bookmarkEnd w:id="337"/>
    </w:p>
    <w:p w:rsidR="0093455B" w:rsidRPr="0093455B" w:rsidRDefault="0093455B" w:rsidP="0093455B">
      <w:pPr>
        <w:spacing w:after="0" w:line="240" w:lineRule="auto"/>
        <w:rPr>
          <w:rFonts w:ascii="Calibri" w:hAnsi="Calibri"/>
          <w:sz w:val="22"/>
        </w:rPr>
      </w:pPr>
      <w:bookmarkStart w:id="338" w:name="_ENREF_34"/>
      <w:r w:rsidRPr="0093455B">
        <w:rPr>
          <w:rFonts w:ascii="Calibri" w:hAnsi="Calibri"/>
          <w:sz w:val="22"/>
        </w:rPr>
        <w:t>34.  International Diabetes Federation-European Region</w:t>
      </w:r>
      <w:r w:rsidRPr="0093455B">
        <w:rPr>
          <w:rFonts w:ascii="Calibri" w:hAnsi="Calibri"/>
          <w:i/>
          <w:sz w:val="22"/>
        </w:rPr>
        <w:t xml:space="preserve"> et al.</w:t>
      </w:r>
      <w:r w:rsidRPr="0093455B">
        <w:rPr>
          <w:rFonts w:ascii="Calibri" w:hAnsi="Calibri"/>
          <w:sz w:val="22"/>
        </w:rPr>
        <w:t xml:space="preserve"> (2011), </w:t>
      </w:r>
      <w:r w:rsidRPr="0093455B">
        <w:rPr>
          <w:rFonts w:ascii="Calibri" w:hAnsi="Calibri"/>
          <w:i/>
          <w:sz w:val="22"/>
        </w:rPr>
        <w:t>Diabetes - The Policy Puzzle (3rd Edition)</w:t>
      </w:r>
      <w:r w:rsidRPr="0093455B">
        <w:rPr>
          <w:rFonts w:ascii="Calibri" w:hAnsi="Calibri"/>
          <w:sz w:val="22"/>
        </w:rPr>
        <w:t>. IDF Europe, Europe.</w:t>
      </w:r>
      <w:bookmarkEnd w:id="338"/>
    </w:p>
    <w:p w:rsidR="0093455B" w:rsidRPr="0093455B" w:rsidRDefault="0093455B" w:rsidP="0093455B">
      <w:pPr>
        <w:spacing w:after="0" w:line="240" w:lineRule="auto"/>
        <w:rPr>
          <w:rFonts w:ascii="Calibri" w:hAnsi="Calibri"/>
          <w:sz w:val="22"/>
        </w:rPr>
      </w:pPr>
      <w:bookmarkStart w:id="339" w:name="_ENREF_35"/>
      <w:r w:rsidRPr="0093455B">
        <w:rPr>
          <w:rFonts w:ascii="Calibri" w:hAnsi="Calibri"/>
          <w:sz w:val="22"/>
        </w:rPr>
        <w:t xml:space="preserve">35.  Australian Institute of Health and Welfare (2014), </w:t>
      </w:r>
      <w:r w:rsidRPr="0093455B">
        <w:rPr>
          <w:rFonts w:ascii="Calibri" w:hAnsi="Calibri"/>
          <w:i/>
          <w:sz w:val="22"/>
        </w:rPr>
        <w:t>Australia's health 2014. Australia’s health series no. 14. Cat. no. AUS 178.</w:t>
      </w:r>
      <w:r w:rsidRPr="0093455B">
        <w:rPr>
          <w:rFonts w:ascii="Calibri" w:hAnsi="Calibri"/>
          <w:sz w:val="22"/>
        </w:rPr>
        <w:t xml:space="preserve"> AIHW, Canberra.</w:t>
      </w:r>
      <w:bookmarkEnd w:id="339"/>
    </w:p>
    <w:p w:rsidR="0093455B" w:rsidRPr="0093455B" w:rsidRDefault="0093455B" w:rsidP="0093455B">
      <w:pPr>
        <w:spacing w:after="0" w:line="240" w:lineRule="auto"/>
        <w:rPr>
          <w:rFonts w:ascii="Calibri" w:hAnsi="Calibri"/>
          <w:sz w:val="22"/>
        </w:rPr>
      </w:pPr>
      <w:bookmarkStart w:id="340" w:name="_ENREF_36"/>
      <w:r w:rsidRPr="0093455B">
        <w:rPr>
          <w:rFonts w:ascii="Calibri" w:hAnsi="Calibri"/>
          <w:sz w:val="22"/>
        </w:rPr>
        <w:t xml:space="preserve">36.  Australian Institute of Health and Welfare (2013), </w:t>
      </w:r>
      <w:r w:rsidRPr="0093455B">
        <w:rPr>
          <w:rFonts w:ascii="Calibri" w:hAnsi="Calibri"/>
          <w:i/>
          <w:sz w:val="22"/>
        </w:rPr>
        <w:t>Diabetes expenditure in Australia 2008-09</w:t>
      </w:r>
      <w:r w:rsidRPr="0093455B">
        <w:rPr>
          <w:rFonts w:ascii="Calibri" w:hAnsi="Calibri"/>
          <w:sz w:val="22"/>
        </w:rPr>
        <w:t>. AIHW, Canberra.</w:t>
      </w:r>
      <w:bookmarkEnd w:id="340"/>
    </w:p>
    <w:p w:rsidR="0093455B" w:rsidRPr="0093455B" w:rsidRDefault="0093455B" w:rsidP="0093455B">
      <w:pPr>
        <w:spacing w:after="0" w:line="240" w:lineRule="auto"/>
        <w:rPr>
          <w:rFonts w:ascii="Calibri" w:hAnsi="Calibri"/>
          <w:sz w:val="22"/>
        </w:rPr>
      </w:pPr>
      <w:bookmarkStart w:id="341" w:name="_ENREF_37"/>
      <w:r w:rsidRPr="0093455B">
        <w:rPr>
          <w:rFonts w:ascii="Calibri" w:hAnsi="Calibri"/>
          <w:sz w:val="22"/>
        </w:rPr>
        <w:t>37.  Craig, M.</w:t>
      </w:r>
      <w:r w:rsidRPr="0093455B">
        <w:rPr>
          <w:rFonts w:ascii="Calibri" w:hAnsi="Calibri"/>
          <w:i/>
          <w:sz w:val="22"/>
        </w:rPr>
        <w:t xml:space="preserve"> et al.</w:t>
      </w:r>
      <w:r w:rsidRPr="0093455B">
        <w:rPr>
          <w:rFonts w:ascii="Calibri" w:hAnsi="Calibri"/>
          <w:sz w:val="22"/>
        </w:rPr>
        <w:t xml:space="preserve"> (2011), </w:t>
      </w:r>
      <w:r w:rsidRPr="0093455B">
        <w:rPr>
          <w:rFonts w:ascii="Calibri" w:hAnsi="Calibri"/>
          <w:i/>
          <w:sz w:val="22"/>
        </w:rPr>
        <w:t>National evidence-based clinical care guidelines for type 1 diabetes in children, adolescents and adults</w:t>
      </w:r>
      <w:r w:rsidRPr="0093455B">
        <w:rPr>
          <w:rFonts w:ascii="Calibri" w:hAnsi="Calibri"/>
          <w:sz w:val="22"/>
        </w:rPr>
        <w:t>. Australian Government Department of Health, Canberra.</w:t>
      </w:r>
      <w:bookmarkEnd w:id="341"/>
    </w:p>
    <w:p w:rsidR="0093455B" w:rsidRPr="0093455B" w:rsidRDefault="0093455B" w:rsidP="0093455B">
      <w:pPr>
        <w:spacing w:after="0" w:line="240" w:lineRule="auto"/>
        <w:rPr>
          <w:rFonts w:ascii="Calibri" w:hAnsi="Calibri"/>
          <w:sz w:val="22"/>
        </w:rPr>
      </w:pPr>
      <w:bookmarkStart w:id="342" w:name="_ENREF_38"/>
      <w:r w:rsidRPr="0093455B">
        <w:rPr>
          <w:rFonts w:ascii="Calibri" w:hAnsi="Calibri"/>
          <w:sz w:val="22"/>
        </w:rPr>
        <w:t xml:space="preserve">38.  Saudek, C.D. and Brick, J.C. (2009), 'The clinical use of hemoglobin A1c'. </w:t>
      </w:r>
      <w:r w:rsidRPr="0093455B">
        <w:rPr>
          <w:rFonts w:ascii="Calibri" w:hAnsi="Calibri"/>
          <w:i/>
          <w:sz w:val="22"/>
        </w:rPr>
        <w:t>J Diabetes Sci Technol</w:t>
      </w:r>
      <w:r w:rsidRPr="0093455B">
        <w:rPr>
          <w:rFonts w:ascii="Calibri" w:hAnsi="Calibri"/>
          <w:sz w:val="22"/>
        </w:rPr>
        <w:t>, 3(4): 629-34.</w:t>
      </w:r>
      <w:bookmarkEnd w:id="342"/>
    </w:p>
    <w:p w:rsidR="0093455B" w:rsidRPr="0093455B" w:rsidRDefault="0093455B" w:rsidP="0093455B">
      <w:pPr>
        <w:spacing w:after="0" w:line="240" w:lineRule="auto"/>
        <w:rPr>
          <w:rFonts w:ascii="Calibri" w:hAnsi="Calibri"/>
          <w:sz w:val="22"/>
        </w:rPr>
      </w:pPr>
      <w:bookmarkStart w:id="343" w:name="_ENREF_39"/>
      <w:r w:rsidRPr="0093455B">
        <w:rPr>
          <w:rFonts w:ascii="Calibri" w:hAnsi="Calibri"/>
          <w:sz w:val="22"/>
        </w:rPr>
        <w:t>39.  Cheung, N.W.</w:t>
      </w:r>
      <w:r w:rsidRPr="0093455B">
        <w:rPr>
          <w:rFonts w:ascii="Calibri" w:hAnsi="Calibri"/>
          <w:i/>
          <w:sz w:val="22"/>
        </w:rPr>
        <w:t xml:space="preserve"> et al.</w:t>
      </w:r>
      <w:r w:rsidRPr="0093455B">
        <w:rPr>
          <w:rFonts w:ascii="Calibri" w:hAnsi="Calibri"/>
          <w:sz w:val="22"/>
        </w:rPr>
        <w:t xml:space="preserve"> (2009), 'Position statement of the Australian Diabetes Society: individualisation of glycated haemoglobin targets for adults with diabetes mellitus'. </w:t>
      </w:r>
      <w:r w:rsidRPr="0093455B">
        <w:rPr>
          <w:rFonts w:ascii="Calibri" w:hAnsi="Calibri"/>
          <w:i/>
          <w:sz w:val="22"/>
        </w:rPr>
        <w:t>Med J Aust</w:t>
      </w:r>
      <w:r w:rsidRPr="0093455B">
        <w:rPr>
          <w:rFonts w:ascii="Calibri" w:hAnsi="Calibri"/>
          <w:sz w:val="22"/>
        </w:rPr>
        <w:t>, 191(6): 339-44.</w:t>
      </w:r>
      <w:bookmarkEnd w:id="343"/>
    </w:p>
    <w:p w:rsidR="0093455B" w:rsidRPr="0093455B" w:rsidRDefault="0093455B" w:rsidP="0093455B">
      <w:pPr>
        <w:spacing w:after="0" w:line="240" w:lineRule="auto"/>
        <w:rPr>
          <w:rFonts w:ascii="Calibri" w:hAnsi="Calibri"/>
          <w:sz w:val="22"/>
        </w:rPr>
      </w:pPr>
      <w:bookmarkStart w:id="344" w:name="_ENREF_40"/>
      <w:r w:rsidRPr="0093455B">
        <w:rPr>
          <w:rFonts w:ascii="Calibri" w:hAnsi="Calibri"/>
          <w:sz w:val="22"/>
        </w:rPr>
        <w:t xml:space="preserve">40.  Scottish Intercollegiate Guidelines Network (2010), </w:t>
      </w:r>
      <w:r w:rsidRPr="0093455B">
        <w:rPr>
          <w:rFonts w:ascii="Calibri" w:hAnsi="Calibri"/>
          <w:i/>
          <w:sz w:val="22"/>
        </w:rPr>
        <w:t>Management of diabetes: A national clinical guideline</w:t>
      </w:r>
      <w:r w:rsidRPr="0093455B">
        <w:rPr>
          <w:rFonts w:ascii="Calibri" w:hAnsi="Calibri"/>
          <w:sz w:val="22"/>
        </w:rPr>
        <w:t>. SIGN, Edinburgh.</w:t>
      </w:r>
      <w:bookmarkEnd w:id="344"/>
    </w:p>
    <w:p w:rsidR="0093455B" w:rsidRPr="0093455B" w:rsidRDefault="0093455B" w:rsidP="0093455B">
      <w:pPr>
        <w:spacing w:after="0" w:line="240" w:lineRule="auto"/>
        <w:rPr>
          <w:rFonts w:ascii="Calibri" w:hAnsi="Calibri"/>
          <w:sz w:val="22"/>
        </w:rPr>
      </w:pPr>
      <w:bookmarkStart w:id="345" w:name="_ENREF_41"/>
      <w:r w:rsidRPr="0093455B">
        <w:rPr>
          <w:rFonts w:ascii="Calibri" w:hAnsi="Calibri"/>
          <w:sz w:val="22"/>
        </w:rPr>
        <w:t xml:space="preserve">41.  Canadian Agency for Drugs and Technology in Health (2013), </w:t>
      </w:r>
      <w:r w:rsidRPr="0093455B">
        <w:rPr>
          <w:rFonts w:ascii="Calibri" w:hAnsi="Calibri"/>
          <w:i/>
          <w:sz w:val="22"/>
        </w:rPr>
        <w:t>Optimal use recommendations for second and third-line therapy for patients with type 2 diabetes</w:t>
      </w:r>
      <w:r w:rsidRPr="0093455B">
        <w:rPr>
          <w:rFonts w:ascii="Calibri" w:hAnsi="Calibri"/>
          <w:sz w:val="22"/>
        </w:rPr>
        <w:t>. CADTH, Ottawa.</w:t>
      </w:r>
      <w:bookmarkEnd w:id="345"/>
    </w:p>
    <w:p w:rsidR="0093455B" w:rsidRPr="0093455B" w:rsidRDefault="0093455B" w:rsidP="0093455B">
      <w:pPr>
        <w:spacing w:after="0" w:line="240" w:lineRule="auto"/>
        <w:rPr>
          <w:rFonts w:ascii="Calibri" w:hAnsi="Calibri"/>
          <w:sz w:val="22"/>
        </w:rPr>
      </w:pPr>
      <w:bookmarkStart w:id="346" w:name="_ENREF_42"/>
      <w:r w:rsidRPr="0093455B">
        <w:rPr>
          <w:rFonts w:ascii="Calibri" w:hAnsi="Calibri"/>
          <w:sz w:val="22"/>
        </w:rPr>
        <w:lastRenderedPageBreak/>
        <w:t xml:space="preserve">42.  National Institute for Health and Clinical Excellence (2009), </w:t>
      </w:r>
      <w:r w:rsidRPr="0093455B">
        <w:rPr>
          <w:rFonts w:ascii="Calibri" w:hAnsi="Calibri"/>
          <w:i/>
          <w:sz w:val="22"/>
        </w:rPr>
        <w:t>Type 2 diabetes: newer agents for blood glucose control in type 2 diabetes</w:t>
      </w:r>
      <w:r w:rsidRPr="0093455B">
        <w:rPr>
          <w:rFonts w:ascii="Calibri" w:hAnsi="Calibri"/>
          <w:sz w:val="22"/>
        </w:rPr>
        <w:t xml:space="preserve"> in </w:t>
      </w:r>
      <w:r w:rsidRPr="0093455B">
        <w:rPr>
          <w:rFonts w:ascii="Calibri" w:hAnsi="Calibri"/>
          <w:i/>
          <w:sz w:val="22"/>
        </w:rPr>
        <w:t>NICE short clinical guideline 87</w:t>
      </w:r>
      <w:r w:rsidRPr="0093455B">
        <w:rPr>
          <w:rFonts w:ascii="Calibri" w:hAnsi="Calibri"/>
          <w:sz w:val="22"/>
        </w:rPr>
        <w:t>. NICE, London.</w:t>
      </w:r>
      <w:bookmarkEnd w:id="346"/>
    </w:p>
    <w:p w:rsidR="0093455B" w:rsidRPr="0093455B" w:rsidRDefault="0093455B" w:rsidP="0093455B">
      <w:pPr>
        <w:spacing w:after="0" w:line="240" w:lineRule="auto"/>
        <w:rPr>
          <w:rFonts w:ascii="Calibri" w:hAnsi="Calibri"/>
          <w:sz w:val="22"/>
        </w:rPr>
      </w:pPr>
      <w:bookmarkStart w:id="347" w:name="_ENREF_43"/>
      <w:r w:rsidRPr="0093455B">
        <w:rPr>
          <w:rFonts w:ascii="Calibri" w:hAnsi="Calibri"/>
          <w:sz w:val="22"/>
        </w:rPr>
        <w:t xml:space="preserve">43.  New Zealand Guidelines Group (2012), </w:t>
      </w:r>
      <w:r w:rsidRPr="0093455B">
        <w:rPr>
          <w:rFonts w:ascii="Calibri" w:hAnsi="Calibri"/>
          <w:i/>
          <w:sz w:val="22"/>
        </w:rPr>
        <w:t>Management of type 2 diabetes</w:t>
      </w:r>
      <w:r w:rsidRPr="0093455B">
        <w:rPr>
          <w:rFonts w:ascii="Calibri" w:hAnsi="Calibri"/>
          <w:sz w:val="22"/>
        </w:rPr>
        <w:t xml:space="preserve"> in </w:t>
      </w:r>
      <w:r w:rsidRPr="0093455B">
        <w:rPr>
          <w:rFonts w:ascii="Calibri" w:hAnsi="Calibri"/>
          <w:i/>
          <w:sz w:val="22"/>
        </w:rPr>
        <w:t>New Zealand Primary Care Handbook 2012. 3rd ed</w:t>
      </w:r>
      <w:r w:rsidRPr="0093455B">
        <w:rPr>
          <w:rFonts w:ascii="Calibri" w:hAnsi="Calibri"/>
          <w:sz w:val="22"/>
        </w:rPr>
        <w:t>. Ministry of Health, Wellington.</w:t>
      </w:r>
      <w:bookmarkEnd w:id="347"/>
    </w:p>
    <w:p w:rsidR="0093455B" w:rsidRPr="0093455B" w:rsidRDefault="0093455B" w:rsidP="0093455B">
      <w:pPr>
        <w:spacing w:after="0" w:line="240" w:lineRule="auto"/>
        <w:rPr>
          <w:rFonts w:ascii="Calibri" w:hAnsi="Calibri"/>
          <w:sz w:val="22"/>
        </w:rPr>
      </w:pPr>
      <w:bookmarkStart w:id="348" w:name="_ENREF_44"/>
      <w:r w:rsidRPr="0093455B">
        <w:rPr>
          <w:rFonts w:ascii="Calibri" w:hAnsi="Calibri"/>
          <w:sz w:val="22"/>
        </w:rPr>
        <w:t>44.  Qaseem, A.</w:t>
      </w:r>
      <w:r w:rsidRPr="0093455B">
        <w:rPr>
          <w:rFonts w:ascii="Calibri" w:hAnsi="Calibri"/>
          <w:i/>
          <w:sz w:val="22"/>
        </w:rPr>
        <w:t xml:space="preserve"> et al.</w:t>
      </w:r>
      <w:r w:rsidRPr="0093455B">
        <w:rPr>
          <w:rFonts w:ascii="Calibri" w:hAnsi="Calibri"/>
          <w:sz w:val="22"/>
        </w:rPr>
        <w:t xml:space="preserve"> (2012), 'Oral pharmacologic treatment of type 2 diabetes mellitus: a clinical practice guideline from the American College of Physicians'. </w:t>
      </w:r>
      <w:r w:rsidRPr="0093455B">
        <w:rPr>
          <w:rFonts w:ascii="Calibri" w:hAnsi="Calibri"/>
          <w:i/>
          <w:sz w:val="22"/>
        </w:rPr>
        <w:t>Ann Intern Med</w:t>
      </w:r>
      <w:r w:rsidRPr="0093455B">
        <w:rPr>
          <w:rFonts w:ascii="Calibri" w:hAnsi="Calibri"/>
          <w:sz w:val="22"/>
        </w:rPr>
        <w:t>, 156(3): 218-31.</w:t>
      </w:r>
      <w:bookmarkEnd w:id="348"/>
    </w:p>
    <w:p w:rsidR="0093455B" w:rsidRPr="0093455B" w:rsidRDefault="0093455B" w:rsidP="0093455B">
      <w:pPr>
        <w:spacing w:after="0" w:line="240" w:lineRule="auto"/>
        <w:rPr>
          <w:rFonts w:ascii="Calibri" w:hAnsi="Calibri"/>
          <w:sz w:val="22"/>
        </w:rPr>
      </w:pPr>
      <w:bookmarkStart w:id="349" w:name="_ENREF_45"/>
      <w:r w:rsidRPr="0093455B">
        <w:rPr>
          <w:rFonts w:ascii="Calibri" w:hAnsi="Calibri"/>
          <w:sz w:val="22"/>
        </w:rPr>
        <w:t xml:space="preserve">45.  American Diabetes Association (2014), 'Standards of medical care in diabetes-2014'. </w:t>
      </w:r>
      <w:r w:rsidRPr="0093455B">
        <w:rPr>
          <w:rFonts w:ascii="Calibri" w:hAnsi="Calibri"/>
          <w:i/>
          <w:sz w:val="22"/>
        </w:rPr>
        <w:t>Diabetes Care</w:t>
      </w:r>
      <w:r w:rsidRPr="0093455B">
        <w:rPr>
          <w:rFonts w:ascii="Calibri" w:hAnsi="Calibri"/>
          <w:sz w:val="22"/>
        </w:rPr>
        <w:t>, 37(Suppl 1): S14-80.</w:t>
      </w:r>
      <w:bookmarkEnd w:id="349"/>
    </w:p>
    <w:p w:rsidR="0093455B" w:rsidRPr="0093455B" w:rsidRDefault="0093455B" w:rsidP="0093455B">
      <w:pPr>
        <w:spacing w:after="0" w:line="240" w:lineRule="auto"/>
        <w:rPr>
          <w:rFonts w:ascii="Calibri" w:hAnsi="Calibri"/>
          <w:sz w:val="22"/>
        </w:rPr>
      </w:pPr>
      <w:bookmarkStart w:id="350" w:name="_ENREF_46"/>
      <w:r w:rsidRPr="0093455B">
        <w:rPr>
          <w:rFonts w:ascii="Calibri" w:hAnsi="Calibri"/>
          <w:sz w:val="22"/>
        </w:rPr>
        <w:t xml:space="preserve">46.  NPS MedicineWise (2013), </w:t>
      </w:r>
      <w:r w:rsidRPr="0093455B">
        <w:rPr>
          <w:rFonts w:ascii="Calibri" w:hAnsi="Calibri"/>
          <w:i/>
          <w:sz w:val="22"/>
        </w:rPr>
        <w:t>NPS Annual Evaluation Report 2011-12</w:t>
      </w:r>
      <w:r w:rsidRPr="0093455B">
        <w:rPr>
          <w:rFonts w:ascii="Calibri" w:hAnsi="Calibri"/>
          <w:sz w:val="22"/>
        </w:rPr>
        <w:t>. NPS MedicineWise, Surry Hills.</w:t>
      </w:r>
      <w:bookmarkEnd w:id="350"/>
    </w:p>
    <w:p w:rsidR="0093455B" w:rsidRPr="0093455B" w:rsidRDefault="0093455B" w:rsidP="0093455B">
      <w:pPr>
        <w:spacing w:after="0" w:line="240" w:lineRule="auto"/>
        <w:rPr>
          <w:rFonts w:ascii="Calibri" w:hAnsi="Calibri"/>
          <w:sz w:val="22"/>
        </w:rPr>
      </w:pPr>
      <w:bookmarkStart w:id="351" w:name="_ENREF_47"/>
      <w:r w:rsidRPr="0093455B">
        <w:rPr>
          <w:rFonts w:ascii="Calibri" w:hAnsi="Calibri"/>
          <w:sz w:val="22"/>
        </w:rPr>
        <w:t xml:space="preserve">47.  NPS MedicineWise (2014), </w:t>
      </w:r>
      <w:r w:rsidRPr="0093455B">
        <w:rPr>
          <w:rFonts w:ascii="Calibri" w:hAnsi="Calibri"/>
          <w:i/>
          <w:sz w:val="22"/>
        </w:rPr>
        <w:t>Type 2 diabetes - enhancing patient care. Pharmacy Practice Review for pharmacists</w:t>
      </w:r>
      <w:r w:rsidRPr="0093455B">
        <w:rPr>
          <w:rFonts w:ascii="Calibri" w:hAnsi="Calibri"/>
          <w:sz w:val="22"/>
        </w:rPr>
        <w:t xml:space="preserve">. Accessed on: 11/07/2014, at: </w:t>
      </w:r>
      <w:r w:rsidRPr="0028026D">
        <w:rPr>
          <w:rFonts w:ascii="Calibri" w:hAnsi="Calibri"/>
          <w:sz w:val="22"/>
        </w:rPr>
        <w:t>http://www.nps.org.au/health-professionals/cpd/activities/pharmacy-practice-reviews/type-2-diabetes-enhancing-patient-care</w:t>
      </w:r>
      <w:bookmarkEnd w:id="351"/>
    </w:p>
    <w:p w:rsidR="0093455B" w:rsidRPr="0093455B" w:rsidRDefault="0093455B" w:rsidP="0093455B">
      <w:pPr>
        <w:spacing w:after="0" w:line="240" w:lineRule="auto"/>
        <w:rPr>
          <w:rFonts w:ascii="Calibri" w:hAnsi="Calibri"/>
          <w:sz w:val="22"/>
        </w:rPr>
      </w:pPr>
      <w:bookmarkStart w:id="352" w:name="_ENREF_48"/>
      <w:r w:rsidRPr="0093455B">
        <w:rPr>
          <w:rFonts w:ascii="Calibri" w:hAnsi="Calibri"/>
          <w:sz w:val="22"/>
        </w:rPr>
        <w:t xml:space="preserve">48.  NPS MedcineWise (2014), </w:t>
      </w:r>
      <w:r w:rsidRPr="0093455B">
        <w:rPr>
          <w:rFonts w:ascii="Calibri" w:hAnsi="Calibri"/>
          <w:i/>
          <w:sz w:val="22"/>
        </w:rPr>
        <w:t>Long term management of type 2 diabetes - part 2</w:t>
      </w:r>
      <w:r w:rsidRPr="0093455B">
        <w:rPr>
          <w:rFonts w:ascii="Calibri" w:hAnsi="Calibri"/>
          <w:sz w:val="22"/>
        </w:rPr>
        <w:t xml:space="preserve">. Accessed on: 11/07/2014, at: </w:t>
      </w:r>
      <w:r w:rsidRPr="0028026D">
        <w:rPr>
          <w:rFonts w:ascii="Calibri" w:hAnsi="Calibri"/>
          <w:sz w:val="22"/>
        </w:rPr>
        <w:t>http://www.nps.org.au/health-professionals/cpd/activities/national-prescribing-curriculum-modules/long-term-management-of-type-2-diabetes-b</w:t>
      </w:r>
      <w:bookmarkEnd w:id="352"/>
    </w:p>
    <w:p w:rsidR="0093455B" w:rsidRPr="0093455B" w:rsidRDefault="0093455B" w:rsidP="0093455B">
      <w:pPr>
        <w:spacing w:after="0" w:line="240" w:lineRule="auto"/>
        <w:rPr>
          <w:rFonts w:ascii="Calibri" w:hAnsi="Calibri"/>
          <w:sz w:val="22"/>
        </w:rPr>
      </w:pPr>
      <w:bookmarkStart w:id="353" w:name="_ENREF_49"/>
      <w:r w:rsidRPr="0093455B">
        <w:rPr>
          <w:rFonts w:ascii="Calibri" w:hAnsi="Calibri"/>
          <w:sz w:val="22"/>
        </w:rPr>
        <w:t xml:space="preserve">49.  NPS MedcineWise (2014), </w:t>
      </w:r>
      <w:r w:rsidRPr="0093455B">
        <w:rPr>
          <w:rFonts w:ascii="Calibri" w:hAnsi="Calibri"/>
          <w:i/>
          <w:sz w:val="22"/>
        </w:rPr>
        <w:t>Long term management of type 2 diabetes - part 1</w:t>
      </w:r>
      <w:r w:rsidRPr="0093455B">
        <w:rPr>
          <w:rFonts w:ascii="Calibri" w:hAnsi="Calibri"/>
          <w:sz w:val="22"/>
        </w:rPr>
        <w:t xml:space="preserve">. Accessed on: 11/07/2014, at: </w:t>
      </w:r>
      <w:r w:rsidRPr="0028026D">
        <w:rPr>
          <w:rFonts w:ascii="Calibri" w:hAnsi="Calibri"/>
          <w:sz w:val="22"/>
        </w:rPr>
        <w:t>http://www.nps.org.au/health-professionals/cpd/activities/national-prescribing-curriculum-modules/long-term-management-of-type-2-diabetes-a</w:t>
      </w:r>
      <w:bookmarkEnd w:id="353"/>
    </w:p>
    <w:p w:rsidR="0093455B" w:rsidRPr="0093455B" w:rsidRDefault="0093455B" w:rsidP="0093455B">
      <w:pPr>
        <w:spacing w:after="0" w:line="240" w:lineRule="auto"/>
        <w:rPr>
          <w:rFonts w:ascii="Calibri" w:hAnsi="Calibri"/>
          <w:sz w:val="22"/>
        </w:rPr>
      </w:pPr>
      <w:bookmarkStart w:id="354" w:name="_ENREF_50"/>
      <w:r w:rsidRPr="0093455B">
        <w:rPr>
          <w:rFonts w:ascii="Calibri" w:hAnsi="Calibri"/>
          <w:sz w:val="22"/>
        </w:rPr>
        <w:t xml:space="preserve">50.  NPS MedicineWise (2014), </w:t>
      </w:r>
      <w:r w:rsidRPr="0093455B">
        <w:rPr>
          <w:rFonts w:ascii="Calibri" w:hAnsi="Calibri"/>
          <w:i/>
          <w:sz w:val="22"/>
        </w:rPr>
        <w:t>Type 2 diabetes - tailoring ongoing treatment: Case study for GPs, pharmacists,nurses and students</w:t>
      </w:r>
      <w:r w:rsidRPr="0093455B">
        <w:rPr>
          <w:rFonts w:ascii="Calibri" w:hAnsi="Calibri"/>
          <w:sz w:val="22"/>
        </w:rPr>
        <w:t xml:space="preserve">. Accessed on: 11/07/2014, at: </w:t>
      </w:r>
      <w:r w:rsidRPr="0028026D">
        <w:rPr>
          <w:rFonts w:ascii="Calibri" w:hAnsi="Calibri"/>
          <w:sz w:val="22"/>
        </w:rPr>
        <w:t>http://www.nps.org.au/health-professionals/cpd/activities/case-studies/type-2-diabetes-tailoring-ongoing-treatment</w:t>
      </w:r>
      <w:bookmarkEnd w:id="354"/>
    </w:p>
    <w:p w:rsidR="0093455B" w:rsidRPr="0093455B" w:rsidRDefault="0093455B" w:rsidP="0093455B">
      <w:pPr>
        <w:spacing w:after="0" w:line="240" w:lineRule="auto"/>
        <w:rPr>
          <w:rFonts w:ascii="Calibri" w:hAnsi="Calibri"/>
          <w:sz w:val="22"/>
        </w:rPr>
      </w:pPr>
      <w:bookmarkStart w:id="355" w:name="_ENREF_51"/>
      <w:r w:rsidRPr="0093455B">
        <w:rPr>
          <w:rFonts w:ascii="Calibri" w:hAnsi="Calibri"/>
          <w:sz w:val="22"/>
        </w:rPr>
        <w:t xml:space="preserve">51.  NPS MedicineWise (2014), </w:t>
      </w:r>
      <w:r w:rsidRPr="0093455B">
        <w:rPr>
          <w:rFonts w:ascii="Calibri" w:hAnsi="Calibri"/>
          <w:i/>
          <w:sz w:val="22"/>
        </w:rPr>
        <w:t>Type 2 diabetes - priorities and targets: Clinical e-Audit for GPs</w:t>
      </w:r>
      <w:r w:rsidRPr="0093455B">
        <w:rPr>
          <w:rFonts w:ascii="Calibri" w:hAnsi="Calibri"/>
          <w:sz w:val="22"/>
        </w:rPr>
        <w:t xml:space="preserve">. Accessed on: 11/07/2014, at: </w:t>
      </w:r>
      <w:r w:rsidRPr="0028026D">
        <w:rPr>
          <w:rFonts w:ascii="Calibri" w:hAnsi="Calibri"/>
          <w:sz w:val="22"/>
        </w:rPr>
        <w:t>http://www.nps.org.au/health-professionals/cpd/activities/clinical-e-audits/type-2-diabetes</w:t>
      </w:r>
      <w:bookmarkEnd w:id="355"/>
    </w:p>
    <w:p w:rsidR="0093455B" w:rsidRPr="0093455B" w:rsidRDefault="0093455B" w:rsidP="0093455B">
      <w:pPr>
        <w:spacing w:after="0" w:line="240" w:lineRule="auto"/>
        <w:rPr>
          <w:rFonts w:ascii="Calibri" w:hAnsi="Calibri"/>
          <w:sz w:val="22"/>
        </w:rPr>
      </w:pPr>
      <w:bookmarkStart w:id="356" w:name="_ENREF_52"/>
      <w:r w:rsidRPr="0093455B">
        <w:rPr>
          <w:rFonts w:ascii="Calibri" w:hAnsi="Calibri"/>
          <w:sz w:val="22"/>
        </w:rPr>
        <w:t xml:space="preserve">52.  NPS MedicineWise (2014), </w:t>
      </w:r>
      <w:r w:rsidRPr="0093455B">
        <w:rPr>
          <w:rFonts w:ascii="Calibri" w:hAnsi="Calibri"/>
          <w:i/>
          <w:sz w:val="22"/>
        </w:rPr>
        <w:t>Pharmacological management of type 2 diabetes</w:t>
      </w:r>
      <w:r w:rsidRPr="0093455B">
        <w:rPr>
          <w:rFonts w:ascii="Calibri" w:hAnsi="Calibri"/>
          <w:sz w:val="22"/>
        </w:rPr>
        <w:t xml:space="preserve">. Accessed on: 11/07/2014, at: </w:t>
      </w:r>
      <w:r w:rsidRPr="0028026D">
        <w:rPr>
          <w:rFonts w:ascii="Calibri" w:hAnsi="Calibri"/>
          <w:sz w:val="22"/>
        </w:rPr>
        <w:t>http://www.nps.org.au/conditions/hormones-metabolism-and-nutritional-problems/diabetes-type-2/for-health-professionals/pharmacological-management</w:t>
      </w:r>
      <w:bookmarkEnd w:id="356"/>
    </w:p>
    <w:p w:rsidR="0093455B" w:rsidRPr="0093455B" w:rsidRDefault="0093455B" w:rsidP="0093455B">
      <w:pPr>
        <w:spacing w:after="0" w:line="240" w:lineRule="auto"/>
        <w:rPr>
          <w:rFonts w:ascii="Calibri" w:hAnsi="Calibri"/>
          <w:sz w:val="22"/>
        </w:rPr>
      </w:pPr>
      <w:bookmarkStart w:id="357" w:name="_ENREF_53"/>
      <w:r w:rsidRPr="0093455B">
        <w:rPr>
          <w:rFonts w:ascii="Calibri" w:hAnsi="Calibri"/>
          <w:sz w:val="22"/>
        </w:rPr>
        <w:t xml:space="preserve">53.  NPS MedicineWise (2012), </w:t>
      </w:r>
      <w:r w:rsidRPr="0093455B">
        <w:rPr>
          <w:rFonts w:ascii="Calibri" w:hAnsi="Calibri"/>
          <w:i/>
          <w:sz w:val="22"/>
        </w:rPr>
        <w:t>Type 2 diabetes</w:t>
      </w:r>
      <w:r w:rsidRPr="0093455B">
        <w:rPr>
          <w:rFonts w:ascii="Calibri" w:hAnsi="Calibri"/>
          <w:sz w:val="22"/>
        </w:rPr>
        <w:t xml:space="preserve">. Accessed on: 11/07/2014, at: </w:t>
      </w:r>
      <w:r w:rsidRPr="0028026D">
        <w:rPr>
          <w:rFonts w:ascii="Calibri" w:hAnsi="Calibri"/>
          <w:sz w:val="22"/>
        </w:rPr>
        <w:t>http://www.nps.org.au/publications/health-professional/nps-news/2012/type-2-diabetes#What</w:t>
      </w:r>
      <w:bookmarkEnd w:id="357"/>
    </w:p>
    <w:p w:rsidR="0093455B" w:rsidRPr="0093455B" w:rsidRDefault="0093455B" w:rsidP="0093455B">
      <w:pPr>
        <w:spacing w:after="0" w:line="240" w:lineRule="auto"/>
        <w:rPr>
          <w:rFonts w:ascii="Calibri" w:hAnsi="Calibri"/>
          <w:sz w:val="22"/>
        </w:rPr>
      </w:pPr>
      <w:bookmarkStart w:id="358" w:name="_ENREF_54"/>
      <w:r w:rsidRPr="0093455B">
        <w:rPr>
          <w:rFonts w:ascii="Calibri" w:hAnsi="Calibri"/>
          <w:sz w:val="22"/>
        </w:rPr>
        <w:t>54.  Emslie-Smith, A.M.</w:t>
      </w:r>
      <w:r w:rsidRPr="0093455B">
        <w:rPr>
          <w:rFonts w:ascii="Calibri" w:hAnsi="Calibri"/>
          <w:i/>
          <w:sz w:val="22"/>
        </w:rPr>
        <w:t xml:space="preserve"> et al.</w:t>
      </w:r>
      <w:r w:rsidRPr="0093455B">
        <w:rPr>
          <w:rFonts w:ascii="Calibri" w:hAnsi="Calibri"/>
          <w:sz w:val="22"/>
        </w:rPr>
        <w:t xml:space="preserve"> (2001), 'Contraindications to metformin therapy in patients with Type 2 diabetes--a population-based study of adherence to prescribing guidelines'. </w:t>
      </w:r>
      <w:r w:rsidRPr="0093455B">
        <w:rPr>
          <w:rFonts w:ascii="Calibri" w:hAnsi="Calibri"/>
          <w:i/>
          <w:sz w:val="22"/>
        </w:rPr>
        <w:t>Diabet Med</w:t>
      </w:r>
      <w:r w:rsidRPr="0093455B">
        <w:rPr>
          <w:rFonts w:ascii="Calibri" w:hAnsi="Calibri"/>
          <w:sz w:val="22"/>
        </w:rPr>
        <w:t>, 18(6): 483-8.</w:t>
      </w:r>
      <w:bookmarkEnd w:id="358"/>
    </w:p>
    <w:p w:rsidR="0093455B" w:rsidRPr="0093455B" w:rsidRDefault="0093455B" w:rsidP="0093455B">
      <w:pPr>
        <w:spacing w:after="0" w:line="240" w:lineRule="auto"/>
        <w:rPr>
          <w:rFonts w:ascii="Calibri" w:hAnsi="Calibri"/>
          <w:sz w:val="22"/>
        </w:rPr>
      </w:pPr>
      <w:bookmarkStart w:id="359" w:name="_ENREF_55"/>
      <w:r w:rsidRPr="0093455B">
        <w:rPr>
          <w:rFonts w:ascii="Calibri" w:hAnsi="Calibri"/>
          <w:sz w:val="22"/>
        </w:rPr>
        <w:t>55.  Rosenstock, J.</w:t>
      </w:r>
      <w:r w:rsidRPr="0093455B">
        <w:rPr>
          <w:rFonts w:ascii="Calibri" w:hAnsi="Calibri"/>
          <w:i/>
          <w:sz w:val="22"/>
        </w:rPr>
        <w:t xml:space="preserve"> et al.</w:t>
      </w:r>
      <w:r w:rsidRPr="0093455B">
        <w:rPr>
          <w:rFonts w:ascii="Calibri" w:hAnsi="Calibri"/>
          <w:sz w:val="22"/>
        </w:rPr>
        <w:t xml:space="preserve"> (2002), 'Efficacy and safety of pioglitazone in type 2 diabetes: a randomised, placebo-controlled study in patients receiving stable insulin therapy'. </w:t>
      </w:r>
      <w:r w:rsidRPr="0093455B">
        <w:rPr>
          <w:rFonts w:ascii="Calibri" w:hAnsi="Calibri"/>
          <w:i/>
          <w:sz w:val="22"/>
        </w:rPr>
        <w:t>Int J Clin Pract</w:t>
      </w:r>
      <w:r w:rsidRPr="0093455B">
        <w:rPr>
          <w:rFonts w:ascii="Calibri" w:hAnsi="Calibri"/>
          <w:sz w:val="22"/>
        </w:rPr>
        <w:t>, 56(4): 251-7.</w:t>
      </w:r>
      <w:bookmarkEnd w:id="359"/>
    </w:p>
    <w:p w:rsidR="0093455B" w:rsidRPr="0093455B" w:rsidRDefault="0093455B" w:rsidP="0093455B">
      <w:pPr>
        <w:spacing w:after="0" w:line="240" w:lineRule="auto"/>
        <w:rPr>
          <w:rFonts w:ascii="Calibri" w:hAnsi="Calibri"/>
          <w:sz w:val="22"/>
        </w:rPr>
      </w:pPr>
      <w:bookmarkStart w:id="360" w:name="_ENREF_56"/>
      <w:r w:rsidRPr="0093455B">
        <w:rPr>
          <w:rFonts w:ascii="Calibri" w:hAnsi="Calibri"/>
          <w:sz w:val="22"/>
        </w:rPr>
        <w:t xml:space="preserve">56.  European Medicines Agency (2012), </w:t>
      </w:r>
      <w:r w:rsidRPr="0093455B">
        <w:rPr>
          <w:rFonts w:ascii="Calibri" w:hAnsi="Calibri"/>
          <w:i/>
          <w:sz w:val="22"/>
        </w:rPr>
        <w:t>Guideline on clincial investigation of medicinal products in the treatment or prevention of diabetes mellitus</w:t>
      </w:r>
      <w:r w:rsidRPr="0093455B">
        <w:rPr>
          <w:rFonts w:ascii="Calibri" w:hAnsi="Calibri"/>
          <w:sz w:val="22"/>
        </w:rPr>
        <w:t xml:space="preserve">. Accessed on: 21 July 2014, at: </w:t>
      </w:r>
      <w:r w:rsidRPr="0028026D">
        <w:rPr>
          <w:rFonts w:ascii="Calibri" w:hAnsi="Calibri"/>
          <w:sz w:val="22"/>
        </w:rPr>
        <w:t>http://www.ema.europa.eu/docs/en_GB/document_library/Scientific_guideline/2012/06/WC500129256.pdf</w:t>
      </w:r>
      <w:bookmarkEnd w:id="360"/>
    </w:p>
    <w:p w:rsidR="0093455B" w:rsidRPr="0093455B" w:rsidRDefault="0093455B" w:rsidP="0093455B">
      <w:pPr>
        <w:spacing w:after="0" w:line="240" w:lineRule="auto"/>
        <w:rPr>
          <w:rFonts w:ascii="Calibri" w:hAnsi="Calibri"/>
          <w:sz w:val="22"/>
        </w:rPr>
      </w:pPr>
      <w:bookmarkStart w:id="361" w:name="_ENREF_57"/>
      <w:r w:rsidRPr="0093455B">
        <w:rPr>
          <w:rFonts w:ascii="Calibri" w:hAnsi="Calibri"/>
          <w:sz w:val="22"/>
        </w:rPr>
        <w:t xml:space="preserve">57.  US Food and Drug Administration (2008), </w:t>
      </w:r>
      <w:r w:rsidRPr="0093455B">
        <w:rPr>
          <w:rFonts w:ascii="Calibri" w:hAnsi="Calibri"/>
          <w:i/>
          <w:sz w:val="22"/>
        </w:rPr>
        <w:t>Guidance for Industry. Diabetes Mellitus: Developing Drugs and Therapeutic Biologics for treatment and Prevention</w:t>
      </w:r>
      <w:r w:rsidRPr="0093455B">
        <w:rPr>
          <w:rFonts w:ascii="Calibri" w:hAnsi="Calibri"/>
          <w:sz w:val="22"/>
        </w:rPr>
        <w:t xml:space="preserve">. Accessed on: 21 July 2014, at: </w:t>
      </w:r>
      <w:r w:rsidRPr="0028026D">
        <w:rPr>
          <w:rFonts w:ascii="Calibri" w:hAnsi="Calibri"/>
          <w:sz w:val="22"/>
        </w:rPr>
        <w:t>http://www.fda.gov/downloads/Drugs/.../Guidances/ucm071624.pdf</w:t>
      </w:r>
      <w:bookmarkEnd w:id="361"/>
    </w:p>
    <w:p w:rsidR="0093455B" w:rsidRPr="0093455B" w:rsidRDefault="0093455B" w:rsidP="0093455B">
      <w:pPr>
        <w:spacing w:after="0" w:line="240" w:lineRule="auto"/>
        <w:rPr>
          <w:rFonts w:ascii="Calibri" w:hAnsi="Calibri"/>
          <w:sz w:val="22"/>
        </w:rPr>
      </w:pPr>
      <w:bookmarkStart w:id="362" w:name="_ENREF_58"/>
      <w:r w:rsidRPr="0093455B">
        <w:rPr>
          <w:rFonts w:ascii="Calibri" w:hAnsi="Calibri"/>
          <w:sz w:val="22"/>
        </w:rPr>
        <w:t>58.  Clar, C.</w:t>
      </w:r>
      <w:r w:rsidRPr="0093455B">
        <w:rPr>
          <w:rFonts w:ascii="Calibri" w:hAnsi="Calibri"/>
          <w:i/>
          <w:sz w:val="22"/>
        </w:rPr>
        <w:t xml:space="preserve"> et al.</w:t>
      </w:r>
      <w:r w:rsidRPr="0093455B">
        <w:rPr>
          <w:rFonts w:ascii="Calibri" w:hAnsi="Calibri"/>
          <w:sz w:val="22"/>
        </w:rPr>
        <w:t xml:space="preserve"> (2010), 'Self-monitoring of blood glucose in type 2 diabetes: systematic review'. </w:t>
      </w:r>
      <w:r w:rsidRPr="0093455B">
        <w:rPr>
          <w:rFonts w:ascii="Calibri" w:hAnsi="Calibri"/>
          <w:i/>
          <w:sz w:val="22"/>
        </w:rPr>
        <w:t>Health Technol Assess</w:t>
      </w:r>
      <w:r w:rsidRPr="0093455B">
        <w:rPr>
          <w:rFonts w:ascii="Calibri" w:hAnsi="Calibri"/>
          <w:sz w:val="22"/>
        </w:rPr>
        <w:t>, 14(12): 1-140.</w:t>
      </w:r>
      <w:bookmarkEnd w:id="362"/>
    </w:p>
    <w:p w:rsidR="0093455B" w:rsidRPr="0093455B" w:rsidRDefault="0093455B" w:rsidP="0093455B">
      <w:pPr>
        <w:spacing w:after="0" w:line="240" w:lineRule="auto"/>
        <w:rPr>
          <w:rFonts w:ascii="Calibri" w:hAnsi="Calibri"/>
          <w:sz w:val="22"/>
        </w:rPr>
      </w:pPr>
      <w:bookmarkStart w:id="363" w:name="_ENREF_59"/>
      <w:r w:rsidRPr="0093455B">
        <w:rPr>
          <w:rFonts w:ascii="Calibri" w:hAnsi="Calibri"/>
          <w:sz w:val="22"/>
        </w:rPr>
        <w:t>59.  Cummins, E.</w:t>
      </w:r>
      <w:r w:rsidRPr="0093455B">
        <w:rPr>
          <w:rFonts w:ascii="Calibri" w:hAnsi="Calibri"/>
          <w:i/>
          <w:sz w:val="22"/>
        </w:rPr>
        <w:t xml:space="preserve"> et al.</w:t>
      </w:r>
      <w:r w:rsidRPr="0093455B">
        <w:rPr>
          <w:rFonts w:ascii="Calibri" w:hAnsi="Calibri"/>
          <w:sz w:val="22"/>
        </w:rPr>
        <w:t xml:space="preserve"> (2010), 'Clinical effectiveness and cost-effectiveness of continuous subcutaneous insulin infusion for diabetes: systematic review and economic evaluation'. </w:t>
      </w:r>
      <w:r w:rsidRPr="0093455B">
        <w:rPr>
          <w:rFonts w:ascii="Calibri" w:hAnsi="Calibri"/>
          <w:i/>
          <w:sz w:val="22"/>
        </w:rPr>
        <w:t>Health Technol Assess</w:t>
      </w:r>
      <w:r w:rsidRPr="0093455B">
        <w:rPr>
          <w:rFonts w:ascii="Calibri" w:hAnsi="Calibri"/>
          <w:sz w:val="22"/>
        </w:rPr>
        <w:t>, 14(11): iii-iv, xi-xvi, 1-181.</w:t>
      </w:r>
      <w:bookmarkEnd w:id="363"/>
    </w:p>
    <w:p w:rsidR="0093455B" w:rsidRPr="0093455B" w:rsidRDefault="0093455B" w:rsidP="0093455B">
      <w:pPr>
        <w:spacing w:after="0" w:line="240" w:lineRule="auto"/>
        <w:rPr>
          <w:rFonts w:ascii="Calibri" w:hAnsi="Calibri"/>
          <w:sz w:val="22"/>
        </w:rPr>
      </w:pPr>
      <w:bookmarkStart w:id="364" w:name="_ENREF_60"/>
      <w:r w:rsidRPr="0093455B">
        <w:rPr>
          <w:rFonts w:ascii="Calibri" w:hAnsi="Calibri"/>
          <w:sz w:val="22"/>
        </w:rPr>
        <w:t>60.  Farmer, A.J.</w:t>
      </w:r>
      <w:r w:rsidRPr="0093455B">
        <w:rPr>
          <w:rFonts w:ascii="Calibri" w:hAnsi="Calibri"/>
          <w:i/>
          <w:sz w:val="22"/>
        </w:rPr>
        <w:t xml:space="preserve"> et al.</w:t>
      </w:r>
      <w:r w:rsidRPr="0093455B">
        <w:rPr>
          <w:rFonts w:ascii="Calibri" w:hAnsi="Calibri"/>
          <w:sz w:val="22"/>
        </w:rPr>
        <w:t xml:space="preserve"> (2012), 'Meta-analysis of individual patient data in randomised trials of self monitoring of blood glucose in people with non-insulin treated type 2 diabetes'. </w:t>
      </w:r>
      <w:r w:rsidRPr="0093455B">
        <w:rPr>
          <w:rFonts w:ascii="Calibri" w:hAnsi="Calibri"/>
          <w:i/>
          <w:sz w:val="22"/>
        </w:rPr>
        <w:t>BMJ</w:t>
      </w:r>
      <w:r w:rsidRPr="0093455B">
        <w:rPr>
          <w:rFonts w:ascii="Calibri" w:hAnsi="Calibri"/>
          <w:sz w:val="22"/>
        </w:rPr>
        <w:t>, 344(e486.</w:t>
      </w:r>
      <w:bookmarkEnd w:id="364"/>
    </w:p>
    <w:p w:rsidR="0093455B" w:rsidRPr="0093455B" w:rsidRDefault="0093455B" w:rsidP="0093455B">
      <w:pPr>
        <w:spacing w:after="0" w:line="240" w:lineRule="auto"/>
        <w:rPr>
          <w:rFonts w:ascii="Calibri" w:hAnsi="Calibri"/>
          <w:sz w:val="22"/>
        </w:rPr>
      </w:pPr>
      <w:bookmarkStart w:id="365" w:name="_ENREF_61"/>
      <w:r w:rsidRPr="0093455B">
        <w:rPr>
          <w:rFonts w:ascii="Calibri" w:hAnsi="Calibri"/>
          <w:sz w:val="22"/>
        </w:rPr>
        <w:lastRenderedPageBreak/>
        <w:t>61.  Hemmingsen, B.</w:t>
      </w:r>
      <w:r w:rsidRPr="0093455B">
        <w:rPr>
          <w:rFonts w:ascii="Calibri" w:hAnsi="Calibri"/>
          <w:i/>
          <w:sz w:val="22"/>
        </w:rPr>
        <w:t xml:space="preserve"> et al.</w:t>
      </w:r>
      <w:r w:rsidRPr="0093455B">
        <w:rPr>
          <w:rFonts w:ascii="Calibri" w:hAnsi="Calibri"/>
          <w:sz w:val="22"/>
        </w:rPr>
        <w:t xml:space="preserve"> (2013), </w:t>
      </w:r>
      <w:r w:rsidRPr="0093455B">
        <w:rPr>
          <w:rFonts w:ascii="Calibri" w:hAnsi="Calibri"/>
          <w:i/>
          <w:sz w:val="22"/>
        </w:rPr>
        <w:t>Targeting intensive glycaemic control versus targeting conventional glycaemic control for type 2 diabetes mellitus</w:t>
      </w:r>
      <w:r w:rsidRPr="0093455B">
        <w:rPr>
          <w:rFonts w:ascii="Calibri" w:hAnsi="Calibri"/>
          <w:sz w:val="22"/>
        </w:rPr>
        <w:t>. Issue 11, Art. No. CD008143. 10.1002/14651858.CD008143.pub3.</w:t>
      </w:r>
      <w:bookmarkEnd w:id="365"/>
    </w:p>
    <w:p w:rsidR="0093455B" w:rsidRPr="0093455B" w:rsidRDefault="0093455B" w:rsidP="0093455B">
      <w:pPr>
        <w:spacing w:after="0" w:line="240" w:lineRule="auto"/>
        <w:rPr>
          <w:rFonts w:ascii="Calibri" w:hAnsi="Calibri"/>
          <w:sz w:val="22"/>
        </w:rPr>
      </w:pPr>
      <w:bookmarkStart w:id="366" w:name="_ENREF_62"/>
      <w:r w:rsidRPr="0093455B">
        <w:rPr>
          <w:rFonts w:ascii="Calibri" w:hAnsi="Calibri"/>
          <w:sz w:val="22"/>
        </w:rPr>
        <w:t>62.  Bennett, W.L.</w:t>
      </w:r>
      <w:r w:rsidRPr="0093455B">
        <w:rPr>
          <w:rFonts w:ascii="Calibri" w:hAnsi="Calibri"/>
          <w:i/>
          <w:sz w:val="22"/>
        </w:rPr>
        <w:t xml:space="preserve"> et al.</w:t>
      </w:r>
      <w:r w:rsidRPr="0093455B">
        <w:rPr>
          <w:rFonts w:ascii="Calibri" w:hAnsi="Calibri"/>
          <w:sz w:val="22"/>
        </w:rPr>
        <w:t xml:space="preserve"> (2011), </w:t>
      </w:r>
      <w:r w:rsidRPr="0093455B">
        <w:rPr>
          <w:rFonts w:ascii="Calibri" w:hAnsi="Calibri"/>
          <w:i/>
          <w:sz w:val="22"/>
        </w:rPr>
        <w:t>Oral Diabetes Medications for Adults With Type 2 Diabetes: An Update</w:t>
      </w:r>
      <w:r w:rsidRPr="0093455B">
        <w:rPr>
          <w:rFonts w:ascii="Calibri" w:hAnsi="Calibri"/>
          <w:sz w:val="22"/>
        </w:rPr>
        <w:t>. AHRQ Comparative Effectiveness Reviews, Rockville (MD).</w:t>
      </w:r>
      <w:bookmarkEnd w:id="366"/>
    </w:p>
    <w:p w:rsidR="0093455B" w:rsidRPr="0093455B" w:rsidRDefault="0093455B" w:rsidP="0093455B">
      <w:pPr>
        <w:spacing w:after="0" w:line="240" w:lineRule="auto"/>
        <w:rPr>
          <w:rFonts w:ascii="Calibri" w:hAnsi="Calibri"/>
          <w:sz w:val="22"/>
        </w:rPr>
      </w:pPr>
      <w:bookmarkStart w:id="367" w:name="_ENREF_63"/>
      <w:r w:rsidRPr="0093455B">
        <w:rPr>
          <w:rFonts w:ascii="Calibri" w:hAnsi="Calibri"/>
          <w:sz w:val="22"/>
        </w:rPr>
        <w:t xml:space="preserve">63.  Berhan, A. and Barker, A. (2013), 'Sodium glucose co-transport 2 inhibitors in the treatment of type 2 diabetes mellitus: a meta-analysis of randomized double-blind controlled trials'. </w:t>
      </w:r>
      <w:r w:rsidRPr="0093455B">
        <w:rPr>
          <w:rFonts w:ascii="Calibri" w:hAnsi="Calibri"/>
          <w:i/>
          <w:sz w:val="22"/>
        </w:rPr>
        <w:t>BMC Endocr Disord</w:t>
      </w:r>
      <w:r w:rsidRPr="0093455B">
        <w:rPr>
          <w:rFonts w:ascii="Calibri" w:hAnsi="Calibri"/>
          <w:sz w:val="22"/>
        </w:rPr>
        <w:t>, 13(1): 58.</w:t>
      </w:r>
      <w:bookmarkEnd w:id="367"/>
    </w:p>
    <w:p w:rsidR="0093455B" w:rsidRPr="0093455B" w:rsidRDefault="0093455B" w:rsidP="0093455B">
      <w:pPr>
        <w:spacing w:after="0" w:line="240" w:lineRule="auto"/>
        <w:rPr>
          <w:rFonts w:ascii="Calibri" w:hAnsi="Calibri"/>
          <w:sz w:val="22"/>
        </w:rPr>
      </w:pPr>
      <w:bookmarkStart w:id="368" w:name="_ENREF_64"/>
      <w:r w:rsidRPr="0093455B">
        <w:rPr>
          <w:rFonts w:ascii="Calibri" w:hAnsi="Calibri"/>
          <w:sz w:val="22"/>
        </w:rPr>
        <w:t>64.  Monami, M.</w:t>
      </w:r>
      <w:r w:rsidRPr="0093455B">
        <w:rPr>
          <w:rFonts w:ascii="Calibri" w:hAnsi="Calibri"/>
          <w:i/>
          <w:sz w:val="22"/>
        </w:rPr>
        <w:t xml:space="preserve"> et al.</w:t>
      </w:r>
      <w:r w:rsidRPr="0093455B">
        <w:rPr>
          <w:rFonts w:ascii="Calibri" w:hAnsi="Calibri"/>
          <w:sz w:val="22"/>
        </w:rPr>
        <w:t xml:space="preserve"> (2010), 'Dipeptydil peptidase-4 inhibitors in type 2 diabetes: a meta-analysis of randomized clinical trials'. </w:t>
      </w:r>
      <w:r w:rsidRPr="0093455B">
        <w:rPr>
          <w:rFonts w:ascii="Calibri" w:hAnsi="Calibri"/>
          <w:i/>
          <w:sz w:val="22"/>
        </w:rPr>
        <w:t>Nutr Metab Cardiovasc Dis</w:t>
      </w:r>
      <w:r w:rsidRPr="0093455B">
        <w:rPr>
          <w:rFonts w:ascii="Calibri" w:hAnsi="Calibri"/>
          <w:sz w:val="22"/>
        </w:rPr>
        <w:t>, 20(4): 224-35.</w:t>
      </w:r>
      <w:bookmarkEnd w:id="368"/>
    </w:p>
    <w:p w:rsidR="0093455B" w:rsidRPr="0093455B" w:rsidRDefault="0093455B" w:rsidP="0093455B">
      <w:pPr>
        <w:spacing w:after="0" w:line="240" w:lineRule="auto"/>
        <w:rPr>
          <w:rFonts w:ascii="Calibri" w:hAnsi="Calibri"/>
          <w:sz w:val="22"/>
        </w:rPr>
      </w:pPr>
      <w:bookmarkStart w:id="369" w:name="_ENREF_65"/>
      <w:r w:rsidRPr="0093455B">
        <w:rPr>
          <w:rFonts w:ascii="Calibri" w:hAnsi="Calibri"/>
          <w:sz w:val="22"/>
        </w:rPr>
        <w:t xml:space="preserve">65.  Higgins, J., Altman, D. and Sterne, J. (2011), </w:t>
      </w:r>
      <w:r w:rsidRPr="0093455B">
        <w:rPr>
          <w:rFonts w:ascii="Calibri" w:hAnsi="Calibri"/>
          <w:i/>
          <w:sz w:val="22"/>
        </w:rPr>
        <w:t>Chapter 8:  Assessing risk of bias in included studies</w:t>
      </w:r>
      <w:r w:rsidRPr="0093455B">
        <w:rPr>
          <w:rFonts w:ascii="Calibri" w:hAnsi="Calibri"/>
          <w:sz w:val="22"/>
        </w:rPr>
        <w:t xml:space="preserve"> in </w:t>
      </w:r>
      <w:r w:rsidRPr="0093455B">
        <w:rPr>
          <w:rFonts w:ascii="Calibri" w:hAnsi="Calibri"/>
          <w:i/>
          <w:sz w:val="22"/>
        </w:rPr>
        <w:t>Cochrane Handbook for Systematic Reviews of Interventions (Version 5.1.0 [updated March 2011])</w:t>
      </w:r>
      <w:r w:rsidRPr="0093455B">
        <w:rPr>
          <w:rFonts w:ascii="Calibri" w:hAnsi="Calibri"/>
          <w:sz w:val="22"/>
        </w:rPr>
        <w:t xml:space="preserve">. The Cochrane Collaboration available from </w:t>
      </w:r>
      <w:r w:rsidRPr="0028026D">
        <w:rPr>
          <w:rFonts w:ascii="Calibri" w:hAnsi="Calibri"/>
          <w:sz w:val="22"/>
        </w:rPr>
        <w:t>www.cochrane-handbook.org</w:t>
      </w:r>
      <w:r w:rsidRPr="0093455B">
        <w:rPr>
          <w:rFonts w:ascii="Calibri" w:hAnsi="Calibri"/>
          <w:sz w:val="22"/>
        </w:rPr>
        <w:t>.</w:t>
      </w:r>
      <w:bookmarkEnd w:id="369"/>
    </w:p>
    <w:p w:rsidR="0093455B" w:rsidRPr="0093455B" w:rsidRDefault="0093455B" w:rsidP="0093455B">
      <w:pPr>
        <w:spacing w:after="0" w:line="240" w:lineRule="auto"/>
        <w:rPr>
          <w:rFonts w:ascii="Calibri" w:hAnsi="Calibri"/>
          <w:sz w:val="22"/>
        </w:rPr>
      </w:pPr>
      <w:bookmarkStart w:id="370" w:name="_ENREF_66"/>
      <w:r w:rsidRPr="0093455B">
        <w:rPr>
          <w:rFonts w:ascii="Calibri" w:hAnsi="Calibri"/>
          <w:sz w:val="22"/>
        </w:rPr>
        <w:t xml:space="preserve">66.  Australian Government Department of Health (2010), </w:t>
      </w:r>
      <w:r w:rsidRPr="0093455B">
        <w:rPr>
          <w:rFonts w:ascii="Calibri" w:hAnsi="Calibri"/>
          <w:i/>
          <w:sz w:val="22"/>
        </w:rPr>
        <w:t>Public Summary Document for Vildagliptin, tablet, 50 mg, Galvus® - March 2010</w:t>
      </w:r>
      <w:r w:rsidRPr="0093455B">
        <w:rPr>
          <w:rFonts w:ascii="Calibri" w:hAnsi="Calibri"/>
          <w:sz w:val="22"/>
        </w:rPr>
        <w:t xml:space="preserve">. Accessed on: 22 July 2014, at: </w:t>
      </w:r>
      <w:r w:rsidRPr="0028026D">
        <w:rPr>
          <w:rFonts w:ascii="Calibri" w:hAnsi="Calibri"/>
          <w:sz w:val="22"/>
        </w:rPr>
        <w:t>http://www.health.gov.au/internet/main/publishing.nsf/Content/pbac-psd-Vildagliptin-mar10</w:t>
      </w:r>
      <w:bookmarkEnd w:id="370"/>
    </w:p>
    <w:p w:rsidR="0093455B" w:rsidRPr="0093455B" w:rsidRDefault="0093455B" w:rsidP="0093455B">
      <w:pPr>
        <w:spacing w:after="0" w:line="240" w:lineRule="auto"/>
        <w:rPr>
          <w:rFonts w:ascii="Calibri" w:hAnsi="Calibri"/>
          <w:sz w:val="22"/>
        </w:rPr>
      </w:pPr>
      <w:bookmarkStart w:id="371" w:name="_ENREF_67"/>
      <w:r w:rsidRPr="0093455B">
        <w:rPr>
          <w:rFonts w:ascii="Calibri" w:hAnsi="Calibri"/>
          <w:sz w:val="22"/>
        </w:rPr>
        <w:t>67.  Derosa, G.</w:t>
      </w:r>
      <w:r w:rsidRPr="0093455B">
        <w:rPr>
          <w:rFonts w:ascii="Calibri" w:hAnsi="Calibri"/>
          <w:i/>
          <w:sz w:val="22"/>
        </w:rPr>
        <w:t xml:space="preserve"> et al.</w:t>
      </w:r>
      <w:r w:rsidRPr="0093455B">
        <w:rPr>
          <w:rFonts w:ascii="Calibri" w:hAnsi="Calibri"/>
          <w:sz w:val="22"/>
        </w:rPr>
        <w:t xml:space="preserve"> (2013), 'A comparison between sitagliptin or glibenclamide in addition to metformin + pioglitazone on glycaemic control and beta-cell function: the triple oral therapy'. </w:t>
      </w:r>
      <w:r w:rsidRPr="0093455B">
        <w:rPr>
          <w:rFonts w:ascii="Calibri" w:hAnsi="Calibri"/>
          <w:i/>
          <w:sz w:val="22"/>
        </w:rPr>
        <w:t>Diabetic Medicine</w:t>
      </w:r>
      <w:r w:rsidRPr="0093455B">
        <w:rPr>
          <w:rFonts w:ascii="Calibri" w:hAnsi="Calibri"/>
          <w:sz w:val="22"/>
        </w:rPr>
        <w:t>, 30(7): 846-54.</w:t>
      </w:r>
      <w:bookmarkEnd w:id="371"/>
    </w:p>
    <w:p w:rsidR="0093455B" w:rsidRPr="0093455B" w:rsidRDefault="0093455B" w:rsidP="0093455B">
      <w:pPr>
        <w:spacing w:after="0" w:line="240" w:lineRule="auto"/>
        <w:rPr>
          <w:rFonts w:ascii="Calibri" w:hAnsi="Calibri"/>
          <w:sz w:val="22"/>
        </w:rPr>
      </w:pPr>
      <w:bookmarkStart w:id="372" w:name="_ENREF_68"/>
      <w:r w:rsidRPr="0093455B">
        <w:rPr>
          <w:rFonts w:ascii="Calibri" w:hAnsi="Calibri"/>
          <w:sz w:val="22"/>
        </w:rPr>
        <w:t>68.  Zinman, B.</w:t>
      </w:r>
      <w:r w:rsidRPr="0093455B">
        <w:rPr>
          <w:rFonts w:ascii="Calibri" w:hAnsi="Calibri"/>
          <w:i/>
          <w:sz w:val="22"/>
        </w:rPr>
        <w:t xml:space="preserve"> et al.</w:t>
      </w:r>
      <w:r w:rsidRPr="0093455B">
        <w:rPr>
          <w:rFonts w:ascii="Calibri" w:hAnsi="Calibri"/>
          <w:sz w:val="22"/>
        </w:rPr>
        <w:t xml:space="preserve"> (2012), 'Insulin degludec versus insulin glargine in insulin-naive patients with type 2 diabetes: a 1-year, randomized, treat-to-target trial (BEGIN Once Long)'. </w:t>
      </w:r>
      <w:r w:rsidRPr="0093455B">
        <w:rPr>
          <w:rFonts w:ascii="Calibri" w:hAnsi="Calibri"/>
          <w:i/>
          <w:sz w:val="22"/>
        </w:rPr>
        <w:t>Diabetes Care</w:t>
      </w:r>
      <w:r w:rsidRPr="0093455B">
        <w:rPr>
          <w:rFonts w:ascii="Calibri" w:hAnsi="Calibri"/>
          <w:sz w:val="22"/>
        </w:rPr>
        <w:t>, 35(12): 2464-71.</w:t>
      </w:r>
      <w:bookmarkEnd w:id="372"/>
    </w:p>
    <w:p w:rsidR="0093455B" w:rsidRPr="0093455B" w:rsidRDefault="0093455B" w:rsidP="0093455B">
      <w:pPr>
        <w:spacing w:after="0" w:line="240" w:lineRule="auto"/>
        <w:rPr>
          <w:rFonts w:ascii="Calibri" w:hAnsi="Calibri"/>
          <w:sz w:val="22"/>
        </w:rPr>
      </w:pPr>
      <w:bookmarkStart w:id="373" w:name="_ENREF_69"/>
      <w:r w:rsidRPr="0093455B">
        <w:rPr>
          <w:rFonts w:ascii="Calibri" w:hAnsi="Calibri"/>
          <w:sz w:val="22"/>
        </w:rPr>
        <w:t xml:space="preserve">69.  Al-Shaikh, A.R. (2006), 'Comparison of basal insulin added to oral agents versus twice - daily premixed insulin as initial insulin therapy for type 2 diabetes'. </w:t>
      </w:r>
      <w:r w:rsidRPr="0093455B">
        <w:rPr>
          <w:rFonts w:ascii="Calibri" w:hAnsi="Calibri"/>
          <w:i/>
          <w:sz w:val="22"/>
        </w:rPr>
        <w:t>Pakistan Journal of Medical Sciences</w:t>
      </w:r>
      <w:r w:rsidRPr="0093455B">
        <w:rPr>
          <w:rFonts w:ascii="Calibri" w:hAnsi="Calibri"/>
          <w:sz w:val="22"/>
        </w:rPr>
        <w:t>, 22(1): 14-7.</w:t>
      </w:r>
      <w:bookmarkEnd w:id="373"/>
    </w:p>
    <w:p w:rsidR="0093455B" w:rsidRPr="0093455B" w:rsidRDefault="0093455B" w:rsidP="0093455B">
      <w:pPr>
        <w:spacing w:after="0" w:line="240" w:lineRule="auto"/>
        <w:rPr>
          <w:rFonts w:ascii="Calibri" w:hAnsi="Calibri"/>
          <w:sz w:val="22"/>
        </w:rPr>
      </w:pPr>
      <w:bookmarkStart w:id="374" w:name="_ENREF_70"/>
      <w:r w:rsidRPr="0093455B">
        <w:rPr>
          <w:rFonts w:ascii="Calibri" w:hAnsi="Calibri"/>
          <w:sz w:val="22"/>
        </w:rPr>
        <w:t>70.  Rosenstock, J.</w:t>
      </w:r>
      <w:r w:rsidRPr="0093455B">
        <w:rPr>
          <w:rFonts w:ascii="Calibri" w:hAnsi="Calibri"/>
          <w:i/>
          <w:sz w:val="22"/>
        </w:rPr>
        <w:t xml:space="preserve"> et al.</w:t>
      </w:r>
      <w:r w:rsidRPr="0093455B">
        <w:rPr>
          <w:rFonts w:ascii="Calibri" w:hAnsi="Calibri"/>
          <w:sz w:val="22"/>
        </w:rPr>
        <w:t xml:space="preserve"> (2006), 'Triple therapy in type 2 diabetes: insulin glargine or rosiglitazone added to combination therapy of sulfonylurea plus metformin in insulin-naive patients'. </w:t>
      </w:r>
      <w:r w:rsidRPr="0093455B">
        <w:rPr>
          <w:rFonts w:ascii="Calibri" w:hAnsi="Calibri"/>
          <w:i/>
          <w:sz w:val="22"/>
        </w:rPr>
        <w:t>Diabetes Care</w:t>
      </w:r>
      <w:r w:rsidRPr="0093455B">
        <w:rPr>
          <w:rFonts w:ascii="Calibri" w:hAnsi="Calibri"/>
          <w:sz w:val="22"/>
        </w:rPr>
        <w:t>, 29(3): 554-9.</w:t>
      </w:r>
      <w:bookmarkEnd w:id="374"/>
    </w:p>
    <w:p w:rsidR="0093455B" w:rsidRPr="0093455B" w:rsidRDefault="0093455B" w:rsidP="0093455B">
      <w:pPr>
        <w:spacing w:after="0" w:line="240" w:lineRule="auto"/>
        <w:rPr>
          <w:rFonts w:ascii="Calibri" w:hAnsi="Calibri"/>
          <w:sz w:val="22"/>
        </w:rPr>
      </w:pPr>
      <w:bookmarkStart w:id="375" w:name="_ENREF_71"/>
      <w:r w:rsidRPr="0093455B">
        <w:rPr>
          <w:rFonts w:ascii="Calibri" w:hAnsi="Calibri"/>
          <w:sz w:val="22"/>
        </w:rPr>
        <w:t>71.  Hermansen, K.</w:t>
      </w:r>
      <w:r w:rsidRPr="0093455B">
        <w:rPr>
          <w:rFonts w:ascii="Calibri" w:hAnsi="Calibri"/>
          <w:i/>
          <w:sz w:val="22"/>
        </w:rPr>
        <w:t xml:space="preserve"> et al.</w:t>
      </w:r>
      <w:r w:rsidRPr="0093455B">
        <w:rPr>
          <w:rFonts w:ascii="Calibri" w:hAnsi="Calibri"/>
          <w:sz w:val="22"/>
        </w:rPr>
        <w:t xml:space="preserve"> (2007), 'Efficacy and safety of the dipeptidyl peptidase-4 inhibitor, sitagliptin, in patients with type 2 diabetes mellitus inadequately controlled on glimepiride alone or on glimepiride and metformin'. </w:t>
      </w:r>
      <w:r w:rsidRPr="0093455B">
        <w:rPr>
          <w:rFonts w:ascii="Calibri" w:hAnsi="Calibri"/>
          <w:i/>
          <w:sz w:val="22"/>
        </w:rPr>
        <w:t>Diabetes, Obesity and Metabolism</w:t>
      </w:r>
      <w:r w:rsidRPr="0093455B">
        <w:rPr>
          <w:rFonts w:ascii="Calibri" w:hAnsi="Calibri"/>
          <w:sz w:val="22"/>
        </w:rPr>
        <w:t>, 9(5): 733-45.</w:t>
      </w:r>
      <w:bookmarkEnd w:id="375"/>
    </w:p>
    <w:p w:rsidR="0093455B" w:rsidRPr="0093455B" w:rsidRDefault="0093455B" w:rsidP="0093455B">
      <w:pPr>
        <w:spacing w:after="0" w:line="240" w:lineRule="auto"/>
        <w:rPr>
          <w:rFonts w:ascii="Calibri" w:hAnsi="Calibri"/>
          <w:sz w:val="22"/>
        </w:rPr>
      </w:pPr>
      <w:bookmarkStart w:id="376" w:name="_ENREF_72"/>
      <w:r w:rsidRPr="0093455B">
        <w:rPr>
          <w:rFonts w:ascii="Calibri" w:hAnsi="Calibri"/>
          <w:sz w:val="22"/>
        </w:rPr>
        <w:t>72.  Owens, D.R.</w:t>
      </w:r>
      <w:r w:rsidRPr="0093455B">
        <w:rPr>
          <w:rFonts w:ascii="Calibri" w:hAnsi="Calibri"/>
          <w:i/>
          <w:sz w:val="22"/>
        </w:rPr>
        <w:t xml:space="preserve"> et al.</w:t>
      </w:r>
      <w:r w:rsidRPr="0093455B">
        <w:rPr>
          <w:rFonts w:ascii="Calibri" w:hAnsi="Calibri"/>
          <w:sz w:val="22"/>
        </w:rPr>
        <w:t xml:space="preserve"> (2011), 'Efficacy and safety of linagliptin in persons with type 2 diabetes inadequately controlled by a combination of metformin and sulphonylurea: a 24-week randomized study.[Erratum appears in Diabet Med. 2012 Jan;29(1):158]'. </w:t>
      </w:r>
      <w:r w:rsidRPr="0093455B">
        <w:rPr>
          <w:rFonts w:ascii="Calibri" w:hAnsi="Calibri"/>
          <w:i/>
          <w:sz w:val="22"/>
        </w:rPr>
        <w:t>Diabetic Medicine</w:t>
      </w:r>
      <w:r w:rsidRPr="0093455B">
        <w:rPr>
          <w:rFonts w:ascii="Calibri" w:hAnsi="Calibri"/>
          <w:sz w:val="22"/>
        </w:rPr>
        <w:t>, 28(11): 1352-61.</w:t>
      </w:r>
      <w:bookmarkEnd w:id="376"/>
    </w:p>
    <w:p w:rsidR="0093455B" w:rsidRPr="0093455B" w:rsidRDefault="0093455B" w:rsidP="0093455B">
      <w:pPr>
        <w:spacing w:after="0" w:line="240" w:lineRule="auto"/>
        <w:rPr>
          <w:rFonts w:ascii="Calibri" w:hAnsi="Calibri"/>
          <w:sz w:val="22"/>
        </w:rPr>
      </w:pPr>
      <w:bookmarkStart w:id="377" w:name="_ENREF_73"/>
      <w:r w:rsidRPr="0093455B">
        <w:rPr>
          <w:rFonts w:ascii="Calibri" w:hAnsi="Calibri"/>
          <w:sz w:val="22"/>
        </w:rPr>
        <w:t>73.  Dailey, G.E.</w:t>
      </w:r>
      <w:r w:rsidRPr="0093455B">
        <w:rPr>
          <w:rFonts w:ascii="Calibri" w:hAnsi="Calibri"/>
          <w:i/>
          <w:sz w:val="22"/>
        </w:rPr>
        <w:t xml:space="preserve"> et al.</w:t>
      </w:r>
      <w:r w:rsidRPr="0093455B">
        <w:rPr>
          <w:rFonts w:ascii="Calibri" w:hAnsi="Calibri"/>
          <w:sz w:val="22"/>
        </w:rPr>
        <w:t xml:space="preserve"> (2004), 'Glycemic control with glyburide/metformin tablets in combination with rosiglitazone in patients with type 2 diabetes: a randomized, double-blind trial'. </w:t>
      </w:r>
      <w:r w:rsidRPr="0093455B">
        <w:rPr>
          <w:rFonts w:ascii="Calibri" w:hAnsi="Calibri"/>
          <w:i/>
          <w:sz w:val="22"/>
        </w:rPr>
        <w:t>Am J Med</w:t>
      </w:r>
      <w:r w:rsidRPr="0093455B">
        <w:rPr>
          <w:rFonts w:ascii="Calibri" w:hAnsi="Calibri"/>
          <w:sz w:val="22"/>
        </w:rPr>
        <w:t>, 116(4): 223-9.</w:t>
      </w:r>
      <w:bookmarkEnd w:id="377"/>
    </w:p>
    <w:p w:rsidR="0093455B" w:rsidRPr="0093455B" w:rsidRDefault="0093455B" w:rsidP="0093455B">
      <w:pPr>
        <w:spacing w:after="0" w:line="240" w:lineRule="auto"/>
        <w:rPr>
          <w:rFonts w:ascii="Calibri" w:hAnsi="Calibri"/>
          <w:sz w:val="22"/>
        </w:rPr>
      </w:pPr>
      <w:bookmarkStart w:id="378" w:name="_ENREF_74"/>
      <w:r w:rsidRPr="0093455B">
        <w:rPr>
          <w:rFonts w:ascii="Calibri" w:hAnsi="Calibri"/>
          <w:sz w:val="22"/>
        </w:rPr>
        <w:t>74.  Kendall, D.M.</w:t>
      </w:r>
      <w:r w:rsidRPr="0093455B">
        <w:rPr>
          <w:rFonts w:ascii="Calibri" w:hAnsi="Calibri"/>
          <w:i/>
          <w:sz w:val="22"/>
        </w:rPr>
        <w:t xml:space="preserve"> et al.</w:t>
      </w:r>
      <w:r w:rsidRPr="0093455B">
        <w:rPr>
          <w:rFonts w:ascii="Calibri" w:hAnsi="Calibri"/>
          <w:sz w:val="22"/>
        </w:rPr>
        <w:t xml:space="preserve"> (2005), 'Effects of exenatide (exendin-4) on glycemic control over 30 weeks in patients with type 2 diabetes treated with metformin and a sulfonylurea'. </w:t>
      </w:r>
      <w:r w:rsidRPr="0093455B">
        <w:rPr>
          <w:rFonts w:ascii="Calibri" w:hAnsi="Calibri"/>
          <w:i/>
          <w:sz w:val="22"/>
        </w:rPr>
        <w:t>Diabetes Care</w:t>
      </w:r>
      <w:r w:rsidRPr="0093455B">
        <w:rPr>
          <w:rFonts w:ascii="Calibri" w:hAnsi="Calibri"/>
          <w:sz w:val="22"/>
        </w:rPr>
        <w:t>, 28(5): 1083-91.</w:t>
      </w:r>
      <w:bookmarkEnd w:id="378"/>
    </w:p>
    <w:p w:rsidR="0093455B" w:rsidRPr="0093455B" w:rsidRDefault="0093455B" w:rsidP="0093455B">
      <w:pPr>
        <w:spacing w:after="0" w:line="240" w:lineRule="auto"/>
        <w:rPr>
          <w:rFonts w:ascii="Calibri" w:hAnsi="Calibri"/>
          <w:sz w:val="22"/>
        </w:rPr>
      </w:pPr>
      <w:bookmarkStart w:id="379" w:name="_ENREF_75"/>
      <w:r w:rsidRPr="0093455B">
        <w:rPr>
          <w:rFonts w:ascii="Calibri" w:hAnsi="Calibri"/>
          <w:sz w:val="22"/>
        </w:rPr>
        <w:t>75.  Russell-Jones, D.</w:t>
      </w:r>
      <w:r w:rsidRPr="0093455B">
        <w:rPr>
          <w:rFonts w:ascii="Calibri" w:hAnsi="Calibri"/>
          <w:i/>
          <w:sz w:val="22"/>
        </w:rPr>
        <w:t xml:space="preserve"> et al.</w:t>
      </w:r>
      <w:r w:rsidRPr="0093455B">
        <w:rPr>
          <w:rFonts w:ascii="Calibri" w:hAnsi="Calibri"/>
          <w:sz w:val="22"/>
        </w:rPr>
        <w:t xml:space="preserve"> (2009), 'Liraglutide vs insulin glargine and placebo in combination with metformin and sulfonylurea therapy in type 2 diabetes mellitus (LEAD-5 met+SU): a randomised controlled trial'. </w:t>
      </w:r>
      <w:r w:rsidRPr="0093455B">
        <w:rPr>
          <w:rFonts w:ascii="Calibri" w:hAnsi="Calibri"/>
          <w:i/>
          <w:sz w:val="22"/>
        </w:rPr>
        <w:t>Diabetologia</w:t>
      </w:r>
      <w:r w:rsidRPr="0093455B">
        <w:rPr>
          <w:rFonts w:ascii="Calibri" w:hAnsi="Calibri"/>
          <w:sz w:val="22"/>
        </w:rPr>
        <w:t>, 52(10): 2046-55.</w:t>
      </w:r>
      <w:bookmarkEnd w:id="379"/>
    </w:p>
    <w:p w:rsidR="0093455B" w:rsidRPr="0093455B" w:rsidRDefault="0093455B" w:rsidP="0093455B">
      <w:pPr>
        <w:spacing w:after="0" w:line="240" w:lineRule="auto"/>
        <w:rPr>
          <w:rFonts w:ascii="Calibri" w:hAnsi="Calibri"/>
          <w:sz w:val="22"/>
        </w:rPr>
      </w:pPr>
      <w:bookmarkStart w:id="380" w:name="_ENREF_76"/>
      <w:r w:rsidRPr="0093455B">
        <w:rPr>
          <w:rFonts w:ascii="Calibri" w:hAnsi="Calibri"/>
          <w:sz w:val="22"/>
        </w:rPr>
        <w:t>76.  Bergenstal, R.</w:t>
      </w:r>
      <w:r w:rsidRPr="0093455B">
        <w:rPr>
          <w:rFonts w:ascii="Calibri" w:hAnsi="Calibri"/>
          <w:i/>
          <w:sz w:val="22"/>
        </w:rPr>
        <w:t xml:space="preserve"> et al.</w:t>
      </w:r>
      <w:r w:rsidRPr="0093455B">
        <w:rPr>
          <w:rFonts w:ascii="Calibri" w:hAnsi="Calibri"/>
          <w:sz w:val="22"/>
        </w:rPr>
        <w:t xml:space="preserve"> (2009), 'Efficacy and safety of biphasic insulin aspart 70/30 versus exenatide in subjects with type 2 diabetes failing to achieve glycemic control with metformin and a sulfonylurea'. </w:t>
      </w:r>
      <w:r w:rsidRPr="0093455B">
        <w:rPr>
          <w:rFonts w:ascii="Calibri" w:hAnsi="Calibri"/>
          <w:i/>
          <w:sz w:val="22"/>
        </w:rPr>
        <w:t>Curr Med Res Opin</w:t>
      </w:r>
      <w:r w:rsidRPr="0093455B">
        <w:rPr>
          <w:rFonts w:ascii="Calibri" w:hAnsi="Calibri"/>
          <w:sz w:val="22"/>
        </w:rPr>
        <w:t>, 25(1): 65-75.</w:t>
      </w:r>
      <w:bookmarkEnd w:id="380"/>
    </w:p>
    <w:p w:rsidR="0093455B" w:rsidRPr="0093455B" w:rsidRDefault="0093455B" w:rsidP="0093455B">
      <w:pPr>
        <w:spacing w:after="0" w:line="240" w:lineRule="auto"/>
        <w:rPr>
          <w:rFonts w:ascii="Calibri" w:hAnsi="Calibri"/>
          <w:sz w:val="22"/>
        </w:rPr>
      </w:pPr>
      <w:bookmarkStart w:id="381" w:name="_ENREF_77"/>
      <w:r w:rsidRPr="0093455B">
        <w:rPr>
          <w:rFonts w:ascii="Calibri" w:hAnsi="Calibri"/>
          <w:sz w:val="22"/>
        </w:rPr>
        <w:t>77.  Esposito, K.</w:t>
      </w:r>
      <w:r w:rsidRPr="0093455B">
        <w:rPr>
          <w:rFonts w:ascii="Calibri" w:hAnsi="Calibri"/>
          <w:i/>
          <w:sz w:val="22"/>
        </w:rPr>
        <w:t xml:space="preserve"> et al.</w:t>
      </w:r>
      <w:r w:rsidRPr="0093455B">
        <w:rPr>
          <w:rFonts w:ascii="Calibri" w:hAnsi="Calibri"/>
          <w:sz w:val="22"/>
        </w:rPr>
        <w:t xml:space="preserve"> (2008), 'Addition of neutral protamine lispro insulin or insulin glargine to oral type 2 diabetes regimens for patients with suboptimal glycemic control: a randomized trial'. </w:t>
      </w:r>
      <w:r w:rsidRPr="0093455B">
        <w:rPr>
          <w:rFonts w:ascii="Calibri" w:hAnsi="Calibri"/>
          <w:i/>
          <w:sz w:val="22"/>
        </w:rPr>
        <w:t>Ann Intern Med</w:t>
      </w:r>
      <w:r w:rsidRPr="0093455B">
        <w:rPr>
          <w:rFonts w:ascii="Calibri" w:hAnsi="Calibri"/>
          <w:sz w:val="22"/>
        </w:rPr>
        <w:t>, 149(8): 531-9.</w:t>
      </w:r>
      <w:bookmarkEnd w:id="381"/>
    </w:p>
    <w:p w:rsidR="0093455B" w:rsidRPr="0093455B" w:rsidRDefault="0093455B" w:rsidP="0093455B">
      <w:pPr>
        <w:spacing w:after="0" w:line="240" w:lineRule="auto"/>
        <w:rPr>
          <w:rFonts w:ascii="Calibri" w:hAnsi="Calibri"/>
          <w:sz w:val="22"/>
        </w:rPr>
      </w:pPr>
      <w:bookmarkStart w:id="382" w:name="_ENREF_78"/>
      <w:r w:rsidRPr="0093455B">
        <w:rPr>
          <w:rFonts w:ascii="Calibri" w:hAnsi="Calibri"/>
          <w:sz w:val="22"/>
        </w:rPr>
        <w:t>78.  Holman, R.R.</w:t>
      </w:r>
      <w:r w:rsidRPr="0093455B">
        <w:rPr>
          <w:rFonts w:ascii="Calibri" w:hAnsi="Calibri"/>
          <w:i/>
          <w:sz w:val="22"/>
        </w:rPr>
        <w:t xml:space="preserve"> et al.</w:t>
      </w:r>
      <w:r w:rsidRPr="0093455B">
        <w:rPr>
          <w:rFonts w:ascii="Calibri" w:hAnsi="Calibri"/>
          <w:sz w:val="22"/>
        </w:rPr>
        <w:t xml:space="preserve"> (2007), 'Addition of biphasic, prandial, or basal insulin to oral therapy in type 2 diabetes'. </w:t>
      </w:r>
      <w:r w:rsidRPr="0093455B">
        <w:rPr>
          <w:rFonts w:ascii="Calibri" w:hAnsi="Calibri"/>
          <w:i/>
          <w:sz w:val="22"/>
        </w:rPr>
        <w:t>N Engl J Med</w:t>
      </w:r>
      <w:r w:rsidRPr="0093455B">
        <w:rPr>
          <w:rFonts w:ascii="Calibri" w:hAnsi="Calibri"/>
          <w:sz w:val="22"/>
        </w:rPr>
        <w:t>, 357(17): 1716-30.</w:t>
      </w:r>
      <w:bookmarkEnd w:id="382"/>
    </w:p>
    <w:p w:rsidR="0093455B" w:rsidRPr="0093455B" w:rsidRDefault="0093455B" w:rsidP="0093455B">
      <w:pPr>
        <w:spacing w:after="0" w:line="240" w:lineRule="auto"/>
        <w:rPr>
          <w:rFonts w:ascii="Calibri" w:hAnsi="Calibri"/>
          <w:sz w:val="22"/>
        </w:rPr>
      </w:pPr>
      <w:bookmarkStart w:id="383" w:name="_ENREF_79"/>
      <w:r w:rsidRPr="0093455B">
        <w:rPr>
          <w:rFonts w:ascii="Calibri" w:hAnsi="Calibri"/>
          <w:sz w:val="22"/>
        </w:rPr>
        <w:lastRenderedPageBreak/>
        <w:t>79.  Janka, H.U.</w:t>
      </w:r>
      <w:r w:rsidRPr="0093455B">
        <w:rPr>
          <w:rFonts w:ascii="Calibri" w:hAnsi="Calibri"/>
          <w:i/>
          <w:sz w:val="22"/>
        </w:rPr>
        <w:t xml:space="preserve"> et al.</w:t>
      </w:r>
      <w:r w:rsidRPr="0093455B">
        <w:rPr>
          <w:rFonts w:ascii="Calibri" w:hAnsi="Calibri"/>
          <w:sz w:val="22"/>
        </w:rPr>
        <w:t xml:space="preserve"> (2005), 'Comparison of basal insulin added to oral agents versus twice-daily premixed insulin as initial insulin therapy for type 2 diabetes'. </w:t>
      </w:r>
      <w:r w:rsidRPr="0093455B">
        <w:rPr>
          <w:rFonts w:ascii="Calibri" w:hAnsi="Calibri"/>
          <w:i/>
          <w:sz w:val="22"/>
        </w:rPr>
        <w:t>Diabetes Care</w:t>
      </w:r>
      <w:r w:rsidRPr="0093455B">
        <w:rPr>
          <w:rFonts w:ascii="Calibri" w:hAnsi="Calibri"/>
          <w:sz w:val="22"/>
        </w:rPr>
        <w:t>, 28(2): 254-9.</w:t>
      </w:r>
      <w:bookmarkEnd w:id="383"/>
    </w:p>
    <w:p w:rsidR="0093455B" w:rsidRPr="0093455B" w:rsidRDefault="0093455B" w:rsidP="0093455B">
      <w:pPr>
        <w:spacing w:after="0" w:line="240" w:lineRule="auto"/>
        <w:rPr>
          <w:rFonts w:ascii="Calibri" w:hAnsi="Calibri"/>
          <w:sz w:val="22"/>
        </w:rPr>
      </w:pPr>
      <w:bookmarkStart w:id="384" w:name="_ENREF_80"/>
      <w:r w:rsidRPr="0093455B">
        <w:rPr>
          <w:rFonts w:ascii="Calibri" w:hAnsi="Calibri"/>
          <w:sz w:val="22"/>
        </w:rPr>
        <w:t>80.  Strojek, K.</w:t>
      </w:r>
      <w:r w:rsidRPr="0093455B">
        <w:rPr>
          <w:rFonts w:ascii="Calibri" w:hAnsi="Calibri"/>
          <w:i/>
          <w:sz w:val="22"/>
        </w:rPr>
        <w:t xml:space="preserve"> et al.</w:t>
      </w:r>
      <w:r w:rsidRPr="0093455B">
        <w:rPr>
          <w:rFonts w:ascii="Calibri" w:hAnsi="Calibri"/>
          <w:sz w:val="22"/>
        </w:rPr>
        <w:t xml:space="preserve"> (2009), 'Once-daily initiation with biphasic insulin aspart 30 versus insulin glargine in patients with type 2 diabetes inadequately controlled with oral drugs: an open-label, multinational RCT'. </w:t>
      </w:r>
      <w:r w:rsidRPr="0093455B">
        <w:rPr>
          <w:rFonts w:ascii="Calibri" w:hAnsi="Calibri"/>
          <w:i/>
          <w:sz w:val="22"/>
        </w:rPr>
        <w:t>Curr Med Res Opin</w:t>
      </w:r>
      <w:r w:rsidRPr="0093455B">
        <w:rPr>
          <w:rFonts w:ascii="Calibri" w:hAnsi="Calibri"/>
          <w:sz w:val="22"/>
        </w:rPr>
        <w:t>, 25(12): 2887-94.</w:t>
      </w:r>
      <w:bookmarkEnd w:id="384"/>
    </w:p>
    <w:p w:rsidR="0093455B" w:rsidRPr="0093455B" w:rsidRDefault="0093455B" w:rsidP="0093455B">
      <w:pPr>
        <w:spacing w:after="0" w:line="240" w:lineRule="auto"/>
        <w:rPr>
          <w:rFonts w:ascii="Calibri" w:hAnsi="Calibri"/>
          <w:sz w:val="22"/>
        </w:rPr>
      </w:pPr>
      <w:bookmarkStart w:id="385" w:name="_ENREF_81"/>
      <w:r w:rsidRPr="0093455B">
        <w:rPr>
          <w:rFonts w:ascii="Calibri" w:hAnsi="Calibri"/>
          <w:sz w:val="22"/>
        </w:rPr>
        <w:t>81.  Yang, W.</w:t>
      </w:r>
      <w:r w:rsidRPr="0093455B">
        <w:rPr>
          <w:rFonts w:ascii="Calibri" w:hAnsi="Calibri"/>
          <w:i/>
          <w:sz w:val="22"/>
        </w:rPr>
        <w:t xml:space="preserve"> et al.</w:t>
      </w:r>
      <w:r w:rsidRPr="0093455B">
        <w:rPr>
          <w:rFonts w:ascii="Calibri" w:hAnsi="Calibri"/>
          <w:sz w:val="22"/>
        </w:rPr>
        <w:t xml:space="preserve"> (2013), 'Treat-to-target comparison between once daily biphasic insulin aspart 30 and insulin glargine in Chinese and Japanese insulin-naive subjects with type 2 diabetes'. </w:t>
      </w:r>
      <w:r w:rsidRPr="0093455B">
        <w:rPr>
          <w:rFonts w:ascii="Calibri" w:hAnsi="Calibri"/>
          <w:i/>
          <w:sz w:val="22"/>
        </w:rPr>
        <w:t>Curr Med Res Opin</w:t>
      </w:r>
      <w:r w:rsidRPr="0093455B">
        <w:rPr>
          <w:rFonts w:ascii="Calibri" w:hAnsi="Calibri"/>
          <w:sz w:val="22"/>
        </w:rPr>
        <w:t>, 29(12): 1599-608.</w:t>
      </w:r>
      <w:bookmarkEnd w:id="385"/>
    </w:p>
    <w:p w:rsidR="0093455B" w:rsidRPr="0093455B" w:rsidRDefault="0093455B" w:rsidP="0093455B">
      <w:pPr>
        <w:spacing w:after="0" w:line="240" w:lineRule="auto"/>
        <w:rPr>
          <w:rFonts w:ascii="Calibri" w:hAnsi="Calibri"/>
          <w:sz w:val="22"/>
        </w:rPr>
      </w:pPr>
      <w:bookmarkStart w:id="386" w:name="_ENREF_82"/>
      <w:r w:rsidRPr="0093455B">
        <w:rPr>
          <w:rFonts w:ascii="Calibri" w:hAnsi="Calibri"/>
          <w:sz w:val="22"/>
        </w:rPr>
        <w:t>82.  Heine, R.J.</w:t>
      </w:r>
      <w:r w:rsidRPr="0093455B">
        <w:rPr>
          <w:rFonts w:ascii="Calibri" w:hAnsi="Calibri"/>
          <w:i/>
          <w:sz w:val="22"/>
        </w:rPr>
        <w:t xml:space="preserve"> et al.</w:t>
      </w:r>
      <w:r w:rsidRPr="0093455B">
        <w:rPr>
          <w:rFonts w:ascii="Calibri" w:hAnsi="Calibri"/>
          <w:sz w:val="22"/>
        </w:rPr>
        <w:t xml:space="preserve"> (2005), 'Exenatide versus insulin glargine in patients with suboptimally controlled type 2 diabetes: a randomized trial'. </w:t>
      </w:r>
      <w:r w:rsidRPr="0093455B">
        <w:rPr>
          <w:rFonts w:ascii="Calibri" w:hAnsi="Calibri"/>
          <w:i/>
          <w:sz w:val="22"/>
        </w:rPr>
        <w:t>Ann Intern Med</w:t>
      </w:r>
      <w:r w:rsidRPr="0093455B">
        <w:rPr>
          <w:rFonts w:ascii="Calibri" w:hAnsi="Calibri"/>
          <w:sz w:val="22"/>
        </w:rPr>
        <w:t>, 143(8): 559-69.</w:t>
      </w:r>
      <w:bookmarkEnd w:id="386"/>
    </w:p>
    <w:p w:rsidR="0093455B" w:rsidRPr="0093455B" w:rsidRDefault="0093455B" w:rsidP="0093455B">
      <w:pPr>
        <w:spacing w:after="0" w:line="240" w:lineRule="auto"/>
        <w:rPr>
          <w:rFonts w:ascii="Calibri" w:hAnsi="Calibri"/>
          <w:sz w:val="22"/>
        </w:rPr>
      </w:pPr>
      <w:bookmarkStart w:id="387" w:name="_ENREF_83"/>
      <w:r w:rsidRPr="0093455B">
        <w:rPr>
          <w:rFonts w:ascii="Calibri" w:hAnsi="Calibri"/>
          <w:sz w:val="22"/>
        </w:rPr>
        <w:t>83.  Nauck, M.A.</w:t>
      </w:r>
      <w:r w:rsidRPr="0093455B">
        <w:rPr>
          <w:rFonts w:ascii="Calibri" w:hAnsi="Calibri"/>
          <w:i/>
          <w:sz w:val="22"/>
        </w:rPr>
        <w:t xml:space="preserve"> et al.</w:t>
      </w:r>
      <w:r w:rsidRPr="0093455B">
        <w:rPr>
          <w:rFonts w:ascii="Calibri" w:hAnsi="Calibri"/>
          <w:sz w:val="22"/>
        </w:rPr>
        <w:t xml:space="preserve"> (2007), 'A comparison of twice-daily exenatide and biphasic insulin aspart in patients with type 2 diabetes who were suboptimally controlled with sulfonylurea and metformin: a non-inferiority study'. </w:t>
      </w:r>
      <w:r w:rsidRPr="0093455B">
        <w:rPr>
          <w:rFonts w:ascii="Calibri" w:hAnsi="Calibri"/>
          <w:i/>
          <w:sz w:val="22"/>
        </w:rPr>
        <w:t>Diabetologia</w:t>
      </w:r>
      <w:r w:rsidRPr="0093455B">
        <w:rPr>
          <w:rFonts w:ascii="Calibri" w:hAnsi="Calibri"/>
          <w:sz w:val="22"/>
        </w:rPr>
        <w:t>, 50(2): 259-67.</w:t>
      </w:r>
      <w:bookmarkEnd w:id="387"/>
    </w:p>
    <w:p w:rsidR="0093455B" w:rsidRPr="0093455B" w:rsidRDefault="0093455B" w:rsidP="0093455B">
      <w:pPr>
        <w:spacing w:after="0" w:line="240" w:lineRule="auto"/>
        <w:rPr>
          <w:rFonts w:ascii="Calibri" w:hAnsi="Calibri"/>
          <w:sz w:val="22"/>
        </w:rPr>
      </w:pPr>
      <w:bookmarkStart w:id="388" w:name="_ENREF_84"/>
      <w:r w:rsidRPr="0093455B">
        <w:rPr>
          <w:rFonts w:ascii="Calibri" w:hAnsi="Calibri"/>
          <w:sz w:val="22"/>
        </w:rPr>
        <w:t>84.  Schernthaner, G.</w:t>
      </w:r>
      <w:r w:rsidRPr="0093455B">
        <w:rPr>
          <w:rFonts w:ascii="Calibri" w:hAnsi="Calibri"/>
          <w:i/>
          <w:sz w:val="22"/>
        </w:rPr>
        <w:t xml:space="preserve"> et al.</w:t>
      </w:r>
      <w:r w:rsidRPr="0093455B">
        <w:rPr>
          <w:rFonts w:ascii="Calibri" w:hAnsi="Calibri"/>
          <w:sz w:val="22"/>
        </w:rPr>
        <w:t xml:space="preserve"> (2013), 'Canagliflozin compared with sitagliptin for patients with type 2 diabetes who do not have adequate glycemic control with metformin plus sulfonylurea: a 52-week randomized trial'. </w:t>
      </w:r>
      <w:r w:rsidRPr="0093455B">
        <w:rPr>
          <w:rFonts w:ascii="Calibri" w:hAnsi="Calibri"/>
          <w:i/>
          <w:sz w:val="22"/>
        </w:rPr>
        <w:t>Diabetes Care</w:t>
      </w:r>
      <w:r w:rsidRPr="0093455B">
        <w:rPr>
          <w:rFonts w:ascii="Calibri" w:hAnsi="Calibri"/>
          <w:sz w:val="22"/>
        </w:rPr>
        <w:t>, 36(9): 2508-15.</w:t>
      </w:r>
      <w:bookmarkEnd w:id="388"/>
    </w:p>
    <w:p w:rsidR="0093455B" w:rsidRPr="0093455B" w:rsidRDefault="0093455B" w:rsidP="0093455B">
      <w:pPr>
        <w:spacing w:after="0" w:line="240" w:lineRule="auto"/>
        <w:rPr>
          <w:rFonts w:ascii="Calibri" w:hAnsi="Calibri"/>
          <w:sz w:val="22"/>
        </w:rPr>
      </w:pPr>
      <w:bookmarkStart w:id="389" w:name="_ENREF_85"/>
      <w:r w:rsidRPr="0093455B">
        <w:rPr>
          <w:rFonts w:ascii="Calibri" w:hAnsi="Calibri"/>
          <w:sz w:val="22"/>
        </w:rPr>
        <w:t>85.  Bosi, E.</w:t>
      </w:r>
      <w:r w:rsidRPr="0093455B">
        <w:rPr>
          <w:rFonts w:ascii="Calibri" w:hAnsi="Calibri"/>
          <w:i/>
          <w:sz w:val="22"/>
        </w:rPr>
        <w:t xml:space="preserve"> et al.</w:t>
      </w:r>
      <w:r w:rsidRPr="0093455B">
        <w:rPr>
          <w:rFonts w:ascii="Calibri" w:hAnsi="Calibri"/>
          <w:sz w:val="22"/>
        </w:rPr>
        <w:t xml:space="preserve"> (2011), 'Alogliptin as a third oral antidiabetic drug in patients with type 2 diabetes and inadequate glycaemic control on metformin and pioglitazone: a 52-week, randomized, double-blind, active-controlled, parallel-group study'. </w:t>
      </w:r>
      <w:r w:rsidRPr="0093455B">
        <w:rPr>
          <w:rFonts w:ascii="Calibri" w:hAnsi="Calibri"/>
          <w:i/>
          <w:sz w:val="22"/>
        </w:rPr>
        <w:t>Diabetes, Obesity &amp; Metabolism</w:t>
      </w:r>
      <w:r w:rsidRPr="0093455B">
        <w:rPr>
          <w:rFonts w:ascii="Calibri" w:hAnsi="Calibri"/>
          <w:sz w:val="22"/>
        </w:rPr>
        <w:t>, 13(12): 1088-96.</w:t>
      </w:r>
      <w:bookmarkEnd w:id="389"/>
    </w:p>
    <w:p w:rsidR="0093455B" w:rsidRPr="0093455B" w:rsidRDefault="0093455B" w:rsidP="0093455B">
      <w:pPr>
        <w:spacing w:after="0" w:line="240" w:lineRule="auto"/>
        <w:rPr>
          <w:rFonts w:ascii="Calibri" w:hAnsi="Calibri"/>
          <w:sz w:val="22"/>
        </w:rPr>
      </w:pPr>
      <w:bookmarkStart w:id="390" w:name="_ENREF_86"/>
      <w:r w:rsidRPr="0093455B">
        <w:rPr>
          <w:rFonts w:ascii="Calibri" w:hAnsi="Calibri"/>
          <w:sz w:val="22"/>
        </w:rPr>
        <w:t>86.  DeFronzo, R.A.</w:t>
      </w:r>
      <w:r w:rsidRPr="0093455B">
        <w:rPr>
          <w:rFonts w:ascii="Calibri" w:hAnsi="Calibri"/>
          <w:i/>
          <w:sz w:val="22"/>
        </w:rPr>
        <w:t xml:space="preserve"> et al.</w:t>
      </w:r>
      <w:r w:rsidRPr="0093455B">
        <w:rPr>
          <w:rFonts w:ascii="Calibri" w:hAnsi="Calibri"/>
          <w:sz w:val="22"/>
        </w:rPr>
        <w:t xml:space="preserve"> (2012), 'Efficacy and tolerability of the DPP-4 inhibitor alogliptin combined with pioglitazone, in metformin-treated patients with type 2 diabetes'. </w:t>
      </w:r>
      <w:r w:rsidRPr="0093455B">
        <w:rPr>
          <w:rFonts w:ascii="Calibri" w:hAnsi="Calibri"/>
          <w:i/>
          <w:sz w:val="22"/>
        </w:rPr>
        <w:t>Journal of Clinical Endocrinology &amp; Metabolism</w:t>
      </w:r>
      <w:r w:rsidRPr="0093455B">
        <w:rPr>
          <w:rFonts w:ascii="Calibri" w:hAnsi="Calibri"/>
          <w:sz w:val="22"/>
        </w:rPr>
        <w:t>, 97(5): 1615-22.</w:t>
      </w:r>
      <w:bookmarkEnd w:id="390"/>
    </w:p>
    <w:p w:rsidR="0093455B" w:rsidRPr="0093455B" w:rsidRDefault="0093455B" w:rsidP="0093455B">
      <w:pPr>
        <w:spacing w:after="0" w:line="240" w:lineRule="auto"/>
        <w:rPr>
          <w:rFonts w:ascii="Calibri" w:hAnsi="Calibri"/>
          <w:sz w:val="22"/>
        </w:rPr>
      </w:pPr>
      <w:bookmarkStart w:id="391" w:name="_ENREF_87"/>
      <w:r w:rsidRPr="0093455B">
        <w:rPr>
          <w:rFonts w:ascii="Calibri" w:hAnsi="Calibri"/>
          <w:sz w:val="22"/>
        </w:rPr>
        <w:t>87.  Rodbard, H.W.</w:t>
      </w:r>
      <w:r w:rsidRPr="0093455B">
        <w:rPr>
          <w:rFonts w:ascii="Calibri" w:hAnsi="Calibri"/>
          <w:i/>
          <w:sz w:val="22"/>
        </w:rPr>
        <w:t xml:space="preserve"> et al.</w:t>
      </w:r>
      <w:r w:rsidRPr="0093455B">
        <w:rPr>
          <w:rFonts w:ascii="Calibri" w:hAnsi="Calibri"/>
          <w:sz w:val="22"/>
        </w:rPr>
        <w:t xml:space="preserve"> (2013), 'Comparison of insulin degludec with insulin glargine in insulin-naive subjects with Type 2 diabetes: A 2-year randomized, treat-to-target trial'. </w:t>
      </w:r>
      <w:r w:rsidRPr="0093455B">
        <w:rPr>
          <w:rFonts w:ascii="Calibri" w:hAnsi="Calibri"/>
          <w:i/>
          <w:sz w:val="22"/>
        </w:rPr>
        <w:t>Diabetic Medicine</w:t>
      </w:r>
      <w:r w:rsidRPr="0093455B">
        <w:rPr>
          <w:rFonts w:ascii="Calibri" w:hAnsi="Calibri"/>
          <w:sz w:val="22"/>
        </w:rPr>
        <w:t>, 30(11): 1298-304.</w:t>
      </w:r>
      <w:bookmarkEnd w:id="391"/>
    </w:p>
    <w:p w:rsidR="0093455B" w:rsidRPr="0093455B" w:rsidRDefault="0093455B" w:rsidP="0093455B">
      <w:pPr>
        <w:spacing w:after="0" w:line="240" w:lineRule="auto"/>
        <w:rPr>
          <w:rFonts w:ascii="Calibri" w:hAnsi="Calibri"/>
          <w:sz w:val="22"/>
        </w:rPr>
      </w:pPr>
      <w:bookmarkStart w:id="392" w:name="_ENREF_88"/>
      <w:r w:rsidRPr="0093455B">
        <w:rPr>
          <w:rFonts w:ascii="Calibri" w:hAnsi="Calibri"/>
          <w:sz w:val="22"/>
        </w:rPr>
        <w:t>88.  DeVries, J.H.</w:t>
      </w:r>
      <w:r w:rsidRPr="0093455B">
        <w:rPr>
          <w:rFonts w:ascii="Calibri" w:hAnsi="Calibri"/>
          <w:i/>
          <w:sz w:val="22"/>
        </w:rPr>
        <w:t xml:space="preserve"> et al.</w:t>
      </w:r>
      <w:r w:rsidRPr="0093455B">
        <w:rPr>
          <w:rFonts w:ascii="Calibri" w:hAnsi="Calibri"/>
          <w:sz w:val="22"/>
        </w:rPr>
        <w:t xml:space="preserve"> (2012), 'Sequential intensification of metformin treatment in type 2 diabetes with liraglutide followed by randomized addition of basal insulin prompted by A1C targets'. </w:t>
      </w:r>
      <w:r w:rsidRPr="0093455B">
        <w:rPr>
          <w:rFonts w:ascii="Calibri" w:hAnsi="Calibri"/>
          <w:i/>
          <w:sz w:val="22"/>
        </w:rPr>
        <w:t>Diabetes Care</w:t>
      </w:r>
      <w:r w:rsidRPr="0093455B">
        <w:rPr>
          <w:rFonts w:ascii="Calibri" w:hAnsi="Calibri"/>
          <w:sz w:val="22"/>
        </w:rPr>
        <w:t>, 35(7): 1446-54.</w:t>
      </w:r>
      <w:bookmarkEnd w:id="392"/>
    </w:p>
    <w:p w:rsidR="0093455B" w:rsidRPr="0093455B" w:rsidRDefault="0093455B" w:rsidP="0093455B">
      <w:pPr>
        <w:spacing w:after="0" w:line="240" w:lineRule="auto"/>
        <w:rPr>
          <w:rFonts w:ascii="Calibri" w:hAnsi="Calibri"/>
          <w:sz w:val="22"/>
        </w:rPr>
      </w:pPr>
      <w:bookmarkStart w:id="393" w:name="_ENREF_89"/>
      <w:r w:rsidRPr="0093455B">
        <w:rPr>
          <w:rFonts w:ascii="Calibri" w:hAnsi="Calibri"/>
          <w:sz w:val="22"/>
        </w:rPr>
        <w:t>89.  Ji, L.</w:t>
      </w:r>
      <w:r w:rsidRPr="0093455B">
        <w:rPr>
          <w:rFonts w:ascii="Calibri" w:hAnsi="Calibri"/>
          <w:i/>
          <w:sz w:val="22"/>
        </w:rPr>
        <w:t xml:space="preserve"> et al.</w:t>
      </w:r>
      <w:r w:rsidRPr="0093455B">
        <w:rPr>
          <w:rFonts w:ascii="Calibri" w:hAnsi="Calibri"/>
          <w:sz w:val="22"/>
        </w:rPr>
        <w:t xml:space="preserve"> (2013), 'Efficacy and safety of exenatide once-weekly vs exenatide twice-daily in Asian patients with type 2 diabetes mellitus'. </w:t>
      </w:r>
      <w:r w:rsidRPr="0093455B">
        <w:rPr>
          <w:rFonts w:ascii="Calibri" w:hAnsi="Calibri"/>
          <w:i/>
          <w:sz w:val="22"/>
        </w:rPr>
        <w:t>Journal of Diabetes Investigation</w:t>
      </w:r>
      <w:r w:rsidRPr="0093455B">
        <w:rPr>
          <w:rFonts w:ascii="Calibri" w:hAnsi="Calibri"/>
          <w:sz w:val="22"/>
        </w:rPr>
        <w:t>, 4(1): 53-61.</w:t>
      </w:r>
      <w:bookmarkEnd w:id="393"/>
    </w:p>
    <w:p w:rsidR="0093455B" w:rsidRPr="0093455B" w:rsidRDefault="0093455B" w:rsidP="0093455B">
      <w:pPr>
        <w:spacing w:after="0" w:line="240" w:lineRule="auto"/>
        <w:rPr>
          <w:rFonts w:ascii="Calibri" w:hAnsi="Calibri"/>
          <w:sz w:val="22"/>
        </w:rPr>
      </w:pPr>
      <w:bookmarkStart w:id="394" w:name="_ENREF_90"/>
      <w:r w:rsidRPr="0093455B">
        <w:rPr>
          <w:rFonts w:ascii="Calibri" w:hAnsi="Calibri"/>
          <w:sz w:val="22"/>
        </w:rPr>
        <w:t>90.  Buse, J.B.</w:t>
      </w:r>
      <w:r w:rsidRPr="0093455B">
        <w:rPr>
          <w:rFonts w:ascii="Calibri" w:hAnsi="Calibri"/>
          <w:i/>
          <w:sz w:val="22"/>
        </w:rPr>
        <w:t xml:space="preserve"> et al.</w:t>
      </w:r>
      <w:r w:rsidRPr="0093455B">
        <w:rPr>
          <w:rFonts w:ascii="Calibri" w:hAnsi="Calibri"/>
          <w:sz w:val="22"/>
        </w:rPr>
        <w:t xml:space="preserve"> (2013), 'Exenatide once weekly versus liraglutide once daily in patients with type 2 diabetes (DURATION-6): a randomised, open-label study'. </w:t>
      </w:r>
      <w:r w:rsidRPr="0093455B">
        <w:rPr>
          <w:rFonts w:ascii="Calibri" w:hAnsi="Calibri"/>
          <w:i/>
          <w:sz w:val="22"/>
        </w:rPr>
        <w:t>Lancet</w:t>
      </w:r>
      <w:r w:rsidRPr="0093455B">
        <w:rPr>
          <w:rFonts w:ascii="Calibri" w:hAnsi="Calibri"/>
          <w:sz w:val="22"/>
        </w:rPr>
        <w:t>, 381(9861): 117-24.</w:t>
      </w:r>
      <w:bookmarkEnd w:id="394"/>
    </w:p>
    <w:p w:rsidR="0093455B" w:rsidRPr="0093455B" w:rsidRDefault="0093455B" w:rsidP="0093455B">
      <w:pPr>
        <w:spacing w:after="0" w:line="240" w:lineRule="auto"/>
        <w:rPr>
          <w:rFonts w:ascii="Calibri" w:hAnsi="Calibri"/>
          <w:sz w:val="22"/>
        </w:rPr>
      </w:pPr>
      <w:bookmarkStart w:id="395" w:name="_ENREF_91"/>
      <w:r w:rsidRPr="0093455B">
        <w:rPr>
          <w:rFonts w:ascii="Calibri" w:hAnsi="Calibri"/>
          <w:sz w:val="22"/>
        </w:rPr>
        <w:t>91.  Vilsboll, T.</w:t>
      </w:r>
      <w:r w:rsidRPr="0093455B">
        <w:rPr>
          <w:rFonts w:ascii="Calibri" w:hAnsi="Calibri"/>
          <w:i/>
          <w:sz w:val="22"/>
        </w:rPr>
        <w:t xml:space="preserve"> et al.</w:t>
      </w:r>
      <w:r w:rsidRPr="0093455B">
        <w:rPr>
          <w:rFonts w:ascii="Calibri" w:hAnsi="Calibri"/>
          <w:sz w:val="22"/>
        </w:rPr>
        <w:t xml:space="preserve"> (2010), 'Efficacy and safety of sitagliptin when added to insulin therapy in patients with type 2 diabetes'. </w:t>
      </w:r>
      <w:r w:rsidRPr="0093455B">
        <w:rPr>
          <w:rFonts w:ascii="Calibri" w:hAnsi="Calibri"/>
          <w:i/>
          <w:sz w:val="22"/>
        </w:rPr>
        <w:t>Diabetes Obes Metab</w:t>
      </w:r>
      <w:r w:rsidRPr="0093455B">
        <w:rPr>
          <w:rFonts w:ascii="Calibri" w:hAnsi="Calibri"/>
          <w:sz w:val="22"/>
        </w:rPr>
        <w:t>, 12(2): 167-77.</w:t>
      </w:r>
      <w:bookmarkEnd w:id="395"/>
    </w:p>
    <w:p w:rsidR="0093455B" w:rsidRPr="0093455B" w:rsidRDefault="0093455B" w:rsidP="0093455B">
      <w:pPr>
        <w:spacing w:after="0" w:line="240" w:lineRule="auto"/>
        <w:rPr>
          <w:rFonts w:ascii="Calibri" w:hAnsi="Calibri"/>
          <w:sz w:val="22"/>
        </w:rPr>
      </w:pPr>
      <w:bookmarkStart w:id="396" w:name="_ENREF_92"/>
      <w:r w:rsidRPr="0093455B">
        <w:rPr>
          <w:rFonts w:ascii="Calibri" w:hAnsi="Calibri"/>
          <w:sz w:val="22"/>
        </w:rPr>
        <w:t>92.  Buse, J.B.</w:t>
      </w:r>
      <w:r w:rsidRPr="0093455B">
        <w:rPr>
          <w:rFonts w:ascii="Calibri" w:hAnsi="Calibri"/>
          <w:i/>
          <w:sz w:val="22"/>
        </w:rPr>
        <w:t xml:space="preserve"> et al.</w:t>
      </w:r>
      <w:r w:rsidRPr="0093455B">
        <w:rPr>
          <w:rFonts w:ascii="Calibri" w:hAnsi="Calibri"/>
          <w:sz w:val="22"/>
        </w:rPr>
        <w:t xml:space="preserve"> (2009), 'DURAbility of basal versus lispro mix 75/25 insulin efficacy (DURABLE) trial 24-week results: safety and efficacy of insulin lispro mix 75/25 versus insulin glargine added to oral antihyperglycemic drugs in patients with type 2 diabetes'. </w:t>
      </w:r>
      <w:r w:rsidRPr="0093455B">
        <w:rPr>
          <w:rFonts w:ascii="Calibri" w:hAnsi="Calibri"/>
          <w:i/>
          <w:sz w:val="22"/>
        </w:rPr>
        <w:t>Diabetes Care</w:t>
      </w:r>
      <w:r w:rsidRPr="0093455B">
        <w:rPr>
          <w:rFonts w:ascii="Calibri" w:hAnsi="Calibri"/>
          <w:sz w:val="22"/>
        </w:rPr>
        <w:t>, 32(6): 1007-13.</w:t>
      </w:r>
      <w:bookmarkEnd w:id="396"/>
    </w:p>
    <w:p w:rsidR="0093455B" w:rsidRPr="0093455B" w:rsidRDefault="0093455B" w:rsidP="0093455B">
      <w:pPr>
        <w:spacing w:after="0" w:line="240" w:lineRule="auto"/>
        <w:rPr>
          <w:rFonts w:ascii="Calibri" w:hAnsi="Calibri"/>
          <w:sz w:val="22"/>
        </w:rPr>
      </w:pPr>
      <w:bookmarkStart w:id="397" w:name="_ENREF_93"/>
      <w:r w:rsidRPr="0093455B">
        <w:rPr>
          <w:rFonts w:ascii="Calibri" w:hAnsi="Calibri"/>
          <w:sz w:val="22"/>
        </w:rPr>
        <w:t>93.  Zoungas, S.</w:t>
      </w:r>
      <w:r w:rsidRPr="0093455B">
        <w:rPr>
          <w:rFonts w:ascii="Calibri" w:hAnsi="Calibri"/>
          <w:i/>
          <w:sz w:val="22"/>
        </w:rPr>
        <w:t xml:space="preserve"> et al.</w:t>
      </w:r>
      <w:r w:rsidRPr="0093455B">
        <w:rPr>
          <w:rFonts w:ascii="Calibri" w:hAnsi="Calibri"/>
          <w:sz w:val="22"/>
        </w:rPr>
        <w:t xml:space="preserve"> (2010), 'The efficacy of lowering glycated haemoglobin with a gliclazide modified release-based intensive glucose lowering regimen in the ADVANCE trial'. </w:t>
      </w:r>
      <w:r w:rsidRPr="0093455B">
        <w:rPr>
          <w:rFonts w:ascii="Calibri" w:hAnsi="Calibri"/>
          <w:i/>
          <w:sz w:val="22"/>
        </w:rPr>
        <w:t>Diabetes Res Clin Pract</w:t>
      </w:r>
      <w:r w:rsidRPr="0093455B">
        <w:rPr>
          <w:rFonts w:ascii="Calibri" w:hAnsi="Calibri"/>
          <w:sz w:val="22"/>
        </w:rPr>
        <w:t>, 89(2): 126-33.</w:t>
      </w:r>
      <w:bookmarkEnd w:id="397"/>
    </w:p>
    <w:p w:rsidR="0093455B" w:rsidRPr="0093455B" w:rsidRDefault="0093455B" w:rsidP="0093455B">
      <w:pPr>
        <w:spacing w:after="0" w:line="240" w:lineRule="auto"/>
        <w:rPr>
          <w:rFonts w:ascii="Calibri" w:hAnsi="Calibri"/>
          <w:sz w:val="22"/>
        </w:rPr>
      </w:pPr>
      <w:bookmarkStart w:id="398" w:name="_ENREF_94"/>
      <w:r w:rsidRPr="0093455B">
        <w:rPr>
          <w:rFonts w:ascii="Calibri" w:hAnsi="Calibri"/>
          <w:sz w:val="22"/>
        </w:rPr>
        <w:t>94.  Doehner, W.</w:t>
      </w:r>
      <w:r w:rsidRPr="0093455B">
        <w:rPr>
          <w:rFonts w:ascii="Calibri" w:hAnsi="Calibri"/>
          <w:i/>
          <w:sz w:val="22"/>
        </w:rPr>
        <w:t xml:space="preserve"> et al.</w:t>
      </w:r>
      <w:r w:rsidRPr="0093455B">
        <w:rPr>
          <w:rFonts w:ascii="Calibri" w:hAnsi="Calibri"/>
          <w:sz w:val="22"/>
        </w:rPr>
        <w:t xml:space="preserve"> (2012), 'Inverse relation of body weight and weight change with mortality and morbidity in patients with type 2 diabetes and cardiovascular co-morbidity: an analysis of the PROactive study population'. </w:t>
      </w:r>
      <w:r w:rsidRPr="0093455B">
        <w:rPr>
          <w:rFonts w:ascii="Calibri" w:hAnsi="Calibri"/>
          <w:i/>
          <w:sz w:val="22"/>
        </w:rPr>
        <w:t>International Journal of Cardiology</w:t>
      </w:r>
      <w:r w:rsidRPr="0093455B">
        <w:rPr>
          <w:rFonts w:ascii="Calibri" w:hAnsi="Calibri"/>
          <w:sz w:val="22"/>
        </w:rPr>
        <w:t>, 162(1): 20-6.</w:t>
      </w:r>
      <w:bookmarkEnd w:id="398"/>
    </w:p>
    <w:p w:rsidR="0093455B" w:rsidRPr="0093455B" w:rsidRDefault="0093455B" w:rsidP="0093455B">
      <w:pPr>
        <w:spacing w:after="0" w:line="240" w:lineRule="auto"/>
        <w:rPr>
          <w:rFonts w:ascii="Calibri" w:hAnsi="Calibri"/>
          <w:sz w:val="22"/>
        </w:rPr>
      </w:pPr>
      <w:bookmarkStart w:id="399" w:name="_ENREF_95"/>
      <w:r w:rsidRPr="0093455B">
        <w:rPr>
          <w:rFonts w:ascii="Calibri" w:hAnsi="Calibri"/>
          <w:sz w:val="22"/>
        </w:rPr>
        <w:t>95.  Erdmann, E.</w:t>
      </w:r>
      <w:r w:rsidRPr="0093455B">
        <w:rPr>
          <w:rFonts w:ascii="Calibri" w:hAnsi="Calibri"/>
          <w:i/>
          <w:sz w:val="22"/>
        </w:rPr>
        <w:t xml:space="preserve"> et al.</w:t>
      </w:r>
      <w:r w:rsidRPr="0093455B">
        <w:rPr>
          <w:rFonts w:ascii="Calibri" w:hAnsi="Calibri"/>
          <w:sz w:val="22"/>
        </w:rPr>
        <w:t xml:space="preserve"> (2010), 'Pioglitazone and the risk of cardiovascular events in patients with Type 2 diabetes receiving concomitant treatment with nitrates, renin-angiotensin system blockers, or insulin: results from the PROactive study (PROactive 20)'. </w:t>
      </w:r>
      <w:r w:rsidRPr="0093455B">
        <w:rPr>
          <w:rFonts w:ascii="Calibri" w:hAnsi="Calibri"/>
          <w:i/>
          <w:sz w:val="22"/>
        </w:rPr>
        <w:t>Journal Of Diabetes</w:t>
      </w:r>
      <w:r w:rsidRPr="0093455B">
        <w:rPr>
          <w:rFonts w:ascii="Calibri" w:hAnsi="Calibri"/>
          <w:sz w:val="22"/>
        </w:rPr>
        <w:t>, 2(3): 212-20.</w:t>
      </w:r>
      <w:bookmarkEnd w:id="399"/>
    </w:p>
    <w:p w:rsidR="0093455B" w:rsidRPr="0093455B" w:rsidRDefault="0093455B" w:rsidP="0093455B">
      <w:pPr>
        <w:spacing w:after="0" w:line="240" w:lineRule="auto"/>
        <w:rPr>
          <w:rFonts w:ascii="Calibri" w:hAnsi="Calibri"/>
          <w:sz w:val="22"/>
        </w:rPr>
      </w:pPr>
      <w:bookmarkStart w:id="400" w:name="_ENREF_96"/>
      <w:r w:rsidRPr="0093455B">
        <w:rPr>
          <w:rFonts w:ascii="Calibri" w:hAnsi="Calibri"/>
          <w:sz w:val="22"/>
        </w:rPr>
        <w:t>96.  Herman, W.H.</w:t>
      </w:r>
      <w:r w:rsidRPr="0093455B">
        <w:rPr>
          <w:rFonts w:ascii="Calibri" w:hAnsi="Calibri"/>
          <w:i/>
          <w:sz w:val="22"/>
        </w:rPr>
        <w:t xml:space="preserve"> et al.</w:t>
      </w:r>
      <w:r w:rsidRPr="0093455B">
        <w:rPr>
          <w:rFonts w:ascii="Calibri" w:hAnsi="Calibri"/>
          <w:sz w:val="22"/>
        </w:rPr>
        <w:t xml:space="preserve"> (2011), 'Concomitant oral antihyperglycemic agent use and associated treatment outcomes after initiation of insulin therapy'. </w:t>
      </w:r>
      <w:r w:rsidRPr="0093455B">
        <w:rPr>
          <w:rFonts w:ascii="Calibri" w:hAnsi="Calibri"/>
          <w:i/>
          <w:sz w:val="22"/>
        </w:rPr>
        <w:t>Endocrine Practice</w:t>
      </w:r>
      <w:r w:rsidRPr="0093455B">
        <w:rPr>
          <w:rFonts w:ascii="Calibri" w:hAnsi="Calibri"/>
          <w:sz w:val="22"/>
        </w:rPr>
        <w:t>, 17(4): 563-7.</w:t>
      </w:r>
      <w:bookmarkEnd w:id="400"/>
    </w:p>
    <w:p w:rsidR="0093455B" w:rsidRPr="0093455B" w:rsidRDefault="0093455B" w:rsidP="0093455B">
      <w:pPr>
        <w:spacing w:after="0" w:line="240" w:lineRule="auto"/>
        <w:rPr>
          <w:rFonts w:ascii="Calibri" w:hAnsi="Calibri"/>
          <w:sz w:val="22"/>
        </w:rPr>
      </w:pPr>
      <w:bookmarkStart w:id="401" w:name="_ENREF_97"/>
      <w:r w:rsidRPr="0093455B">
        <w:rPr>
          <w:rFonts w:ascii="Calibri" w:hAnsi="Calibri"/>
          <w:sz w:val="22"/>
        </w:rPr>
        <w:t>97.  Chou, H.S.</w:t>
      </w:r>
      <w:r w:rsidRPr="0093455B">
        <w:rPr>
          <w:rFonts w:ascii="Calibri" w:hAnsi="Calibri"/>
          <w:i/>
          <w:sz w:val="22"/>
        </w:rPr>
        <w:t xml:space="preserve"> et al.</w:t>
      </w:r>
      <w:r w:rsidRPr="0093455B">
        <w:rPr>
          <w:rFonts w:ascii="Calibri" w:hAnsi="Calibri"/>
          <w:sz w:val="22"/>
        </w:rPr>
        <w:t xml:space="preserve"> (2012), 'A 26-week, placebo- and pioglitazone-controlled monotherapy study of rivoglitazone in subjects with type 2 diabetes mellitus'. </w:t>
      </w:r>
      <w:r w:rsidRPr="0093455B">
        <w:rPr>
          <w:rFonts w:ascii="Calibri" w:hAnsi="Calibri"/>
          <w:i/>
          <w:sz w:val="22"/>
        </w:rPr>
        <w:t>Diabetes, Obesity &amp; Metabolism</w:t>
      </w:r>
      <w:r w:rsidRPr="0093455B">
        <w:rPr>
          <w:rFonts w:ascii="Calibri" w:hAnsi="Calibri"/>
          <w:sz w:val="22"/>
        </w:rPr>
        <w:t>, 14(11): 1000-9.</w:t>
      </w:r>
      <w:bookmarkEnd w:id="401"/>
    </w:p>
    <w:p w:rsidR="0093455B" w:rsidRPr="0093455B" w:rsidRDefault="0093455B" w:rsidP="0093455B">
      <w:pPr>
        <w:spacing w:after="0" w:line="240" w:lineRule="auto"/>
        <w:rPr>
          <w:rFonts w:ascii="Calibri" w:hAnsi="Calibri"/>
          <w:sz w:val="22"/>
        </w:rPr>
      </w:pPr>
      <w:bookmarkStart w:id="402" w:name="_ENREF_98"/>
      <w:r w:rsidRPr="0093455B">
        <w:rPr>
          <w:rFonts w:ascii="Calibri" w:hAnsi="Calibri"/>
          <w:sz w:val="22"/>
        </w:rPr>
        <w:lastRenderedPageBreak/>
        <w:t>98.  Pan, C.Y.</w:t>
      </w:r>
      <w:r w:rsidRPr="0093455B">
        <w:rPr>
          <w:rFonts w:ascii="Calibri" w:hAnsi="Calibri"/>
          <w:i/>
          <w:sz w:val="22"/>
        </w:rPr>
        <w:t xml:space="preserve"> et al.</w:t>
      </w:r>
      <w:r w:rsidRPr="0093455B">
        <w:rPr>
          <w:rFonts w:ascii="Calibri" w:hAnsi="Calibri"/>
          <w:sz w:val="22"/>
        </w:rPr>
        <w:t xml:space="preserve"> (2012), 'Efficacy and safety of saxagliptin in drug-naive Asian patients with type 2 diabetes mellitus: a randomized controlled trial'. </w:t>
      </w:r>
      <w:r w:rsidRPr="0093455B">
        <w:rPr>
          <w:rFonts w:ascii="Calibri" w:hAnsi="Calibri"/>
          <w:i/>
          <w:sz w:val="22"/>
        </w:rPr>
        <w:t>Diabetes/Metabolism Research Reviews</w:t>
      </w:r>
      <w:r w:rsidRPr="0093455B">
        <w:rPr>
          <w:rFonts w:ascii="Calibri" w:hAnsi="Calibri"/>
          <w:sz w:val="22"/>
        </w:rPr>
        <w:t>, 28(3): 268-75.</w:t>
      </w:r>
      <w:bookmarkEnd w:id="402"/>
    </w:p>
    <w:p w:rsidR="0093455B" w:rsidRPr="0093455B" w:rsidRDefault="0093455B" w:rsidP="0093455B">
      <w:pPr>
        <w:spacing w:after="0" w:line="240" w:lineRule="auto"/>
        <w:rPr>
          <w:rFonts w:ascii="Calibri" w:hAnsi="Calibri"/>
          <w:sz w:val="22"/>
        </w:rPr>
      </w:pPr>
      <w:bookmarkStart w:id="403" w:name="_ENREF_99"/>
      <w:r w:rsidRPr="0093455B">
        <w:rPr>
          <w:rFonts w:ascii="Calibri" w:hAnsi="Calibri"/>
          <w:sz w:val="22"/>
        </w:rPr>
        <w:t>99.  Kahn, S.E.</w:t>
      </w:r>
      <w:r w:rsidRPr="0093455B">
        <w:rPr>
          <w:rFonts w:ascii="Calibri" w:hAnsi="Calibri"/>
          <w:i/>
          <w:sz w:val="22"/>
        </w:rPr>
        <w:t xml:space="preserve"> et al.</w:t>
      </w:r>
      <w:r w:rsidRPr="0093455B">
        <w:rPr>
          <w:rFonts w:ascii="Calibri" w:hAnsi="Calibri"/>
          <w:sz w:val="22"/>
        </w:rPr>
        <w:t xml:space="preserve"> (2006), 'Glycemic durability of rosiglitazone, metformin, or glyburide monotherapy'. </w:t>
      </w:r>
      <w:r w:rsidRPr="0093455B">
        <w:rPr>
          <w:rFonts w:ascii="Calibri" w:hAnsi="Calibri"/>
          <w:i/>
          <w:sz w:val="22"/>
        </w:rPr>
        <w:t>N Engl J Med</w:t>
      </w:r>
      <w:r w:rsidRPr="0093455B">
        <w:rPr>
          <w:rFonts w:ascii="Calibri" w:hAnsi="Calibri"/>
          <w:sz w:val="22"/>
        </w:rPr>
        <w:t>, 355(23): 2427-43.</w:t>
      </w:r>
      <w:bookmarkEnd w:id="403"/>
    </w:p>
    <w:p w:rsidR="0093455B" w:rsidRPr="0093455B" w:rsidRDefault="0093455B" w:rsidP="0093455B">
      <w:pPr>
        <w:spacing w:after="0" w:line="240" w:lineRule="auto"/>
        <w:rPr>
          <w:rFonts w:ascii="Calibri" w:hAnsi="Calibri"/>
          <w:sz w:val="22"/>
        </w:rPr>
      </w:pPr>
      <w:bookmarkStart w:id="404" w:name="_ENREF_100"/>
      <w:r w:rsidRPr="0093455B">
        <w:rPr>
          <w:rFonts w:ascii="Calibri" w:hAnsi="Calibri"/>
          <w:sz w:val="22"/>
        </w:rPr>
        <w:t>100.  Wright, A.D.</w:t>
      </w:r>
      <w:r w:rsidRPr="0093455B">
        <w:rPr>
          <w:rFonts w:ascii="Calibri" w:hAnsi="Calibri"/>
          <w:i/>
          <w:sz w:val="22"/>
        </w:rPr>
        <w:t xml:space="preserve"> et al.</w:t>
      </w:r>
      <w:r w:rsidRPr="0093455B">
        <w:rPr>
          <w:rFonts w:ascii="Calibri" w:hAnsi="Calibri"/>
          <w:sz w:val="22"/>
        </w:rPr>
        <w:t xml:space="preserve"> (2006), 'Hypoglycemia in Type 2 diabetic patients randomized to and maintained on monotherapy with diet, sulfonylurea, metformin, or insulin for 6 years from diagnosis: UKPDS73'. </w:t>
      </w:r>
      <w:r w:rsidRPr="0093455B">
        <w:rPr>
          <w:rFonts w:ascii="Calibri" w:hAnsi="Calibri"/>
          <w:i/>
          <w:sz w:val="22"/>
        </w:rPr>
        <w:t>J Diabetes Complications</w:t>
      </w:r>
      <w:r w:rsidRPr="0093455B">
        <w:rPr>
          <w:rFonts w:ascii="Calibri" w:hAnsi="Calibri"/>
          <w:sz w:val="22"/>
        </w:rPr>
        <w:t>, 20(6): 395-401.</w:t>
      </w:r>
      <w:bookmarkEnd w:id="404"/>
    </w:p>
    <w:p w:rsidR="0093455B" w:rsidRPr="0093455B" w:rsidRDefault="0093455B" w:rsidP="0093455B">
      <w:pPr>
        <w:spacing w:after="0" w:line="240" w:lineRule="auto"/>
        <w:rPr>
          <w:rFonts w:ascii="Calibri" w:hAnsi="Calibri"/>
          <w:sz w:val="22"/>
        </w:rPr>
      </w:pPr>
      <w:bookmarkStart w:id="405" w:name="_ENREF_101"/>
      <w:r w:rsidRPr="0093455B">
        <w:rPr>
          <w:rFonts w:ascii="Calibri" w:hAnsi="Calibri"/>
          <w:sz w:val="22"/>
        </w:rPr>
        <w:t>101.  Schernthaner, G.</w:t>
      </w:r>
      <w:r w:rsidRPr="0093455B">
        <w:rPr>
          <w:rFonts w:ascii="Calibri" w:hAnsi="Calibri"/>
          <w:i/>
          <w:sz w:val="22"/>
        </w:rPr>
        <w:t xml:space="preserve"> et al.</w:t>
      </w:r>
      <w:r w:rsidRPr="0093455B">
        <w:rPr>
          <w:rFonts w:ascii="Calibri" w:hAnsi="Calibri"/>
          <w:sz w:val="22"/>
        </w:rPr>
        <w:t xml:space="preserve"> (2004), 'Efficacy and safety of pioglitazone versus metformin in patients with type 2 diabetes mellitus: a double-blind, randomized trial'. </w:t>
      </w:r>
      <w:r w:rsidRPr="0093455B">
        <w:rPr>
          <w:rFonts w:ascii="Calibri" w:hAnsi="Calibri"/>
          <w:i/>
          <w:sz w:val="22"/>
        </w:rPr>
        <w:t>Journal of Clinical Endocrinology &amp; Metabolism</w:t>
      </w:r>
      <w:r w:rsidRPr="0093455B">
        <w:rPr>
          <w:rFonts w:ascii="Calibri" w:hAnsi="Calibri"/>
          <w:sz w:val="22"/>
        </w:rPr>
        <w:t>, 89(12): 6068-76.</w:t>
      </w:r>
      <w:bookmarkEnd w:id="405"/>
    </w:p>
    <w:p w:rsidR="0093455B" w:rsidRPr="0093455B" w:rsidRDefault="0093455B" w:rsidP="0093455B">
      <w:pPr>
        <w:spacing w:after="0" w:line="240" w:lineRule="auto"/>
        <w:rPr>
          <w:rFonts w:ascii="Calibri" w:hAnsi="Calibri"/>
          <w:sz w:val="22"/>
        </w:rPr>
      </w:pPr>
      <w:bookmarkStart w:id="406" w:name="_ENREF_102"/>
      <w:r w:rsidRPr="0093455B">
        <w:rPr>
          <w:rFonts w:ascii="Calibri" w:hAnsi="Calibri"/>
          <w:sz w:val="22"/>
        </w:rPr>
        <w:t>102.  Aschner, P.</w:t>
      </w:r>
      <w:r w:rsidRPr="0093455B">
        <w:rPr>
          <w:rFonts w:ascii="Calibri" w:hAnsi="Calibri"/>
          <w:i/>
          <w:sz w:val="22"/>
        </w:rPr>
        <w:t xml:space="preserve"> et al.</w:t>
      </w:r>
      <w:r w:rsidRPr="0093455B">
        <w:rPr>
          <w:rFonts w:ascii="Calibri" w:hAnsi="Calibri"/>
          <w:sz w:val="22"/>
        </w:rPr>
        <w:t xml:space="preserve"> (2010), 'Efficacy and safety of monotherapy of sitagliptin compared with metformin in patients with type 2 diabetes'. </w:t>
      </w:r>
      <w:r w:rsidRPr="0093455B">
        <w:rPr>
          <w:rFonts w:ascii="Calibri" w:hAnsi="Calibri"/>
          <w:i/>
          <w:sz w:val="22"/>
        </w:rPr>
        <w:t>Diabetes, Obesity &amp; Metabolism</w:t>
      </w:r>
      <w:r w:rsidRPr="0093455B">
        <w:rPr>
          <w:rFonts w:ascii="Calibri" w:hAnsi="Calibri"/>
          <w:sz w:val="22"/>
        </w:rPr>
        <w:t>, 12(3): 252-61.</w:t>
      </w:r>
      <w:bookmarkEnd w:id="406"/>
    </w:p>
    <w:p w:rsidR="0093455B" w:rsidRPr="0093455B" w:rsidRDefault="0093455B" w:rsidP="0093455B">
      <w:pPr>
        <w:spacing w:after="0" w:line="240" w:lineRule="auto"/>
        <w:rPr>
          <w:rFonts w:ascii="Calibri" w:hAnsi="Calibri"/>
          <w:sz w:val="22"/>
        </w:rPr>
      </w:pPr>
      <w:bookmarkStart w:id="407" w:name="_ENREF_103"/>
      <w:r w:rsidRPr="0093455B">
        <w:rPr>
          <w:rFonts w:ascii="Calibri" w:hAnsi="Calibri"/>
          <w:sz w:val="22"/>
        </w:rPr>
        <w:t>103.  Bosi, E.</w:t>
      </w:r>
      <w:r w:rsidRPr="0093455B">
        <w:rPr>
          <w:rFonts w:ascii="Calibri" w:hAnsi="Calibri"/>
          <w:i/>
          <w:sz w:val="22"/>
        </w:rPr>
        <w:t xml:space="preserve"> et al.</w:t>
      </w:r>
      <w:r w:rsidRPr="0093455B">
        <w:rPr>
          <w:rFonts w:ascii="Calibri" w:hAnsi="Calibri"/>
          <w:sz w:val="22"/>
        </w:rPr>
        <w:t xml:space="preserve"> (2009), 'Vildagliptin plus metformin combination therapy provides superior glycaemic control to individual monotherapy in treatment-naive patients with type 2 diabetes mellitus'. </w:t>
      </w:r>
      <w:r w:rsidRPr="0093455B">
        <w:rPr>
          <w:rFonts w:ascii="Calibri" w:hAnsi="Calibri"/>
          <w:i/>
          <w:sz w:val="22"/>
        </w:rPr>
        <w:t>Diabetes Obes Metab</w:t>
      </w:r>
      <w:r w:rsidRPr="0093455B">
        <w:rPr>
          <w:rFonts w:ascii="Calibri" w:hAnsi="Calibri"/>
          <w:sz w:val="22"/>
        </w:rPr>
        <w:t>, 11(5): 506-15.</w:t>
      </w:r>
      <w:bookmarkEnd w:id="407"/>
    </w:p>
    <w:p w:rsidR="0093455B" w:rsidRPr="0093455B" w:rsidRDefault="0093455B" w:rsidP="0093455B">
      <w:pPr>
        <w:spacing w:after="0" w:line="240" w:lineRule="auto"/>
        <w:rPr>
          <w:rFonts w:ascii="Calibri" w:hAnsi="Calibri"/>
          <w:sz w:val="22"/>
        </w:rPr>
      </w:pPr>
      <w:bookmarkStart w:id="408" w:name="_ENREF_104"/>
      <w:r w:rsidRPr="0093455B">
        <w:rPr>
          <w:rFonts w:ascii="Calibri" w:hAnsi="Calibri"/>
          <w:sz w:val="22"/>
        </w:rPr>
        <w:t>104.  Jadzinsky, M.</w:t>
      </w:r>
      <w:r w:rsidRPr="0093455B">
        <w:rPr>
          <w:rFonts w:ascii="Calibri" w:hAnsi="Calibri"/>
          <w:i/>
          <w:sz w:val="22"/>
        </w:rPr>
        <w:t xml:space="preserve"> et al.</w:t>
      </w:r>
      <w:r w:rsidRPr="0093455B">
        <w:rPr>
          <w:rFonts w:ascii="Calibri" w:hAnsi="Calibri"/>
          <w:sz w:val="22"/>
        </w:rPr>
        <w:t xml:space="preserve"> (2009), 'Saxagliptin given in combination with metformin as initial therapy improves glycaemic control in patients with type 2 diabetes compared with either monotherapy: a randomized controlled trial'. </w:t>
      </w:r>
      <w:r w:rsidRPr="0093455B">
        <w:rPr>
          <w:rFonts w:ascii="Calibri" w:hAnsi="Calibri"/>
          <w:i/>
          <w:sz w:val="22"/>
        </w:rPr>
        <w:t>Diabetes, Obesity &amp; Metabolism</w:t>
      </w:r>
      <w:r w:rsidRPr="0093455B">
        <w:rPr>
          <w:rFonts w:ascii="Calibri" w:hAnsi="Calibri"/>
          <w:sz w:val="22"/>
        </w:rPr>
        <w:t>, 11(6): 611-22.</w:t>
      </w:r>
      <w:bookmarkEnd w:id="408"/>
    </w:p>
    <w:p w:rsidR="0093455B" w:rsidRPr="0093455B" w:rsidRDefault="0093455B" w:rsidP="0093455B">
      <w:pPr>
        <w:spacing w:after="0" w:line="240" w:lineRule="auto"/>
        <w:rPr>
          <w:rFonts w:ascii="Calibri" w:hAnsi="Calibri"/>
          <w:sz w:val="22"/>
        </w:rPr>
      </w:pPr>
      <w:bookmarkStart w:id="409" w:name="_ENREF_105"/>
      <w:r w:rsidRPr="0093455B">
        <w:rPr>
          <w:rFonts w:ascii="Calibri" w:hAnsi="Calibri"/>
          <w:sz w:val="22"/>
        </w:rPr>
        <w:t>105.  Pfutzner, A.</w:t>
      </w:r>
      <w:r w:rsidRPr="0093455B">
        <w:rPr>
          <w:rFonts w:ascii="Calibri" w:hAnsi="Calibri"/>
          <w:i/>
          <w:sz w:val="22"/>
        </w:rPr>
        <w:t xml:space="preserve"> et al.</w:t>
      </w:r>
      <w:r w:rsidRPr="0093455B">
        <w:rPr>
          <w:rFonts w:ascii="Calibri" w:hAnsi="Calibri"/>
          <w:sz w:val="22"/>
        </w:rPr>
        <w:t xml:space="preserve"> (2011), 'Initial combination therapy with saxagliptin and metformin provides sustained glycaemic control and is well tolerated for up to 76 weeks'. </w:t>
      </w:r>
      <w:r w:rsidRPr="0093455B">
        <w:rPr>
          <w:rFonts w:ascii="Calibri" w:hAnsi="Calibri"/>
          <w:i/>
          <w:sz w:val="22"/>
        </w:rPr>
        <w:t>Diabetes, Obesity &amp; Metabolism</w:t>
      </w:r>
      <w:r w:rsidRPr="0093455B">
        <w:rPr>
          <w:rFonts w:ascii="Calibri" w:hAnsi="Calibri"/>
          <w:sz w:val="22"/>
        </w:rPr>
        <w:t>, 13(6): 567-76.</w:t>
      </w:r>
      <w:bookmarkEnd w:id="409"/>
    </w:p>
    <w:p w:rsidR="0093455B" w:rsidRPr="0093455B" w:rsidRDefault="0093455B" w:rsidP="0093455B">
      <w:pPr>
        <w:spacing w:after="0" w:line="240" w:lineRule="auto"/>
        <w:rPr>
          <w:rFonts w:ascii="Calibri" w:hAnsi="Calibri"/>
          <w:sz w:val="22"/>
        </w:rPr>
      </w:pPr>
      <w:bookmarkStart w:id="410" w:name="_ENREF_106"/>
      <w:r w:rsidRPr="0093455B">
        <w:rPr>
          <w:rFonts w:ascii="Calibri" w:hAnsi="Calibri"/>
          <w:sz w:val="22"/>
        </w:rPr>
        <w:t>106.  Schweizer, A.</w:t>
      </w:r>
      <w:r w:rsidRPr="0093455B">
        <w:rPr>
          <w:rFonts w:ascii="Calibri" w:hAnsi="Calibri"/>
          <w:i/>
          <w:sz w:val="22"/>
        </w:rPr>
        <w:t xml:space="preserve"> et al.</w:t>
      </w:r>
      <w:r w:rsidRPr="0093455B">
        <w:rPr>
          <w:rFonts w:ascii="Calibri" w:hAnsi="Calibri"/>
          <w:sz w:val="22"/>
        </w:rPr>
        <w:t xml:space="preserve"> (2007), 'Comparison between vildagliptin and metformin to sustain reductions in HbA </w:t>
      </w:r>
      <w:r w:rsidRPr="0093455B">
        <w:rPr>
          <w:rFonts w:ascii="Calibri" w:hAnsi="Calibri"/>
          <w:sz w:val="22"/>
          <w:vertAlign w:val="subscript"/>
        </w:rPr>
        <w:t>1c</w:t>
      </w:r>
      <w:r w:rsidRPr="0093455B">
        <w:rPr>
          <w:rFonts w:ascii="Calibri" w:hAnsi="Calibri"/>
          <w:sz w:val="22"/>
        </w:rPr>
        <w:t xml:space="preserve"> over 1 year in drug-naive patients with Type 2 diabetes'. </w:t>
      </w:r>
      <w:r w:rsidRPr="0093455B">
        <w:rPr>
          <w:rFonts w:ascii="Calibri" w:hAnsi="Calibri"/>
          <w:i/>
          <w:sz w:val="22"/>
        </w:rPr>
        <w:t>Diabetic Medicine</w:t>
      </w:r>
      <w:r w:rsidRPr="0093455B">
        <w:rPr>
          <w:rFonts w:ascii="Calibri" w:hAnsi="Calibri"/>
          <w:sz w:val="22"/>
        </w:rPr>
        <w:t>, 24(9): 955-61.</w:t>
      </w:r>
      <w:bookmarkEnd w:id="410"/>
    </w:p>
    <w:p w:rsidR="0093455B" w:rsidRPr="0093455B" w:rsidRDefault="0093455B" w:rsidP="0093455B">
      <w:pPr>
        <w:spacing w:after="0" w:line="240" w:lineRule="auto"/>
        <w:rPr>
          <w:rFonts w:ascii="Calibri" w:hAnsi="Calibri"/>
          <w:sz w:val="22"/>
        </w:rPr>
      </w:pPr>
      <w:bookmarkStart w:id="411" w:name="_ENREF_107"/>
      <w:r w:rsidRPr="0093455B">
        <w:rPr>
          <w:rFonts w:ascii="Calibri" w:hAnsi="Calibri"/>
          <w:sz w:val="22"/>
        </w:rPr>
        <w:t>107.  Jain, R.</w:t>
      </w:r>
      <w:r w:rsidRPr="0093455B">
        <w:rPr>
          <w:rFonts w:ascii="Calibri" w:hAnsi="Calibri"/>
          <w:i/>
          <w:sz w:val="22"/>
        </w:rPr>
        <w:t xml:space="preserve"> et al.</w:t>
      </w:r>
      <w:r w:rsidRPr="0093455B">
        <w:rPr>
          <w:rFonts w:ascii="Calibri" w:hAnsi="Calibri"/>
          <w:sz w:val="22"/>
        </w:rPr>
        <w:t xml:space="preserve"> (2006), 'Long-term safety of pioglitazone versus glyburide in patients with recently diagnosed type 2 diabetes mellitus'. </w:t>
      </w:r>
      <w:r w:rsidRPr="0093455B">
        <w:rPr>
          <w:rFonts w:ascii="Calibri" w:hAnsi="Calibri"/>
          <w:i/>
          <w:sz w:val="22"/>
        </w:rPr>
        <w:t>Pharmacotherapy</w:t>
      </w:r>
      <w:r w:rsidRPr="0093455B">
        <w:rPr>
          <w:rFonts w:ascii="Calibri" w:hAnsi="Calibri"/>
          <w:sz w:val="22"/>
        </w:rPr>
        <w:t>, 26(10): 1388-95.</w:t>
      </w:r>
      <w:bookmarkEnd w:id="411"/>
    </w:p>
    <w:p w:rsidR="0093455B" w:rsidRPr="0093455B" w:rsidRDefault="0093455B" w:rsidP="0093455B">
      <w:pPr>
        <w:spacing w:after="0" w:line="240" w:lineRule="auto"/>
        <w:rPr>
          <w:rFonts w:ascii="Calibri" w:hAnsi="Calibri"/>
          <w:sz w:val="22"/>
        </w:rPr>
      </w:pPr>
      <w:bookmarkStart w:id="412" w:name="_ENREF_108"/>
      <w:r w:rsidRPr="0093455B">
        <w:rPr>
          <w:rFonts w:ascii="Calibri" w:hAnsi="Calibri"/>
          <w:sz w:val="22"/>
        </w:rPr>
        <w:t>108.  Tolman, K.G.</w:t>
      </w:r>
      <w:r w:rsidRPr="0093455B">
        <w:rPr>
          <w:rFonts w:ascii="Calibri" w:hAnsi="Calibri"/>
          <w:i/>
          <w:sz w:val="22"/>
        </w:rPr>
        <w:t xml:space="preserve"> et al.</w:t>
      </w:r>
      <w:r w:rsidRPr="0093455B">
        <w:rPr>
          <w:rFonts w:ascii="Calibri" w:hAnsi="Calibri"/>
          <w:sz w:val="22"/>
        </w:rPr>
        <w:t xml:space="preserve"> (2009), 'Liver safety in patients with type 2 diabetes treated with pioglitazone: results from a 3-year, randomized, comparator-controlled study in the US'. </w:t>
      </w:r>
      <w:r w:rsidRPr="0093455B">
        <w:rPr>
          <w:rFonts w:ascii="Calibri" w:hAnsi="Calibri"/>
          <w:i/>
          <w:sz w:val="22"/>
        </w:rPr>
        <w:t>Drug Saf</w:t>
      </w:r>
      <w:r w:rsidRPr="0093455B">
        <w:rPr>
          <w:rFonts w:ascii="Calibri" w:hAnsi="Calibri"/>
          <w:sz w:val="22"/>
        </w:rPr>
        <w:t>, 32(9): 787-800.</w:t>
      </w:r>
      <w:bookmarkEnd w:id="412"/>
    </w:p>
    <w:p w:rsidR="0093455B" w:rsidRPr="0093455B" w:rsidRDefault="0093455B" w:rsidP="0093455B">
      <w:pPr>
        <w:spacing w:after="0" w:line="240" w:lineRule="auto"/>
        <w:rPr>
          <w:rFonts w:ascii="Calibri" w:hAnsi="Calibri"/>
          <w:sz w:val="22"/>
        </w:rPr>
      </w:pPr>
      <w:bookmarkStart w:id="413" w:name="_ENREF_109"/>
      <w:r w:rsidRPr="0093455B">
        <w:rPr>
          <w:rFonts w:ascii="Calibri" w:hAnsi="Calibri"/>
          <w:sz w:val="22"/>
        </w:rPr>
        <w:t xml:space="preserve">109.  Foley, J.E. and Sreenan, S. (2009), 'Efficacy and safety comparison between the DPP-4 inhibitor vildagliptin and the sulfonylurea gliclazide after two years of monotherapy in drug-naive patients with type 2 diabetes.[Erratum appears in Horm Metab Res. 2009 Dec;41(12):909]'. </w:t>
      </w:r>
      <w:r w:rsidRPr="0093455B">
        <w:rPr>
          <w:rFonts w:ascii="Calibri" w:hAnsi="Calibri"/>
          <w:i/>
          <w:sz w:val="22"/>
        </w:rPr>
        <w:t>Hormone &amp; Metabolic Research</w:t>
      </w:r>
      <w:r w:rsidRPr="0093455B">
        <w:rPr>
          <w:rFonts w:ascii="Calibri" w:hAnsi="Calibri"/>
          <w:sz w:val="22"/>
        </w:rPr>
        <w:t>, 41(12): 905-9.</w:t>
      </w:r>
      <w:bookmarkEnd w:id="413"/>
    </w:p>
    <w:p w:rsidR="0093455B" w:rsidRPr="0093455B" w:rsidRDefault="0093455B" w:rsidP="0093455B">
      <w:pPr>
        <w:spacing w:after="0" w:line="240" w:lineRule="auto"/>
        <w:rPr>
          <w:rFonts w:ascii="Calibri" w:hAnsi="Calibri"/>
          <w:sz w:val="22"/>
        </w:rPr>
      </w:pPr>
      <w:bookmarkStart w:id="414" w:name="_ENREF_110"/>
      <w:r w:rsidRPr="0093455B">
        <w:rPr>
          <w:rFonts w:ascii="Calibri" w:hAnsi="Calibri"/>
          <w:sz w:val="22"/>
        </w:rPr>
        <w:t>110.  Pan, C.</w:t>
      </w:r>
      <w:r w:rsidRPr="0093455B">
        <w:rPr>
          <w:rFonts w:ascii="Calibri" w:hAnsi="Calibri"/>
          <w:i/>
          <w:sz w:val="22"/>
        </w:rPr>
        <w:t xml:space="preserve"> et al.</w:t>
      </w:r>
      <w:r w:rsidRPr="0093455B">
        <w:rPr>
          <w:rFonts w:ascii="Calibri" w:hAnsi="Calibri"/>
          <w:sz w:val="22"/>
        </w:rPr>
        <w:t xml:space="preserve"> (2008), 'Comparison of vildagliptin and acarbose monotherapy in patients with Type 2 diabetes: a 24-week, double-blind, randomized trial'. </w:t>
      </w:r>
      <w:r w:rsidRPr="0093455B">
        <w:rPr>
          <w:rFonts w:ascii="Calibri" w:hAnsi="Calibri"/>
          <w:i/>
          <w:sz w:val="22"/>
        </w:rPr>
        <w:t>Diabetic Medicine</w:t>
      </w:r>
      <w:r w:rsidRPr="0093455B">
        <w:rPr>
          <w:rFonts w:ascii="Calibri" w:hAnsi="Calibri"/>
          <w:sz w:val="22"/>
        </w:rPr>
        <w:t>, 25(4): 435-41.</w:t>
      </w:r>
      <w:bookmarkEnd w:id="414"/>
    </w:p>
    <w:p w:rsidR="0093455B" w:rsidRPr="0093455B" w:rsidRDefault="0093455B" w:rsidP="0093455B">
      <w:pPr>
        <w:spacing w:after="0" w:line="240" w:lineRule="auto"/>
        <w:rPr>
          <w:rFonts w:ascii="Calibri" w:hAnsi="Calibri"/>
          <w:sz w:val="22"/>
        </w:rPr>
      </w:pPr>
      <w:bookmarkStart w:id="415" w:name="_ENREF_111"/>
      <w:r w:rsidRPr="0093455B">
        <w:rPr>
          <w:rFonts w:ascii="Calibri" w:hAnsi="Calibri"/>
          <w:sz w:val="22"/>
        </w:rPr>
        <w:t>111.  Goldberg, R.B.</w:t>
      </w:r>
      <w:r w:rsidRPr="0093455B">
        <w:rPr>
          <w:rFonts w:ascii="Calibri" w:hAnsi="Calibri"/>
          <w:i/>
          <w:sz w:val="22"/>
        </w:rPr>
        <w:t xml:space="preserve"> et al.</w:t>
      </w:r>
      <w:r w:rsidRPr="0093455B">
        <w:rPr>
          <w:rFonts w:ascii="Calibri" w:hAnsi="Calibri"/>
          <w:sz w:val="22"/>
        </w:rPr>
        <w:t xml:space="preserve"> (2005), 'A comparison of lipid and glycemic effects of pioglitazone and rosiglitazone in patients with type 2 diabetes and dyslipidemia'. </w:t>
      </w:r>
      <w:r w:rsidRPr="0093455B">
        <w:rPr>
          <w:rFonts w:ascii="Calibri" w:hAnsi="Calibri"/>
          <w:i/>
          <w:sz w:val="22"/>
        </w:rPr>
        <w:t>Diabetes Care</w:t>
      </w:r>
      <w:r w:rsidRPr="0093455B">
        <w:rPr>
          <w:rFonts w:ascii="Calibri" w:hAnsi="Calibri"/>
          <w:sz w:val="22"/>
        </w:rPr>
        <w:t>, 28(7): 1547-54.</w:t>
      </w:r>
      <w:bookmarkEnd w:id="415"/>
    </w:p>
    <w:p w:rsidR="0093455B" w:rsidRPr="0093455B" w:rsidRDefault="0093455B" w:rsidP="0093455B">
      <w:pPr>
        <w:spacing w:after="0" w:line="240" w:lineRule="auto"/>
        <w:rPr>
          <w:rFonts w:ascii="Calibri" w:hAnsi="Calibri"/>
          <w:sz w:val="22"/>
        </w:rPr>
      </w:pPr>
      <w:bookmarkStart w:id="416" w:name="_ENREF_112"/>
      <w:r w:rsidRPr="0093455B">
        <w:rPr>
          <w:rFonts w:ascii="Calibri" w:hAnsi="Calibri"/>
          <w:sz w:val="22"/>
        </w:rPr>
        <w:t>112.  Rosenstock, J.</w:t>
      </w:r>
      <w:r w:rsidRPr="0093455B">
        <w:rPr>
          <w:rFonts w:ascii="Calibri" w:hAnsi="Calibri"/>
          <w:i/>
          <w:sz w:val="22"/>
        </w:rPr>
        <w:t xml:space="preserve"> et al.</w:t>
      </w:r>
      <w:r w:rsidRPr="0093455B">
        <w:rPr>
          <w:rFonts w:ascii="Calibri" w:hAnsi="Calibri"/>
          <w:sz w:val="22"/>
        </w:rPr>
        <w:t xml:space="preserve"> (2007), 'Comparison of Vildagliptin and Rosiglitazone Monotherapy in Patients With Type 2 Diabetes: A 24-week, double-blind, randomized trial'. </w:t>
      </w:r>
      <w:r w:rsidRPr="0093455B">
        <w:rPr>
          <w:rFonts w:ascii="Calibri" w:hAnsi="Calibri"/>
          <w:i/>
          <w:sz w:val="22"/>
        </w:rPr>
        <w:t>Diabetes Care</w:t>
      </w:r>
      <w:r w:rsidRPr="0093455B">
        <w:rPr>
          <w:rFonts w:ascii="Calibri" w:hAnsi="Calibri"/>
          <w:sz w:val="22"/>
        </w:rPr>
        <w:t>, 30(2): 217-23.</w:t>
      </w:r>
      <w:bookmarkEnd w:id="416"/>
    </w:p>
    <w:p w:rsidR="0093455B" w:rsidRPr="0093455B" w:rsidRDefault="0093455B" w:rsidP="0093455B">
      <w:pPr>
        <w:spacing w:after="0" w:line="240" w:lineRule="auto"/>
        <w:rPr>
          <w:rFonts w:ascii="Calibri" w:hAnsi="Calibri"/>
          <w:sz w:val="22"/>
        </w:rPr>
      </w:pPr>
      <w:bookmarkStart w:id="417" w:name="_ENREF_113"/>
      <w:r w:rsidRPr="0093455B">
        <w:rPr>
          <w:rFonts w:ascii="Calibri" w:hAnsi="Calibri"/>
          <w:sz w:val="22"/>
        </w:rPr>
        <w:t xml:space="preserve">113.  Rosenstock, J., Niggli, M. and Maldonado-Lutomirsky, M. (2009), 'Long-term 2-year safety and efficacy of vildagliptin compared with rosiglitazone in drug-naive patients with Type 2 diabetes mellitus'. </w:t>
      </w:r>
      <w:r w:rsidRPr="0093455B">
        <w:rPr>
          <w:rFonts w:ascii="Calibri" w:hAnsi="Calibri"/>
          <w:i/>
          <w:sz w:val="22"/>
        </w:rPr>
        <w:t>Diabetes, Obesity and Metabolism</w:t>
      </w:r>
      <w:r w:rsidRPr="0093455B">
        <w:rPr>
          <w:rFonts w:ascii="Calibri" w:hAnsi="Calibri"/>
          <w:sz w:val="22"/>
        </w:rPr>
        <w:t>, 11(6): 571-8.</w:t>
      </w:r>
      <w:bookmarkEnd w:id="417"/>
    </w:p>
    <w:p w:rsidR="0093455B" w:rsidRPr="0093455B" w:rsidRDefault="0093455B" w:rsidP="0093455B">
      <w:pPr>
        <w:spacing w:after="0" w:line="240" w:lineRule="auto"/>
        <w:rPr>
          <w:rFonts w:ascii="Calibri" w:hAnsi="Calibri"/>
          <w:sz w:val="22"/>
        </w:rPr>
      </w:pPr>
      <w:bookmarkStart w:id="418" w:name="_ENREF_114"/>
      <w:r w:rsidRPr="0093455B">
        <w:rPr>
          <w:rFonts w:ascii="Calibri" w:hAnsi="Calibri"/>
          <w:sz w:val="22"/>
        </w:rPr>
        <w:t>114.  Bailey, C.J.</w:t>
      </w:r>
      <w:r w:rsidRPr="0093455B">
        <w:rPr>
          <w:rFonts w:ascii="Calibri" w:hAnsi="Calibri"/>
          <w:i/>
          <w:sz w:val="22"/>
        </w:rPr>
        <w:t xml:space="preserve"> et al.</w:t>
      </w:r>
      <w:r w:rsidRPr="0093455B">
        <w:rPr>
          <w:rFonts w:ascii="Calibri" w:hAnsi="Calibri"/>
          <w:sz w:val="22"/>
        </w:rPr>
        <w:t xml:space="preserve"> (2005), 'Rosiglitazone/metformin fixed-dose combination compared with uptitrated metformin alone in type 2 diabetes mellitus: a 24-week, multicenter, randomized, double-blind, parallel-group study'. </w:t>
      </w:r>
      <w:r w:rsidRPr="0093455B">
        <w:rPr>
          <w:rFonts w:ascii="Calibri" w:hAnsi="Calibri"/>
          <w:i/>
          <w:sz w:val="22"/>
        </w:rPr>
        <w:t>Clin Ther</w:t>
      </w:r>
      <w:r w:rsidRPr="0093455B">
        <w:rPr>
          <w:rFonts w:ascii="Calibri" w:hAnsi="Calibri"/>
          <w:sz w:val="22"/>
        </w:rPr>
        <w:t>, 27(10): 1548-61.</w:t>
      </w:r>
      <w:bookmarkEnd w:id="418"/>
    </w:p>
    <w:p w:rsidR="0093455B" w:rsidRPr="0093455B" w:rsidRDefault="0093455B" w:rsidP="0093455B">
      <w:pPr>
        <w:spacing w:after="0" w:line="240" w:lineRule="auto"/>
        <w:rPr>
          <w:rFonts w:ascii="Calibri" w:hAnsi="Calibri"/>
          <w:sz w:val="22"/>
        </w:rPr>
      </w:pPr>
      <w:bookmarkStart w:id="419" w:name="_ENREF_115"/>
      <w:r w:rsidRPr="0093455B">
        <w:rPr>
          <w:rFonts w:ascii="Calibri" w:hAnsi="Calibri"/>
          <w:sz w:val="22"/>
        </w:rPr>
        <w:t>115.  Borges, J.L.</w:t>
      </w:r>
      <w:r w:rsidRPr="0093455B">
        <w:rPr>
          <w:rFonts w:ascii="Calibri" w:hAnsi="Calibri"/>
          <w:i/>
          <w:sz w:val="22"/>
        </w:rPr>
        <w:t xml:space="preserve"> et al.</w:t>
      </w:r>
      <w:r w:rsidRPr="0093455B">
        <w:rPr>
          <w:rFonts w:ascii="Calibri" w:hAnsi="Calibri"/>
          <w:sz w:val="22"/>
        </w:rPr>
        <w:t xml:space="preserve"> (2011), 'A randomized, parallel group, double-blind, multicentre study comparing the efficacy and safety of Avandamet (rosiglitazone/metformin) and metformin on long-term glycaemic control and bone mineral density after 80 weeks of treatment in drug-naive type 2 diabetes mellitus patients'. </w:t>
      </w:r>
      <w:r w:rsidRPr="0093455B">
        <w:rPr>
          <w:rFonts w:ascii="Calibri" w:hAnsi="Calibri"/>
          <w:i/>
          <w:sz w:val="22"/>
        </w:rPr>
        <w:t>Diabetes, Obesity &amp; Metabolism</w:t>
      </w:r>
      <w:r w:rsidRPr="0093455B">
        <w:rPr>
          <w:rFonts w:ascii="Calibri" w:hAnsi="Calibri"/>
          <w:sz w:val="22"/>
        </w:rPr>
        <w:t>, 13(11): 1036-46.</w:t>
      </w:r>
      <w:bookmarkEnd w:id="419"/>
    </w:p>
    <w:p w:rsidR="0093455B" w:rsidRPr="0093455B" w:rsidRDefault="0093455B" w:rsidP="0093455B">
      <w:pPr>
        <w:spacing w:after="0" w:line="240" w:lineRule="auto"/>
        <w:rPr>
          <w:rFonts w:ascii="Calibri" w:hAnsi="Calibri"/>
          <w:sz w:val="22"/>
        </w:rPr>
      </w:pPr>
      <w:bookmarkStart w:id="420" w:name="_ENREF_116"/>
      <w:r w:rsidRPr="0093455B">
        <w:rPr>
          <w:rFonts w:ascii="Calibri" w:hAnsi="Calibri"/>
          <w:sz w:val="22"/>
        </w:rPr>
        <w:lastRenderedPageBreak/>
        <w:t>116.  Stewart, M.W.</w:t>
      </w:r>
      <w:r w:rsidRPr="0093455B">
        <w:rPr>
          <w:rFonts w:ascii="Calibri" w:hAnsi="Calibri"/>
          <w:i/>
          <w:sz w:val="22"/>
        </w:rPr>
        <w:t xml:space="preserve"> et al.</w:t>
      </w:r>
      <w:r w:rsidRPr="0093455B">
        <w:rPr>
          <w:rFonts w:ascii="Calibri" w:hAnsi="Calibri"/>
          <w:sz w:val="22"/>
        </w:rPr>
        <w:t xml:space="preserve"> (2006), 'Effect of metformin plus roziglitazone compared with metformin alone on glycaemic control in well-controlled Type 2 diabetes'. </w:t>
      </w:r>
      <w:r w:rsidRPr="0093455B">
        <w:rPr>
          <w:rFonts w:ascii="Calibri" w:hAnsi="Calibri"/>
          <w:i/>
          <w:sz w:val="22"/>
        </w:rPr>
        <w:t>Diabetic Medicine</w:t>
      </w:r>
      <w:r w:rsidRPr="0093455B">
        <w:rPr>
          <w:rFonts w:ascii="Calibri" w:hAnsi="Calibri"/>
          <w:sz w:val="22"/>
        </w:rPr>
        <w:t>, 23(10): 1069-78.</w:t>
      </w:r>
      <w:bookmarkEnd w:id="420"/>
    </w:p>
    <w:p w:rsidR="0093455B" w:rsidRPr="0093455B" w:rsidRDefault="0093455B" w:rsidP="0093455B">
      <w:pPr>
        <w:spacing w:after="0" w:line="240" w:lineRule="auto"/>
        <w:rPr>
          <w:rFonts w:ascii="Calibri" w:hAnsi="Calibri"/>
          <w:sz w:val="22"/>
        </w:rPr>
      </w:pPr>
      <w:bookmarkStart w:id="421" w:name="_ENREF_117"/>
      <w:r w:rsidRPr="0093455B">
        <w:rPr>
          <w:rFonts w:ascii="Calibri" w:hAnsi="Calibri"/>
          <w:sz w:val="22"/>
        </w:rPr>
        <w:t>117.  Weissman, P.</w:t>
      </w:r>
      <w:r w:rsidRPr="0093455B">
        <w:rPr>
          <w:rFonts w:ascii="Calibri" w:hAnsi="Calibri"/>
          <w:i/>
          <w:sz w:val="22"/>
        </w:rPr>
        <w:t xml:space="preserve"> et al.</w:t>
      </w:r>
      <w:r w:rsidRPr="0093455B">
        <w:rPr>
          <w:rFonts w:ascii="Calibri" w:hAnsi="Calibri"/>
          <w:sz w:val="22"/>
        </w:rPr>
        <w:t xml:space="preserve"> (2005), 'Effects of rosiglitazone added to submaximal doses of metformin compared with dose escalation of metformin in type 2 diabetes: the EMPIRE Study'. </w:t>
      </w:r>
      <w:r w:rsidRPr="0093455B">
        <w:rPr>
          <w:rFonts w:ascii="Calibri" w:hAnsi="Calibri"/>
          <w:i/>
          <w:sz w:val="22"/>
        </w:rPr>
        <w:t>Curr Med Res Opin</w:t>
      </w:r>
      <w:r w:rsidRPr="0093455B">
        <w:rPr>
          <w:rFonts w:ascii="Calibri" w:hAnsi="Calibri"/>
          <w:sz w:val="22"/>
        </w:rPr>
        <w:t>, 21(12): 2029-35.</w:t>
      </w:r>
      <w:bookmarkEnd w:id="421"/>
    </w:p>
    <w:p w:rsidR="0093455B" w:rsidRPr="0093455B" w:rsidRDefault="0093455B" w:rsidP="0093455B">
      <w:pPr>
        <w:spacing w:after="0" w:line="240" w:lineRule="auto"/>
        <w:rPr>
          <w:rFonts w:ascii="Calibri" w:hAnsi="Calibri"/>
          <w:sz w:val="22"/>
        </w:rPr>
      </w:pPr>
      <w:bookmarkStart w:id="422" w:name="_ENREF_118"/>
      <w:r w:rsidRPr="0093455B">
        <w:rPr>
          <w:rFonts w:ascii="Calibri" w:hAnsi="Calibri"/>
          <w:sz w:val="22"/>
        </w:rPr>
        <w:t>118.  Charbonnel, B.</w:t>
      </w:r>
      <w:r w:rsidRPr="0093455B">
        <w:rPr>
          <w:rFonts w:ascii="Calibri" w:hAnsi="Calibri"/>
          <w:i/>
          <w:sz w:val="22"/>
        </w:rPr>
        <w:t xml:space="preserve"> et al.</w:t>
      </w:r>
      <w:r w:rsidRPr="0093455B">
        <w:rPr>
          <w:rFonts w:ascii="Calibri" w:hAnsi="Calibri"/>
          <w:sz w:val="22"/>
        </w:rPr>
        <w:t xml:space="preserve"> (2006), 'Efficacy and safety of the dipeptidyl peptidase-4 inhibitor sitagliptin added to ongoing metformin therapy in patients with type 2 diabetes inadequately controlled with metformin alone'. </w:t>
      </w:r>
      <w:r w:rsidRPr="0093455B">
        <w:rPr>
          <w:rFonts w:ascii="Calibri" w:hAnsi="Calibri"/>
          <w:i/>
          <w:sz w:val="22"/>
        </w:rPr>
        <w:t>Diabetes Care</w:t>
      </w:r>
      <w:r w:rsidRPr="0093455B">
        <w:rPr>
          <w:rFonts w:ascii="Calibri" w:hAnsi="Calibri"/>
          <w:sz w:val="22"/>
        </w:rPr>
        <w:t>, 29(12): 2638-43.</w:t>
      </w:r>
      <w:bookmarkEnd w:id="422"/>
    </w:p>
    <w:p w:rsidR="0093455B" w:rsidRPr="0093455B" w:rsidRDefault="0093455B" w:rsidP="0093455B">
      <w:pPr>
        <w:spacing w:after="0" w:line="240" w:lineRule="auto"/>
        <w:rPr>
          <w:rFonts w:ascii="Calibri" w:hAnsi="Calibri"/>
          <w:sz w:val="22"/>
        </w:rPr>
      </w:pPr>
      <w:bookmarkStart w:id="423" w:name="_ENREF_119"/>
      <w:r w:rsidRPr="0093455B">
        <w:rPr>
          <w:rFonts w:ascii="Calibri" w:hAnsi="Calibri"/>
          <w:sz w:val="22"/>
        </w:rPr>
        <w:t xml:space="preserve">119.  Filozof, C., Schwartz, S. and Foley, J.E. (2010), 'Effect of vildagliptin as add-on therapy to a low-dose metformin'. </w:t>
      </w:r>
      <w:r w:rsidRPr="0093455B">
        <w:rPr>
          <w:rFonts w:ascii="Calibri" w:hAnsi="Calibri"/>
          <w:i/>
          <w:sz w:val="22"/>
        </w:rPr>
        <w:t>World Journal of Diabetes</w:t>
      </w:r>
      <w:r w:rsidRPr="0093455B">
        <w:rPr>
          <w:rFonts w:ascii="Calibri" w:hAnsi="Calibri"/>
          <w:sz w:val="22"/>
        </w:rPr>
        <w:t>, 1(1): 19-26.</w:t>
      </w:r>
      <w:bookmarkEnd w:id="423"/>
    </w:p>
    <w:p w:rsidR="0093455B" w:rsidRPr="0093455B" w:rsidRDefault="0093455B" w:rsidP="0093455B">
      <w:pPr>
        <w:spacing w:after="0" w:line="240" w:lineRule="auto"/>
        <w:rPr>
          <w:rFonts w:ascii="Calibri" w:hAnsi="Calibri"/>
          <w:sz w:val="22"/>
        </w:rPr>
      </w:pPr>
      <w:bookmarkStart w:id="424" w:name="_ENREF_120"/>
      <w:r w:rsidRPr="0093455B">
        <w:rPr>
          <w:rFonts w:ascii="Calibri" w:hAnsi="Calibri"/>
          <w:sz w:val="22"/>
        </w:rPr>
        <w:t>120.  Goldstein, B.J.</w:t>
      </w:r>
      <w:r w:rsidRPr="0093455B">
        <w:rPr>
          <w:rFonts w:ascii="Calibri" w:hAnsi="Calibri"/>
          <w:i/>
          <w:sz w:val="22"/>
        </w:rPr>
        <w:t xml:space="preserve"> et al.</w:t>
      </w:r>
      <w:r w:rsidRPr="0093455B">
        <w:rPr>
          <w:rFonts w:ascii="Calibri" w:hAnsi="Calibri"/>
          <w:sz w:val="22"/>
        </w:rPr>
        <w:t xml:space="preserve"> (2007), 'Effect of Initial Combination Therapy With Sitagliptin, a Dipeptidyl Peptidase-4 Inhibitor, and Metformin on Glycemic Control in Patients With Type 2 Diabetes'. </w:t>
      </w:r>
      <w:r w:rsidRPr="0093455B">
        <w:rPr>
          <w:rFonts w:ascii="Calibri" w:hAnsi="Calibri"/>
          <w:i/>
          <w:sz w:val="22"/>
        </w:rPr>
        <w:t>Diabetes Care</w:t>
      </w:r>
      <w:r w:rsidRPr="0093455B">
        <w:rPr>
          <w:rFonts w:ascii="Calibri" w:hAnsi="Calibri"/>
          <w:sz w:val="22"/>
        </w:rPr>
        <w:t>, 30(8): 1979-87.</w:t>
      </w:r>
      <w:bookmarkEnd w:id="424"/>
    </w:p>
    <w:p w:rsidR="0093455B" w:rsidRPr="0093455B" w:rsidRDefault="0093455B" w:rsidP="0093455B">
      <w:pPr>
        <w:spacing w:after="0" w:line="240" w:lineRule="auto"/>
        <w:rPr>
          <w:rFonts w:ascii="Calibri" w:hAnsi="Calibri"/>
          <w:sz w:val="22"/>
        </w:rPr>
      </w:pPr>
      <w:bookmarkStart w:id="425" w:name="_ENREF_121"/>
      <w:r w:rsidRPr="0093455B">
        <w:rPr>
          <w:rFonts w:ascii="Calibri" w:hAnsi="Calibri"/>
          <w:sz w:val="22"/>
        </w:rPr>
        <w:t>121.  Olansky, L.</w:t>
      </w:r>
      <w:r w:rsidRPr="0093455B">
        <w:rPr>
          <w:rFonts w:ascii="Calibri" w:hAnsi="Calibri"/>
          <w:i/>
          <w:sz w:val="22"/>
        </w:rPr>
        <w:t xml:space="preserve"> et al.</w:t>
      </w:r>
      <w:r w:rsidRPr="0093455B">
        <w:rPr>
          <w:rFonts w:ascii="Calibri" w:hAnsi="Calibri"/>
          <w:sz w:val="22"/>
        </w:rPr>
        <w:t xml:space="preserve"> (2011), 'A treatment strategy implementing combination therapy with sitagliptin and metformin results in superior glycaemic control versus metformin monotherapy due to a low rate of addition of antihyperglycaemic agents'. </w:t>
      </w:r>
      <w:r w:rsidRPr="0093455B">
        <w:rPr>
          <w:rFonts w:ascii="Calibri" w:hAnsi="Calibri"/>
          <w:i/>
          <w:sz w:val="22"/>
        </w:rPr>
        <w:t>Diabetes, Obesity &amp; Metabolism</w:t>
      </w:r>
      <w:r w:rsidRPr="0093455B">
        <w:rPr>
          <w:rFonts w:ascii="Calibri" w:hAnsi="Calibri"/>
          <w:sz w:val="22"/>
        </w:rPr>
        <w:t>, 13(9): 841-9.</w:t>
      </w:r>
      <w:bookmarkEnd w:id="425"/>
    </w:p>
    <w:p w:rsidR="0093455B" w:rsidRPr="0093455B" w:rsidRDefault="0093455B" w:rsidP="0093455B">
      <w:pPr>
        <w:spacing w:after="0" w:line="240" w:lineRule="auto"/>
        <w:rPr>
          <w:rFonts w:ascii="Calibri" w:hAnsi="Calibri"/>
          <w:sz w:val="22"/>
        </w:rPr>
      </w:pPr>
      <w:bookmarkStart w:id="426" w:name="_ENREF_122"/>
      <w:r w:rsidRPr="0093455B">
        <w:rPr>
          <w:rFonts w:ascii="Calibri" w:hAnsi="Calibri"/>
          <w:sz w:val="22"/>
        </w:rPr>
        <w:t>122.  Yang, W.</w:t>
      </w:r>
      <w:r w:rsidRPr="0093455B">
        <w:rPr>
          <w:rFonts w:ascii="Calibri" w:hAnsi="Calibri"/>
          <w:i/>
          <w:sz w:val="22"/>
        </w:rPr>
        <w:t xml:space="preserve"> et al.</w:t>
      </w:r>
      <w:r w:rsidRPr="0093455B">
        <w:rPr>
          <w:rFonts w:ascii="Calibri" w:hAnsi="Calibri"/>
          <w:sz w:val="22"/>
        </w:rPr>
        <w:t xml:space="preserve"> (2011), 'Efficacy and safety of saxagliptin added to metformin in Asian people with type 2 diabetes mellitus: a randomized controlled trial'. </w:t>
      </w:r>
      <w:r w:rsidRPr="0093455B">
        <w:rPr>
          <w:rFonts w:ascii="Calibri" w:hAnsi="Calibri"/>
          <w:i/>
          <w:sz w:val="22"/>
        </w:rPr>
        <w:t>Diabetes Research &amp; Clinical Practice</w:t>
      </w:r>
      <w:r w:rsidRPr="0093455B">
        <w:rPr>
          <w:rFonts w:ascii="Calibri" w:hAnsi="Calibri"/>
          <w:sz w:val="22"/>
        </w:rPr>
        <w:t>, 94(2): 217-24.</w:t>
      </w:r>
      <w:bookmarkEnd w:id="426"/>
    </w:p>
    <w:p w:rsidR="0093455B" w:rsidRPr="0093455B" w:rsidRDefault="0093455B" w:rsidP="0093455B">
      <w:pPr>
        <w:spacing w:after="0" w:line="240" w:lineRule="auto"/>
        <w:rPr>
          <w:rFonts w:ascii="Calibri" w:hAnsi="Calibri"/>
          <w:sz w:val="22"/>
        </w:rPr>
      </w:pPr>
      <w:bookmarkStart w:id="427" w:name="_ENREF_123"/>
      <w:r w:rsidRPr="0093455B">
        <w:rPr>
          <w:rFonts w:ascii="Calibri" w:hAnsi="Calibri"/>
          <w:sz w:val="22"/>
        </w:rPr>
        <w:t>123.  Wainstein, J.</w:t>
      </w:r>
      <w:r w:rsidRPr="0093455B">
        <w:rPr>
          <w:rFonts w:ascii="Calibri" w:hAnsi="Calibri"/>
          <w:i/>
          <w:sz w:val="22"/>
        </w:rPr>
        <w:t xml:space="preserve"> et al.</w:t>
      </w:r>
      <w:r w:rsidRPr="0093455B">
        <w:rPr>
          <w:rFonts w:ascii="Calibri" w:hAnsi="Calibri"/>
          <w:sz w:val="22"/>
        </w:rPr>
        <w:t xml:space="preserve"> (2012), 'Initial therapy with the fixed-dose combination of sitagliptin and metformin results in greater improvement in glycaemic control compared with pioglitazone monotherapy in patients with type 2 diabetes'. </w:t>
      </w:r>
      <w:r w:rsidRPr="0093455B">
        <w:rPr>
          <w:rFonts w:ascii="Calibri" w:hAnsi="Calibri"/>
          <w:i/>
          <w:sz w:val="22"/>
        </w:rPr>
        <w:t>Diabetes, Obesity &amp; Metabolism</w:t>
      </w:r>
      <w:r w:rsidRPr="0093455B">
        <w:rPr>
          <w:rFonts w:ascii="Calibri" w:hAnsi="Calibri"/>
          <w:sz w:val="22"/>
        </w:rPr>
        <w:t>, 14(5): 409-18.</w:t>
      </w:r>
      <w:bookmarkEnd w:id="427"/>
    </w:p>
    <w:p w:rsidR="0093455B" w:rsidRPr="0093455B" w:rsidRDefault="0093455B" w:rsidP="0093455B">
      <w:pPr>
        <w:spacing w:after="0" w:line="240" w:lineRule="auto"/>
        <w:rPr>
          <w:rFonts w:ascii="Calibri" w:hAnsi="Calibri"/>
          <w:sz w:val="22"/>
        </w:rPr>
      </w:pPr>
      <w:bookmarkStart w:id="428" w:name="_ENREF_124"/>
      <w:r w:rsidRPr="0093455B">
        <w:rPr>
          <w:rFonts w:ascii="Calibri" w:hAnsi="Calibri"/>
          <w:sz w:val="22"/>
        </w:rPr>
        <w:t>124.  Hanefeld, M.</w:t>
      </w:r>
      <w:r w:rsidRPr="0093455B">
        <w:rPr>
          <w:rFonts w:ascii="Calibri" w:hAnsi="Calibri"/>
          <w:i/>
          <w:sz w:val="22"/>
        </w:rPr>
        <w:t xml:space="preserve"> et al.</w:t>
      </w:r>
      <w:r w:rsidRPr="0093455B">
        <w:rPr>
          <w:rFonts w:ascii="Calibri" w:hAnsi="Calibri"/>
          <w:sz w:val="22"/>
        </w:rPr>
        <w:t xml:space="preserve"> (2004), 'One-year glycemic control with a sulfonylurea plus pioglitazone versus a sulfonylurea plus metformin in patients with type 2 diabetes'. </w:t>
      </w:r>
      <w:r w:rsidRPr="0093455B">
        <w:rPr>
          <w:rFonts w:ascii="Calibri" w:hAnsi="Calibri"/>
          <w:i/>
          <w:sz w:val="22"/>
        </w:rPr>
        <w:t>Diabetes Care</w:t>
      </w:r>
      <w:r w:rsidRPr="0093455B">
        <w:rPr>
          <w:rFonts w:ascii="Calibri" w:hAnsi="Calibri"/>
          <w:sz w:val="22"/>
        </w:rPr>
        <w:t>, 27(1): 141-7.</w:t>
      </w:r>
      <w:bookmarkEnd w:id="428"/>
    </w:p>
    <w:p w:rsidR="0093455B" w:rsidRPr="0093455B" w:rsidRDefault="0093455B" w:rsidP="0093455B">
      <w:pPr>
        <w:spacing w:after="0" w:line="240" w:lineRule="auto"/>
        <w:rPr>
          <w:rFonts w:ascii="Calibri" w:hAnsi="Calibri"/>
          <w:sz w:val="22"/>
        </w:rPr>
      </w:pPr>
      <w:bookmarkStart w:id="429" w:name="_ENREF_125"/>
      <w:r w:rsidRPr="0093455B">
        <w:rPr>
          <w:rFonts w:ascii="Calibri" w:hAnsi="Calibri"/>
          <w:sz w:val="22"/>
        </w:rPr>
        <w:t xml:space="preserve">125.  Seufert, J. and Urquhart, R. (2008), '2-year effects of pioglitazone add-on to sulfonylurea or metformin on oral glucose tolerance in patients with type 2 diabetes'. </w:t>
      </w:r>
      <w:r w:rsidRPr="0093455B">
        <w:rPr>
          <w:rFonts w:ascii="Calibri" w:hAnsi="Calibri"/>
          <w:i/>
          <w:sz w:val="22"/>
        </w:rPr>
        <w:t>Diabetes Research &amp; Clinical Practice</w:t>
      </w:r>
      <w:r w:rsidRPr="0093455B">
        <w:rPr>
          <w:rFonts w:ascii="Calibri" w:hAnsi="Calibri"/>
          <w:sz w:val="22"/>
        </w:rPr>
        <w:t>, 79(3): 453-60.</w:t>
      </w:r>
      <w:bookmarkEnd w:id="429"/>
    </w:p>
    <w:p w:rsidR="0093455B" w:rsidRPr="0093455B" w:rsidRDefault="0093455B" w:rsidP="0093455B">
      <w:pPr>
        <w:spacing w:after="0" w:line="240" w:lineRule="auto"/>
        <w:rPr>
          <w:rFonts w:ascii="Calibri" w:hAnsi="Calibri"/>
          <w:sz w:val="22"/>
        </w:rPr>
      </w:pPr>
      <w:bookmarkStart w:id="430" w:name="_ENREF_126"/>
      <w:r w:rsidRPr="0093455B">
        <w:rPr>
          <w:rFonts w:ascii="Calibri" w:hAnsi="Calibri"/>
          <w:sz w:val="22"/>
        </w:rPr>
        <w:t>126.  Hamann, A.</w:t>
      </w:r>
      <w:r w:rsidRPr="0093455B">
        <w:rPr>
          <w:rFonts w:ascii="Calibri" w:hAnsi="Calibri"/>
          <w:i/>
          <w:sz w:val="22"/>
        </w:rPr>
        <w:t xml:space="preserve"> et al.</w:t>
      </w:r>
      <w:r w:rsidRPr="0093455B">
        <w:rPr>
          <w:rFonts w:ascii="Calibri" w:hAnsi="Calibri"/>
          <w:sz w:val="22"/>
        </w:rPr>
        <w:t xml:space="preserve"> (2008), 'Comparison of fixed-dose rosiglitazone/metformin combination therapy with sulphonylurea plus metformin in overweight individuals with Type 2 diabetes inadequately controlled on metformin alone'. </w:t>
      </w:r>
      <w:r w:rsidRPr="0093455B">
        <w:rPr>
          <w:rFonts w:ascii="Calibri" w:hAnsi="Calibri"/>
          <w:i/>
          <w:sz w:val="22"/>
        </w:rPr>
        <w:t>Exp Clin Endocrinol Diabetes</w:t>
      </w:r>
      <w:r w:rsidRPr="0093455B">
        <w:rPr>
          <w:rFonts w:ascii="Calibri" w:hAnsi="Calibri"/>
          <w:sz w:val="22"/>
        </w:rPr>
        <w:t>, 116(1): 6-13.</w:t>
      </w:r>
      <w:bookmarkEnd w:id="430"/>
    </w:p>
    <w:p w:rsidR="0093455B" w:rsidRPr="0093455B" w:rsidRDefault="0093455B" w:rsidP="0093455B">
      <w:pPr>
        <w:spacing w:after="0" w:line="240" w:lineRule="auto"/>
        <w:rPr>
          <w:rFonts w:ascii="Calibri" w:hAnsi="Calibri"/>
          <w:sz w:val="22"/>
        </w:rPr>
      </w:pPr>
      <w:bookmarkStart w:id="431" w:name="_ENREF_127"/>
      <w:r w:rsidRPr="0093455B">
        <w:rPr>
          <w:rFonts w:ascii="Calibri" w:hAnsi="Calibri"/>
          <w:sz w:val="22"/>
        </w:rPr>
        <w:t>127.  Matthews, D.R.</w:t>
      </w:r>
      <w:r w:rsidRPr="0093455B">
        <w:rPr>
          <w:rFonts w:ascii="Calibri" w:hAnsi="Calibri"/>
          <w:i/>
          <w:sz w:val="22"/>
        </w:rPr>
        <w:t xml:space="preserve"> et al.</w:t>
      </w:r>
      <w:r w:rsidRPr="0093455B">
        <w:rPr>
          <w:rFonts w:ascii="Calibri" w:hAnsi="Calibri"/>
          <w:sz w:val="22"/>
        </w:rPr>
        <w:t xml:space="preserve"> (2005), 'Long-term therapy with addition of pioglitazone to metformin compared with the addition of gliclazide to metformin in patients with type 2 diabetes: a randomized, comparative study'. </w:t>
      </w:r>
      <w:r w:rsidRPr="0093455B">
        <w:rPr>
          <w:rFonts w:ascii="Calibri" w:hAnsi="Calibri"/>
          <w:i/>
          <w:sz w:val="22"/>
        </w:rPr>
        <w:t>Diabetes/Metabolism Research Reviews</w:t>
      </w:r>
      <w:r w:rsidRPr="0093455B">
        <w:rPr>
          <w:rFonts w:ascii="Calibri" w:hAnsi="Calibri"/>
          <w:sz w:val="22"/>
        </w:rPr>
        <w:t>, 21(2): 167-74.</w:t>
      </w:r>
      <w:bookmarkEnd w:id="431"/>
    </w:p>
    <w:p w:rsidR="0093455B" w:rsidRPr="0093455B" w:rsidRDefault="0093455B" w:rsidP="0093455B">
      <w:pPr>
        <w:spacing w:after="0" w:line="240" w:lineRule="auto"/>
        <w:rPr>
          <w:rFonts w:ascii="Calibri" w:hAnsi="Calibri"/>
          <w:sz w:val="22"/>
        </w:rPr>
      </w:pPr>
      <w:bookmarkStart w:id="432" w:name="_ENREF_128"/>
      <w:r w:rsidRPr="0093455B">
        <w:rPr>
          <w:rFonts w:ascii="Calibri" w:hAnsi="Calibri"/>
          <w:sz w:val="22"/>
        </w:rPr>
        <w:t>128.  Home, P.D.</w:t>
      </w:r>
      <w:r w:rsidRPr="0093455B">
        <w:rPr>
          <w:rFonts w:ascii="Calibri" w:hAnsi="Calibri"/>
          <w:i/>
          <w:sz w:val="22"/>
        </w:rPr>
        <w:t xml:space="preserve"> et al.</w:t>
      </w:r>
      <w:r w:rsidRPr="0093455B">
        <w:rPr>
          <w:rFonts w:ascii="Calibri" w:hAnsi="Calibri"/>
          <w:sz w:val="22"/>
        </w:rPr>
        <w:t xml:space="preserve"> (2009), 'Rosiglitazone evaluated for cardiovascular outcomes in oral agent combination therapy for type 2 diabetes (RECORD): a multicentre, randomised, open-label trial'. </w:t>
      </w:r>
      <w:r w:rsidRPr="0093455B">
        <w:rPr>
          <w:rFonts w:ascii="Calibri" w:hAnsi="Calibri"/>
          <w:i/>
          <w:sz w:val="22"/>
        </w:rPr>
        <w:t>Lancet</w:t>
      </w:r>
      <w:r w:rsidRPr="0093455B">
        <w:rPr>
          <w:rFonts w:ascii="Calibri" w:hAnsi="Calibri"/>
          <w:sz w:val="22"/>
        </w:rPr>
        <w:t>, 373(9681): 2125-35.</w:t>
      </w:r>
      <w:bookmarkEnd w:id="432"/>
    </w:p>
    <w:p w:rsidR="0093455B" w:rsidRPr="0093455B" w:rsidRDefault="0093455B" w:rsidP="0093455B">
      <w:pPr>
        <w:spacing w:after="0" w:line="240" w:lineRule="auto"/>
        <w:rPr>
          <w:rFonts w:ascii="Calibri" w:hAnsi="Calibri"/>
          <w:sz w:val="22"/>
        </w:rPr>
      </w:pPr>
      <w:bookmarkStart w:id="433" w:name="_ENREF_129"/>
      <w:r w:rsidRPr="0093455B">
        <w:rPr>
          <w:rFonts w:ascii="Calibri" w:hAnsi="Calibri"/>
          <w:sz w:val="22"/>
        </w:rPr>
        <w:t>129.  Komajda, M.</w:t>
      </w:r>
      <w:r w:rsidRPr="0093455B">
        <w:rPr>
          <w:rFonts w:ascii="Calibri" w:hAnsi="Calibri"/>
          <w:i/>
          <w:sz w:val="22"/>
        </w:rPr>
        <w:t xml:space="preserve"> et al.</w:t>
      </w:r>
      <w:r w:rsidRPr="0093455B">
        <w:rPr>
          <w:rFonts w:ascii="Calibri" w:hAnsi="Calibri"/>
          <w:sz w:val="22"/>
        </w:rPr>
        <w:t xml:space="preserve"> (2010), 'Heart failure events with rosiglitazone in type 2 diabetes: data from the RECORD clinical trial'. </w:t>
      </w:r>
      <w:r w:rsidRPr="0093455B">
        <w:rPr>
          <w:rFonts w:ascii="Calibri" w:hAnsi="Calibri"/>
          <w:i/>
          <w:sz w:val="22"/>
        </w:rPr>
        <w:t>Eur Heart J</w:t>
      </w:r>
      <w:r w:rsidRPr="0093455B">
        <w:rPr>
          <w:rFonts w:ascii="Calibri" w:hAnsi="Calibri"/>
          <w:sz w:val="22"/>
        </w:rPr>
        <w:t>, 31(7): 824-31.</w:t>
      </w:r>
      <w:bookmarkEnd w:id="433"/>
    </w:p>
    <w:p w:rsidR="0093455B" w:rsidRPr="0093455B" w:rsidRDefault="0093455B" w:rsidP="0093455B">
      <w:pPr>
        <w:spacing w:after="0" w:line="240" w:lineRule="auto"/>
        <w:rPr>
          <w:rFonts w:ascii="Calibri" w:hAnsi="Calibri"/>
          <w:sz w:val="22"/>
        </w:rPr>
      </w:pPr>
      <w:bookmarkStart w:id="434" w:name="_ENREF_130"/>
      <w:r w:rsidRPr="0093455B">
        <w:rPr>
          <w:rFonts w:ascii="Calibri" w:hAnsi="Calibri"/>
          <w:sz w:val="22"/>
        </w:rPr>
        <w:t>130.  Mahaffey, K.W.</w:t>
      </w:r>
      <w:r w:rsidRPr="0093455B">
        <w:rPr>
          <w:rFonts w:ascii="Calibri" w:hAnsi="Calibri"/>
          <w:i/>
          <w:sz w:val="22"/>
        </w:rPr>
        <w:t xml:space="preserve"> et al.</w:t>
      </w:r>
      <w:r w:rsidRPr="0093455B">
        <w:rPr>
          <w:rFonts w:ascii="Calibri" w:hAnsi="Calibri"/>
          <w:sz w:val="22"/>
        </w:rPr>
        <w:t xml:space="preserve"> (2013), 'Results of a reevaluation of cardiovascular outcomes in the RECORD trial'. </w:t>
      </w:r>
      <w:r w:rsidRPr="0093455B">
        <w:rPr>
          <w:rFonts w:ascii="Calibri" w:hAnsi="Calibri"/>
          <w:i/>
          <w:sz w:val="22"/>
        </w:rPr>
        <w:t>American Heart Journal</w:t>
      </w:r>
      <w:r w:rsidRPr="0093455B">
        <w:rPr>
          <w:rFonts w:ascii="Calibri" w:hAnsi="Calibri"/>
          <w:sz w:val="22"/>
        </w:rPr>
        <w:t>, 166(2): 240-9.e1.</w:t>
      </w:r>
      <w:bookmarkEnd w:id="434"/>
    </w:p>
    <w:p w:rsidR="0093455B" w:rsidRPr="0093455B" w:rsidRDefault="0093455B" w:rsidP="0093455B">
      <w:pPr>
        <w:spacing w:after="0" w:line="240" w:lineRule="auto"/>
        <w:rPr>
          <w:rFonts w:ascii="Calibri" w:hAnsi="Calibri"/>
          <w:sz w:val="22"/>
        </w:rPr>
      </w:pPr>
      <w:bookmarkStart w:id="435" w:name="_ENREF_131"/>
      <w:r w:rsidRPr="0093455B">
        <w:rPr>
          <w:rFonts w:ascii="Calibri" w:hAnsi="Calibri"/>
          <w:sz w:val="22"/>
        </w:rPr>
        <w:t>131.  Nauck, M.A.</w:t>
      </w:r>
      <w:r w:rsidRPr="0093455B">
        <w:rPr>
          <w:rFonts w:ascii="Calibri" w:hAnsi="Calibri"/>
          <w:i/>
          <w:sz w:val="22"/>
        </w:rPr>
        <w:t xml:space="preserve"> et al.</w:t>
      </w:r>
      <w:r w:rsidRPr="0093455B">
        <w:rPr>
          <w:rFonts w:ascii="Calibri" w:hAnsi="Calibri"/>
          <w:sz w:val="22"/>
        </w:rPr>
        <w:t xml:space="preserve"> (2011), 'Dapagliflozin versus glipizide as add-on therapy in patients with type 2 diabetes who have inadequate glycemic control with metformin: a randomized, 52-week, double-blind, active-controlled noninferiority trial'. </w:t>
      </w:r>
      <w:r w:rsidRPr="0093455B">
        <w:rPr>
          <w:rFonts w:ascii="Calibri" w:hAnsi="Calibri"/>
          <w:i/>
          <w:sz w:val="22"/>
        </w:rPr>
        <w:t>Diabetes Care</w:t>
      </w:r>
      <w:r w:rsidRPr="0093455B">
        <w:rPr>
          <w:rFonts w:ascii="Calibri" w:hAnsi="Calibri"/>
          <w:sz w:val="22"/>
        </w:rPr>
        <w:t>, 34(9): 2015-22.</w:t>
      </w:r>
      <w:bookmarkEnd w:id="435"/>
    </w:p>
    <w:p w:rsidR="0093455B" w:rsidRPr="0093455B" w:rsidRDefault="0093455B" w:rsidP="0093455B">
      <w:pPr>
        <w:spacing w:after="0" w:line="240" w:lineRule="auto"/>
        <w:rPr>
          <w:rFonts w:ascii="Calibri" w:hAnsi="Calibri"/>
          <w:sz w:val="22"/>
        </w:rPr>
      </w:pPr>
      <w:bookmarkStart w:id="436" w:name="_ENREF_132"/>
      <w:r w:rsidRPr="0093455B">
        <w:rPr>
          <w:rFonts w:ascii="Calibri" w:hAnsi="Calibri"/>
          <w:sz w:val="22"/>
        </w:rPr>
        <w:t>132.  Arechavaleta, R.</w:t>
      </w:r>
      <w:r w:rsidRPr="0093455B">
        <w:rPr>
          <w:rFonts w:ascii="Calibri" w:hAnsi="Calibri"/>
          <w:i/>
          <w:sz w:val="22"/>
        </w:rPr>
        <w:t xml:space="preserve"> et al.</w:t>
      </w:r>
      <w:r w:rsidRPr="0093455B">
        <w:rPr>
          <w:rFonts w:ascii="Calibri" w:hAnsi="Calibri"/>
          <w:sz w:val="22"/>
        </w:rPr>
        <w:t xml:space="preserve"> (2011), 'Efficacy and safety of treatment with sitagliptin or glimepiride in patients with type 2 diabetes inadequately controlled on metformin monotherapy: A randomized, double-blind, non-inferiority trial'. </w:t>
      </w:r>
      <w:r w:rsidRPr="0093455B">
        <w:rPr>
          <w:rFonts w:ascii="Calibri" w:hAnsi="Calibri"/>
          <w:i/>
          <w:sz w:val="22"/>
        </w:rPr>
        <w:t>Diabetes, Obesity and Metabolism</w:t>
      </w:r>
      <w:r w:rsidRPr="0093455B">
        <w:rPr>
          <w:rFonts w:ascii="Calibri" w:hAnsi="Calibri"/>
          <w:sz w:val="22"/>
        </w:rPr>
        <w:t>, 13(2): 160-8.</w:t>
      </w:r>
      <w:bookmarkEnd w:id="436"/>
    </w:p>
    <w:p w:rsidR="0093455B" w:rsidRPr="0093455B" w:rsidRDefault="0093455B" w:rsidP="0093455B">
      <w:pPr>
        <w:spacing w:after="0" w:line="240" w:lineRule="auto"/>
        <w:rPr>
          <w:rFonts w:ascii="Calibri" w:hAnsi="Calibri"/>
          <w:sz w:val="22"/>
        </w:rPr>
      </w:pPr>
      <w:bookmarkStart w:id="437" w:name="_ENREF_133"/>
      <w:r w:rsidRPr="0093455B">
        <w:rPr>
          <w:rFonts w:ascii="Calibri" w:hAnsi="Calibri"/>
          <w:sz w:val="22"/>
        </w:rPr>
        <w:t>133.  Ferrannini, E.</w:t>
      </w:r>
      <w:r w:rsidRPr="0093455B">
        <w:rPr>
          <w:rFonts w:ascii="Calibri" w:hAnsi="Calibri"/>
          <w:i/>
          <w:sz w:val="22"/>
        </w:rPr>
        <w:t xml:space="preserve"> et al.</w:t>
      </w:r>
      <w:r w:rsidRPr="0093455B">
        <w:rPr>
          <w:rFonts w:ascii="Calibri" w:hAnsi="Calibri"/>
          <w:sz w:val="22"/>
        </w:rPr>
        <w:t xml:space="preserve"> (2009), 'Fifty-two-week efficacy and safety of vildagliptin vs. glimepiride in patients with type 2 diabetes mellitus inadequately controlled on metformin monotherapy.[Erratum appears in Diabetes Obes Metab. 2009 Apr;11(4):405]'. </w:t>
      </w:r>
      <w:r w:rsidRPr="0093455B">
        <w:rPr>
          <w:rFonts w:ascii="Calibri" w:hAnsi="Calibri"/>
          <w:i/>
          <w:sz w:val="22"/>
        </w:rPr>
        <w:t>Diabetes, Obesity &amp; Metabolism</w:t>
      </w:r>
      <w:r w:rsidRPr="0093455B">
        <w:rPr>
          <w:rFonts w:ascii="Calibri" w:hAnsi="Calibri"/>
          <w:sz w:val="22"/>
        </w:rPr>
        <w:t>, 11(2): 157-66.</w:t>
      </w:r>
      <w:bookmarkEnd w:id="437"/>
    </w:p>
    <w:p w:rsidR="0093455B" w:rsidRPr="0093455B" w:rsidRDefault="0093455B" w:rsidP="0093455B">
      <w:pPr>
        <w:spacing w:after="0" w:line="240" w:lineRule="auto"/>
        <w:rPr>
          <w:rFonts w:ascii="Calibri" w:hAnsi="Calibri"/>
          <w:sz w:val="22"/>
        </w:rPr>
      </w:pPr>
      <w:bookmarkStart w:id="438" w:name="_ENREF_134"/>
      <w:r w:rsidRPr="0093455B">
        <w:rPr>
          <w:rFonts w:ascii="Calibri" w:hAnsi="Calibri"/>
          <w:sz w:val="22"/>
        </w:rPr>
        <w:lastRenderedPageBreak/>
        <w:t xml:space="preserve">134.  Filozof, C. and Gautier, J.F. (2010), 'A comparison of efficacy and safety of vildagliptin and gliclazide in combination with metformin in patients with Type 2 diabetes inadequately controlled with metformin alone: a 52-week, randomized study'. </w:t>
      </w:r>
      <w:r w:rsidRPr="0093455B">
        <w:rPr>
          <w:rFonts w:ascii="Calibri" w:hAnsi="Calibri"/>
          <w:i/>
          <w:sz w:val="22"/>
        </w:rPr>
        <w:t>Diabetic Medicine</w:t>
      </w:r>
      <w:r w:rsidRPr="0093455B">
        <w:rPr>
          <w:rFonts w:ascii="Calibri" w:hAnsi="Calibri"/>
          <w:sz w:val="22"/>
        </w:rPr>
        <w:t>, 27(3): 318-26.</w:t>
      </w:r>
      <w:bookmarkEnd w:id="438"/>
    </w:p>
    <w:p w:rsidR="0093455B" w:rsidRPr="0093455B" w:rsidRDefault="0093455B" w:rsidP="0093455B">
      <w:pPr>
        <w:spacing w:after="0" w:line="240" w:lineRule="auto"/>
        <w:rPr>
          <w:rFonts w:ascii="Calibri" w:hAnsi="Calibri"/>
          <w:sz w:val="22"/>
        </w:rPr>
      </w:pPr>
      <w:bookmarkStart w:id="439" w:name="_ENREF_135"/>
      <w:r w:rsidRPr="0093455B">
        <w:rPr>
          <w:rFonts w:ascii="Calibri" w:hAnsi="Calibri"/>
          <w:sz w:val="22"/>
        </w:rPr>
        <w:t>135.  Gallwitz, B.</w:t>
      </w:r>
      <w:r w:rsidRPr="0093455B">
        <w:rPr>
          <w:rFonts w:ascii="Calibri" w:hAnsi="Calibri"/>
          <w:i/>
          <w:sz w:val="22"/>
        </w:rPr>
        <w:t xml:space="preserve"> et al.</w:t>
      </w:r>
      <w:r w:rsidRPr="0093455B">
        <w:rPr>
          <w:rFonts w:ascii="Calibri" w:hAnsi="Calibri"/>
          <w:sz w:val="22"/>
        </w:rPr>
        <w:t xml:space="preserve"> (2012), '2-year efficacy and safety of linagliptin compared with glimepiride in patients with type 2 diabetes inadequately controlled on metformin: a randomised, double-blind, non-inferiority trial'. </w:t>
      </w:r>
      <w:r w:rsidRPr="0093455B">
        <w:rPr>
          <w:rFonts w:ascii="Calibri" w:hAnsi="Calibri"/>
          <w:i/>
          <w:sz w:val="22"/>
        </w:rPr>
        <w:t>Lancet</w:t>
      </w:r>
      <w:r w:rsidRPr="0093455B">
        <w:rPr>
          <w:rFonts w:ascii="Calibri" w:hAnsi="Calibri"/>
          <w:sz w:val="22"/>
        </w:rPr>
        <w:t>, 380(9840): 475-83.</w:t>
      </w:r>
      <w:bookmarkEnd w:id="439"/>
    </w:p>
    <w:p w:rsidR="0093455B" w:rsidRPr="0093455B" w:rsidRDefault="0093455B" w:rsidP="0093455B">
      <w:pPr>
        <w:spacing w:after="0" w:line="240" w:lineRule="auto"/>
        <w:rPr>
          <w:rFonts w:ascii="Calibri" w:hAnsi="Calibri"/>
          <w:sz w:val="22"/>
        </w:rPr>
      </w:pPr>
      <w:bookmarkStart w:id="440" w:name="_ENREF_136"/>
      <w:r w:rsidRPr="0093455B">
        <w:rPr>
          <w:rFonts w:ascii="Calibri" w:hAnsi="Calibri"/>
          <w:sz w:val="22"/>
        </w:rPr>
        <w:t>136.  Krobot, K.J.</w:t>
      </w:r>
      <w:r w:rsidRPr="0093455B">
        <w:rPr>
          <w:rFonts w:ascii="Calibri" w:hAnsi="Calibri"/>
          <w:i/>
          <w:sz w:val="22"/>
        </w:rPr>
        <w:t xml:space="preserve"> et al.</w:t>
      </w:r>
      <w:r w:rsidRPr="0093455B">
        <w:rPr>
          <w:rFonts w:ascii="Calibri" w:hAnsi="Calibri"/>
          <w:sz w:val="22"/>
        </w:rPr>
        <w:t xml:space="preserve"> (2012), 'Lower risk of hypoglycemia with sitagliptin compared to glipizide when either is added to metformin therapy: a pre-specified analysis adjusting for the most recently measured HbA(1c) value'. </w:t>
      </w:r>
      <w:r w:rsidRPr="0093455B">
        <w:rPr>
          <w:rFonts w:ascii="Calibri" w:hAnsi="Calibri"/>
          <w:i/>
          <w:sz w:val="22"/>
        </w:rPr>
        <w:t>Current Medical Research &amp; Opinion</w:t>
      </w:r>
      <w:r w:rsidRPr="0093455B">
        <w:rPr>
          <w:rFonts w:ascii="Calibri" w:hAnsi="Calibri"/>
          <w:sz w:val="22"/>
        </w:rPr>
        <w:t>, 28(8): 1281-7.</w:t>
      </w:r>
      <w:bookmarkEnd w:id="440"/>
    </w:p>
    <w:p w:rsidR="0093455B" w:rsidRPr="0093455B" w:rsidRDefault="0093455B" w:rsidP="0093455B">
      <w:pPr>
        <w:spacing w:after="0" w:line="240" w:lineRule="auto"/>
        <w:rPr>
          <w:rFonts w:ascii="Calibri" w:hAnsi="Calibri"/>
          <w:sz w:val="22"/>
        </w:rPr>
      </w:pPr>
      <w:bookmarkStart w:id="441" w:name="_ENREF_137"/>
      <w:r w:rsidRPr="0093455B">
        <w:rPr>
          <w:rFonts w:ascii="Calibri" w:hAnsi="Calibri"/>
          <w:sz w:val="22"/>
        </w:rPr>
        <w:t>137.  Seck, T.</w:t>
      </w:r>
      <w:r w:rsidRPr="0093455B">
        <w:rPr>
          <w:rFonts w:ascii="Calibri" w:hAnsi="Calibri"/>
          <w:i/>
          <w:sz w:val="22"/>
        </w:rPr>
        <w:t xml:space="preserve"> et al.</w:t>
      </w:r>
      <w:r w:rsidRPr="0093455B">
        <w:rPr>
          <w:rFonts w:ascii="Calibri" w:hAnsi="Calibri"/>
          <w:sz w:val="22"/>
        </w:rPr>
        <w:t xml:space="preserve"> (2010), 'Safety and efficacy of treatment with sitagliptin or glipizide in patients with type 2 diabetes inadequately controlled on metformin: a 2-year study'. </w:t>
      </w:r>
      <w:r w:rsidRPr="0093455B">
        <w:rPr>
          <w:rFonts w:ascii="Calibri" w:hAnsi="Calibri"/>
          <w:i/>
          <w:sz w:val="22"/>
        </w:rPr>
        <w:t>International Journal of Clinical Practice</w:t>
      </w:r>
      <w:r w:rsidRPr="0093455B">
        <w:rPr>
          <w:rFonts w:ascii="Calibri" w:hAnsi="Calibri"/>
          <w:sz w:val="22"/>
        </w:rPr>
        <w:t>, 64(5): 562-76.</w:t>
      </w:r>
      <w:bookmarkEnd w:id="441"/>
    </w:p>
    <w:p w:rsidR="0093455B" w:rsidRPr="0093455B" w:rsidRDefault="0093455B" w:rsidP="0093455B">
      <w:pPr>
        <w:spacing w:after="0" w:line="240" w:lineRule="auto"/>
        <w:rPr>
          <w:rFonts w:ascii="Calibri" w:hAnsi="Calibri"/>
          <w:sz w:val="22"/>
        </w:rPr>
      </w:pPr>
      <w:bookmarkStart w:id="442" w:name="_ENREF_138"/>
      <w:r w:rsidRPr="0093455B">
        <w:rPr>
          <w:rFonts w:ascii="Calibri" w:hAnsi="Calibri"/>
          <w:sz w:val="22"/>
        </w:rPr>
        <w:t>138.  Goke, B.</w:t>
      </w:r>
      <w:r w:rsidRPr="0093455B">
        <w:rPr>
          <w:rFonts w:ascii="Calibri" w:hAnsi="Calibri"/>
          <w:i/>
          <w:sz w:val="22"/>
        </w:rPr>
        <w:t xml:space="preserve"> et al.</w:t>
      </w:r>
      <w:r w:rsidRPr="0093455B">
        <w:rPr>
          <w:rFonts w:ascii="Calibri" w:hAnsi="Calibri"/>
          <w:sz w:val="22"/>
        </w:rPr>
        <w:t xml:space="preserve"> (2010), 'Saxagliptin is non-inferior to glipizide in patients with type 2 diabetes mellitus inadequately controlled on metformin alone: a 52-week randomised controlled trial'. </w:t>
      </w:r>
      <w:r w:rsidRPr="0093455B">
        <w:rPr>
          <w:rFonts w:ascii="Calibri" w:hAnsi="Calibri"/>
          <w:i/>
          <w:sz w:val="22"/>
        </w:rPr>
        <w:t>International Journal of Clinical Practice</w:t>
      </w:r>
      <w:r w:rsidRPr="0093455B">
        <w:rPr>
          <w:rFonts w:ascii="Calibri" w:hAnsi="Calibri"/>
          <w:sz w:val="22"/>
        </w:rPr>
        <w:t>, 64(12): 1619-31.</w:t>
      </w:r>
      <w:bookmarkEnd w:id="442"/>
    </w:p>
    <w:p w:rsidR="0093455B" w:rsidRPr="0093455B" w:rsidRDefault="0093455B" w:rsidP="0093455B">
      <w:pPr>
        <w:spacing w:after="0" w:line="240" w:lineRule="auto"/>
        <w:rPr>
          <w:rFonts w:ascii="Calibri" w:hAnsi="Calibri"/>
          <w:sz w:val="22"/>
        </w:rPr>
      </w:pPr>
      <w:bookmarkStart w:id="443" w:name="_ENREF_139"/>
      <w:r w:rsidRPr="0093455B">
        <w:rPr>
          <w:rFonts w:ascii="Calibri" w:hAnsi="Calibri"/>
          <w:sz w:val="22"/>
        </w:rPr>
        <w:t>139.  Goke, B.</w:t>
      </w:r>
      <w:r w:rsidRPr="0093455B">
        <w:rPr>
          <w:rFonts w:ascii="Calibri" w:hAnsi="Calibri"/>
          <w:i/>
          <w:sz w:val="22"/>
        </w:rPr>
        <w:t xml:space="preserve"> et al.</w:t>
      </w:r>
      <w:r w:rsidRPr="0093455B">
        <w:rPr>
          <w:rFonts w:ascii="Calibri" w:hAnsi="Calibri"/>
          <w:sz w:val="22"/>
        </w:rPr>
        <w:t xml:space="preserve"> (2013), 'Saxagliptin vs. glipizide as add-on therapy in patients with type 2 diabetes mellitus inadequately controlled on metformin alone: long-term (52-week) extension of a 52-week randomised controlled trial'. </w:t>
      </w:r>
      <w:r w:rsidRPr="0093455B">
        <w:rPr>
          <w:rFonts w:ascii="Calibri" w:hAnsi="Calibri"/>
          <w:i/>
          <w:sz w:val="22"/>
        </w:rPr>
        <w:t>International Journal of Clinical Practice</w:t>
      </w:r>
      <w:r w:rsidRPr="0093455B">
        <w:rPr>
          <w:rFonts w:ascii="Calibri" w:hAnsi="Calibri"/>
          <w:sz w:val="22"/>
        </w:rPr>
        <w:t>, 67(4): 307-16.</w:t>
      </w:r>
      <w:bookmarkEnd w:id="443"/>
    </w:p>
    <w:p w:rsidR="0093455B" w:rsidRPr="0093455B" w:rsidRDefault="0093455B" w:rsidP="0093455B">
      <w:pPr>
        <w:spacing w:after="0" w:line="240" w:lineRule="auto"/>
        <w:rPr>
          <w:rFonts w:ascii="Calibri" w:hAnsi="Calibri"/>
          <w:sz w:val="22"/>
        </w:rPr>
      </w:pPr>
      <w:bookmarkStart w:id="444" w:name="_ENREF_140"/>
      <w:r w:rsidRPr="0093455B">
        <w:rPr>
          <w:rFonts w:ascii="Calibri" w:hAnsi="Calibri"/>
          <w:sz w:val="22"/>
        </w:rPr>
        <w:t>140.  Matthews, D.R.</w:t>
      </w:r>
      <w:r w:rsidRPr="0093455B">
        <w:rPr>
          <w:rFonts w:ascii="Calibri" w:hAnsi="Calibri"/>
          <w:i/>
          <w:sz w:val="22"/>
        </w:rPr>
        <w:t xml:space="preserve"> et al.</w:t>
      </w:r>
      <w:r w:rsidRPr="0093455B">
        <w:rPr>
          <w:rFonts w:ascii="Calibri" w:hAnsi="Calibri"/>
          <w:sz w:val="22"/>
        </w:rPr>
        <w:t xml:space="preserve"> (2010), 'Vildagliptin add-on to metformin produces similar efficacy and reduced hypoglycaemic risk compared with glimepiride, with no weight gain: results from a 2-year study'. </w:t>
      </w:r>
      <w:r w:rsidRPr="0093455B">
        <w:rPr>
          <w:rFonts w:ascii="Calibri" w:hAnsi="Calibri"/>
          <w:i/>
          <w:sz w:val="22"/>
        </w:rPr>
        <w:t>Diabetes, Obesity &amp; Metabolism</w:t>
      </w:r>
      <w:r w:rsidRPr="0093455B">
        <w:rPr>
          <w:rFonts w:ascii="Calibri" w:hAnsi="Calibri"/>
          <w:sz w:val="22"/>
        </w:rPr>
        <w:t>, 12(9): 780-9.</w:t>
      </w:r>
      <w:bookmarkEnd w:id="444"/>
    </w:p>
    <w:p w:rsidR="0093455B" w:rsidRPr="0093455B" w:rsidRDefault="0093455B" w:rsidP="0093455B">
      <w:pPr>
        <w:spacing w:after="0" w:line="240" w:lineRule="auto"/>
        <w:rPr>
          <w:rFonts w:ascii="Calibri" w:hAnsi="Calibri"/>
          <w:sz w:val="22"/>
        </w:rPr>
      </w:pPr>
      <w:bookmarkStart w:id="445" w:name="_ENREF_141"/>
      <w:r w:rsidRPr="0093455B">
        <w:rPr>
          <w:rFonts w:ascii="Calibri" w:hAnsi="Calibri"/>
          <w:sz w:val="22"/>
        </w:rPr>
        <w:t>141.  Gallwitz, B.</w:t>
      </w:r>
      <w:r w:rsidRPr="0093455B">
        <w:rPr>
          <w:rFonts w:ascii="Calibri" w:hAnsi="Calibri"/>
          <w:i/>
          <w:sz w:val="22"/>
        </w:rPr>
        <w:t xml:space="preserve"> et al.</w:t>
      </w:r>
      <w:r w:rsidRPr="0093455B">
        <w:rPr>
          <w:rFonts w:ascii="Calibri" w:hAnsi="Calibri"/>
          <w:sz w:val="22"/>
        </w:rPr>
        <w:t xml:space="preserve"> (2012), 'Exenatide twice daily versus glimepiride for prevention of glycaemic deterioration in patients with type 2 diabetes with metformin failure (EUREXA): an open-label, randomised controlled trial'. </w:t>
      </w:r>
      <w:r w:rsidRPr="0093455B">
        <w:rPr>
          <w:rFonts w:ascii="Calibri" w:hAnsi="Calibri"/>
          <w:i/>
          <w:sz w:val="22"/>
        </w:rPr>
        <w:t>Lancet</w:t>
      </w:r>
      <w:r w:rsidRPr="0093455B">
        <w:rPr>
          <w:rFonts w:ascii="Calibri" w:hAnsi="Calibri"/>
          <w:sz w:val="22"/>
        </w:rPr>
        <w:t>, 379(9833): 2270-8.</w:t>
      </w:r>
      <w:bookmarkEnd w:id="445"/>
    </w:p>
    <w:p w:rsidR="0093455B" w:rsidRPr="0093455B" w:rsidRDefault="0093455B" w:rsidP="0093455B">
      <w:pPr>
        <w:spacing w:after="0" w:line="240" w:lineRule="auto"/>
        <w:rPr>
          <w:rFonts w:ascii="Calibri" w:hAnsi="Calibri"/>
          <w:sz w:val="22"/>
        </w:rPr>
      </w:pPr>
      <w:bookmarkStart w:id="446" w:name="_ENREF_142"/>
      <w:r w:rsidRPr="0093455B">
        <w:rPr>
          <w:rFonts w:ascii="Calibri" w:hAnsi="Calibri"/>
          <w:sz w:val="22"/>
        </w:rPr>
        <w:t>142.  Cefalu, W.T.</w:t>
      </w:r>
      <w:r w:rsidRPr="0093455B">
        <w:rPr>
          <w:rFonts w:ascii="Calibri" w:hAnsi="Calibri"/>
          <w:i/>
          <w:sz w:val="22"/>
        </w:rPr>
        <w:t xml:space="preserve"> et al.</w:t>
      </w:r>
      <w:r w:rsidRPr="0093455B">
        <w:rPr>
          <w:rFonts w:ascii="Calibri" w:hAnsi="Calibri"/>
          <w:sz w:val="22"/>
        </w:rPr>
        <w:t xml:space="preserve"> (2013), 'Efficacy and safety of canagliflozin versus glimepiride in patients with type 2 diabetes inadequately controlled with metformin (CANTATA-SU): 52 week results from a randomised, double-blind, phase 3 non-inferiority trial'. </w:t>
      </w:r>
      <w:r w:rsidRPr="0093455B">
        <w:rPr>
          <w:rFonts w:ascii="Calibri" w:hAnsi="Calibri"/>
          <w:i/>
          <w:sz w:val="22"/>
        </w:rPr>
        <w:t>Lancet</w:t>
      </w:r>
      <w:r w:rsidRPr="0093455B">
        <w:rPr>
          <w:rFonts w:ascii="Calibri" w:hAnsi="Calibri"/>
          <w:sz w:val="22"/>
        </w:rPr>
        <w:t>, 382(9896): 941-50.</w:t>
      </w:r>
      <w:bookmarkEnd w:id="446"/>
    </w:p>
    <w:p w:rsidR="0093455B" w:rsidRPr="0093455B" w:rsidRDefault="0093455B" w:rsidP="0093455B">
      <w:pPr>
        <w:spacing w:after="0" w:line="240" w:lineRule="auto"/>
        <w:rPr>
          <w:rFonts w:ascii="Calibri" w:hAnsi="Calibri"/>
          <w:sz w:val="22"/>
        </w:rPr>
      </w:pPr>
      <w:bookmarkStart w:id="447" w:name="_ENREF_143"/>
      <w:r w:rsidRPr="0093455B">
        <w:rPr>
          <w:rFonts w:ascii="Calibri" w:hAnsi="Calibri"/>
          <w:sz w:val="22"/>
        </w:rPr>
        <w:t>143.  Perez, A.</w:t>
      </w:r>
      <w:r w:rsidRPr="0093455B">
        <w:rPr>
          <w:rFonts w:ascii="Calibri" w:hAnsi="Calibri"/>
          <w:i/>
          <w:sz w:val="22"/>
        </w:rPr>
        <w:t xml:space="preserve"> et al.</w:t>
      </w:r>
      <w:r w:rsidRPr="0093455B">
        <w:rPr>
          <w:rFonts w:ascii="Calibri" w:hAnsi="Calibri"/>
          <w:sz w:val="22"/>
        </w:rPr>
        <w:t xml:space="preserve"> (2009), 'Efficacy and safety of pioglitazone/metformin fixed-dose combination therapy compared with pioglitazone and metformin monotherapy in treating patients with T2DM'. </w:t>
      </w:r>
      <w:r w:rsidRPr="0093455B">
        <w:rPr>
          <w:rFonts w:ascii="Calibri" w:hAnsi="Calibri"/>
          <w:i/>
          <w:sz w:val="22"/>
        </w:rPr>
        <w:t>Curr Med Res Opin</w:t>
      </w:r>
      <w:r w:rsidRPr="0093455B">
        <w:rPr>
          <w:rFonts w:ascii="Calibri" w:hAnsi="Calibri"/>
          <w:sz w:val="22"/>
        </w:rPr>
        <w:t>, 25(12): 2915-23.</w:t>
      </w:r>
      <w:bookmarkEnd w:id="447"/>
    </w:p>
    <w:p w:rsidR="0093455B" w:rsidRPr="0093455B" w:rsidRDefault="0093455B" w:rsidP="0093455B">
      <w:pPr>
        <w:spacing w:after="0" w:line="240" w:lineRule="auto"/>
        <w:rPr>
          <w:rFonts w:ascii="Calibri" w:hAnsi="Calibri"/>
          <w:sz w:val="22"/>
        </w:rPr>
      </w:pPr>
      <w:bookmarkStart w:id="448" w:name="_ENREF_144"/>
      <w:r w:rsidRPr="0093455B">
        <w:rPr>
          <w:rFonts w:ascii="Calibri" w:hAnsi="Calibri"/>
          <w:sz w:val="22"/>
        </w:rPr>
        <w:t>144.  Bolli, G.</w:t>
      </w:r>
      <w:r w:rsidRPr="0093455B">
        <w:rPr>
          <w:rFonts w:ascii="Calibri" w:hAnsi="Calibri"/>
          <w:i/>
          <w:sz w:val="22"/>
        </w:rPr>
        <w:t xml:space="preserve"> et al.</w:t>
      </w:r>
      <w:r w:rsidRPr="0093455B">
        <w:rPr>
          <w:rFonts w:ascii="Calibri" w:hAnsi="Calibri"/>
          <w:sz w:val="22"/>
        </w:rPr>
        <w:t xml:space="preserve"> (2007), 'Efficacy and tolerability of vildagliptin vs. pioglitazone when added to metformin: a 24-week, randomized, double-blind study'. </w:t>
      </w:r>
      <w:r w:rsidRPr="0093455B">
        <w:rPr>
          <w:rFonts w:ascii="Calibri" w:hAnsi="Calibri"/>
          <w:i/>
          <w:sz w:val="22"/>
        </w:rPr>
        <w:t>Diabetes, Obesity and Metabolism</w:t>
      </w:r>
      <w:r w:rsidRPr="0093455B">
        <w:rPr>
          <w:rFonts w:ascii="Calibri" w:hAnsi="Calibri"/>
          <w:sz w:val="22"/>
        </w:rPr>
        <w:t>, 10(1): 82-90.</w:t>
      </w:r>
      <w:bookmarkEnd w:id="448"/>
    </w:p>
    <w:p w:rsidR="0093455B" w:rsidRPr="0093455B" w:rsidRDefault="0093455B" w:rsidP="0093455B">
      <w:pPr>
        <w:spacing w:after="0" w:line="240" w:lineRule="auto"/>
        <w:rPr>
          <w:rFonts w:ascii="Calibri" w:hAnsi="Calibri"/>
          <w:sz w:val="22"/>
        </w:rPr>
      </w:pPr>
      <w:bookmarkStart w:id="449" w:name="_ENREF_145"/>
      <w:r w:rsidRPr="0093455B">
        <w:rPr>
          <w:rFonts w:ascii="Calibri" w:hAnsi="Calibri"/>
          <w:sz w:val="22"/>
        </w:rPr>
        <w:t>145.  Bolli, G.</w:t>
      </w:r>
      <w:r w:rsidRPr="0093455B">
        <w:rPr>
          <w:rFonts w:ascii="Calibri" w:hAnsi="Calibri"/>
          <w:i/>
          <w:sz w:val="22"/>
        </w:rPr>
        <w:t xml:space="preserve"> et al.</w:t>
      </w:r>
      <w:r w:rsidRPr="0093455B">
        <w:rPr>
          <w:rFonts w:ascii="Calibri" w:hAnsi="Calibri"/>
          <w:sz w:val="22"/>
        </w:rPr>
        <w:t xml:space="preserve"> (2009), 'Comparison of vildagliptin and pioglitazone in patients with type 2 diabetes inadequately controlled with metformin'. </w:t>
      </w:r>
      <w:r w:rsidRPr="0093455B">
        <w:rPr>
          <w:rFonts w:ascii="Calibri" w:hAnsi="Calibri"/>
          <w:i/>
          <w:sz w:val="22"/>
        </w:rPr>
        <w:t>Diabetes Obes Metab</w:t>
      </w:r>
      <w:r w:rsidRPr="0093455B">
        <w:rPr>
          <w:rFonts w:ascii="Calibri" w:hAnsi="Calibri"/>
          <w:sz w:val="22"/>
        </w:rPr>
        <w:t>, 11(6): 589-95.</w:t>
      </w:r>
      <w:bookmarkEnd w:id="449"/>
    </w:p>
    <w:p w:rsidR="0093455B" w:rsidRPr="0093455B" w:rsidRDefault="0093455B" w:rsidP="0093455B">
      <w:pPr>
        <w:spacing w:line="240" w:lineRule="auto"/>
        <w:rPr>
          <w:rFonts w:ascii="Calibri" w:hAnsi="Calibri"/>
          <w:sz w:val="22"/>
        </w:rPr>
      </w:pPr>
      <w:bookmarkStart w:id="450" w:name="_ENREF_146"/>
      <w:r w:rsidRPr="0093455B">
        <w:rPr>
          <w:rFonts w:ascii="Calibri" w:hAnsi="Calibri"/>
          <w:sz w:val="22"/>
        </w:rPr>
        <w:t>146.  Aschner, P.</w:t>
      </w:r>
      <w:r w:rsidRPr="0093455B">
        <w:rPr>
          <w:rFonts w:ascii="Calibri" w:hAnsi="Calibri"/>
          <w:i/>
          <w:sz w:val="22"/>
        </w:rPr>
        <w:t xml:space="preserve"> et al.</w:t>
      </w:r>
      <w:r w:rsidRPr="0093455B">
        <w:rPr>
          <w:rFonts w:ascii="Calibri" w:hAnsi="Calibri"/>
          <w:sz w:val="22"/>
        </w:rPr>
        <w:t xml:space="preserve"> (2012), 'Insulin glargine versus sitagliptin in insulin-naive patients with type 2 diabetes mellitus uncontrolled on metformin (EASIE): a multicentre, randomised open-label trial'. </w:t>
      </w:r>
      <w:r w:rsidRPr="0093455B">
        <w:rPr>
          <w:rFonts w:ascii="Calibri" w:hAnsi="Calibri"/>
          <w:i/>
          <w:sz w:val="22"/>
        </w:rPr>
        <w:t>Lancet</w:t>
      </w:r>
      <w:r w:rsidRPr="0093455B">
        <w:rPr>
          <w:rFonts w:ascii="Calibri" w:hAnsi="Calibri"/>
          <w:sz w:val="22"/>
        </w:rPr>
        <w:t>, 379(9833): 2262-9.</w:t>
      </w:r>
      <w:bookmarkEnd w:id="450"/>
    </w:p>
    <w:p w:rsidR="0093455B" w:rsidRDefault="0093455B" w:rsidP="0093455B">
      <w:pPr>
        <w:spacing w:line="240" w:lineRule="auto"/>
        <w:rPr>
          <w:rFonts w:ascii="Calibri" w:hAnsi="Calibri"/>
          <w:sz w:val="22"/>
        </w:rPr>
      </w:pPr>
    </w:p>
    <w:p w:rsidR="00022BD1" w:rsidRDefault="00022BD1" w:rsidP="00492694">
      <w:pPr>
        <w:sectPr w:rsidR="00022BD1" w:rsidSect="00CA37C0">
          <w:pgSz w:w="11906" w:h="16838"/>
          <w:pgMar w:top="1440" w:right="1440" w:bottom="1440" w:left="1440" w:header="708" w:footer="708" w:gutter="0"/>
          <w:cols w:space="708"/>
          <w:titlePg/>
          <w:docGrid w:linePitch="360"/>
        </w:sectPr>
      </w:pPr>
    </w:p>
    <w:p w:rsidR="00234590" w:rsidRDefault="00234590" w:rsidP="00492694">
      <w:pPr>
        <w:pStyle w:val="Heading1"/>
      </w:pPr>
      <w:bookmarkStart w:id="451" w:name="_Toc397947729"/>
      <w:bookmarkStart w:id="452" w:name="_Toc403399570"/>
      <w:r>
        <w:lastRenderedPageBreak/>
        <w:t>Glossary</w:t>
      </w:r>
      <w:bookmarkEnd w:id="451"/>
      <w:bookmarkEnd w:id="452"/>
    </w:p>
    <w:p w:rsidR="00234590" w:rsidRPr="00234590" w:rsidRDefault="00234590" w:rsidP="00492694">
      <w:pPr>
        <w:pStyle w:val="BodyText1"/>
      </w:pPr>
    </w:p>
    <w:tbl>
      <w:tblPr>
        <w:tblW w:w="9242" w:type="dxa"/>
        <w:tblCellMar>
          <w:left w:w="28" w:type="dxa"/>
          <w:right w:w="28" w:type="dxa"/>
        </w:tblCellMar>
        <w:tblLook w:val="04A0" w:firstRow="1" w:lastRow="0" w:firstColumn="1" w:lastColumn="0" w:noHBand="0" w:noVBand="1"/>
      </w:tblPr>
      <w:tblGrid>
        <w:gridCol w:w="2863"/>
        <w:gridCol w:w="6379"/>
      </w:tblGrid>
      <w:tr w:rsidR="00234590" w:rsidRPr="00C2154E" w:rsidTr="00234590">
        <w:tc>
          <w:tcPr>
            <w:tcW w:w="2863" w:type="dxa"/>
            <w:shd w:val="clear" w:color="auto" w:fill="auto"/>
          </w:tcPr>
          <w:p w:rsidR="00234590" w:rsidRPr="00437FDD" w:rsidRDefault="00234590" w:rsidP="00492694">
            <w:r w:rsidRPr="00437FDD">
              <w:t>Authority required benefits</w:t>
            </w:r>
          </w:p>
        </w:tc>
        <w:tc>
          <w:tcPr>
            <w:tcW w:w="6379" w:type="dxa"/>
            <w:shd w:val="clear" w:color="auto" w:fill="auto"/>
          </w:tcPr>
          <w:p w:rsidR="00234590" w:rsidRPr="00437FDD" w:rsidRDefault="00234590" w:rsidP="00492694">
            <w:r w:rsidRPr="00437FDD">
              <w:t>Restricted benefits that require prior approval from the DHS or the Department of Veterans’ Affairs</w:t>
            </w:r>
          </w:p>
        </w:tc>
      </w:tr>
      <w:tr w:rsidR="00234590" w:rsidRPr="00C2154E" w:rsidTr="00234590">
        <w:tc>
          <w:tcPr>
            <w:tcW w:w="2863" w:type="dxa"/>
            <w:shd w:val="clear" w:color="auto" w:fill="auto"/>
          </w:tcPr>
          <w:p w:rsidR="00234590" w:rsidRPr="00437FDD" w:rsidRDefault="00234590" w:rsidP="00492694">
            <w:r w:rsidRPr="00437FDD">
              <w:t>Authority required (streamlined) benefits</w:t>
            </w:r>
          </w:p>
        </w:tc>
        <w:tc>
          <w:tcPr>
            <w:tcW w:w="6379" w:type="dxa"/>
            <w:shd w:val="clear" w:color="auto" w:fill="auto"/>
          </w:tcPr>
          <w:p w:rsidR="00234590" w:rsidRPr="00437FDD" w:rsidRDefault="00234590" w:rsidP="00492694">
            <w:r w:rsidRPr="00437FDD">
              <w:t>Restricted benefits that do not require prior approval from the DHS or the Department of Veterans’ Affairs but require the recording of a streamlined authority code on the prescription</w:t>
            </w:r>
          </w:p>
        </w:tc>
      </w:tr>
      <w:tr w:rsidR="00234590" w:rsidRPr="00C2154E" w:rsidTr="00234590">
        <w:tc>
          <w:tcPr>
            <w:tcW w:w="2863" w:type="dxa"/>
            <w:shd w:val="clear" w:color="auto" w:fill="auto"/>
          </w:tcPr>
          <w:p w:rsidR="00234590" w:rsidRPr="00437FDD" w:rsidRDefault="00234590" w:rsidP="00492694">
            <w:r w:rsidRPr="00437FDD">
              <w:t>Co-administration</w:t>
            </w:r>
          </w:p>
        </w:tc>
        <w:tc>
          <w:tcPr>
            <w:tcW w:w="6379" w:type="dxa"/>
            <w:shd w:val="clear" w:color="auto" w:fill="auto"/>
          </w:tcPr>
          <w:p w:rsidR="00234590" w:rsidRPr="00437FDD" w:rsidRDefault="00234590" w:rsidP="00492694">
            <w:r w:rsidRPr="00437FDD">
              <w:t>Assumed use (determined from prescriptions supplied) of two of more medicines at the same time</w:t>
            </w:r>
          </w:p>
        </w:tc>
      </w:tr>
      <w:tr w:rsidR="00234590" w:rsidRPr="00C2154E" w:rsidTr="00234590">
        <w:tc>
          <w:tcPr>
            <w:tcW w:w="2863" w:type="dxa"/>
            <w:shd w:val="clear" w:color="auto" w:fill="auto"/>
          </w:tcPr>
          <w:p w:rsidR="00234590" w:rsidRPr="00437FDD" w:rsidRDefault="00234590" w:rsidP="00492694">
            <w:r w:rsidRPr="00437FDD">
              <w:t>Compliant treatment regimen</w:t>
            </w:r>
          </w:p>
        </w:tc>
        <w:tc>
          <w:tcPr>
            <w:tcW w:w="6379" w:type="dxa"/>
            <w:shd w:val="clear" w:color="auto" w:fill="auto"/>
          </w:tcPr>
          <w:p w:rsidR="00234590" w:rsidRPr="00437FDD" w:rsidRDefault="00234590" w:rsidP="00492694">
            <w:r w:rsidRPr="00437FDD">
              <w:t>Drug regimens meeting requirements for PBS subsidy</w:t>
            </w:r>
          </w:p>
        </w:tc>
      </w:tr>
      <w:tr w:rsidR="00234590" w:rsidRPr="00C2154E" w:rsidTr="00234590">
        <w:tc>
          <w:tcPr>
            <w:tcW w:w="2863" w:type="dxa"/>
            <w:shd w:val="clear" w:color="auto" w:fill="auto"/>
          </w:tcPr>
          <w:p w:rsidR="00234590" w:rsidRPr="00437FDD" w:rsidRDefault="00234590" w:rsidP="00492694">
            <w:r w:rsidRPr="00437FDD">
              <w:t>Copayment</w:t>
            </w:r>
          </w:p>
        </w:tc>
        <w:tc>
          <w:tcPr>
            <w:tcW w:w="6379" w:type="dxa"/>
            <w:shd w:val="clear" w:color="auto" w:fill="auto"/>
          </w:tcPr>
          <w:p w:rsidR="00234590" w:rsidRPr="00437FDD" w:rsidRDefault="00234590" w:rsidP="00492694">
            <w:r w:rsidRPr="00437FDD">
              <w:t>A payment made by the user at the time of service as part of the total payment for that service and any associated product</w:t>
            </w:r>
          </w:p>
        </w:tc>
      </w:tr>
      <w:tr w:rsidR="00234590" w:rsidRPr="00C2154E" w:rsidTr="00234590">
        <w:tc>
          <w:tcPr>
            <w:tcW w:w="2863" w:type="dxa"/>
            <w:shd w:val="clear" w:color="auto" w:fill="auto"/>
          </w:tcPr>
          <w:p w:rsidR="00234590" w:rsidRPr="00437FDD" w:rsidRDefault="00234590" w:rsidP="00492694">
            <w:r w:rsidRPr="00437FDD">
              <w:t>Dual therapy</w:t>
            </w:r>
          </w:p>
        </w:tc>
        <w:tc>
          <w:tcPr>
            <w:tcW w:w="6379" w:type="dxa"/>
            <w:shd w:val="clear" w:color="auto" w:fill="auto"/>
          </w:tcPr>
          <w:p w:rsidR="00234590" w:rsidRPr="00437FDD" w:rsidRDefault="00234590" w:rsidP="00492694">
            <w:r w:rsidRPr="00437FDD">
              <w:t>In this report, dual therapy means use of either metformin or a sulfonylurea in combination with another anti-diabetic therapy for the management of type 2 diabetes</w:t>
            </w:r>
          </w:p>
        </w:tc>
      </w:tr>
      <w:tr w:rsidR="00234590" w:rsidRPr="00C2154E" w:rsidTr="00234590">
        <w:tc>
          <w:tcPr>
            <w:tcW w:w="2863" w:type="dxa"/>
            <w:shd w:val="clear" w:color="auto" w:fill="auto"/>
          </w:tcPr>
          <w:p w:rsidR="00234590" w:rsidRPr="00437FDD" w:rsidRDefault="00234590" w:rsidP="00492694">
            <w:r w:rsidRPr="00437FDD">
              <w:t>Gliptin</w:t>
            </w:r>
          </w:p>
        </w:tc>
        <w:tc>
          <w:tcPr>
            <w:tcW w:w="6379" w:type="dxa"/>
            <w:shd w:val="clear" w:color="auto" w:fill="auto"/>
          </w:tcPr>
          <w:p w:rsidR="00234590" w:rsidRPr="00437FDD" w:rsidRDefault="00234590" w:rsidP="002772EC">
            <w:r w:rsidRPr="00437FDD">
              <w:t>Dipeptidyl peptidase 4 (DPP-4) inhibitor – products included in this report were linagl</w:t>
            </w:r>
            <w:r w:rsidR="002772EC">
              <w:t xml:space="preserve">iptin, saxagliptin, sitagliptin, </w:t>
            </w:r>
            <w:r w:rsidRPr="00437FDD">
              <w:t>vildagliptin</w:t>
            </w:r>
            <w:r w:rsidR="002772EC">
              <w:t xml:space="preserve"> and alogliptin</w:t>
            </w:r>
          </w:p>
        </w:tc>
      </w:tr>
      <w:tr w:rsidR="00234590" w:rsidRPr="00C2154E" w:rsidTr="00234590">
        <w:tc>
          <w:tcPr>
            <w:tcW w:w="2863" w:type="dxa"/>
            <w:shd w:val="clear" w:color="auto" w:fill="auto"/>
          </w:tcPr>
          <w:p w:rsidR="00234590" w:rsidRPr="00437FDD" w:rsidRDefault="00234590" w:rsidP="00492694">
            <w:r w:rsidRPr="00437FDD">
              <w:t>Glitazone</w:t>
            </w:r>
          </w:p>
        </w:tc>
        <w:tc>
          <w:tcPr>
            <w:tcW w:w="6379" w:type="dxa"/>
            <w:shd w:val="clear" w:color="auto" w:fill="auto"/>
          </w:tcPr>
          <w:p w:rsidR="00234590" w:rsidRPr="00437FDD" w:rsidRDefault="00234590" w:rsidP="00492694">
            <w:r w:rsidRPr="00437FDD">
              <w:t>Thiazolidinedione – products included in this report were pioglitazone and rosiglitazone</w:t>
            </w:r>
          </w:p>
        </w:tc>
      </w:tr>
      <w:tr w:rsidR="00234590" w:rsidRPr="00C2154E" w:rsidTr="00234590">
        <w:tc>
          <w:tcPr>
            <w:tcW w:w="2863" w:type="dxa"/>
            <w:shd w:val="clear" w:color="auto" w:fill="auto"/>
          </w:tcPr>
          <w:p w:rsidR="00234590" w:rsidRPr="00437FDD" w:rsidRDefault="00234590" w:rsidP="00492694">
            <w:r w:rsidRPr="00437FDD">
              <w:t>GLP-1 analogue</w:t>
            </w:r>
          </w:p>
        </w:tc>
        <w:tc>
          <w:tcPr>
            <w:tcW w:w="6379" w:type="dxa"/>
            <w:shd w:val="clear" w:color="auto" w:fill="auto"/>
          </w:tcPr>
          <w:p w:rsidR="00234590" w:rsidRPr="00437FDD" w:rsidRDefault="00234590" w:rsidP="00492694">
            <w:r w:rsidRPr="00437FDD">
              <w:t>Glucagon-like peptide-1 analogue – products included in this report include exenatide</w:t>
            </w:r>
          </w:p>
        </w:tc>
      </w:tr>
      <w:tr w:rsidR="00234590" w:rsidRPr="00C2154E" w:rsidTr="00234590">
        <w:tc>
          <w:tcPr>
            <w:tcW w:w="2863" w:type="dxa"/>
            <w:shd w:val="clear" w:color="auto" w:fill="auto"/>
          </w:tcPr>
          <w:p w:rsidR="00234590" w:rsidRPr="00437FDD" w:rsidRDefault="00234590" w:rsidP="00492694">
            <w:r w:rsidRPr="00437FDD">
              <w:t>Government expenditure</w:t>
            </w:r>
          </w:p>
        </w:tc>
        <w:tc>
          <w:tcPr>
            <w:tcW w:w="6379" w:type="dxa"/>
            <w:shd w:val="clear" w:color="auto" w:fill="auto"/>
          </w:tcPr>
          <w:p w:rsidR="00234590" w:rsidRPr="00437FDD" w:rsidRDefault="00234590" w:rsidP="00492694">
            <w:r w:rsidRPr="00437FDD">
              <w:t>Expenditure by the Australian Government, excluding out of pocket costs, including copayments, and private prescriptions</w:t>
            </w:r>
          </w:p>
        </w:tc>
      </w:tr>
      <w:tr w:rsidR="00234590" w:rsidRPr="00C2154E" w:rsidTr="00234590">
        <w:tc>
          <w:tcPr>
            <w:tcW w:w="2863" w:type="dxa"/>
            <w:shd w:val="clear" w:color="auto" w:fill="auto"/>
          </w:tcPr>
          <w:p w:rsidR="00234590" w:rsidRPr="00437FDD" w:rsidRDefault="00234590" w:rsidP="00492694">
            <w:r w:rsidRPr="00437FDD">
              <w:t>Initiating or starting treatment</w:t>
            </w:r>
          </w:p>
        </w:tc>
        <w:tc>
          <w:tcPr>
            <w:tcW w:w="6379" w:type="dxa"/>
            <w:shd w:val="clear" w:color="auto" w:fill="auto"/>
          </w:tcPr>
          <w:p w:rsidR="00234590" w:rsidRPr="00437FDD" w:rsidRDefault="00234590" w:rsidP="00492694">
            <w:r w:rsidRPr="00437FDD">
              <w:t xml:space="preserve">In part II of this report, refers to a patient with no prescription supplied for any anti-diabetic medicine in at least the previous 12 months. These patients are assumed to be starting drug treatment for their diabetes for the first time </w:t>
            </w:r>
          </w:p>
          <w:p w:rsidR="00234590" w:rsidRPr="00437FDD" w:rsidRDefault="00234590" w:rsidP="00492694">
            <w:r w:rsidRPr="00437FDD">
              <w:t>In part III and IV of this report, refers to a patient being supplied with a prescription for a certain drug for the first time. The patient may have been on other diabetes medicines in the past</w:t>
            </w:r>
          </w:p>
        </w:tc>
      </w:tr>
      <w:tr w:rsidR="00234590" w:rsidRPr="00C2154E" w:rsidTr="00234590">
        <w:tc>
          <w:tcPr>
            <w:tcW w:w="2863" w:type="dxa"/>
            <w:shd w:val="clear" w:color="auto" w:fill="auto"/>
          </w:tcPr>
          <w:p w:rsidR="00234590" w:rsidRPr="00437FDD" w:rsidRDefault="00234590" w:rsidP="00492694">
            <w:r w:rsidRPr="00437FDD">
              <w:t>Monotherapy</w:t>
            </w:r>
          </w:p>
        </w:tc>
        <w:tc>
          <w:tcPr>
            <w:tcW w:w="6379" w:type="dxa"/>
            <w:shd w:val="clear" w:color="auto" w:fill="auto"/>
          </w:tcPr>
          <w:p w:rsidR="00234590" w:rsidRPr="00437FDD" w:rsidRDefault="00234590" w:rsidP="00492694">
            <w:r w:rsidRPr="00437FDD">
              <w:t>In this report, refers to use of a single drug at any given time to manage type 2 diabetes</w:t>
            </w:r>
          </w:p>
        </w:tc>
      </w:tr>
      <w:tr w:rsidR="00234590" w:rsidRPr="00C2154E" w:rsidTr="00234590">
        <w:tc>
          <w:tcPr>
            <w:tcW w:w="2863" w:type="dxa"/>
            <w:shd w:val="clear" w:color="auto" w:fill="auto"/>
          </w:tcPr>
          <w:p w:rsidR="00234590" w:rsidRPr="00437FDD" w:rsidRDefault="00234590" w:rsidP="00492694">
            <w:r w:rsidRPr="00437FDD">
              <w:lastRenderedPageBreak/>
              <w:t>Non-compliant treatment regimen</w:t>
            </w:r>
          </w:p>
        </w:tc>
        <w:tc>
          <w:tcPr>
            <w:tcW w:w="6379" w:type="dxa"/>
            <w:shd w:val="clear" w:color="auto" w:fill="auto"/>
          </w:tcPr>
          <w:p w:rsidR="00234590" w:rsidRPr="00437FDD" w:rsidRDefault="00234590" w:rsidP="00492694">
            <w:r w:rsidRPr="00437FDD">
              <w:t>Drug regimens not meeting requirements for PBS subsidy</w:t>
            </w:r>
          </w:p>
        </w:tc>
      </w:tr>
      <w:tr w:rsidR="00234590" w:rsidRPr="00C2154E" w:rsidTr="00234590">
        <w:tc>
          <w:tcPr>
            <w:tcW w:w="2863" w:type="dxa"/>
            <w:shd w:val="clear" w:color="auto" w:fill="auto"/>
          </w:tcPr>
          <w:p w:rsidR="00234590" w:rsidRPr="00437FDD" w:rsidRDefault="00234590" w:rsidP="00492694">
            <w:r w:rsidRPr="00437FDD">
              <w:t>Published price</w:t>
            </w:r>
          </w:p>
        </w:tc>
        <w:tc>
          <w:tcPr>
            <w:tcW w:w="6379" w:type="dxa"/>
            <w:shd w:val="clear" w:color="auto" w:fill="auto"/>
          </w:tcPr>
          <w:p w:rsidR="00234590" w:rsidRPr="00437FDD" w:rsidRDefault="00234590" w:rsidP="00492694">
            <w:r w:rsidRPr="00437FDD">
              <w:t>The price of the drug as published in the Pharmaceutical Benefits Schedule</w:t>
            </w:r>
          </w:p>
        </w:tc>
      </w:tr>
      <w:tr w:rsidR="00234590" w:rsidRPr="00C2154E" w:rsidTr="00234590">
        <w:tc>
          <w:tcPr>
            <w:tcW w:w="2863" w:type="dxa"/>
            <w:shd w:val="clear" w:color="auto" w:fill="auto"/>
          </w:tcPr>
          <w:p w:rsidR="00234590" w:rsidRPr="00437FDD" w:rsidRDefault="00234590" w:rsidP="00492694">
            <w:r w:rsidRPr="00437FDD">
              <w:t>Regimen</w:t>
            </w:r>
          </w:p>
        </w:tc>
        <w:tc>
          <w:tcPr>
            <w:tcW w:w="6379" w:type="dxa"/>
            <w:shd w:val="clear" w:color="auto" w:fill="auto"/>
          </w:tcPr>
          <w:p w:rsidR="00234590" w:rsidRPr="00437FDD" w:rsidRDefault="00234590" w:rsidP="00492694">
            <w:r w:rsidRPr="00437FDD">
              <w:t>A drug or combination of drugs deemed to be taken at the same time by a patient at a point in time</w:t>
            </w:r>
          </w:p>
        </w:tc>
      </w:tr>
      <w:tr w:rsidR="00234590" w:rsidRPr="00C2154E" w:rsidTr="00234590">
        <w:tc>
          <w:tcPr>
            <w:tcW w:w="2863" w:type="dxa"/>
            <w:shd w:val="clear" w:color="auto" w:fill="auto"/>
          </w:tcPr>
          <w:p w:rsidR="00234590" w:rsidRPr="00437FDD" w:rsidRDefault="00234590" w:rsidP="00492694">
            <w:r w:rsidRPr="00437FDD">
              <w:t>Restricted benefit</w:t>
            </w:r>
          </w:p>
        </w:tc>
        <w:tc>
          <w:tcPr>
            <w:tcW w:w="6379" w:type="dxa"/>
            <w:shd w:val="clear" w:color="auto" w:fill="auto"/>
          </w:tcPr>
          <w:p w:rsidR="00234590" w:rsidRPr="00437FDD" w:rsidRDefault="00234590" w:rsidP="00492694">
            <w:r w:rsidRPr="00437FDD">
              <w:t>A restriction that means the relevant drug can be prescribed through the PBS only for specific therapeutic uses</w:t>
            </w:r>
          </w:p>
        </w:tc>
      </w:tr>
      <w:tr w:rsidR="00234590" w:rsidRPr="00C2154E" w:rsidTr="00234590">
        <w:tc>
          <w:tcPr>
            <w:tcW w:w="2863" w:type="dxa"/>
            <w:shd w:val="clear" w:color="auto" w:fill="auto"/>
          </w:tcPr>
          <w:p w:rsidR="00234590" w:rsidRPr="00437FDD" w:rsidRDefault="00234590" w:rsidP="00492694">
            <w:r w:rsidRPr="00437FDD">
              <w:t>Special pricing arrangement</w:t>
            </w:r>
          </w:p>
        </w:tc>
        <w:tc>
          <w:tcPr>
            <w:tcW w:w="6379" w:type="dxa"/>
            <w:shd w:val="clear" w:color="auto" w:fill="auto"/>
          </w:tcPr>
          <w:p w:rsidR="00234590" w:rsidRPr="00437FDD" w:rsidRDefault="00234590" w:rsidP="00492694">
            <w:r w:rsidRPr="00437FDD">
              <w:t>A commercial-in-confidence arrangement between the Commonwealth and a pharmaceutical company that affects the actual price paid by the Commonwealth for supplied medicines</w:t>
            </w:r>
          </w:p>
        </w:tc>
      </w:tr>
      <w:tr w:rsidR="00234590" w:rsidRPr="00C2154E" w:rsidTr="00234590">
        <w:tc>
          <w:tcPr>
            <w:tcW w:w="2863" w:type="dxa"/>
            <w:shd w:val="clear" w:color="auto" w:fill="auto"/>
          </w:tcPr>
          <w:p w:rsidR="00234590" w:rsidRPr="00437FDD" w:rsidRDefault="00234590" w:rsidP="00492694">
            <w:r w:rsidRPr="00437FDD">
              <w:t>Switch</w:t>
            </w:r>
          </w:p>
        </w:tc>
        <w:tc>
          <w:tcPr>
            <w:tcW w:w="6379" w:type="dxa"/>
            <w:shd w:val="clear" w:color="auto" w:fill="auto"/>
          </w:tcPr>
          <w:p w:rsidR="00234590" w:rsidRPr="00437FDD" w:rsidRDefault="00234590" w:rsidP="00492694">
            <w:r w:rsidRPr="00437FDD">
              <w:t xml:space="preserve">Changing from one subsidised therapy to another </w:t>
            </w:r>
          </w:p>
        </w:tc>
      </w:tr>
      <w:tr w:rsidR="00234590" w:rsidRPr="00C2154E" w:rsidTr="00234590">
        <w:tc>
          <w:tcPr>
            <w:tcW w:w="2863" w:type="dxa"/>
            <w:shd w:val="clear" w:color="auto" w:fill="auto"/>
          </w:tcPr>
          <w:p w:rsidR="00234590" w:rsidRPr="00437FDD" w:rsidRDefault="00234590" w:rsidP="00492694">
            <w:r w:rsidRPr="00437FDD">
              <w:t>Third line therapy or agent</w:t>
            </w:r>
          </w:p>
        </w:tc>
        <w:tc>
          <w:tcPr>
            <w:tcW w:w="6379" w:type="dxa"/>
            <w:shd w:val="clear" w:color="auto" w:fill="auto"/>
          </w:tcPr>
          <w:p w:rsidR="00234590" w:rsidRPr="00437FDD" w:rsidRDefault="00234590" w:rsidP="00492694">
            <w:r w:rsidRPr="00437FDD">
              <w:t xml:space="preserve">In this report, refers to </w:t>
            </w:r>
            <w:r w:rsidR="00C15997">
              <w:t>DPP-4 inhibitors</w:t>
            </w:r>
            <w:r w:rsidRPr="00437FDD">
              <w:t xml:space="preserve">, </w:t>
            </w:r>
            <w:r w:rsidR="006820B1">
              <w:t>TZDs</w:t>
            </w:r>
            <w:r w:rsidRPr="00437FDD">
              <w:t xml:space="preserve"> and exenatide</w:t>
            </w:r>
          </w:p>
        </w:tc>
      </w:tr>
      <w:tr w:rsidR="00234590" w:rsidRPr="00C2154E" w:rsidTr="00234590">
        <w:tc>
          <w:tcPr>
            <w:tcW w:w="2863" w:type="dxa"/>
            <w:shd w:val="clear" w:color="auto" w:fill="auto"/>
          </w:tcPr>
          <w:p w:rsidR="00234590" w:rsidRPr="00437FDD" w:rsidRDefault="00234590" w:rsidP="00492694">
            <w:r w:rsidRPr="00437FDD">
              <w:t>Triple therapy</w:t>
            </w:r>
          </w:p>
        </w:tc>
        <w:tc>
          <w:tcPr>
            <w:tcW w:w="6379" w:type="dxa"/>
            <w:shd w:val="clear" w:color="auto" w:fill="auto"/>
          </w:tcPr>
          <w:p w:rsidR="00234590" w:rsidRPr="00437FDD" w:rsidRDefault="00234590" w:rsidP="00492694">
            <w:r w:rsidRPr="00437FDD">
              <w:t>In this report triple therapy refers to use of metformin or a sulfonylurea in combination with two other anti-diabetic therapies to manage type 2 diabetes</w:t>
            </w:r>
          </w:p>
        </w:tc>
      </w:tr>
      <w:tr w:rsidR="00234590" w:rsidRPr="00C2154E" w:rsidTr="00234590">
        <w:tc>
          <w:tcPr>
            <w:tcW w:w="2863" w:type="dxa"/>
            <w:shd w:val="clear" w:color="auto" w:fill="auto"/>
          </w:tcPr>
          <w:p w:rsidR="00234590" w:rsidRPr="00437FDD" w:rsidRDefault="00234590" w:rsidP="00492694">
            <w:r w:rsidRPr="00437FDD">
              <w:t>Under-copayment</w:t>
            </w:r>
          </w:p>
        </w:tc>
        <w:tc>
          <w:tcPr>
            <w:tcW w:w="6379" w:type="dxa"/>
            <w:shd w:val="clear" w:color="auto" w:fill="auto"/>
          </w:tcPr>
          <w:p w:rsidR="00234590" w:rsidRPr="00437FDD" w:rsidRDefault="00234590" w:rsidP="00492694">
            <w:r w:rsidRPr="00437FDD">
              <w:t xml:space="preserve">A PBS medicine that costs less than the general patient copayment </w:t>
            </w:r>
          </w:p>
        </w:tc>
      </w:tr>
    </w:tbl>
    <w:p w:rsidR="006926F4" w:rsidRPr="006926F4" w:rsidRDefault="00234590" w:rsidP="00492694">
      <w:pPr>
        <w:pStyle w:val="Heading1"/>
      </w:pPr>
      <w:r>
        <w:br w:type="page"/>
      </w:r>
      <w:bookmarkStart w:id="453" w:name="_Toc397947730"/>
      <w:bookmarkStart w:id="454" w:name="_Toc403399571"/>
      <w:r w:rsidR="006926F4" w:rsidRPr="006926F4">
        <w:lastRenderedPageBreak/>
        <w:t>Appendices</w:t>
      </w:r>
      <w:bookmarkEnd w:id="453"/>
      <w:bookmarkEnd w:id="454"/>
    </w:p>
    <w:p w:rsidR="00A52C51" w:rsidRPr="00B02B95" w:rsidRDefault="004711D6" w:rsidP="00A52C51">
      <w:pPr>
        <w:pStyle w:val="Heading2"/>
      </w:pPr>
      <w:bookmarkStart w:id="455" w:name="_Appendix_A:_List"/>
      <w:bookmarkStart w:id="456" w:name="_Appendix_A:_Context"/>
      <w:bookmarkStart w:id="457" w:name="_Toc382906704"/>
      <w:bookmarkStart w:id="458" w:name="_Toc397947731"/>
      <w:bookmarkStart w:id="459" w:name="_Toc403399572"/>
      <w:bookmarkEnd w:id="455"/>
      <w:bookmarkEnd w:id="456"/>
      <w:r>
        <w:t xml:space="preserve">Appendix A: </w:t>
      </w:r>
      <w:r w:rsidR="00A52C51" w:rsidRPr="007F5C1E">
        <w:t xml:space="preserve">Context for the </w:t>
      </w:r>
      <w:r w:rsidR="00A52C51">
        <w:t xml:space="preserve">Diabetes Post-market </w:t>
      </w:r>
      <w:r w:rsidR="00A52C51" w:rsidRPr="007F5C1E">
        <w:t>Review</w:t>
      </w:r>
      <w:bookmarkEnd w:id="457"/>
      <w:bookmarkEnd w:id="458"/>
      <w:bookmarkEnd w:id="459"/>
    </w:p>
    <w:p w:rsidR="00A52C51" w:rsidRPr="007F5C1E" w:rsidRDefault="00A52C51" w:rsidP="004711D6">
      <w:pPr>
        <w:pStyle w:val="Heading5"/>
      </w:pPr>
      <w:bookmarkStart w:id="460" w:name="_Toc382906705"/>
      <w:r w:rsidRPr="007F5C1E">
        <w:t>The National Medicines Policy (NMP)</w:t>
      </w:r>
      <w:bookmarkEnd w:id="460"/>
    </w:p>
    <w:p w:rsidR="00A52C51" w:rsidRPr="007F5C1E" w:rsidRDefault="00A52C51" w:rsidP="00A52C51">
      <w:pPr>
        <w:pStyle w:val="BodyText1"/>
      </w:pPr>
      <w:r w:rsidRPr="007F5C1E">
        <w:t>The NMP is a broad framework that aims to improve health outcomes for all Australians through improving both access to</w:t>
      </w:r>
      <w:r>
        <w:t>,</w:t>
      </w:r>
      <w:r w:rsidRPr="007F5C1E">
        <w:t xml:space="preserve"> and appropriate use of</w:t>
      </w:r>
      <w:r>
        <w:t>,</w:t>
      </w:r>
      <w:r w:rsidRPr="007F5C1E">
        <w:t xml:space="preserve"> medicines. </w:t>
      </w:r>
    </w:p>
    <w:p w:rsidR="00A52C51" w:rsidRPr="007F5C1E" w:rsidRDefault="00A52C51" w:rsidP="00A52C51">
      <w:pPr>
        <w:pStyle w:val="BodyText1"/>
      </w:pPr>
      <w:r w:rsidRPr="007F5C1E">
        <w:t>The four central objectives of the policy are:</w:t>
      </w:r>
    </w:p>
    <w:p w:rsidR="00A52C51" w:rsidRPr="007F5C1E" w:rsidRDefault="00A52C51" w:rsidP="00A52C51">
      <w:pPr>
        <w:pStyle w:val="BodyText1"/>
        <w:numPr>
          <w:ilvl w:val="0"/>
          <w:numId w:val="12"/>
        </w:numPr>
      </w:pPr>
      <w:r w:rsidRPr="007F5C1E">
        <w:t>timely and affordable access to medicines for all Australians;</w:t>
      </w:r>
    </w:p>
    <w:p w:rsidR="00A52C51" w:rsidRPr="007F5C1E" w:rsidRDefault="00A52C51" w:rsidP="00A52C51">
      <w:pPr>
        <w:pStyle w:val="BodyText1"/>
        <w:numPr>
          <w:ilvl w:val="0"/>
          <w:numId w:val="12"/>
        </w:numPr>
      </w:pPr>
      <w:r w:rsidRPr="007F5C1E">
        <w:t>appropriate standards of quality, safety, and efficacy of medicines;</w:t>
      </w:r>
    </w:p>
    <w:p w:rsidR="00A52C51" w:rsidRPr="007F5C1E" w:rsidRDefault="00A52C51" w:rsidP="00A52C51">
      <w:pPr>
        <w:pStyle w:val="BodyText1"/>
        <w:numPr>
          <w:ilvl w:val="0"/>
          <w:numId w:val="12"/>
        </w:numPr>
      </w:pPr>
      <w:r w:rsidRPr="007F5C1E">
        <w:t>quality use of medicines; and</w:t>
      </w:r>
    </w:p>
    <w:p w:rsidR="00A52C51" w:rsidRPr="007F5C1E" w:rsidRDefault="00A52C51" w:rsidP="00A52C51">
      <w:pPr>
        <w:pStyle w:val="BodyText1"/>
        <w:numPr>
          <w:ilvl w:val="0"/>
          <w:numId w:val="12"/>
        </w:numPr>
      </w:pPr>
      <w:r w:rsidRPr="007F5C1E">
        <w:t>maintenance of a responsible and viable medicines industry in Australia.</w:t>
      </w:r>
    </w:p>
    <w:p w:rsidR="00A52C51" w:rsidRPr="007F5C1E" w:rsidRDefault="00A52C51" w:rsidP="00A52C51">
      <w:pPr>
        <w:pStyle w:val="BodyText1"/>
      </w:pPr>
      <w:r w:rsidRPr="007F5C1E">
        <w:t>Post-market reviews contribute to the quality use of medicines objective of the NMP.</w:t>
      </w:r>
    </w:p>
    <w:p w:rsidR="00A52C51" w:rsidRPr="007F5C1E" w:rsidRDefault="00A52C51" w:rsidP="00A52C51">
      <w:pPr>
        <w:pStyle w:val="BodyText1"/>
      </w:pPr>
      <w:r w:rsidRPr="007F5C1E">
        <w:t>Quality use of medicines is defined as:</w:t>
      </w:r>
    </w:p>
    <w:p w:rsidR="00A52C51" w:rsidRPr="007F5C1E" w:rsidRDefault="00A52C51" w:rsidP="00A52C51">
      <w:pPr>
        <w:pStyle w:val="BodyText1"/>
        <w:numPr>
          <w:ilvl w:val="0"/>
          <w:numId w:val="11"/>
        </w:numPr>
      </w:pPr>
      <w:r w:rsidRPr="007F5C1E">
        <w:t>selecting management options wisely;</w:t>
      </w:r>
    </w:p>
    <w:p w:rsidR="00A52C51" w:rsidRPr="007F5C1E" w:rsidRDefault="00A52C51" w:rsidP="00A52C51">
      <w:pPr>
        <w:pStyle w:val="BodyText1"/>
        <w:numPr>
          <w:ilvl w:val="0"/>
          <w:numId w:val="11"/>
        </w:numPr>
      </w:pPr>
      <w:r w:rsidRPr="007F5C1E">
        <w:t>choosing suitable medicines if a medicine is considered necessary; and</w:t>
      </w:r>
    </w:p>
    <w:p w:rsidR="00A52C51" w:rsidRPr="007F5C1E" w:rsidRDefault="00A52C51" w:rsidP="00A52C51">
      <w:pPr>
        <w:pStyle w:val="BodyText1"/>
        <w:numPr>
          <w:ilvl w:val="0"/>
          <w:numId w:val="11"/>
        </w:numPr>
      </w:pPr>
      <w:r w:rsidRPr="007F5C1E">
        <w:t xml:space="preserve">using medicines safely and effectively. </w:t>
      </w:r>
    </w:p>
    <w:p w:rsidR="00A52C51" w:rsidRPr="007F5C1E" w:rsidRDefault="00A52C51" w:rsidP="00A52C51">
      <w:pPr>
        <w:pStyle w:val="BodyText1"/>
      </w:pPr>
      <w:r w:rsidRPr="007F5C1E">
        <w:t>The definition of quality use of medicines applies equally to decisions about medicine use by individuals and decisions that affect the health of the population.</w:t>
      </w:r>
    </w:p>
    <w:p w:rsidR="00A52C51" w:rsidRPr="007F5C1E" w:rsidRDefault="00A52C51" w:rsidP="004711D6">
      <w:pPr>
        <w:pStyle w:val="Heading5"/>
      </w:pPr>
      <w:bookmarkStart w:id="461" w:name="_Toc382906706"/>
      <w:r w:rsidRPr="007F5C1E">
        <w:t>The Pharmaceutical Benefits Scheme (PBS)</w:t>
      </w:r>
      <w:bookmarkEnd w:id="461"/>
    </w:p>
    <w:p w:rsidR="00A52C51" w:rsidRPr="00D67086" w:rsidRDefault="00A52C51" w:rsidP="00A52C51">
      <w:pPr>
        <w:pStyle w:val="BodyText1"/>
        <w:rPr>
          <w:lang w:eastAsia="en-AU"/>
        </w:rPr>
      </w:pPr>
      <w:r w:rsidRPr="00D67086">
        <w:t xml:space="preserve">The PBS provides reliable, timely, and affordable access to a wide range of medicines for all Australians. Under the PBS, the Australian Government subsidises medicine costs to help people afford prescription medicines for most medical conditions. </w:t>
      </w:r>
      <w:r w:rsidRPr="00D67086">
        <w:rPr>
          <w:lang w:eastAsia="en-AU"/>
        </w:rPr>
        <w:t xml:space="preserve">The PBS is part of the Australian Government’s broader NMP. </w:t>
      </w:r>
    </w:p>
    <w:p w:rsidR="00A52C51" w:rsidRPr="007F5C1E" w:rsidRDefault="00A52C51" w:rsidP="004711D6">
      <w:pPr>
        <w:pStyle w:val="Heading5"/>
      </w:pPr>
      <w:bookmarkStart w:id="462" w:name="_Toc382906707"/>
      <w:r w:rsidRPr="007F5C1E">
        <w:t>The Pharmaceutical Benefits Advisory Committee (PBAC)</w:t>
      </w:r>
      <w:bookmarkEnd w:id="462"/>
    </w:p>
    <w:p w:rsidR="00A52C51" w:rsidRPr="00D67086" w:rsidRDefault="00A52C51" w:rsidP="00A52C51">
      <w:pPr>
        <w:pStyle w:val="BodyText1"/>
      </w:pPr>
      <w:r w:rsidRPr="00D67086">
        <w:t xml:space="preserve">The PBAC is an independent expert body appointed by the Australian </w:t>
      </w:r>
      <w:r>
        <w:t xml:space="preserve">Government, comprised </w:t>
      </w:r>
      <w:r w:rsidRPr="00690B34">
        <w:t>of medical practitioners, other</w:t>
      </w:r>
      <w:r w:rsidRPr="00D67086">
        <w:t xml:space="preserve"> health professionals, health economists and consumer representatives. The PBAC meets three times a year, usually in March, July and November. Additional special meetings may be held as required.</w:t>
      </w:r>
    </w:p>
    <w:p w:rsidR="00A52C51" w:rsidRPr="00D67086" w:rsidRDefault="00A52C51" w:rsidP="00A52C51">
      <w:pPr>
        <w:pStyle w:val="BodyText1"/>
      </w:pPr>
      <w:r w:rsidRPr="00D67086">
        <w:t xml:space="preserve">The PBAC is responsible for evaluating the clinical and cost-effectiveness of medicines in order to make recommendations relating to listing on the PBS. Recommendations for new listings are informed by evidence of a medicine’s clinical effectiveness, safety, and cost-effectiveness (‘value for money’) compared with other treatments. </w:t>
      </w:r>
    </w:p>
    <w:p w:rsidR="00A52C51" w:rsidRPr="007F5C1E" w:rsidRDefault="00A52C51" w:rsidP="00A52C51">
      <w:pPr>
        <w:pStyle w:val="BodyText1"/>
      </w:pPr>
      <w:r w:rsidRPr="007F5C1E">
        <w:t xml:space="preserve">The PBAC has a broad statutory function under the </w:t>
      </w:r>
      <w:r w:rsidRPr="007F5C1E">
        <w:rPr>
          <w:i/>
        </w:rPr>
        <w:t>National Health Act 1953</w:t>
      </w:r>
      <w:r w:rsidRPr="007F5C1E">
        <w:t xml:space="preserve">, to advise the Minister on any matters concerning the operation of the PBS. This includes making </w:t>
      </w:r>
      <w:r w:rsidRPr="007F5C1E">
        <w:lastRenderedPageBreak/>
        <w:t>further recommendations regarding the safety, effectiveness and cost-effectiveness of medicines after they have been listed. Therefore, the PBAC considers the need for, and provides recommendations on, post-market reviews.</w:t>
      </w:r>
    </w:p>
    <w:p w:rsidR="00A52C51" w:rsidRPr="00D67086" w:rsidRDefault="00A52C51" w:rsidP="00A52C51">
      <w:pPr>
        <w:pStyle w:val="BodyText1"/>
      </w:pPr>
      <w:r w:rsidRPr="00D67086">
        <w:t xml:space="preserve">The PBAC has two sub-committees to assist with analysis and advice: the Drug Utilisation Sub-Committee (DUSC) and the Economics Sub-Committee (ESC). </w:t>
      </w:r>
      <w:r w:rsidRPr="007F5C1E">
        <w:rPr>
          <w:lang w:eastAsia="en-AU"/>
        </w:rPr>
        <w:t xml:space="preserve">Information relating to the PBS, and the PBAC, DUSC and ESC meeting dates, agendas and outcomes are available on the </w:t>
      </w:r>
      <w:r w:rsidRPr="007F5C1E">
        <w:rPr>
          <w:color w:val="0000FF"/>
          <w:u w:val="single"/>
          <w:lang w:eastAsia="en-AU"/>
        </w:rPr>
        <w:t>PBS website</w:t>
      </w:r>
      <w:r w:rsidRPr="007F5C1E">
        <w:rPr>
          <w:lang w:eastAsia="en-AU"/>
        </w:rPr>
        <w:t>.</w:t>
      </w:r>
    </w:p>
    <w:p w:rsidR="00A52C51" w:rsidRPr="007F5C1E" w:rsidRDefault="00A52C51" w:rsidP="004711D6">
      <w:pPr>
        <w:pStyle w:val="Heading5"/>
      </w:pPr>
      <w:bookmarkStart w:id="463" w:name="_Toc382906708"/>
      <w:r>
        <w:t>Post-m</w:t>
      </w:r>
      <w:r w:rsidRPr="007F5C1E">
        <w:t xml:space="preserve">arket </w:t>
      </w:r>
      <w:bookmarkEnd w:id="463"/>
      <w:r w:rsidR="004711D6">
        <w:t>Review Programme</w:t>
      </w:r>
    </w:p>
    <w:p w:rsidR="00A52C51" w:rsidRPr="007F5C1E" w:rsidRDefault="00A52C51" w:rsidP="00A52C51">
      <w:pPr>
        <w:pStyle w:val="BodyText1"/>
      </w:pPr>
      <w:r w:rsidRPr="007F5C1E">
        <w:rPr>
          <w:lang w:val="en-US"/>
        </w:rPr>
        <w:t xml:space="preserve">Post-market reviews are a systematic and formal approach to monitoring the use of medicines listed on the PBS. The Post-market Review Programme was established to </w:t>
      </w:r>
      <w:r>
        <w:rPr>
          <w:lang w:val="en-US"/>
        </w:rPr>
        <w:t xml:space="preserve">support quality use of medicines and </w:t>
      </w:r>
      <w:r w:rsidRPr="007F5C1E">
        <w:rPr>
          <w:lang w:val="en-US"/>
        </w:rPr>
        <w:t>the ongoing evidence-based cost and clinically effective use of PBS listed medicines.</w:t>
      </w:r>
    </w:p>
    <w:p w:rsidR="00A52C51" w:rsidRPr="007F5C1E" w:rsidRDefault="00A52C51" w:rsidP="00A52C51">
      <w:pPr>
        <w:pStyle w:val="BodyText1"/>
      </w:pPr>
      <w:r w:rsidRPr="007F5C1E">
        <w:t xml:space="preserve">Applications to list a medicine on the PBS are considered by the </w:t>
      </w:r>
      <w:r w:rsidRPr="007F5C1E">
        <w:rPr>
          <w:lang w:val="en-US"/>
        </w:rPr>
        <w:t xml:space="preserve">PBAC </w:t>
      </w:r>
      <w:r w:rsidRPr="007F5C1E">
        <w:t xml:space="preserve">on a case-by-case basis at the time a submission for listing is made. This means that a medicine is only considered in the context of treatments and evidence available at that time. Over time, new medicines are listed on the PBS, more data on medicine safety and efficacy becomes available, and treatment guidelines change. As a result, the actual use or health outcomes of a medicine may be different to what was considered by the PBAC at the time of listing. The post-market review process provides a mechanism for medicines to be considered in the full and current treatment context, including actual utilisation, comparative efficacy, treatment guidelines and health outcomes. </w:t>
      </w:r>
    </w:p>
    <w:p w:rsidR="00A52C51" w:rsidRPr="007F5C1E" w:rsidRDefault="00A52C51" w:rsidP="00A52C51">
      <w:pPr>
        <w:pStyle w:val="BodyText1"/>
        <w:rPr>
          <w:lang w:val="en-US"/>
        </w:rPr>
      </w:pPr>
      <w:r w:rsidRPr="007F5C1E">
        <w:rPr>
          <w:lang w:val="en-US"/>
        </w:rPr>
        <w:t>The Post-market Review Programme aims to achieve four main goals:</w:t>
      </w:r>
    </w:p>
    <w:p w:rsidR="00A52C51" w:rsidRPr="007F5C1E" w:rsidRDefault="00A52C51" w:rsidP="00A52C51">
      <w:pPr>
        <w:pStyle w:val="BodyText1"/>
        <w:numPr>
          <w:ilvl w:val="0"/>
          <w:numId w:val="10"/>
        </w:numPr>
        <w:rPr>
          <w:lang w:val="en-US"/>
        </w:rPr>
      </w:pPr>
      <w:r>
        <w:rPr>
          <w:lang w:val="en-US"/>
        </w:rPr>
        <w:t>i</w:t>
      </w:r>
      <w:r w:rsidRPr="007F5C1E">
        <w:rPr>
          <w:lang w:val="en-US"/>
        </w:rPr>
        <w:t>mproved patient safety through better understanding of adverse ev</w:t>
      </w:r>
      <w:r>
        <w:rPr>
          <w:lang w:val="en-US"/>
        </w:rPr>
        <w:t>ents and medicine-related harms</w:t>
      </w:r>
    </w:p>
    <w:p w:rsidR="00A52C51" w:rsidRPr="007F5C1E" w:rsidRDefault="00A52C51" w:rsidP="00A52C51">
      <w:pPr>
        <w:pStyle w:val="BodyText1"/>
        <w:numPr>
          <w:ilvl w:val="0"/>
          <w:numId w:val="10"/>
        </w:numPr>
        <w:rPr>
          <w:lang w:val="en-US"/>
        </w:rPr>
      </w:pPr>
      <w:r>
        <w:rPr>
          <w:lang w:val="en-US"/>
        </w:rPr>
        <w:t>e</w:t>
      </w:r>
      <w:r w:rsidRPr="007F5C1E">
        <w:rPr>
          <w:lang w:val="en-US"/>
        </w:rPr>
        <w:t>nsuring the ongoing viability of the PBS through better targeting of medicines use and avoiding preventable wasta</w:t>
      </w:r>
      <w:r>
        <w:rPr>
          <w:lang w:val="en-US"/>
        </w:rPr>
        <w:t>ge or inappropriate prescribing</w:t>
      </w:r>
    </w:p>
    <w:p w:rsidR="00A52C51" w:rsidRPr="007F5C1E" w:rsidRDefault="00A52C51" w:rsidP="00A52C51">
      <w:pPr>
        <w:pStyle w:val="BodyText1"/>
        <w:numPr>
          <w:ilvl w:val="0"/>
          <w:numId w:val="10"/>
        </w:numPr>
        <w:rPr>
          <w:lang w:val="en-US"/>
        </w:rPr>
      </w:pPr>
      <w:r>
        <w:rPr>
          <w:lang w:val="en-US"/>
        </w:rPr>
        <w:t>d</w:t>
      </w:r>
      <w:r w:rsidRPr="007F5C1E">
        <w:rPr>
          <w:lang w:val="en-US"/>
        </w:rPr>
        <w:t>eveloping a better understanding of medicines use, to validate intended clinical benefit and inform med</w:t>
      </w:r>
      <w:r>
        <w:rPr>
          <w:lang w:val="en-US"/>
        </w:rPr>
        <w:t>icines evaluation processes</w:t>
      </w:r>
    </w:p>
    <w:p w:rsidR="00A52C51" w:rsidRPr="007F5C1E" w:rsidRDefault="00A52C51" w:rsidP="00A52C51">
      <w:pPr>
        <w:pStyle w:val="BodyText1"/>
        <w:numPr>
          <w:ilvl w:val="0"/>
          <w:numId w:val="10"/>
        </w:numPr>
        <w:rPr>
          <w:lang w:val="en-US"/>
        </w:rPr>
      </w:pPr>
      <w:r>
        <w:rPr>
          <w:lang w:val="en-US"/>
        </w:rPr>
        <w:t>s</w:t>
      </w:r>
      <w:r w:rsidRPr="007F5C1E">
        <w:rPr>
          <w:lang w:val="en-US"/>
        </w:rPr>
        <w:t>trengthened medicines pricing management, including through better management of clinical and economic uncertainty.</w:t>
      </w:r>
    </w:p>
    <w:p w:rsidR="00A52C51" w:rsidRDefault="00A52C51" w:rsidP="00A52C51">
      <w:pPr>
        <w:pStyle w:val="BodyText1"/>
      </w:pPr>
      <w:r w:rsidRPr="007F5C1E">
        <w:t>Post-market reviews are initiated due to concerns related to safety, cost</w:t>
      </w:r>
      <w:r w:rsidRPr="007F5C1E">
        <w:noBreakHyphen/>
        <w:t>effectiven</w:t>
      </w:r>
      <w:r>
        <w:t xml:space="preserve">ess, clinical effectiveness, </w:t>
      </w:r>
      <w:r w:rsidRPr="007F5C1E">
        <w:t>h</w:t>
      </w:r>
      <w:r>
        <w:t>igher than predicted use</w:t>
      </w:r>
      <w:r w:rsidRPr="007F5C1E">
        <w:t xml:space="preserve"> and/or international differences in use</w:t>
      </w:r>
      <w:r>
        <w:t>, of</w:t>
      </w:r>
      <w:r w:rsidRPr="00DD3DC0">
        <w:t xml:space="preserve"> </w:t>
      </w:r>
      <w:r>
        <w:t>a medicine or a group of medicines</w:t>
      </w:r>
      <w:r w:rsidRPr="007F5C1E">
        <w:t>. A full post-market review</w:t>
      </w:r>
      <w:r>
        <w:t xml:space="preserve"> will only proceed following</w:t>
      </w:r>
      <w:r w:rsidRPr="007F5C1E">
        <w:t xml:space="preserve"> PBAC </w:t>
      </w:r>
      <w:r w:rsidRPr="00B34C30">
        <w:t>recommendation and</w:t>
      </w:r>
      <w:r w:rsidRPr="007F5C1E">
        <w:t xml:space="preserve"> Ministerial approval. Post-market reviews </w:t>
      </w:r>
      <w:r w:rsidRPr="00382C99">
        <w:t>follow a standard</w:t>
      </w:r>
      <w:r w:rsidRPr="007F5C1E">
        <w:t xml:space="preserve"> process detailed on the </w:t>
      </w:r>
      <w:r w:rsidRPr="00190B0E">
        <w:rPr>
          <w:u w:val="single"/>
        </w:rPr>
        <w:t>Post-Market Review website</w:t>
      </w:r>
      <w:r w:rsidRPr="007F5C1E">
        <w:t>.</w:t>
      </w:r>
      <w:r>
        <w:t xml:space="preserve"> </w:t>
      </w:r>
      <w:r>
        <w:br w:type="page"/>
      </w:r>
    </w:p>
    <w:p w:rsidR="00610C50" w:rsidRDefault="00A52C51" w:rsidP="00492694">
      <w:pPr>
        <w:pStyle w:val="Heading2"/>
      </w:pPr>
      <w:bookmarkStart w:id="464" w:name="_Appendix_B:_List"/>
      <w:bookmarkStart w:id="465" w:name="_Toc397947732"/>
      <w:bookmarkStart w:id="466" w:name="_Toc403399573"/>
      <w:bookmarkEnd w:id="464"/>
      <w:r>
        <w:lastRenderedPageBreak/>
        <w:t>Appendix B</w:t>
      </w:r>
      <w:r w:rsidR="00610C50">
        <w:t>: List of organisations invited to the Stakeholder Forum</w:t>
      </w:r>
      <w:bookmarkEnd w:id="465"/>
      <w:bookmarkEnd w:id="466"/>
    </w:p>
    <w:p w:rsidR="00610C50" w:rsidRDefault="00610C50" w:rsidP="00492694">
      <w:pPr>
        <w:pStyle w:val="BodyText1"/>
      </w:pPr>
      <w:r>
        <w:t xml:space="preserve">As the Medicines Review Stakeholder Forum was held on the same day as the Forum for Stage 2 of the Diabetes Review on insulin pumps, the following list includes organisations </w:t>
      </w:r>
      <w:r w:rsidR="00014B02">
        <w:t xml:space="preserve">and </w:t>
      </w:r>
      <w:r>
        <w:t>manufacturers relevant to</w:t>
      </w:r>
      <w:r w:rsidR="00014B02">
        <w:t xml:space="preserve"> both reviews</w:t>
      </w:r>
      <w:r>
        <w:t>.</w:t>
      </w:r>
    </w:p>
    <w:p w:rsidR="00610C50" w:rsidRPr="00610C50" w:rsidRDefault="00610C50" w:rsidP="00492694">
      <w:pPr>
        <w:pStyle w:val="Heading5"/>
      </w:pPr>
      <w:r w:rsidRPr="00610C50">
        <w:t>Sponsors and Manufacturers</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985"/>
      </w:tblGrid>
      <w:tr w:rsidR="008E6835" w:rsidTr="00060162">
        <w:tc>
          <w:tcPr>
            <w:tcW w:w="4621" w:type="dxa"/>
            <w:vAlign w:val="bottom"/>
          </w:tcPr>
          <w:p w:rsidR="008E6835" w:rsidRPr="00610C50" w:rsidRDefault="008E6835" w:rsidP="008E6835">
            <w:pPr>
              <w:pStyle w:val="BodyText1"/>
              <w:rPr>
                <w:lang w:eastAsia="en-AU"/>
              </w:rPr>
            </w:pPr>
            <w:r w:rsidRPr="00610C50">
              <w:rPr>
                <w:lang w:eastAsia="en-AU"/>
              </w:rPr>
              <w:t>Alphapharm Pty Ltd</w:t>
            </w:r>
          </w:p>
        </w:tc>
        <w:tc>
          <w:tcPr>
            <w:tcW w:w="4985" w:type="dxa"/>
            <w:vAlign w:val="bottom"/>
          </w:tcPr>
          <w:p w:rsidR="008E6835" w:rsidRPr="00610C50" w:rsidRDefault="008E6835" w:rsidP="008E6835">
            <w:pPr>
              <w:pStyle w:val="BodyText1"/>
              <w:rPr>
                <w:lang w:eastAsia="en-AU"/>
              </w:rPr>
            </w:pPr>
            <w:r w:rsidRPr="00610C50">
              <w:rPr>
                <w:lang w:eastAsia="en-AU"/>
              </w:rPr>
              <w:t>Janssen-Cilag Australia Pty Ltd</w:t>
            </w:r>
          </w:p>
        </w:tc>
      </w:tr>
      <w:tr w:rsidR="008E6835" w:rsidTr="00060162">
        <w:tc>
          <w:tcPr>
            <w:tcW w:w="4621" w:type="dxa"/>
            <w:vAlign w:val="bottom"/>
          </w:tcPr>
          <w:p w:rsidR="008E6835" w:rsidRPr="00610C50" w:rsidRDefault="008E6835" w:rsidP="008E6835">
            <w:pPr>
              <w:pStyle w:val="BodyText1"/>
              <w:rPr>
                <w:lang w:eastAsia="en-AU"/>
              </w:rPr>
            </w:pPr>
            <w:r w:rsidRPr="00610C50">
              <w:rPr>
                <w:lang w:eastAsia="en-AU"/>
              </w:rPr>
              <w:t>Apotex Pty Ltd</w:t>
            </w:r>
          </w:p>
        </w:tc>
        <w:tc>
          <w:tcPr>
            <w:tcW w:w="4985" w:type="dxa"/>
            <w:vAlign w:val="bottom"/>
          </w:tcPr>
          <w:p w:rsidR="008E6835" w:rsidRPr="00610C50" w:rsidRDefault="008E6835" w:rsidP="008E6835">
            <w:pPr>
              <w:pStyle w:val="BodyText1"/>
              <w:rPr>
                <w:lang w:eastAsia="en-AU"/>
              </w:rPr>
            </w:pPr>
            <w:r w:rsidRPr="00610C50">
              <w:rPr>
                <w:lang w:eastAsia="en-AU"/>
              </w:rPr>
              <w:t>Managing Diabetes Pty Ltd</w:t>
            </w:r>
          </w:p>
        </w:tc>
      </w:tr>
      <w:tr w:rsidR="008E6835" w:rsidTr="00060162">
        <w:tc>
          <w:tcPr>
            <w:tcW w:w="4621" w:type="dxa"/>
            <w:vAlign w:val="bottom"/>
          </w:tcPr>
          <w:p w:rsidR="008E6835" w:rsidRPr="00610C50" w:rsidRDefault="008E6835" w:rsidP="008E6835">
            <w:pPr>
              <w:pStyle w:val="BodyText1"/>
              <w:rPr>
                <w:lang w:eastAsia="en-AU"/>
              </w:rPr>
            </w:pPr>
            <w:r w:rsidRPr="00610C50">
              <w:rPr>
                <w:lang w:eastAsia="en-AU"/>
              </w:rPr>
              <w:t>Ascent Pharma Pty Ltd</w:t>
            </w:r>
          </w:p>
        </w:tc>
        <w:tc>
          <w:tcPr>
            <w:tcW w:w="4985" w:type="dxa"/>
            <w:vAlign w:val="bottom"/>
          </w:tcPr>
          <w:p w:rsidR="008E6835" w:rsidRPr="00610C50" w:rsidRDefault="008E6835" w:rsidP="008E6835">
            <w:pPr>
              <w:pStyle w:val="BodyText1"/>
              <w:rPr>
                <w:lang w:eastAsia="en-AU"/>
              </w:rPr>
            </w:pPr>
            <w:r w:rsidRPr="00610C50">
              <w:rPr>
                <w:lang w:eastAsia="en-AU"/>
              </w:rPr>
              <w:t>Medi</w:t>
            </w:r>
            <w:r>
              <w:rPr>
                <w:lang w:eastAsia="en-AU"/>
              </w:rPr>
              <w:t>c</w:t>
            </w:r>
            <w:r w:rsidRPr="00610C50">
              <w:rPr>
                <w:lang w:eastAsia="en-AU"/>
              </w:rPr>
              <w:t>al Specialists Australia Pty Ltd</w:t>
            </w:r>
          </w:p>
        </w:tc>
      </w:tr>
      <w:tr w:rsidR="008E6835" w:rsidTr="00060162">
        <w:tc>
          <w:tcPr>
            <w:tcW w:w="4621" w:type="dxa"/>
            <w:vAlign w:val="bottom"/>
          </w:tcPr>
          <w:p w:rsidR="008E6835" w:rsidRPr="00610C50" w:rsidRDefault="008E6835" w:rsidP="008E6835">
            <w:pPr>
              <w:pStyle w:val="BodyText1"/>
              <w:rPr>
                <w:lang w:eastAsia="en-AU"/>
              </w:rPr>
            </w:pPr>
            <w:r w:rsidRPr="00610C50">
              <w:rPr>
                <w:lang w:eastAsia="en-AU"/>
              </w:rPr>
              <w:t>Aspen Group of Companies</w:t>
            </w:r>
          </w:p>
        </w:tc>
        <w:tc>
          <w:tcPr>
            <w:tcW w:w="4985" w:type="dxa"/>
            <w:vAlign w:val="bottom"/>
          </w:tcPr>
          <w:p w:rsidR="008E6835" w:rsidRPr="00610C50" w:rsidRDefault="008E6835" w:rsidP="008E6835">
            <w:pPr>
              <w:pStyle w:val="BodyText1"/>
              <w:rPr>
                <w:lang w:eastAsia="en-AU"/>
              </w:rPr>
            </w:pPr>
            <w:r w:rsidRPr="00610C50">
              <w:rPr>
                <w:lang w:eastAsia="en-AU"/>
              </w:rPr>
              <w:t>Medtronic Australasia Pty Ltd</w:t>
            </w:r>
          </w:p>
        </w:tc>
      </w:tr>
      <w:tr w:rsidR="008E6835" w:rsidTr="00060162">
        <w:tc>
          <w:tcPr>
            <w:tcW w:w="4621" w:type="dxa"/>
            <w:vAlign w:val="bottom"/>
          </w:tcPr>
          <w:p w:rsidR="008E6835" w:rsidRPr="00610C50" w:rsidRDefault="008E6835" w:rsidP="008E6835">
            <w:pPr>
              <w:pStyle w:val="BodyText1"/>
              <w:rPr>
                <w:lang w:eastAsia="en-AU"/>
              </w:rPr>
            </w:pPr>
            <w:r w:rsidRPr="00610C50">
              <w:rPr>
                <w:lang w:eastAsia="en-AU"/>
              </w:rPr>
              <w:t>AstraZeneca</w:t>
            </w:r>
          </w:p>
        </w:tc>
        <w:tc>
          <w:tcPr>
            <w:tcW w:w="4985" w:type="dxa"/>
            <w:vAlign w:val="bottom"/>
          </w:tcPr>
          <w:p w:rsidR="008E6835" w:rsidRPr="00610C50" w:rsidRDefault="008E6835" w:rsidP="008E6835">
            <w:pPr>
              <w:pStyle w:val="BodyText1"/>
              <w:rPr>
                <w:lang w:eastAsia="en-AU"/>
              </w:rPr>
            </w:pPr>
            <w:r w:rsidRPr="00610C50">
              <w:rPr>
                <w:lang w:eastAsia="en-AU"/>
              </w:rPr>
              <w:t>Merck Sharp and Dohme (Australia) Pty Ltd</w:t>
            </w:r>
          </w:p>
        </w:tc>
      </w:tr>
      <w:tr w:rsidR="008E6835" w:rsidTr="00060162">
        <w:tc>
          <w:tcPr>
            <w:tcW w:w="4621" w:type="dxa"/>
            <w:vAlign w:val="bottom"/>
          </w:tcPr>
          <w:p w:rsidR="008E6835" w:rsidRPr="00610C50" w:rsidRDefault="008E6835" w:rsidP="008E6835">
            <w:pPr>
              <w:pStyle w:val="BodyText1"/>
              <w:rPr>
                <w:lang w:eastAsia="en-AU"/>
              </w:rPr>
            </w:pPr>
            <w:r w:rsidRPr="00610C50">
              <w:rPr>
                <w:lang w:eastAsia="en-AU"/>
              </w:rPr>
              <w:t>Aurobindo Pharma Pty Ltd</w:t>
            </w:r>
          </w:p>
        </w:tc>
        <w:tc>
          <w:tcPr>
            <w:tcW w:w="4985" w:type="dxa"/>
            <w:vAlign w:val="bottom"/>
          </w:tcPr>
          <w:p w:rsidR="008E6835" w:rsidRPr="00610C50" w:rsidRDefault="008E6835" w:rsidP="008E6835">
            <w:pPr>
              <w:pStyle w:val="BodyText1"/>
              <w:rPr>
                <w:lang w:eastAsia="en-AU"/>
              </w:rPr>
            </w:pPr>
            <w:r w:rsidRPr="00610C50">
              <w:rPr>
                <w:lang w:eastAsia="en-AU"/>
              </w:rPr>
              <w:t>Novartis Pharmaceuticals Australia Pty Ltd</w:t>
            </w:r>
          </w:p>
        </w:tc>
      </w:tr>
      <w:tr w:rsidR="008E6835" w:rsidTr="00060162">
        <w:tc>
          <w:tcPr>
            <w:tcW w:w="4621" w:type="dxa"/>
            <w:vAlign w:val="bottom"/>
          </w:tcPr>
          <w:p w:rsidR="008E6835" w:rsidRPr="00610C50" w:rsidRDefault="008E6835" w:rsidP="008E6835">
            <w:pPr>
              <w:pStyle w:val="BodyText1"/>
              <w:rPr>
                <w:lang w:eastAsia="en-AU"/>
              </w:rPr>
            </w:pPr>
            <w:r w:rsidRPr="00610C50">
              <w:rPr>
                <w:lang w:eastAsia="en-AU"/>
              </w:rPr>
              <w:t>Australasian Medical and Scientific Ltd</w:t>
            </w:r>
          </w:p>
        </w:tc>
        <w:tc>
          <w:tcPr>
            <w:tcW w:w="4985" w:type="dxa"/>
            <w:vAlign w:val="bottom"/>
          </w:tcPr>
          <w:p w:rsidR="008E6835" w:rsidRPr="00610C50" w:rsidRDefault="008E6835" w:rsidP="008E6835">
            <w:pPr>
              <w:pStyle w:val="BodyText1"/>
              <w:rPr>
                <w:lang w:eastAsia="en-AU"/>
              </w:rPr>
            </w:pPr>
            <w:r w:rsidRPr="00610C50">
              <w:rPr>
                <w:lang w:eastAsia="en-AU"/>
              </w:rPr>
              <w:t>Novo Nordisk Pharmaceuticals Pty Ltd</w:t>
            </w:r>
          </w:p>
        </w:tc>
      </w:tr>
      <w:tr w:rsidR="008E6835" w:rsidTr="00060162">
        <w:tc>
          <w:tcPr>
            <w:tcW w:w="4621" w:type="dxa"/>
            <w:vAlign w:val="bottom"/>
          </w:tcPr>
          <w:p w:rsidR="008E6835" w:rsidRPr="00610C50" w:rsidRDefault="008E6835" w:rsidP="008E6835">
            <w:pPr>
              <w:pStyle w:val="BodyText1"/>
              <w:rPr>
                <w:lang w:eastAsia="en-AU"/>
              </w:rPr>
            </w:pPr>
            <w:r w:rsidRPr="00610C50">
              <w:rPr>
                <w:lang w:eastAsia="en-AU"/>
              </w:rPr>
              <w:t>Bayer</w:t>
            </w:r>
          </w:p>
        </w:tc>
        <w:tc>
          <w:tcPr>
            <w:tcW w:w="4985" w:type="dxa"/>
            <w:vAlign w:val="bottom"/>
          </w:tcPr>
          <w:p w:rsidR="008E6835" w:rsidRPr="00610C50" w:rsidRDefault="008E6835" w:rsidP="008E6835">
            <w:pPr>
              <w:pStyle w:val="BodyText1"/>
              <w:rPr>
                <w:lang w:eastAsia="en-AU"/>
              </w:rPr>
            </w:pPr>
            <w:r w:rsidRPr="00610C50">
              <w:rPr>
                <w:lang w:eastAsia="en-AU"/>
              </w:rPr>
              <w:t>Pharmacor Pty Ltd</w:t>
            </w:r>
          </w:p>
        </w:tc>
      </w:tr>
      <w:tr w:rsidR="008E6835" w:rsidTr="00060162">
        <w:tc>
          <w:tcPr>
            <w:tcW w:w="4621" w:type="dxa"/>
            <w:vAlign w:val="bottom"/>
          </w:tcPr>
          <w:p w:rsidR="008E6835" w:rsidRPr="00610C50" w:rsidRDefault="00060162" w:rsidP="008E6835">
            <w:pPr>
              <w:pStyle w:val="BodyText1"/>
              <w:rPr>
                <w:lang w:eastAsia="en-AU"/>
              </w:rPr>
            </w:pPr>
            <w:r>
              <w:rPr>
                <w:lang w:eastAsia="en-AU"/>
              </w:rPr>
              <w:t>Boe</w:t>
            </w:r>
            <w:r w:rsidRPr="00610C50">
              <w:rPr>
                <w:lang w:eastAsia="en-AU"/>
              </w:rPr>
              <w:t>hringer Ingelheim Pty Ltd</w:t>
            </w:r>
          </w:p>
        </w:tc>
        <w:tc>
          <w:tcPr>
            <w:tcW w:w="4985" w:type="dxa"/>
            <w:vAlign w:val="bottom"/>
          </w:tcPr>
          <w:p w:rsidR="008E6835" w:rsidRPr="00610C50" w:rsidRDefault="008E6835" w:rsidP="008E6835">
            <w:pPr>
              <w:pStyle w:val="BodyText1"/>
              <w:rPr>
                <w:lang w:eastAsia="en-AU"/>
              </w:rPr>
            </w:pPr>
            <w:r w:rsidRPr="00610C50">
              <w:rPr>
                <w:lang w:eastAsia="en-AU"/>
              </w:rPr>
              <w:t>Ranbaxy Australia Pty Ltd</w:t>
            </w:r>
          </w:p>
        </w:tc>
      </w:tr>
      <w:tr w:rsidR="008E6835" w:rsidTr="00060162">
        <w:tc>
          <w:tcPr>
            <w:tcW w:w="4621" w:type="dxa"/>
            <w:vAlign w:val="bottom"/>
          </w:tcPr>
          <w:p w:rsidR="008E6835" w:rsidRPr="00610C50" w:rsidRDefault="008E6835" w:rsidP="008E6835">
            <w:pPr>
              <w:pStyle w:val="BodyText1"/>
              <w:rPr>
                <w:lang w:eastAsia="en-AU"/>
              </w:rPr>
            </w:pPr>
            <w:r w:rsidRPr="00610C50">
              <w:rPr>
                <w:lang w:eastAsia="en-AU"/>
              </w:rPr>
              <w:t>Bristol-Myers Squibb Australia</w:t>
            </w:r>
          </w:p>
        </w:tc>
        <w:tc>
          <w:tcPr>
            <w:tcW w:w="4985" w:type="dxa"/>
            <w:vAlign w:val="bottom"/>
          </w:tcPr>
          <w:p w:rsidR="008E6835" w:rsidRPr="00610C50" w:rsidRDefault="008E6835" w:rsidP="008E6835">
            <w:pPr>
              <w:pStyle w:val="BodyText1"/>
              <w:rPr>
                <w:lang w:eastAsia="en-AU"/>
              </w:rPr>
            </w:pPr>
            <w:r w:rsidRPr="00610C50">
              <w:rPr>
                <w:lang w:eastAsia="en-AU"/>
              </w:rPr>
              <w:t>Roche Diagnositcs Australia Pty Ltd</w:t>
            </w:r>
          </w:p>
        </w:tc>
      </w:tr>
      <w:tr w:rsidR="008E6835" w:rsidTr="00060162">
        <w:tc>
          <w:tcPr>
            <w:tcW w:w="4621" w:type="dxa"/>
            <w:vAlign w:val="bottom"/>
          </w:tcPr>
          <w:p w:rsidR="008E6835" w:rsidRPr="00610C50" w:rsidRDefault="008E6835" w:rsidP="008E6835">
            <w:pPr>
              <w:pStyle w:val="BodyText1"/>
              <w:rPr>
                <w:lang w:eastAsia="en-AU"/>
              </w:rPr>
            </w:pPr>
            <w:r w:rsidRPr="00610C50">
              <w:rPr>
                <w:lang w:eastAsia="en-AU"/>
              </w:rPr>
              <w:t>Eli Lilly Australia Pty Ltd</w:t>
            </w:r>
          </w:p>
        </w:tc>
        <w:tc>
          <w:tcPr>
            <w:tcW w:w="4985" w:type="dxa"/>
            <w:vAlign w:val="bottom"/>
          </w:tcPr>
          <w:p w:rsidR="008E6835" w:rsidRPr="00610C50" w:rsidRDefault="008E6835" w:rsidP="008E6835">
            <w:pPr>
              <w:pStyle w:val="BodyText1"/>
              <w:rPr>
                <w:lang w:eastAsia="en-AU"/>
              </w:rPr>
            </w:pPr>
            <w:r w:rsidRPr="00610C50">
              <w:rPr>
                <w:lang w:eastAsia="en-AU"/>
              </w:rPr>
              <w:t>Sandoz Pty Ltd</w:t>
            </w:r>
          </w:p>
        </w:tc>
      </w:tr>
      <w:tr w:rsidR="008E6835" w:rsidTr="00060162">
        <w:tc>
          <w:tcPr>
            <w:tcW w:w="4621" w:type="dxa"/>
            <w:vAlign w:val="bottom"/>
          </w:tcPr>
          <w:p w:rsidR="008E6835" w:rsidRPr="00610C50" w:rsidRDefault="008E6835" w:rsidP="008E6835">
            <w:pPr>
              <w:pStyle w:val="BodyText1"/>
              <w:rPr>
                <w:lang w:eastAsia="en-AU"/>
              </w:rPr>
            </w:pPr>
            <w:r w:rsidRPr="00610C50">
              <w:rPr>
                <w:lang w:eastAsia="en-AU"/>
              </w:rPr>
              <w:t>Generic Health Pty Ltd</w:t>
            </w:r>
          </w:p>
        </w:tc>
        <w:tc>
          <w:tcPr>
            <w:tcW w:w="4985" w:type="dxa"/>
            <w:vAlign w:val="bottom"/>
          </w:tcPr>
          <w:p w:rsidR="008E6835" w:rsidRPr="00610C50" w:rsidRDefault="008E6835" w:rsidP="008E6835">
            <w:pPr>
              <w:pStyle w:val="BodyText1"/>
              <w:rPr>
                <w:lang w:eastAsia="en-AU"/>
              </w:rPr>
            </w:pPr>
            <w:r w:rsidRPr="00610C50">
              <w:rPr>
                <w:lang w:eastAsia="en-AU"/>
              </w:rPr>
              <w:t>Sanofi Aventis Australia</w:t>
            </w:r>
          </w:p>
        </w:tc>
      </w:tr>
      <w:tr w:rsidR="008E6835" w:rsidTr="00060162">
        <w:tc>
          <w:tcPr>
            <w:tcW w:w="4621" w:type="dxa"/>
            <w:vAlign w:val="bottom"/>
          </w:tcPr>
          <w:p w:rsidR="008E6835" w:rsidRPr="00610C50" w:rsidRDefault="008E6835" w:rsidP="008E6835">
            <w:pPr>
              <w:pStyle w:val="BodyText1"/>
              <w:rPr>
                <w:lang w:eastAsia="en-AU"/>
              </w:rPr>
            </w:pPr>
            <w:r w:rsidRPr="00610C50">
              <w:rPr>
                <w:lang w:eastAsia="en-AU"/>
              </w:rPr>
              <w:t>GlaxoSmithKline Australia Pty Ltd</w:t>
            </w:r>
          </w:p>
        </w:tc>
        <w:tc>
          <w:tcPr>
            <w:tcW w:w="4985" w:type="dxa"/>
            <w:vAlign w:val="bottom"/>
          </w:tcPr>
          <w:p w:rsidR="008E6835" w:rsidRPr="00610C50" w:rsidRDefault="008E6835" w:rsidP="008E6835">
            <w:pPr>
              <w:pStyle w:val="BodyText1"/>
              <w:rPr>
                <w:lang w:eastAsia="en-AU"/>
              </w:rPr>
            </w:pPr>
            <w:r w:rsidRPr="00610C50">
              <w:rPr>
                <w:lang w:eastAsia="en-AU"/>
              </w:rPr>
              <w:t>Servier Laboratories (Australia) Pty Ltd</w:t>
            </w:r>
          </w:p>
        </w:tc>
      </w:tr>
    </w:tbl>
    <w:p w:rsidR="008E6835" w:rsidRDefault="008E6835" w:rsidP="00492694">
      <w:pPr>
        <w:pStyle w:val="BodyText1"/>
        <w:rPr>
          <w:lang w:eastAsia="en-AU"/>
        </w:rPr>
      </w:pPr>
    </w:p>
    <w:p w:rsidR="00610C50" w:rsidRPr="00610C50" w:rsidRDefault="00610C50" w:rsidP="00492694">
      <w:pPr>
        <w:pStyle w:val="Heading5"/>
      </w:pPr>
      <w:r w:rsidRPr="00610C50">
        <w:t>Non-Government Organisations</w:t>
      </w:r>
    </w:p>
    <w:tbl>
      <w:tblPr>
        <w:tblW w:w="9229" w:type="dxa"/>
        <w:tblInd w:w="93" w:type="dxa"/>
        <w:tblLook w:val="04A0" w:firstRow="1" w:lastRow="0" w:firstColumn="1" w:lastColumn="0" w:noHBand="0" w:noVBand="1"/>
      </w:tblPr>
      <w:tblGrid>
        <w:gridCol w:w="9229"/>
      </w:tblGrid>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Australasian Paediatric Endocrine Group</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Australian Society of Clinical and Experimental Pharmacologists and Toxicologists</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Australian College of Nurse Practitioners</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Australian College of Nursing</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Australian College of Rural and Remote Medicine</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Australian Diabetes Council</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Australian Diabetes Educators Association</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Australian Medical Association</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Australian Paediatric Society</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Baker IDI Heart and Diabetes Institute</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Consumers Health Forum of Australia</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lastRenderedPageBreak/>
              <w:t>Diabetes Australia</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Diabetes WA</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Dietitians Association of Australia</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General Medicines Industry Association</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Juvenile Diabetes Research Foundation</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Medical Technology Industry Association</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Medicines Australia</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National Association of People With HIV</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National Aboriginal Community Controlled Health Organisation</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Pharmaceutical Society of Australia</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Royal Australasia College of Physicians</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Royal Australian College of General Practitioners</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Rural Doctors Association of Australia</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The Australian Centre for Behavioural Research in Diabetes</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The Pharmacy Guild of Australia</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National Association of Diabetes Centres</w:t>
            </w:r>
          </w:p>
        </w:tc>
      </w:tr>
      <w:tr w:rsidR="00610C50" w:rsidRPr="0048003B" w:rsidTr="00610C50">
        <w:trPr>
          <w:trHeight w:val="340"/>
        </w:trPr>
        <w:tc>
          <w:tcPr>
            <w:tcW w:w="9229"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 xml:space="preserve">Quality Assurance for Aboriginal and Torres Strait Islander Medical Services Program </w:t>
            </w:r>
          </w:p>
        </w:tc>
      </w:tr>
    </w:tbl>
    <w:p w:rsidR="00610C50" w:rsidRPr="00610C50" w:rsidRDefault="00610C50" w:rsidP="00492694">
      <w:pPr>
        <w:pStyle w:val="BodyText1"/>
      </w:pPr>
    </w:p>
    <w:p w:rsidR="00610C50" w:rsidRPr="00610C50" w:rsidRDefault="00610C50" w:rsidP="00492694">
      <w:pPr>
        <w:pStyle w:val="Heading5"/>
      </w:pPr>
      <w:r w:rsidRPr="00610C50">
        <w:t>Government Organisations</w:t>
      </w:r>
    </w:p>
    <w:tbl>
      <w:tblPr>
        <w:tblW w:w="5544" w:type="dxa"/>
        <w:tblInd w:w="93" w:type="dxa"/>
        <w:tblLook w:val="04A0" w:firstRow="1" w:lastRow="0" w:firstColumn="1" w:lastColumn="0" w:noHBand="0" w:noVBand="1"/>
      </w:tblPr>
      <w:tblGrid>
        <w:gridCol w:w="5544"/>
      </w:tblGrid>
      <w:tr w:rsidR="00610C50" w:rsidRPr="0048003B" w:rsidTr="000002D1">
        <w:trPr>
          <w:trHeight w:val="340"/>
        </w:trPr>
        <w:tc>
          <w:tcPr>
            <w:tcW w:w="5544"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Australian Institute of Health and Welfare</w:t>
            </w:r>
          </w:p>
        </w:tc>
      </w:tr>
      <w:tr w:rsidR="00610C50" w:rsidRPr="0048003B" w:rsidTr="000002D1">
        <w:trPr>
          <w:trHeight w:val="340"/>
        </w:trPr>
        <w:tc>
          <w:tcPr>
            <w:tcW w:w="5544" w:type="dxa"/>
            <w:tcBorders>
              <w:top w:val="nil"/>
              <w:left w:val="nil"/>
              <w:bottom w:val="nil"/>
              <w:right w:val="nil"/>
            </w:tcBorders>
            <w:shd w:val="clear" w:color="auto" w:fill="auto"/>
            <w:vAlign w:val="bottom"/>
            <w:hideMark/>
          </w:tcPr>
          <w:p w:rsidR="00610C50" w:rsidRPr="00610C50" w:rsidRDefault="00610C50" w:rsidP="00492694">
            <w:pPr>
              <w:pStyle w:val="BodyText1"/>
              <w:rPr>
                <w:lang w:eastAsia="en-AU"/>
              </w:rPr>
            </w:pPr>
            <w:r w:rsidRPr="00610C50">
              <w:rPr>
                <w:lang w:eastAsia="en-AU"/>
              </w:rPr>
              <w:t>National Health and Medical Research Institute</w:t>
            </w:r>
          </w:p>
        </w:tc>
      </w:tr>
      <w:tr w:rsidR="00610C50" w:rsidRPr="0048003B" w:rsidTr="000002D1">
        <w:trPr>
          <w:trHeight w:val="340"/>
        </w:trPr>
        <w:tc>
          <w:tcPr>
            <w:tcW w:w="5544" w:type="dxa"/>
            <w:tcBorders>
              <w:top w:val="nil"/>
              <w:left w:val="nil"/>
              <w:bottom w:val="nil"/>
              <w:right w:val="nil"/>
            </w:tcBorders>
            <w:shd w:val="clear" w:color="auto" w:fill="auto"/>
            <w:vAlign w:val="bottom"/>
            <w:hideMark/>
          </w:tcPr>
          <w:p w:rsidR="00610C50" w:rsidRPr="00610C50" w:rsidRDefault="008E6835" w:rsidP="00492694">
            <w:pPr>
              <w:pStyle w:val="BodyText1"/>
              <w:rPr>
                <w:lang w:eastAsia="en-AU"/>
              </w:rPr>
            </w:pPr>
            <w:r>
              <w:rPr>
                <w:lang w:eastAsia="en-AU"/>
              </w:rPr>
              <w:t>NPS MedicineW</w:t>
            </w:r>
            <w:r w:rsidR="00014B02">
              <w:rPr>
                <w:lang w:eastAsia="en-AU"/>
              </w:rPr>
              <w:t>ise</w:t>
            </w:r>
          </w:p>
        </w:tc>
      </w:tr>
    </w:tbl>
    <w:p w:rsidR="00610C50" w:rsidRPr="0048003B" w:rsidRDefault="00610C50" w:rsidP="00492694"/>
    <w:p w:rsidR="001F4D57" w:rsidRDefault="000002D1" w:rsidP="00351683">
      <w:pPr>
        <w:pStyle w:val="Heading2"/>
      </w:pPr>
      <w:bookmarkStart w:id="467" w:name="_Appendix_B:_Reference"/>
      <w:bookmarkStart w:id="468" w:name="_Appendix_C:_Reference"/>
      <w:bookmarkEnd w:id="467"/>
      <w:bookmarkEnd w:id="468"/>
      <w:r>
        <w:br w:type="page"/>
      </w:r>
      <w:bookmarkStart w:id="469" w:name="_Toc382906752"/>
      <w:r w:rsidR="00BF5100" w:rsidDel="00BF5100">
        <w:lastRenderedPageBreak/>
        <w:t xml:space="preserve"> </w:t>
      </w:r>
      <w:bookmarkStart w:id="470" w:name="_Appendix_C:_Australian"/>
      <w:bookmarkStart w:id="471" w:name="Self-monitoring"/>
      <w:bookmarkStart w:id="472" w:name="_Appendix_E:_Utilisation"/>
      <w:bookmarkStart w:id="473" w:name="_Toc397947733"/>
      <w:bookmarkStart w:id="474" w:name="_Toc403399574"/>
      <w:bookmarkStart w:id="475" w:name="_Toc382566500"/>
      <w:bookmarkEnd w:id="469"/>
      <w:bookmarkEnd w:id="470"/>
      <w:bookmarkEnd w:id="471"/>
      <w:bookmarkEnd w:id="472"/>
      <w:r w:rsidR="004711D6">
        <w:t xml:space="preserve">Appendix </w:t>
      </w:r>
      <w:r w:rsidR="00BF5100">
        <w:t>C</w:t>
      </w:r>
      <w:r w:rsidR="001F4D57">
        <w:t>: Australian Government Diabetes Initiatives</w:t>
      </w:r>
      <w:bookmarkEnd w:id="473"/>
      <w:bookmarkEnd w:id="474"/>
    </w:p>
    <w:p w:rsidR="001F4D57" w:rsidRPr="009729DA" w:rsidRDefault="001F4D57" w:rsidP="00351683">
      <w:pPr>
        <w:pStyle w:val="Heading5"/>
      </w:pPr>
      <w:r>
        <w:t>Overweight and Obesity Initiatives</w:t>
      </w:r>
    </w:p>
    <w:p w:rsidR="001F4D57" w:rsidRPr="004B28D2" w:rsidRDefault="001F4D57" w:rsidP="001F4D57">
      <w:pPr>
        <w:rPr>
          <w:rStyle w:val="Emphasis"/>
          <w:rFonts w:asciiTheme="majorHAnsi" w:hAnsiTheme="majorHAnsi"/>
        </w:rPr>
      </w:pPr>
      <w:r w:rsidRPr="002E2392">
        <w:t>The Australian Government funds a number of activities that promote</w:t>
      </w:r>
      <w:r w:rsidRPr="004B28D2">
        <w:rPr>
          <w:rStyle w:val="Emphasis"/>
          <w:rFonts w:asciiTheme="majorHAnsi" w:hAnsiTheme="majorHAnsi"/>
        </w:rPr>
        <w:t xml:space="preserve"> </w:t>
      </w:r>
      <w:r w:rsidRPr="004B28D2">
        <w:t>physical activity and healthy eating, including:</w:t>
      </w:r>
      <w:r w:rsidRPr="004B28D2">
        <w:rPr>
          <w:rStyle w:val="Emphasis"/>
          <w:rFonts w:asciiTheme="majorHAnsi" w:hAnsiTheme="majorHAnsi"/>
        </w:rPr>
        <w:t xml:space="preserve"> </w:t>
      </w:r>
    </w:p>
    <w:p w:rsidR="001F4D57" w:rsidRPr="004B28D2" w:rsidRDefault="001F4D57" w:rsidP="001F4D57">
      <w:r w:rsidRPr="004B28D2">
        <w:rPr>
          <w:u w:val="single"/>
        </w:rPr>
        <w:t>Get Up &amp; Grow</w:t>
      </w:r>
      <w:r>
        <w:t xml:space="preserve">: </w:t>
      </w:r>
      <w:r w:rsidRPr="004B28D2">
        <w:t>healthy eating and physical activity guidelines and resources for early childhood settings. Also adapted for Aboriginal and Torres Strait Islander educators and families with children attending early childhood settings ($5.8</w:t>
      </w:r>
      <w:r>
        <w:t> </w:t>
      </w:r>
      <w:r w:rsidRPr="004B28D2">
        <w:t>million over eight years from 2007-08).</w:t>
      </w:r>
    </w:p>
    <w:p w:rsidR="001F4D57" w:rsidRPr="004B28D2" w:rsidRDefault="001F4D57" w:rsidP="001F4D57">
      <w:r w:rsidRPr="004B28D2">
        <w:rPr>
          <w:u w:val="single"/>
        </w:rPr>
        <w:t>Stephanie Alexander Kitchen Garden program</w:t>
      </w:r>
      <w:r>
        <w:t xml:space="preserve">: </w:t>
      </w:r>
      <w:r w:rsidRPr="004B28D2">
        <w:t>teaches primary school students in Years 3 – 6 how to grow, harvest, prepare and share fresh food in the belief that this approach will provide a better chance of positively influencing children’s food choices ($18.2 million from 2008-09).</w:t>
      </w:r>
    </w:p>
    <w:p w:rsidR="001F4D57" w:rsidRPr="004B28D2" w:rsidRDefault="001F4D57" w:rsidP="001F4D57">
      <w:r w:rsidRPr="001B2BAE">
        <w:rPr>
          <w:u w:val="single"/>
        </w:rPr>
        <w:t>2013 Clinical Practice Guidelines</w:t>
      </w:r>
      <w:r>
        <w:t>:</w:t>
      </w:r>
      <w:r w:rsidRPr="004B28D2">
        <w:t xml:space="preserve"> for the Management of Overweight and Obesity in Adults, Adolescents and Children in Australia, and development of a Healthy Weight Guide for consumers ($2.7 million over six years from 2009-10).</w:t>
      </w:r>
    </w:p>
    <w:p w:rsidR="001F4D57" w:rsidRPr="004B28D2" w:rsidRDefault="001F4D57" w:rsidP="001F4D57">
      <w:r w:rsidRPr="001B2BAE">
        <w:rPr>
          <w:u w:val="single"/>
        </w:rPr>
        <w:t>2013 Australian Dietary Guidelines</w:t>
      </w:r>
      <w:r>
        <w:t>:</w:t>
      </w:r>
      <w:r w:rsidRPr="004B28D2">
        <w:t xml:space="preserve"> suite of documents including the Australian Guide to Healthy Eating for consumers ($2.0 million over five years from 2007-08).</w:t>
      </w:r>
    </w:p>
    <w:p w:rsidR="001F4D57" w:rsidRPr="004B28D2" w:rsidRDefault="001F4D57" w:rsidP="001F4D57">
      <w:r w:rsidRPr="0028026D">
        <w:t>Physical activity guidelines for children, young people, adults and older Australians</w:t>
      </w:r>
      <w:r>
        <w:t>:</w:t>
      </w:r>
      <w:r w:rsidRPr="004B28D2">
        <w:t xml:space="preserve"> are available </w:t>
      </w:r>
      <w:r w:rsidR="000C6FFF">
        <w:t>online.</w:t>
      </w:r>
      <w:r w:rsidRPr="004B28D2">
        <w:t xml:space="preserve">  New guidelines, Australia’s Physical Activity and Sedentary Behaviour Guidelines for children, young people and adults were released in February 2014.</w:t>
      </w:r>
    </w:p>
    <w:p w:rsidR="001F4D57" w:rsidRPr="004B28D2" w:rsidRDefault="001F4D57" w:rsidP="001F4D57">
      <w:r w:rsidRPr="00732F6F">
        <w:rPr>
          <w:u w:val="single"/>
        </w:rPr>
        <w:t>National Healthy School Canteen (NHSC) project</w:t>
      </w:r>
      <w:r>
        <w:t xml:space="preserve">: </w:t>
      </w:r>
      <w:r w:rsidRPr="004B28D2">
        <w:t>nationally consistent tools and training for canteen managers to assess the nutritional value of foods and beverages and make healthier menu selections for school canteens (</w:t>
      </w:r>
      <w:r w:rsidRPr="004B28D2">
        <w:rPr>
          <w:color w:val="000000"/>
        </w:rPr>
        <w:t>$2 million from 2006</w:t>
      </w:r>
      <w:r>
        <w:rPr>
          <w:color w:val="000000"/>
        </w:rPr>
        <w:noBreakHyphen/>
      </w:r>
      <w:r w:rsidRPr="004B28D2">
        <w:rPr>
          <w:color w:val="000000"/>
        </w:rPr>
        <w:t>07 over four years)</w:t>
      </w:r>
      <w:r w:rsidRPr="004B28D2">
        <w:t>.</w:t>
      </w:r>
    </w:p>
    <w:p w:rsidR="001F4D57" w:rsidRPr="004B28D2" w:rsidRDefault="001F4D57" w:rsidP="001F4D57">
      <w:r w:rsidRPr="00732F6F">
        <w:rPr>
          <w:u w:val="single"/>
        </w:rPr>
        <w:t>Healthy Kids Checks</w:t>
      </w:r>
      <w:r w:rsidRPr="00732F6F">
        <w:t xml:space="preserve">: </w:t>
      </w:r>
      <w:r w:rsidRPr="004B28D2">
        <w:t>for all three and a half year olds to improve childhood health – claimable under Medicare.</w:t>
      </w:r>
    </w:p>
    <w:p w:rsidR="001F4D57" w:rsidRPr="004B28D2" w:rsidRDefault="001F4D57" w:rsidP="001F4D57">
      <w:r w:rsidRPr="00732F6F">
        <w:rPr>
          <w:u w:val="single"/>
        </w:rPr>
        <w:t>Get Set 4 Life</w:t>
      </w:r>
      <w:r>
        <w:t xml:space="preserve">: </w:t>
      </w:r>
      <w:r w:rsidRPr="004B28D2">
        <w:t>Habits for Healthy Kids Guide for parents of children receiving the Healthy Kids Check.</w:t>
      </w:r>
    </w:p>
    <w:p w:rsidR="001F4D57" w:rsidRPr="004B28D2" w:rsidRDefault="001F4D57" w:rsidP="001F4D57">
      <w:r w:rsidRPr="00732F6F">
        <w:rPr>
          <w:u w:val="single"/>
        </w:rPr>
        <w:t>Walk Safely to School Day (WSTSD)</w:t>
      </w:r>
      <w:r>
        <w:t xml:space="preserve">: </w:t>
      </w:r>
      <w:r w:rsidRPr="004B28D2">
        <w:t>$200,000 in 2013-14. WSTSD is a national community awareness raising event targeting primary school aged children.  The objective of the event is to raise awareness of the health benefits of physical activity, in particular walking and other forms of active transport, and to encourage participation in activities at a local school level.  WSTSD is conducted by the Pedestrian Council of Australia (PCA).</w:t>
      </w:r>
    </w:p>
    <w:p w:rsidR="001F4D57" w:rsidRPr="004B28D2" w:rsidRDefault="001F4D57" w:rsidP="001F4D57">
      <w:r w:rsidRPr="00732F6F">
        <w:rPr>
          <w:u w:val="single"/>
        </w:rPr>
        <w:t>Sporting Schools Initiative</w:t>
      </w:r>
      <w:r w:rsidRPr="004B28D2">
        <w:t xml:space="preserve"> </w:t>
      </w:r>
      <w:r>
        <w:t xml:space="preserve">: </w:t>
      </w:r>
      <w:r w:rsidRPr="004B28D2">
        <w:t>($100.3 million over 3 years from 2014-15 to 2016-17).</w:t>
      </w:r>
      <w:r w:rsidRPr="004B28D2">
        <w:rPr>
          <w:rFonts w:eastAsia="Calibri"/>
        </w:rPr>
        <w:t xml:space="preserve"> This initiative will </w:t>
      </w:r>
      <w:r w:rsidRPr="004B28D2">
        <w:t>encourage school aged children to participate in sport-based physical activity before, during and after school.</w:t>
      </w:r>
    </w:p>
    <w:p w:rsidR="001F4D57" w:rsidRPr="004B28D2" w:rsidRDefault="001F4D57" w:rsidP="001F4D57">
      <w:r w:rsidRPr="00732F6F">
        <w:rPr>
          <w:u w:val="single"/>
        </w:rPr>
        <w:lastRenderedPageBreak/>
        <w:t>Healthy Spaces and Places</w:t>
      </w:r>
      <w:r>
        <w:t xml:space="preserve">: </w:t>
      </w:r>
      <w:r w:rsidRPr="004B28D2">
        <w:t>$780,000 was provided between 2008-09 and 2011-12 to the Planning Institute of Australia (PIA), the Heart Foundation and the Australian Local Government Association partnership to produce a national web-based planning guide to assist planners to incorporate active living principles into the built environment.</w:t>
      </w:r>
    </w:p>
    <w:p w:rsidR="001F4D57" w:rsidRPr="004B28D2" w:rsidRDefault="001F4D57" w:rsidP="001F4D57">
      <w:r w:rsidRPr="00633C01">
        <w:rPr>
          <w:u w:val="single"/>
        </w:rPr>
        <w:t>Funding the Collaboration of Community-based Obesity Prevention Sites (CO-OPS)</w:t>
      </w:r>
      <w:r>
        <w:t>:</w:t>
      </w:r>
      <w:r w:rsidRPr="004B28D2">
        <w:t>based at Deakin University to work with obesity prevention sites to assist with planning, implementing and evaluating interventions ($4.99 million from 2007-08 to 2014-15).</w:t>
      </w:r>
    </w:p>
    <w:p w:rsidR="001F4D57" w:rsidRPr="004B28D2" w:rsidRDefault="001F4D57" w:rsidP="001F4D57">
      <w:r w:rsidRPr="00633C01">
        <w:rPr>
          <w:u w:val="single"/>
        </w:rPr>
        <w:t>SALSA (Students as Lifestyle Activists) Program</w:t>
      </w:r>
      <w:r>
        <w:t>:</w:t>
      </w:r>
      <w:r w:rsidRPr="004B28D2">
        <w:t xml:space="preserve"> ($350,000 over 3 years 2012-13; 2013-14; 2014-15) – for a peer educational program that provides high school students with the necessary knowledge and skills to maintain a balanced and healthy lifestyle.</w:t>
      </w:r>
    </w:p>
    <w:p w:rsidR="001F4D57" w:rsidRPr="004B28D2" w:rsidRDefault="001F4D57" w:rsidP="001F4D57">
      <w:r w:rsidRPr="00633C01">
        <w:rPr>
          <w:u w:val="single"/>
        </w:rPr>
        <w:t>National Nutrition Policy</w:t>
      </w:r>
      <w:r>
        <w:t>:</w:t>
      </w:r>
      <w:r w:rsidRPr="004B28D2">
        <w:t xml:space="preserve"> A national nutrition policy is expected to be developed that will identify, prioritise, drive and monitor nutrition initiatives in Australia. (Funding of $1.1 million is available for the development of the nutrition policy).</w:t>
      </w:r>
    </w:p>
    <w:p w:rsidR="001F4D57" w:rsidRPr="004B28D2" w:rsidRDefault="001F4D57" w:rsidP="001F4D57">
      <w:r w:rsidRPr="00633C01">
        <w:rPr>
          <w:u w:val="single"/>
        </w:rPr>
        <w:t>Voluntary Food Reformulation</w:t>
      </w:r>
      <w:r>
        <w:t>:</w:t>
      </w:r>
      <w:r w:rsidRPr="004B28D2">
        <w:t xml:space="preserve"> </w:t>
      </w:r>
      <w:r w:rsidRPr="004B28D2">
        <w:rPr>
          <w:color w:val="000000"/>
        </w:rPr>
        <w:t>The Australian Government encourages food reformulation in processed foods to enable consumers to have healthier food choices. The Government’s voluntary food reformulation initiative aims to reduce high risk nutrients such as salt, saturated fat and sugar in commonly consumed processed foods. Under the initiative, leading manufacturers and retailers have agreed to sodium and saturated fat reduction targets across a variety of foods. Current approved funding for the initiative is $200,000 over two years to June</w:t>
      </w:r>
      <w:r>
        <w:rPr>
          <w:color w:val="000000"/>
        </w:rPr>
        <w:t> </w:t>
      </w:r>
      <w:r w:rsidRPr="004B28D2">
        <w:rPr>
          <w:color w:val="000000"/>
        </w:rPr>
        <w:t>2015.</w:t>
      </w:r>
    </w:p>
    <w:p w:rsidR="001F4D57" w:rsidRDefault="001F4D57" w:rsidP="001F4D57"/>
    <w:p w:rsidR="001F4D57" w:rsidRPr="00633C01" w:rsidRDefault="001F4D57" w:rsidP="00351683">
      <w:pPr>
        <w:pStyle w:val="Heading5"/>
        <w:rPr>
          <w:lang w:eastAsia="en-AU"/>
        </w:rPr>
      </w:pPr>
      <w:r w:rsidRPr="00633C01">
        <w:rPr>
          <w:lang w:eastAsia="en-AU"/>
        </w:rPr>
        <w:t>Significant Australian Government Initiatives in Diabetes</w:t>
      </w:r>
    </w:p>
    <w:p w:rsidR="001F4D57" w:rsidRPr="00633C01" w:rsidRDefault="001F4D57" w:rsidP="001F4D57">
      <w:pPr>
        <w:rPr>
          <w:lang w:eastAsia="en-AU"/>
        </w:rPr>
      </w:pPr>
      <w:r w:rsidRPr="00633C01">
        <w:rPr>
          <w:u w:val="single"/>
          <w:lang w:eastAsia="en-AU"/>
        </w:rPr>
        <w:t>Medicare Benefits Schedule (MBS)</w:t>
      </w:r>
      <w:r w:rsidRPr="00633C01">
        <w:rPr>
          <w:lang w:eastAsia="en-AU"/>
        </w:rPr>
        <w:t>: Rebated diabetes-specific items.  Diabetes is also managed under generic GP items, but these cannot be tracked (between 1996-97 and 2012</w:t>
      </w:r>
      <w:r w:rsidRPr="00633C01">
        <w:rPr>
          <w:lang w:eastAsia="en-AU"/>
        </w:rPr>
        <w:noBreakHyphen/>
        <w:t>13, almost $457 million was expended on more than 23.4 million diabetes-specific services).</w:t>
      </w:r>
    </w:p>
    <w:p w:rsidR="001F4D57" w:rsidRPr="00633C01" w:rsidRDefault="001F4D57" w:rsidP="001F4D57">
      <w:pPr>
        <w:rPr>
          <w:lang w:eastAsia="en-AU"/>
        </w:rPr>
      </w:pPr>
      <w:r w:rsidRPr="00633C01">
        <w:rPr>
          <w:u w:val="single"/>
          <w:lang w:eastAsia="en-AU"/>
        </w:rPr>
        <w:t>Pharmaceutical Benefits Scheme (PBS)</w:t>
      </w:r>
      <w:r w:rsidRPr="00633C01">
        <w:rPr>
          <w:lang w:eastAsia="en-AU"/>
        </w:rPr>
        <w:t xml:space="preserve">:  Subsidised prescription pharmaceuticals for the treatment of diabetes (between 1996-97 and 2012-13, almost $4.3 billion was expended for this purpose). </w:t>
      </w:r>
    </w:p>
    <w:p w:rsidR="001F4D57" w:rsidRPr="00633C01" w:rsidRDefault="001F4D57" w:rsidP="001F4D57">
      <w:pPr>
        <w:rPr>
          <w:lang w:eastAsia="en-AU"/>
        </w:rPr>
      </w:pPr>
      <w:r w:rsidRPr="00633C01">
        <w:rPr>
          <w:u w:val="single"/>
          <w:lang w:eastAsia="en-AU"/>
        </w:rPr>
        <w:t>National Diabetes Services Scheme (NDSS)</w:t>
      </w:r>
      <w:r w:rsidRPr="00633C01">
        <w:rPr>
          <w:lang w:eastAsia="en-AU"/>
        </w:rPr>
        <w:t>: Subsidised diabetes equipment and products (between 2002-03 and 2012-13, more than $1.4 billion was spent).</w:t>
      </w:r>
    </w:p>
    <w:p w:rsidR="001F4D57" w:rsidRPr="00633C01" w:rsidRDefault="001F4D57" w:rsidP="001F4D57">
      <w:pPr>
        <w:rPr>
          <w:b/>
          <w:i/>
          <w:lang w:eastAsia="en-AU"/>
        </w:rPr>
      </w:pPr>
      <w:r w:rsidRPr="00633C01">
        <w:rPr>
          <w:u w:val="single"/>
          <w:lang w:eastAsia="en-AU"/>
        </w:rPr>
        <w:t>NHMRC research grants</w:t>
      </w:r>
      <w:r w:rsidRPr="00633C01">
        <w:rPr>
          <w:lang w:eastAsia="en-AU"/>
        </w:rPr>
        <w:t>: More than $547 million was provided for 4,133 research studies into diabetes between 2000-01 and 2012-13.</w:t>
      </w:r>
      <w:r w:rsidRPr="00633C01">
        <w:rPr>
          <w:b/>
          <w:i/>
          <w:lang w:eastAsia="en-AU"/>
        </w:rPr>
        <w:t xml:space="preserve">  </w:t>
      </w:r>
    </w:p>
    <w:p w:rsidR="001F4D57" w:rsidRPr="00633C01" w:rsidRDefault="001F4D57" w:rsidP="001F4D57">
      <w:pPr>
        <w:rPr>
          <w:lang w:eastAsia="en-AU"/>
        </w:rPr>
      </w:pPr>
      <w:r w:rsidRPr="00633C01">
        <w:rPr>
          <w:u w:val="single"/>
          <w:lang w:eastAsia="en-AU"/>
        </w:rPr>
        <w:t>The Medical Research Future Fund (MRFF)</w:t>
      </w:r>
      <w:r w:rsidRPr="00633C01">
        <w:rPr>
          <w:lang w:eastAsia="en-AU"/>
        </w:rPr>
        <w:t>:  To be introduced on 1 January 2015, with initial funding of $1 billion (projected to grow to $20 billion by 2020), the MRFF will facilitate Australia maintaining a world class medical research sector, with access to cutting edge innovation and clinical breakthroughs in our hospitals.</w:t>
      </w:r>
    </w:p>
    <w:p w:rsidR="001F4D57" w:rsidRPr="00633C01" w:rsidRDefault="001F4D57" w:rsidP="001F4D57">
      <w:pPr>
        <w:rPr>
          <w:lang w:eastAsia="en-AU"/>
        </w:rPr>
      </w:pPr>
      <w:r w:rsidRPr="00633C01">
        <w:rPr>
          <w:lang w:eastAsia="en-AU"/>
        </w:rPr>
        <w:lastRenderedPageBreak/>
        <w:t xml:space="preserve">The Government also made an election commitment to provide $35 million towards the </w:t>
      </w:r>
      <w:r w:rsidRPr="00633C01">
        <w:rPr>
          <w:u w:val="single"/>
          <w:lang w:eastAsia="en-AU"/>
        </w:rPr>
        <w:t>Australian Type 1 Diabetes Clinical Research Network</w:t>
      </w:r>
      <w:r w:rsidRPr="00633C01">
        <w:rPr>
          <w:lang w:eastAsia="en-AU"/>
        </w:rPr>
        <w:t xml:space="preserve"> supporting clinical research activity.  Funding for this commitment, which is additional to a $5 million Government contribution to establish the Network in 2010, is managed by the Australian Research Council (in the Education Portfolio).</w:t>
      </w:r>
    </w:p>
    <w:p w:rsidR="001F4D57" w:rsidRPr="00633C01" w:rsidRDefault="001F4D57" w:rsidP="001F4D57">
      <w:pPr>
        <w:rPr>
          <w:lang w:eastAsia="en-AU"/>
        </w:rPr>
      </w:pPr>
      <w:r w:rsidRPr="00633C01">
        <w:rPr>
          <w:u w:val="single"/>
          <w:lang w:eastAsia="en-AU"/>
        </w:rPr>
        <w:t>The Practice Incentives Program (PIP) Diabetes Incentive</w:t>
      </w:r>
      <w:r w:rsidRPr="00633C01">
        <w:rPr>
          <w:lang w:eastAsia="en-AU"/>
        </w:rPr>
        <w:t>: Supports general practice to provide earlier diagnosis and effective management of diabetes ($184.7 million over twelve years, 2001</w:t>
      </w:r>
      <w:r w:rsidRPr="00633C01">
        <w:rPr>
          <w:lang w:eastAsia="en-AU"/>
        </w:rPr>
        <w:noBreakHyphen/>
        <w:t xml:space="preserve">02 to 2012-13). </w:t>
      </w:r>
    </w:p>
    <w:p w:rsidR="00BE5DAC" w:rsidRPr="00633C01" w:rsidRDefault="001F4D57" w:rsidP="001F4D57">
      <w:pPr>
        <w:rPr>
          <w:lang w:eastAsia="en-AU"/>
        </w:rPr>
      </w:pPr>
      <w:r w:rsidRPr="00633C01">
        <w:rPr>
          <w:u w:val="single"/>
          <w:lang w:eastAsia="en-AU"/>
        </w:rPr>
        <w:t>The Diabetes Care Project</w:t>
      </w:r>
      <w:r w:rsidRPr="00633C01">
        <w:rPr>
          <w:lang w:eastAsia="en-AU"/>
        </w:rPr>
        <w:t xml:space="preserve">: Testing new </w:t>
      </w:r>
      <w:r w:rsidR="000C6FFF">
        <w:rPr>
          <w:lang w:eastAsia="en-AU"/>
        </w:rPr>
        <w:t>model</w:t>
      </w:r>
      <w:r w:rsidRPr="00633C01">
        <w:rPr>
          <w:lang w:eastAsia="en-AU"/>
        </w:rPr>
        <w:t xml:space="preserve">s of </w:t>
      </w:r>
      <w:r w:rsidR="000C6FFF">
        <w:rPr>
          <w:lang w:eastAsia="en-AU"/>
        </w:rPr>
        <w:t xml:space="preserve">health care delivery, designed to include </w:t>
      </w:r>
      <w:r w:rsidRPr="00633C01">
        <w:rPr>
          <w:lang w:eastAsia="en-AU"/>
        </w:rPr>
        <w:t xml:space="preserve"> care </w:t>
      </w:r>
      <w:r w:rsidR="00BE5DAC">
        <w:rPr>
          <w:lang w:eastAsia="en-AU"/>
        </w:rPr>
        <w:t xml:space="preserve">for adults with either type 1 or type 2 diabetes </w:t>
      </w:r>
      <w:r w:rsidRPr="00633C01">
        <w:rPr>
          <w:lang w:eastAsia="en-AU"/>
        </w:rPr>
        <w:t>($</w:t>
      </w:r>
      <w:r w:rsidR="00BE5DAC">
        <w:rPr>
          <w:lang w:eastAsia="en-AU"/>
        </w:rPr>
        <w:t>33.4</w:t>
      </w:r>
      <w:r w:rsidRPr="00633C01">
        <w:rPr>
          <w:lang w:eastAsia="en-AU"/>
        </w:rPr>
        <w:t xml:space="preserve"> million over </w:t>
      </w:r>
      <w:r w:rsidR="00BE5DAC">
        <w:rPr>
          <w:lang w:eastAsia="en-AU"/>
        </w:rPr>
        <w:t xml:space="preserve">three and a half </w:t>
      </w:r>
      <w:r w:rsidRPr="00633C01">
        <w:rPr>
          <w:lang w:eastAsia="en-AU"/>
        </w:rPr>
        <w:t>years, 2011-12 and 201</w:t>
      </w:r>
      <w:r w:rsidR="00BE5DAC">
        <w:rPr>
          <w:lang w:eastAsia="en-AU"/>
        </w:rPr>
        <w:t>4</w:t>
      </w:r>
      <w:r w:rsidRPr="00633C01">
        <w:rPr>
          <w:lang w:eastAsia="en-AU"/>
        </w:rPr>
        <w:t>-1</w:t>
      </w:r>
      <w:r w:rsidR="00BE5DAC">
        <w:rPr>
          <w:lang w:eastAsia="en-AU"/>
        </w:rPr>
        <w:t>5, comprising $31.4 million from the Australian Government and and $2 million from the Victorian Government</w:t>
      </w:r>
      <w:r w:rsidRPr="00633C01">
        <w:rPr>
          <w:lang w:eastAsia="en-AU"/>
        </w:rPr>
        <w:t>).  It is thought to be the largest randomised controlled trial ever undertaken on an integrated care intervention and is currently in the evaluation phase.</w:t>
      </w:r>
    </w:p>
    <w:p w:rsidR="001F4D57" w:rsidRDefault="001F4D57" w:rsidP="001F4D57">
      <w:pPr>
        <w:rPr>
          <w:lang w:eastAsia="en-AU"/>
        </w:rPr>
      </w:pPr>
      <w:r w:rsidRPr="00633C01">
        <w:rPr>
          <w:u w:val="single"/>
          <w:lang w:eastAsia="en-AU"/>
        </w:rPr>
        <w:t>The Type 1 Diabetes Insulin Pump Programme</w:t>
      </w:r>
      <w:r w:rsidRPr="00633C01">
        <w:rPr>
          <w:lang w:eastAsia="en-AU"/>
        </w:rPr>
        <w:t>: Means-tested subsidy to provide insulin pumps to Australians, aged under 18</w:t>
      </w:r>
      <w:r w:rsidR="00BE5DAC">
        <w:rPr>
          <w:lang w:eastAsia="en-AU"/>
        </w:rPr>
        <w:t xml:space="preserve"> </w:t>
      </w:r>
      <w:r w:rsidRPr="00633C01">
        <w:rPr>
          <w:lang w:eastAsia="en-AU"/>
        </w:rPr>
        <w:t>years, with type 1</w:t>
      </w:r>
      <w:r w:rsidR="00BE5DAC">
        <w:rPr>
          <w:lang w:eastAsia="en-AU"/>
        </w:rPr>
        <w:t xml:space="preserve"> </w:t>
      </w:r>
      <w:r w:rsidRPr="00633C01">
        <w:rPr>
          <w:lang w:eastAsia="en-AU"/>
        </w:rPr>
        <w:t>diabetes (</w:t>
      </w:r>
      <w:r w:rsidR="00BE5DAC">
        <w:rPr>
          <w:lang w:eastAsia="en-AU"/>
        </w:rPr>
        <w:t>around $7</w:t>
      </w:r>
      <w:r w:rsidRPr="00633C01">
        <w:rPr>
          <w:lang w:eastAsia="en-AU"/>
        </w:rPr>
        <w:t xml:space="preserve"> million provided over four years from 2012-13).</w:t>
      </w:r>
    </w:p>
    <w:p w:rsidR="00BE5DAC" w:rsidRPr="00633C01" w:rsidRDefault="00BE5DAC" w:rsidP="001F4D57">
      <w:pPr>
        <w:rPr>
          <w:lang w:eastAsia="en-AU"/>
        </w:rPr>
      </w:pPr>
      <w:r w:rsidRPr="00633C01">
        <w:rPr>
          <w:u w:val="single"/>
          <w:lang w:eastAsia="en-AU"/>
        </w:rPr>
        <w:t>Australian National Diabetes Audit (ANDA)</w:t>
      </w:r>
      <w:r w:rsidRPr="00633C01">
        <w:rPr>
          <w:lang w:eastAsia="en-AU"/>
        </w:rPr>
        <w:t xml:space="preserve">:  Involves the collection, collation, analysis, audit and reporting of clinical diabetes </w:t>
      </w:r>
      <w:r>
        <w:rPr>
          <w:lang w:eastAsia="en-AU"/>
        </w:rPr>
        <w:t xml:space="preserve">and patient education and self-care data in </w:t>
      </w:r>
      <w:r w:rsidRPr="00633C01">
        <w:rPr>
          <w:lang w:eastAsia="en-AU"/>
        </w:rPr>
        <w:t xml:space="preserve">specialist diabetes centres </w:t>
      </w:r>
      <w:r>
        <w:rPr>
          <w:lang w:eastAsia="en-AU"/>
        </w:rPr>
        <w:t xml:space="preserve">across all states and territories </w:t>
      </w:r>
      <w:r w:rsidRPr="00633C01">
        <w:rPr>
          <w:lang w:eastAsia="en-AU"/>
        </w:rPr>
        <w:t>($</w:t>
      </w:r>
      <w:r>
        <w:rPr>
          <w:lang w:eastAsia="en-AU"/>
        </w:rPr>
        <w:t xml:space="preserve">193,117 over three years </w:t>
      </w:r>
      <w:r w:rsidRPr="00633C01">
        <w:rPr>
          <w:lang w:eastAsia="en-AU"/>
        </w:rPr>
        <w:t>2012-13</w:t>
      </w:r>
      <w:r>
        <w:rPr>
          <w:lang w:eastAsia="en-AU"/>
        </w:rPr>
        <w:t xml:space="preserve"> to 2014-15</w:t>
      </w:r>
      <w:r w:rsidRPr="00633C01">
        <w:rPr>
          <w:lang w:eastAsia="en-AU"/>
        </w:rPr>
        <w:t>).</w:t>
      </w:r>
      <w:r>
        <w:rPr>
          <w:lang w:eastAsia="en-AU"/>
        </w:rPr>
        <w:t xml:space="preserve">  This activity was previously managed via the ANDIAB project. </w:t>
      </w:r>
    </w:p>
    <w:p w:rsidR="001F4D57" w:rsidRPr="00633C01" w:rsidRDefault="001F4D57" w:rsidP="001F4D57">
      <w:pPr>
        <w:rPr>
          <w:lang w:eastAsia="en-AU"/>
        </w:rPr>
      </w:pPr>
      <w:r w:rsidRPr="00633C01">
        <w:rPr>
          <w:u w:val="single"/>
          <w:lang w:eastAsia="en-AU"/>
        </w:rPr>
        <w:t>Australian National Diabetes Information Audit and Benchmarking (ANDIAB) Project</w:t>
      </w:r>
      <w:r w:rsidRPr="00633C01">
        <w:rPr>
          <w:lang w:eastAsia="en-AU"/>
        </w:rPr>
        <w:t>:  Involves the collection, collation, analysis, audit and reporting of clinical diabetes servicing in specialist diabetes centres ($528,000 over eight years, 2005-06 to 2012</w:t>
      </w:r>
      <w:r w:rsidR="00BE5DAC">
        <w:rPr>
          <w:lang w:eastAsia="en-AU"/>
        </w:rPr>
        <w:noBreakHyphen/>
      </w:r>
      <w:r w:rsidRPr="00633C01">
        <w:rPr>
          <w:lang w:eastAsia="en-AU"/>
        </w:rPr>
        <w:t>13).</w:t>
      </w:r>
      <w:r w:rsidR="00BE5DAC" w:rsidRPr="00BE5DAC">
        <w:rPr>
          <w:lang w:eastAsia="en-AU"/>
        </w:rPr>
        <w:t xml:space="preserve"> </w:t>
      </w:r>
      <w:r w:rsidR="00BE5DAC">
        <w:rPr>
          <w:lang w:eastAsia="en-AU"/>
        </w:rPr>
        <w:t xml:space="preserve">This activity is now managed by the </w:t>
      </w:r>
      <w:r w:rsidR="00BE5DAC" w:rsidRPr="00513574">
        <w:rPr>
          <w:lang w:eastAsia="en-AU"/>
        </w:rPr>
        <w:t>Australian National Diabetes Audit (ANDA)</w:t>
      </w:r>
      <w:r w:rsidR="00BE5DAC">
        <w:rPr>
          <w:lang w:eastAsia="en-AU"/>
        </w:rPr>
        <w:t>.</w:t>
      </w:r>
      <w:r w:rsidR="00BE5DAC" w:rsidRPr="00513574">
        <w:rPr>
          <w:lang w:eastAsia="en-AU"/>
        </w:rPr>
        <w:t xml:space="preserve">  </w:t>
      </w:r>
    </w:p>
    <w:p w:rsidR="001F4D57" w:rsidRPr="00633C01" w:rsidRDefault="001F4D57" w:rsidP="001F4D57">
      <w:pPr>
        <w:rPr>
          <w:lang w:eastAsia="en-AU"/>
        </w:rPr>
      </w:pPr>
      <w:r w:rsidRPr="00633C01">
        <w:rPr>
          <w:u w:val="single"/>
          <w:lang w:eastAsia="en-AU"/>
        </w:rPr>
        <w:t>Australian Islet Transplantation Program (ITP)</w:t>
      </w:r>
      <w:r w:rsidRPr="00633C01">
        <w:rPr>
          <w:lang w:eastAsia="en-AU"/>
        </w:rPr>
        <w:t xml:space="preserve">: Treatment option for a small number of Australians with a severe diabetic condition ($30 million was provided to the JDRF for the ITP between 2005-06 and 2009-10).  </w:t>
      </w:r>
    </w:p>
    <w:p w:rsidR="001F4D57" w:rsidRPr="00633C01" w:rsidRDefault="001F4D57" w:rsidP="001F4D57">
      <w:pPr>
        <w:rPr>
          <w:lang w:eastAsia="en-AU"/>
        </w:rPr>
      </w:pPr>
      <w:r w:rsidRPr="00633C01">
        <w:rPr>
          <w:u w:val="single"/>
          <w:lang w:eastAsia="en-AU"/>
        </w:rPr>
        <w:t>National Centre for Monitoring Vascular Diseases (NCMVD)</w:t>
      </w:r>
      <w:r w:rsidRPr="00633C01">
        <w:rPr>
          <w:lang w:eastAsia="en-AU"/>
        </w:rPr>
        <w:t>: Administered by the Australian Institute of Health and Welfare for developing, collating and interpreting data relevant to chronic disease – diabetes, CVD and chronic kidney disease − prevention, detection, management and care ($6.7 million over three years until 30 June 2016).</w:t>
      </w:r>
    </w:p>
    <w:p w:rsidR="001F4D57" w:rsidRPr="00633C01" w:rsidRDefault="001F4D57" w:rsidP="001F4D57">
      <w:pPr>
        <w:rPr>
          <w:lang w:eastAsia="en-AU"/>
        </w:rPr>
      </w:pPr>
      <w:r w:rsidRPr="00633C01">
        <w:rPr>
          <w:u w:val="single"/>
          <w:lang w:eastAsia="en-AU"/>
        </w:rPr>
        <w:t>National (insulin-treated) Diabetes Register (NDR)</w:t>
      </w:r>
      <w:r w:rsidRPr="00633C01">
        <w:rPr>
          <w:lang w:eastAsia="en-AU"/>
        </w:rPr>
        <w:t>: Administered by the Australian Institute of Health and Welfare. Contains records of people in Australia who commenced using insulin to treat their d</w:t>
      </w:r>
      <w:r>
        <w:rPr>
          <w:lang w:eastAsia="en-AU"/>
        </w:rPr>
        <w:t>iabetes after 1 January 1999 ($5.5</w:t>
      </w:r>
      <w:r w:rsidRPr="00633C01">
        <w:rPr>
          <w:lang w:eastAsia="en-AU"/>
        </w:rPr>
        <w:t xml:space="preserve"> mi</w:t>
      </w:r>
      <w:r>
        <w:rPr>
          <w:lang w:eastAsia="en-AU"/>
        </w:rPr>
        <w:t>llion from 2005-06 through 2014</w:t>
      </w:r>
      <w:r w:rsidRPr="00633C01">
        <w:rPr>
          <w:lang w:eastAsia="en-AU"/>
        </w:rPr>
        <w:noBreakHyphen/>
      </w:r>
      <w:r>
        <w:rPr>
          <w:lang w:eastAsia="en-AU"/>
        </w:rPr>
        <w:t>15</w:t>
      </w:r>
      <w:r w:rsidRPr="00633C01">
        <w:rPr>
          <w:lang w:eastAsia="en-AU"/>
        </w:rPr>
        <w:t xml:space="preserve">).  </w:t>
      </w:r>
    </w:p>
    <w:p w:rsidR="001F4D57" w:rsidRPr="00633C01" w:rsidRDefault="001F4D57" w:rsidP="001F4D57">
      <w:pPr>
        <w:rPr>
          <w:lang w:eastAsia="en-AU"/>
        </w:rPr>
      </w:pPr>
      <w:r w:rsidRPr="00633C01">
        <w:rPr>
          <w:u w:val="single"/>
          <w:lang w:eastAsia="en-AU"/>
        </w:rPr>
        <w:lastRenderedPageBreak/>
        <w:t>National Gestational Diabetes Register (NGDR)</w:t>
      </w:r>
      <w:r w:rsidRPr="00633C01">
        <w:rPr>
          <w:lang w:eastAsia="en-AU"/>
        </w:rPr>
        <w:t>: ($126,000 provided to establish the Register in 2010-11).</w:t>
      </w:r>
    </w:p>
    <w:p w:rsidR="001F4D57" w:rsidRPr="00633C01" w:rsidRDefault="001F4D57" w:rsidP="001F4D57">
      <w:pPr>
        <w:rPr>
          <w:b/>
          <w:lang w:eastAsia="en-AU"/>
        </w:rPr>
      </w:pPr>
      <w:r w:rsidRPr="00633C01">
        <w:rPr>
          <w:u w:val="single"/>
          <w:lang w:eastAsia="en-AU"/>
        </w:rPr>
        <w:t>Connecting Diabetes</w:t>
      </w:r>
      <w:r w:rsidRPr="00633C01">
        <w:rPr>
          <w:lang w:eastAsia="en-AU"/>
        </w:rPr>
        <w:t>: Online diabetes counselling</w:t>
      </w:r>
      <w:r w:rsidRPr="00633C01">
        <w:rPr>
          <w:b/>
          <w:lang w:eastAsia="en-AU"/>
        </w:rPr>
        <w:t xml:space="preserve"> </w:t>
      </w:r>
      <w:r w:rsidRPr="00633C01">
        <w:rPr>
          <w:lang w:eastAsia="en-AU"/>
        </w:rPr>
        <w:t>($1.1 million over three years from 2012</w:t>
      </w:r>
      <w:r w:rsidRPr="00633C01">
        <w:rPr>
          <w:lang w:eastAsia="en-AU"/>
        </w:rPr>
        <w:noBreakHyphen/>
        <w:t>13).</w:t>
      </w:r>
    </w:p>
    <w:p w:rsidR="001F4D57" w:rsidRDefault="001F4D57" w:rsidP="001F4D57">
      <w:pPr>
        <w:rPr>
          <w:lang w:eastAsia="en-AU"/>
        </w:rPr>
      </w:pPr>
      <w:r w:rsidRPr="00633C01">
        <w:rPr>
          <w:u w:val="single"/>
          <w:lang w:eastAsia="en-AU"/>
        </w:rPr>
        <w:t>TEAM T1 (Teens Empowered and Actively Managing Type 1) Program</w:t>
      </w:r>
      <w:r w:rsidRPr="00633C01">
        <w:rPr>
          <w:lang w:eastAsia="en-AU"/>
        </w:rPr>
        <w:t>:</w:t>
      </w:r>
      <w:r w:rsidRPr="00633C01">
        <w:rPr>
          <w:b/>
          <w:i/>
          <w:lang w:eastAsia="en-AU"/>
        </w:rPr>
        <w:t xml:space="preserve"> </w:t>
      </w:r>
      <w:r w:rsidRPr="00633C01">
        <w:rPr>
          <w:lang w:eastAsia="en-AU"/>
        </w:rPr>
        <w:t>Structured diabetes self-management program for adolescents with type 1 diabetes ($1.9</w:t>
      </w:r>
      <w:r>
        <w:rPr>
          <w:lang w:eastAsia="en-AU"/>
        </w:rPr>
        <w:t> </w:t>
      </w:r>
      <w:r w:rsidRPr="00633C01">
        <w:rPr>
          <w:lang w:eastAsia="en-AU"/>
        </w:rPr>
        <w:t>million over three years from 2012-13).</w:t>
      </w:r>
    </w:p>
    <w:p w:rsidR="00183EC5" w:rsidRPr="0093424D" w:rsidRDefault="00183EC5" w:rsidP="00183EC5">
      <w:pPr>
        <w:rPr>
          <w:lang w:eastAsia="en-AU"/>
        </w:rPr>
      </w:pPr>
      <w:r w:rsidRPr="0093424D">
        <w:rPr>
          <w:u w:val="single"/>
          <w:lang w:eastAsia="en-AU"/>
        </w:rPr>
        <w:t>Quality Assurance for the Aboriginal and Torres Strait Islander Medical Services (QAAMS) Pathology Programme</w:t>
      </w:r>
      <w:r w:rsidRPr="0093424D">
        <w:rPr>
          <w:lang w:eastAsia="en-AU"/>
        </w:rPr>
        <w:t>:  supports the provision of culturally appropriate and clinically effective diabetes management in Aboriginal and Torres Strait Islander communities</w:t>
      </w:r>
      <w:r>
        <w:rPr>
          <w:lang w:eastAsia="en-AU"/>
        </w:rPr>
        <w:t xml:space="preserve"> ($4.24 million over three years 2013-14 to 2015-16).</w:t>
      </w:r>
    </w:p>
    <w:p w:rsidR="00183EC5" w:rsidRPr="00633C01" w:rsidRDefault="00183EC5" w:rsidP="001F4D57">
      <w:pPr>
        <w:rPr>
          <w:b/>
          <w:lang w:eastAsia="en-AU"/>
        </w:rPr>
      </w:pPr>
    </w:p>
    <w:p w:rsidR="001F4D57" w:rsidRDefault="001F4D57" w:rsidP="001F4D57">
      <w:pPr>
        <w:spacing w:line="240" w:lineRule="auto"/>
        <w:ind w:left="720" w:hanging="720"/>
      </w:pPr>
    </w:p>
    <w:p w:rsidR="001F4D57" w:rsidRDefault="001F4D57" w:rsidP="001F4D57">
      <w:pPr>
        <w:spacing w:line="240" w:lineRule="auto"/>
      </w:pPr>
    </w:p>
    <w:p w:rsidR="001F4D57" w:rsidRDefault="001F4D57" w:rsidP="00BE6FFB"/>
    <w:p w:rsidR="001F4D57" w:rsidRDefault="001F4D57" w:rsidP="00492694">
      <w:pPr>
        <w:pStyle w:val="Heading2"/>
      </w:pPr>
      <w:r>
        <w:br w:type="page"/>
      </w:r>
    </w:p>
    <w:p w:rsidR="00F41995" w:rsidRDefault="004711D6" w:rsidP="00492694">
      <w:pPr>
        <w:pStyle w:val="Heading2"/>
      </w:pPr>
      <w:bookmarkStart w:id="476" w:name="_Appendix_D:_Utilisation"/>
      <w:bookmarkStart w:id="477" w:name="_Toc397947734"/>
      <w:bookmarkStart w:id="478" w:name="_Toc403399575"/>
      <w:bookmarkEnd w:id="476"/>
      <w:r>
        <w:lastRenderedPageBreak/>
        <w:t xml:space="preserve">Appendix </w:t>
      </w:r>
      <w:r w:rsidR="00BF5100">
        <w:t>D</w:t>
      </w:r>
      <w:r w:rsidR="00F41995">
        <w:t xml:space="preserve">: Utilisation analysis </w:t>
      </w:r>
      <w:r w:rsidR="00B65E44">
        <w:t>– M</w:t>
      </w:r>
      <w:r w:rsidR="00F41995">
        <w:t>edicine name a</w:t>
      </w:r>
      <w:r w:rsidR="00F41995" w:rsidRPr="00F875E3">
        <w:t>bbreviations</w:t>
      </w:r>
      <w:bookmarkEnd w:id="475"/>
      <w:bookmarkEnd w:id="477"/>
      <w:bookmarkEnd w:id="478"/>
    </w:p>
    <w:p w:rsidR="00F41995" w:rsidRPr="00F41995" w:rsidRDefault="00F41995" w:rsidP="00492694">
      <w:pPr>
        <w:pStyle w:val="BodyText1"/>
      </w:pPr>
    </w:p>
    <w:tbl>
      <w:tblPr>
        <w:tblW w:w="0" w:type="auto"/>
        <w:tblCellMar>
          <w:left w:w="28" w:type="dxa"/>
          <w:right w:w="28" w:type="dxa"/>
        </w:tblCellMar>
        <w:tblLook w:val="04A0" w:firstRow="1" w:lastRow="0" w:firstColumn="1" w:lastColumn="0" w:noHBand="0" w:noVBand="1"/>
      </w:tblPr>
      <w:tblGrid>
        <w:gridCol w:w="2580"/>
        <w:gridCol w:w="6433"/>
      </w:tblGrid>
      <w:tr w:rsidR="00F41995" w:rsidRPr="00C2154E" w:rsidTr="00F244DE">
        <w:tc>
          <w:tcPr>
            <w:tcW w:w="2580" w:type="dxa"/>
            <w:shd w:val="clear" w:color="auto" w:fill="auto"/>
          </w:tcPr>
          <w:p w:rsidR="00F41995" w:rsidRPr="00437FDD" w:rsidRDefault="00F41995" w:rsidP="00492694">
            <w:r w:rsidRPr="00437FDD">
              <w:t>Exen</w:t>
            </w:r>
          </w:p>
        </w:tc>
        <w:tc>
          <w:tcPr>
            <w:tcW w:w="6433" w:type="dxa"/>
            <w:shd w:val="clear" w:color="auto" w:fill="auto"/>
          </w:tcPr>
          <w:p w:rsidR="00F41995" w:rsidRPr="00437FDD" w:rsidRDefault="00F41995" w:rsidP="00492694">
            <w:r w:rsidRPr="00437FDD">
              <w:t>Exenatide</w:t>
            </w:r>
          </w:p>
        </w:tc>
      </w:tr>
      <w:tr w:rsidR="00F41995" w:rsidRPr="00C2154E" w:rsidTr="00F244DE">
        <w:tc>
          <w:tcPr>
            <w:tcW w:w="2580" w:type="dxa"/>
            <w:shd w:val="clear" w:color="auto" w:fill="auto"/>
          </w:tcPr>
          <w:p w:rsidR="00F41995" w:rsidRPr="00437FDD" w:rsidRDefault="00F41995" w:rsidP="00492694">
            <w:r w:rsidRPr="00437FDD">
              <w:t>FDC</w:t>
            </w:r>
          </w:p>
        </w:tc>
        <w:tc>
          <w:tcPr>
            <w:tcW w:w="6433" w:type="dxa"/>
            <w:shd w:val="clear" w:color="auto" w:fill="auto"/>
          </w:tcPr>
          <w:p w:rsidR="00F41995" w:rsidRPr="00437FDD" w:rsidRDefault="00F41995" w:rsidP="00492694">
            <w:r w:rsidRPr="00437FDD">
              <w:t>Fixed dose combination</w:t>
            </w:r>
          </w:p>
        </w:tc>
      </w:tr>
      <w:tr w:rsidR="00F41995" w:rsidRPr="00C2154E" w:rsidTr="00F244DE">
        <w:tc>
          <w:tcPr>
            <w:tcW w:w="2580" w:type="dxa"/>
            <w:shd w:val="clear" w:color="auto" w:fill="auto"/>
          </w:tcPr>
          <w:p w:rsidR="00F41995" w:rsidRPr="00437FDD" w:rsidRDefault="00F41995" w:rsidP="00492694">
            <w:r w:rsidRPr="00437FDD">
              <w:t>Glip</w:t>
            </w:r>
          </w:p>
        </w:tc>
        <w:tc>
          <w:tcPr>
            <w:tcW w:w="6433" w:type="dxa"/>
            <w:shd w:val="clear" w:color="auto" w:fill="auto"/>
          </w:tcPr>
          <w:p w:rsidR="00F41995" w:rsidRPr="00437FDD" w:rsidRDefault="00F41995" w:rsidP="00492694">
            <w:r w:rsidRPr="00437FDD">
              <w:t>Gliptin (also known as dipeptidyl peptidase-4 inhibitors)</w:t>
            </w:r>
          </w:p>
        </w:tc>
      </w:tr>
      <w:tr w:rsidR="00F41995" w:rsidRPr="00C2154E" w:rsidTr="00F244DE">
        <w:tc>
          <w:tcPr>
            <w:tcW w:w="2580" w:type="dxa"/>
            <w:shd w:val="clear" w:color="auto" w:fill="auto"/>
          </w:tcPr>
          <w:p w:rsidR="00F41995" w:rsidRPr="00437FDD" w:rsidRDefault="00F41995" w:rsidP="00492694">
            <w:r w:rsidRPr="00437FDD">
              <w:t>Glit</w:t>
            </w:r>
          </w:p>
        </w:tc>
        <w:tc>
          <w:tcPr>
            <w:tcW w:w="6433" w:type="dxa"/>
            <w:shd w:val="clear" w:color="auto" w:fill="auto"/>
          </w:tcPr>
          <w:p w:rsidR="00F41995" w:rsidRPr="00437FDD" w:rsidRDefault="00F41995" w:rsidP="00492694">
            <w:r w:rsidRPr="00437FDD">
              <w:t>Glitazone (also known as thiazolidinedione)</w:t>
            </w:r>
          </w:p>
        </w:tc>
      </w:tr>
      <w:tr w:rsidR="00F41995" w:rsidRPr="00C2154E" w:rsidTr="00F244DE">
        <w:tc>
          <w:tcPr>
            <w:tcW w:w="2580" w:type="dxa"/>
            <w:shd w:val="clear" w:color="auto" w:fill="auto"/>
          </w:tcPr>
          <w:p w:rsidR="00F41995" w:rsidRPr="00437FDD" w:rsidRDefault="00F41995" w:rsidP="00492694">
            <w:r w:rsidRPr="00437FDD">
              <w:t>Met</w:t>
            </w:r>
          </w:p>
        </w:tc>
        <w:tc>
          <w:tcPr>
            <w:tcW w:w="6433" w:type="dxa"/>
            <w:shd w:val="clear" w:color="auto" w:fill="auto"/>
          </w:tcPr>
          <w:p w:rsidR="00F41995" w:rsidRPr="00437FDD" w:rsidRDefault="00F41995" w:rsidP="00492694">
            <w:r w:rsidRPr="00437FDD">
              <w:t>Metformin</w:t>
            </w:r>
          </w:p>
        </w:tc>
      </w:tr>
      <w:tr w:rsidR="00F41995" w:rsidRPr="00C2154E" w:rsidTr="00F244DE">
        <w:tc>
          <w:tcPr>
            <w:tcW w:w="2580" w:type="dxa"/>
            <w:shd w:val="clear" w:color="auto" w:fill="auto"/>
          </w:tcPr>
          <w:p w:rsidR="00F41995" w:rsidRPr="00437FDD" w:rsidRDefault="00F41995" w:rsidP="00492694">
            <w:r w:rsidRPr="00437FDD">
              <w:t>GLP-1</w:t>
            </w:r>
          </w:p>
        </w:tc>
        <w:tc>
          <w:tcPr>
            <w:tcW w:w="6433" w:type="dxa"/>
            <w:shd w:val="clear" w:color="auto" w:fill="auto"/>
          </w:tcPr>
          <w:p w:rsidR="00F41995" w:rsidRPr="00437FDD" w:rsidRDefault="00F41995" w:rsidP="00492694">
            <w:r w:rsidRPr="00437FDD">
              <w:t>Glucagon-like peptide-1</w:t>
            </w:r>
          </w:p>
        </w:tc>
      </w:tr>
      <w:tr w:rsidR="00F41995" w:rsidRPr="00C2154E" w:rsidTr="00F244DE">
        <w:tc>
          <w:tcPr>
            <w:tcW w:w="2580" w:type="dxa"/>
            <w:shd w:val="clear" w:color="auto" w:fill="auto"/>
          </w:tcPr>
          <w:p w:rsidR="00F41995" w:rsidRPr="00437FDD" w:rsidRDefault="00F41995" w:rsidP="00492694">
            <w:r w:rsidRPr="00437FDD">
              <w:t>Insulin - basal</w:t>
            </w:r>
          </w:p>
        </w:tc>
        <w:tc>
          <w:tcPr>
            <w:tcW w:w="6433" w:type="dxa"/>
            <w:shd w:val="clear" w:color="auto" w:fill="auto"/>
          </w:tcPr>
          <w:p w:rsidR="00F41995" w:rsidRPr="00437FDD" w:rsidRDefault="00F41995" w:rsidP="00492694">
            <w:r w:rsidRPr="00437FDD">
              <w:t>Insulin glargine and insulin detemir</w:t>
            </w:r>
          </w:p>
        </w:tc>
      </w:tr>
      <w:tr w:rsidR="00F41995" w:rsidRPr="00C2154E" w:rsidTr="00F244DE">
        <w:tc>
          <w:tcPr>
            <w:tcW w:w="2580" w:type="dxa"/>
            <w:shd w:val="clear" w:color="auto" w:fill="auto"/>
          </w:tcPr>
          <w:p w:rsidR="00F41995" w:rsidRPr="00437FDD" w:rsidRDefault="00F41995" w:rsidP="00492694">
            <w:r w:rsidRPr="00437FDD">
              <w:t>Insulin - fast</w:t>
            </w:r>
          </w:p>
        </w:tc>
        <w:tc>
          <w:tcPr>
            <w:tcW w:w="6433" w:type="dxa"/>
            <w:shd w:val="clear" w:color="auto" w:fill="auto"/>
          </w:tcPr>
          <w:p w:rsidR="00F41995" w:rsidRPr="00437FDD" w:rsidRDefault="00F41995" w:rsidP="00492694">
            <w:r w:rsidRPr="00437FDD">
              <w:t>Short acting/ultra short acting insulin: insulin neutral, insulin glulisine, insulin lispro, insulin aspart</w:t>
            </w:r>
          </w:p>
        </w:tc>
      </w:tr>
      <w:tr w:rsidR="00F41995" w:rsidRPr="00C2154E" w:rsidTr="00F244DE">
        <w:tc>
          <w:tcPr>
            <w:tcW w:w="2580" w:type="dxa"/>
            <w:shd w:val="clear" w:color="auto" w:fill="auto"/>
          </w:tcPr>
          <w:p w:rsidR="00F41995" w:rsidRPr="00437FDD" w:rsidRDefault="00F41995" w:rsidP="00492694">
            <w:r w:rsidRPr="00437FDD">
              <w:t>Insulin - intermediate or Insulin - mixed</w:t>
            </w:r>
          </w:p>
        </w:tc>
        <w:tc>
          <w:tcPr>
            <w:tcW w:w="6433" w:type="dxa"/>
            <w:shd w:val="clear" w:color="auto" w:fill="auto"/>
          </w:tcPr>
          <w:p w:rsidR="00F41995" w:rsidRPr="00437FDD" w:rsidRDefault="00F41995" w:rsidP="00492694">
            <w:r w:rsidRPr="00437FDD">
              <w:t>Insulin isophane, insulin isophane and insulin neutral, insulin lispro and lispro protamine, insulin aspart and aspart protamine</w:t>
            </w:r>
          </w:p>
        </w:tc>
      </w:tr>
      <w:tr w:rsidR="00F41995" w:rsidRPr="00C2154E" w:rsidTr="00F244DE">
        <w:tc>
          <w:tcPr>
            <w:tcW w:w="2580" w:type="dxa"/>
            <w:shd w:val="clear" w:color="auto" w:fill="auto"/>
          </w:tcPr>
          <w:p w:rsidR="00F41995" w:rsidRPr="00437FDD" w:rsidRDefault="00F41995" w:rsidP="00492694">
            <w:r w:rsidRPr="00437FDD">
              <w:t>Pio</w:t>
            </w:r>
          </w:p>
        </w:tc>
        <w:tc>
          <w:tcPr>
            <w:tcW w:w="6433" w:type="dxa"/>
            <w:shd w:val="clear" w:color="auto" w:fill="auto"/>
          </w:tcPr>
          <w:p w:rsidR="00F41995" w:rsidRPr="00437FDD" w:rsidRDefault="00F41995" w:rsidP="00492694">
            <w:r w:rsidRPr="00437FDD">
              <w:t>Pioglitazone</w:t>
            </w:r>
          </w:p>
        </w:tc>
      </w:tr>
      <w:tr w:rsidR="00F41995" w:rsidRPr="00C2154E" w:rsidTr="00F244DE">
        <w:tc>
          <w:tcPr>
            <w:tcW w:w="2580" w:type="dxa"/>
            <w:shd w:val="clear" w:color="auto" w:fill="auto"/>
          </w:tcPr>
          <w:p w:rsidR="00F41995" w:rsidRPr="00437FDD" w:rsidRDefault="00F41995" w:rsidP="00492694">
            <w:r w:rsidRPr="00437FDD">
              <w:t>Rosi</w:t>
            </w:r>
          </w:p>
        </w:tc>
        <w:tc>
          <w:tcPr>
            <w:tcW w:w="6433" w:type="dxa"/>
            <w:shd w:val="clear" w:color="auto" w:fill="auto"/>
          </w:tcPr>
          <w:p w:rsidR="00F41995" w:rsidRPr="00437FDD" w:rsidRDefault="00F41995" w:rsidP="00492694">
            <w:r w:rsidRPr="00437FDD">
              <w:t>Rosiglitazone</w:t>
            </w:r>
          </w:p>
        </w:tc>
      </w:tr>
      <w:tr w:rsidR="00F41995" w:rsidRPr="00C2154E" w:rsidTr="00F244DE">
        <w:tc>
          <w:tcPr>
            <w:tcW w:w="2580" w:type="dxa"/>
            <w:shd w:val="clear" w:color="auto" w:fill="auto"/>
          </w:tcPr>
          <w:p w:rsidR="00F41995" w:rsidRPr="00437FDD" w:rsidRDefault="00F41995" w:rsidP="00492694">
            <w:r w:rsidRPr="00437FDD">
              <w:t>SCD</w:t>
            </w:r>
          </w:p>
        </w:tc>
        <w:tc>
          <w:tcPr>
            <w:tcW w:w="6433" w:type="dxa"/>
            <w:shd w:val="clear" w:color="auto" w:fill="auto"/>
          </w:tcPr>
          <w:p w:rsidR="00F41995" w:rsidRPr="00437FDD" w:rsidRDefault="00F41995" w:rsidP="00492694">
            <w:r w:rsidRPr="00437FDD">
              <w:t>Standard coverage days</w:t>
            </w:r>
          </w:p>
        </w:tc>
      </w:tr>
      <w:tr w:rsidR="00F41995" w:rsidRPr="00C2154E" w:rsidTr="00F244DE">
        <w:tc>
          <w:tcPr>
            <w:tcW w:w="2580" w:type="dxa"/>
            <w:shd w:val="clear" w:color="auto" w:fill="auto"/>
          </w:tcPr>
          <w:p w:rsidR="00F41995" w:rsidRPr="00437FDD" w:rsidRDefault="00F41995" w:rsidP="00492694">
            <w:r w:rsidRPr="00437FDD">
              <w:t>Sul</w:t>
            </w:r>
          </w:p>
        </w:tc>
        <w:tc>
          <w:tcPr>
            <w:tcW w:w="6433" w:type="dxa"/>
            <w:shd w:val="clear" w:color="auto" w:fill="auto"/>
          </w:tcPr>
          <w:p w:rsidR="00F41995" w:rsidRPr="00437FDD" w:rsidRDefault="00F41995" w:rsidP="00492694">
            <w:r w:rsidRPr="00437FDD">
              <w:t>Sulfonylurea (glimepiride, gliclazide, glibenclamide, glipizide)</w:t>
            </w:r>
          </w:p>
        </w:tc>
      </w:tr>
    </w:tbl>
    <w:p w:rsidR="00F41995" w:rsidRDefault="00F41995" w:rsidP="00492694">
      <w:pPr>
        <w:pStyle w:val="Heading2"/>
      </w:pPr>
      <w:bookmarkStart w:id="479" w:name="_Appendix_F:_Utilisation"/>
      <w:bookmarkStart w:id="480" w:name="_Toc382566501"/>
      <w:bookmarkEnd w:id="479"/>
      <w:r>
        <w:rPr>
          <w:smallCaps/>
          <w:sz w:val="36"/>
          <w:szCs w:val="32"/>
        </w:rPr>
        <w:br w:type="page"/>
      </w:r>
      <w:bookmarkStart w:id="481" w:name="_Toc397947735"/>
      <w:bookmarkStart w:id="482" w:name="_Toc403399576"/>
      <w:r w:rsidR="004711D6">
        <w:lastRenderedPageBreak/>
        <w:t xml:space="preserve">Appendix </w:t>
      </w:r>
      <w:r w:rsidR="00BF5100">
        <w:t>E</w:t>
      </w:r>
      <w:r>
        <w:t xml:space="preserve">: Utilisation analysis </w:t>
      </w:r>
      <w:r w:rsidR="00B65E44">
        <w:t xml:space="preserve">– </w:t>
      </w:r>
      <w:r>
        <w:t>TGA listings and PBS restrictions</w:t>
      </w:r>
      <w:bookmarkEnd w:id="480"/>
      <w:bookmarkEnd w:id="481"/>
      <w:bookmarkEnd w:id="482"/>
    </w:p>
    <w:p w:rsidR="00F41995" w:rsidRDefault="00F41995" w:rsidP="00492694"/>
    <w:p w:rsidR="00F41995" w:rsidRPr="00422AD1" w:rsidRDefault="00F41995" w:rsidP="00492694">
      <w:pPr>
        <w:pStyle w:val="BodyText1"/>
      </w:pPr>
      <w:r>
        <w:t xml:space="preserve">The indications approved by the Therapeutic Goods Administration (TGA) and the PBS listings current at the time of the utilisation analysis are provided in this appendix. The alignment between </w:t>
      </w:r>
      <w:r w:rsidRPr="003A1AEC">
        <w:t>PBS listings and TGA</w:t>
      </w:r>
      <w:r>
        <w:t>-</w:t>
      </w:r>
      <w:r w:rsidRPr="003A1AEC">
        <w:t xml:space="preserve">approved indications are shown </w:t>
      </w:r>
      <w:r>
        <w:t>for type 2 diabetes medicines that became available through the PBS prior to 2002 (</w:t>
      </w:r>
      <w:r w:rsidRPr="003A1AEC">
        <w:t xml:space="preserve">Table </w:t>
      </w:r>
      <w:r>
        <w:t>1)</w:t>
      </w:r>
      <w:r w:rsidRPr="003A1AEC">
        <w:t xml:space="preserve"> </w:t>
      </w:r>
      <w:r>
        <w:t xml:space="preserve">and at various time points between 2003 and 2012 (Table 2). </w:t>
      </w:r>
      <w:r w:rsidRPr="003A1AEC">
        <w:t>Cells shaded in grey indicate differences between TGA-approved indications and PBS listings.</w:t>
      </w:r>
    </w:p>
    <w:p w:rsidR="00F41995" w:rsidRPr="00C45556" w:rsidRDefault="00483D15" w:rsidP="00492694">
      <w:pPr>
        <w:pStyle w:val="BodyText1"/>
        <w:rPr>
          <w:b/>
        </w:rPr>
      </w:pPr>
      <w:r>
        <w:rPr>
          <w:b/>
        </w:rPr>
        <w:t xml:space="preserve">Table </w:t>
      </w:r>
      <w:r w:rsidR="00F41995" w:rsidRPr="00C45556">
        <w:rPr>
          <w:b/>
        </w:rPr>
        <w:t>1. Medicines for diabetes PBS listed before 2002: TGA-approved indications versus PBS listings</w:t>
      </w:r>
      <w:r w:rsidR="00F244DE" w:rsidRPr="00C45556">
        <w:rPr>
          <w:b/>
        </w:rPr>
        <w:t>.</w:t>
      </w:r>
      <w:r w:rsidR="00F41995" w:rsidRPr="00C45556">
        <w:rPr>
          <w:b/>
        </w:rPr>
        <w:t xml:space="preserve"> </w:t>
      </w:r>
    </w:p>
    <w:tbl>
      <w:tblPr>
        <w:tblW w:w="511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516"/>
        <w:gridCol w:w="760"/>
        <w:gridCol w:w="1372"/>
        <w:gridCol w:w="1372"/>
        <w:gridCol w:w="1415"/>
        <w:gridCol w:w="1478"/>
        <w:gridCol w:w="1428"/>
      </w:tblGrid>
      <w:tr w:rsidR="00F41995" w:rsidRPr="00C2154E" w:rsidTr="00F41995">
        <w:trPr>
          <w:tblHeader/>
        </w:trPr>
        <w:tc>
          <w:tcPr>
            <w:tcW w:w="2259" w:type="dxa"/>
            <w:gridSpan w:val="2"/>
            <w:tcBorders>
              <w:bottom w:val="single" w:sz="4" w:space="0" w:color="000000"/>
            </w:tcBorders>
            <w:shd w:val="clear" w:color="auto" w:fill="BFBFBF"/>
            <w:vAlign w:val="center"/>
          </w:tcPr>
          <w:p w:rsidR="00F41995" w:rsidRPr="00483D15" w:rsidRDefault="00F41995" w:rsidP="00492694">
            <w:pPr>
              <w:pStyle w:val="Tableheading"/>
              <w:rPr>
                <w:sz w:val="22"/>
                <w:szCs w:val="22"/>
              </w:rPr>
            </w:pPr>
          </w:p>
        </w:tc>
        <w:tc>
          <w:tcPr>
            <w:tcW w:w="1362" w:type="dxa"/>
            <w:tcBorders>
              <w:bottom w:val="single" w:sz="4" w:space="0" w:color="000000"/>
            </w:tcBorders>
            <w:shd w:val="clear" w:color="auto" w:fill="BFBFBF"/>
            <w:vAlign w:val="center"/>
          </w:tcPr>
          <w:p w:rsidR="00F41995" w:rsidRPr="00483D15" w:rsidRDefault="00F41995" w:rsidP="00492694">
            <w:pPr>
              <w:pStyle w:val="Tableheading"/>
              <w:rPr>
                <w:sz w:val="22"/>
                <w:szCs w:val="22"/>
              </w:rPr>
            </w:pPr>
            <w:r w:rsidRPr="00483D15">
              <w:rPr>
                <w:sz w:val="22"/>
                <w:szCs w:val="22"/>
              </w:rPr>
              <w:t>Mono-therapy</w:t>
            </w:r>
          </w:p>
        </w:tc>
        <w:tc>
          <w:tcPr>
            <w:tcW w:w="1362" w:type="dxa"/>
            <w:tcBorders>
              <w:bottom w:val="single" w:sz="4" w:space="0" w:color="000000"/>
            </w:tcBorders>
            <w:shd w:val="clear" w:color="auto" w:fill="BFBFBF"/>
            <w:vAlign w:val="center"/>
          </w:tcPr>
          <w:p w:rsidR="00F41995" w:rsidRPr="00483D15" w:rsidRDefault="00F41995" w:rsidP="00492694">
            <w:pPr>
              <w:pStyle w:val="Tableheading"/>
              <w:rPr>
                <w:sz w:val="22"/>
                <w:szCs w:val="22"/>
              </w:rPr>
            </w:pPr>
            <w:r w:rsidRPr="00483D15">
              <w:rPr>
                <w:sz w:val="22"/>
                <w:szCs w:val="22"/>
              </w:rPr>
              <w:t>Dual therapy [+met or sul]</w:t>
            </w:r>
          </w:p>
        </w:tc>
        <w:tc>
          <w:tcPr>
            <w:tcW w:w="1404" w:type="dxa"/>
            <w:tcBorders>
              <w:bottom w:val="single" w:sz="4" w:space="0" w:color="000000"/>
            </w:tcBorders>
            <w:shd w:val="clear" w:color="auto" w:fill="BFBFBF"/>
            <w:vAlign w:val="center"/>
          </w:tcPr>
          <w:p w:rsidR="00F41995" w:rsidRPr="00483D15" w:rsidRDefault="006820B1" w:rsidP="00492694">
            <w:pPr>
              <w:pStyle w:val="Tableheading"/>
              <w:rPr>
                <w:sz w:val="22"/>
                <w:szCs w:val="22"/>
              </w:rPr>
            </w:pPr>
            <w:r>
              <w:rPr>
                <w:sz w:val="22"/>
                <w:szCs w:val="22"/>
              </w:rPr>
              <w:t>Dual therapy [+TZD</w:t>
            </w:r>
            <w:r w:rsidR="00F41995" w:rsidRPr="00483D15">
              <w:rPr>
                <w:sz w:val="22"/>
                <w:szCs w:val="22"/>
              </w:rPr>
              <w:t>]</w:t>
            </w:r>
          </w:p>
        </w:tc>
        <w:tc>
          <w:tcPr>
            <w:tcW w:w="1467" w:type="dxa"/>
            <w:tcBorders>
              <w:bottom w:val="single" w:sz="4" w:space="0" w:color="000000"/>
            </w:tcBorders>
            <w:shd w:val="clear" w:color="auto" w:fill="BFBFBF"/>
            <w:vAlign w:val="center"/>
          </w:tcPr>
          <w:p w:rsidR="00F41995" w:rsidRPr="00483D15" w:rsidRDefault="00F41995" w:rsidP="00492694">
            <w:pPr>
              <w:pStyle w:val="Tableheading"/>
              <w:rPr>
                <w:sz w:val="22"/>
                <w:szCs w:val="22"/>
              </w:rPr>
            </w:pPr>
            <w:r w:rsidRPr="00483D15">
              <w:rPr>
                <w:sz w:val="22"/>
                <w:szCs w:val="22"/>
              </w:rPr>
              <w:t>Triple therapy [+met+sul]</w:t>
            </w:r>
          </w:p>
        </w:tc>
        <w:tc>
          <w:tcPr>
            <w:tcW w:w="1417" w:type="dxa"/>
            <w:tcBorders>
              <w:bottom w:val="single" w:sz="4" w:space="0" w:color="000000"/>
            </w:tcBorders>
            <w:shd w:val="clear" w:color="auto" w:fill="BFBFBF"/>
            <w:vAlign w:val="center"/>
          </w:tcPr>
          <w:p w:rsidR="00F41995" w:rsidRPr="00483D15" w:rsidRDefault="00F41995" w:rsidP="00492694">
            <w:pPr>
              <w:pStyle w:val="Tableheading"/>
              <w:rPr>
                <w:sz w:val="22"/>
                <w:szCs w:val="22"/>
              </w:rPr>
            </w:pPr>
            <w:r w:rsidRPr="00483D15">
              <w:rPr>
                <w:sz w:val="22"/>
                <w:szCs w:val="22"/>
              </w:rPr>
              <w:t>With insulin</w:t>
            </w:r>
          </w:p>
        </w:tc>
      </w:tr>
      <w:tr w:rsidR="00F41995" w:rsidRPr="00C2154E" w:rsidTr="00F41995">
        <w:tc>
          <w:tcPr>
            <w:tcW w:w="1505" w:type="dxa"/>
            <w:vMerge w:val="restart"/>
            <w:tcBorders>
              <w:top w:val="single" w:sz="4" w:space="0" w:color="000000"/>
              <w:left w:val="single" w:sz="4" w:space="0" w:color="000000"/>
              <w:bottom w:val="single" w:sz="4" w:space="0" w:color="000000"/>
              <w:right w:val="single" w:sz="4" w:space="0" w:color="000000"/>
            </w:tcBorders>
            <w:vAlign w:val="center"/>
          </w:tcPr>
          <w:p w:rsidR="00F41995" w:rsidRPr="00483D15" w:rsidRDefault="00F41995" w:rsidP="00492694">
            <w:pPr>
              <w:pStyle w:val="Tablewriting"/>
              <w:rPr>
                <w:sz w:val="22"/>
                <w:szCs w:val="22"/>
              </w:rPr>
            </w:pPr>
            <w:r w:rsidRPr="00483D15">
              <w:rPr>
                <w:sz w:val="22"/>
                <w:szCs w:val="22"/>
              </w:rPr>
              <w:t>Metformin</w:t>
            </w:r>
          </w:p>
        </w:tc>
        <w:tc>
          <w:tcPr>
            <w:tcW w:w="754" w:type="dxa"/>
            <w:tcBorders>
              <w:top w:val="nil"/>
              <w:left w:val="single" w:sz="4" w:space="0" w:color="000000"/>
              <w:bottom w:val="nil"/>
              <w:right w:val="single" w:sz="4" w:space="0" w:color="000000"/>
            </w:tcBorders>
            <w:vAlign w:val="center"/>
          </w:tcPr>
          <w:p w:rsidR="00F41995" w:rsidRPr="00483D15" w:rsidRDefault="00F41995" w:rsidP="00492694">
            <w:pPr>
              <w:pStyle w:val="Tablewriting"/>
              <w:rPr>
                <w:sz w:val="22"/>
                <w:szCs w:val="22"/>
              </w:rPr>
            </w:pPr>
            <w:r w:rsidRPr="00483D15">
              <w:rPr>
                <w:sz w:val="22"/>
                <w:szCs w:val="22"/>
              </w:rPr>
              <w:t>TGA</w:t>
            </w:r>
          </w:p>
        </w:tc>
        <w:tc>
          <w:tcPr>
            <w:tcW w:w="1362" w:type="dxa"/>
            <w:tcBorders>
              <w:top w:val="nil"/>
              <w:left w:val="single" w:sz="4" w:space="0" w:color="000000"/>
              <w:bottom w:val="nil"/>
              <w:right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362" w:type="dxa"/>
            <w:tcBorders>
              <w:top w:val="nil"/>
              <w:left w:val="single" w:sz="4" w:space="0" w:color="000000"/>
              <w:bottom w:val="nil"/>
              <w:right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04" w:type="dxa"/>
            <w:tcBorders>
              <w:top w:val="nil"/>
              <w:left w:val="single" w:sz="4" w:space="0" w:color="000000"/>
              <w:bottom w:val="nil"/>
              <w:right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67" w:type="dxa"/>
            <w:tcBorders>
              <w:top w:val="nil"/>
              <w:left w:val="single" w:sz="4" w:space="0" w:color="000000"/>
              <w:bottom w:val="nil"/>
              <w:right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17" w:type="dxa"/>
            <w:tcBorders>
              <w:top w:val="nil"/>
              <w:left w:val="single" w:sz="4" w:space="0" w:color="000000"/>
              <w:bottom w:val="nil"/>
              <w:right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r>
      <w:tr w:rsidR="00F41995" w:rsidRPr="00C2154E" w:rsidTr="00F41995">
        <w:tc>
          <w:tcPr>
            <w:tcW w:w="1505" w:type="dxa"/>
            <w:vMerge/>
            <w:tcBorders>
              <w:top w:val="single" w:sz="4" w:space="0" w:color="000000"/>
              <w:left w:val="single" w:sz="4" w:space="0" w:color="000000"/>
              <w:bottom w:val="single" w:sz="4" w:space="0" w:color="000000"/>
              <w:right w:val="single" w:sz="4" w:space="0" w:color="000000"/>
            </w:tcBorders>
            <w:vAlign w:val="center"/>
          </w:tcPr>
          <w:p w:rsidR="00F41995" w:rsidRPr="00483D15" w:rsidRDefault="00F41995" w:rsidP="00492694">
            <w:pPr>
              <w:pStyle w:val="Tablewriting"/>
              <w:rPr>
                <w:sz w:val="22"/>
                <w:szCs w:val="22"/>
              </w:rPr>
            </w:pPr>
          </w:p>
        </w:tc>
        <w:tc>
          <w:tcPr>
            <w:tcW w:w="754" w:type="dxa"/>
            <w:tcBorders>
              <w:top w:val="nil"/>
              <w:left w:val="single" w:sz="4" w:space="0" w:color="000000"/>
              <w:bottom w:val="single" w:sz="4" w:space="0" w:color="000000"/>
              <w:right w:val="single" w:sz="4" w:space="0" w:color="000000"/>
            </w:tcBorders>
            <w:vAlign w:val="center"/>
          </w:tcPr>
          <w:p w:rsidR="00F41995" w:rsidRPr="00483D15" w:rsidRDefault="00F41995" w:rsidP="00492694">
            <w:pPr>
              <w:pStyle w:val="Tablewriting"/>
              <w:rPr>
                <w:sz w:val="22"/>
                <w:szCs w:val="22"/>
              </w:rPr>
            </w:pPr>
            <w:r w:rsidRPr="00483D15">
              <w:rPr>
                <w:sz w:val="22"/>
                <w:szCs w:val="22"/>
              </w:rPr>
              <w:t>PBS</w:t>
            </w:r>
          </w:p>
        </w:tc>
        <w:tc>
          <w:tcPr>
            <w:tcW w:w="1362" w:type="dxa"/>
            <w:tcBorders>
              <w:top w:val="nil"/>
              <w:left w:val="single" w:sz="4" w:space="0" w:color="000000"/>
              <w:bottom w:val="single" w:sz="4" w:space="0" w:color="000000"/>
              <w:right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362" w:type="dxa"/>
            <w:tcBorders>
              <w:top w:val="nil"/>
              <w:left w:val="single" w:sz="4" w:space="0" w:color="000000"/>
              <w:bottom w:val="single" w:sz="4" w:space="0" w:color="000000"/>
              <w:right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04" w:type="dxa"/>
            <w:tcBorders>
              <w:top w:val="nil"/>
              <w:left w:val="single" w:sz="4" w:space="0" w:color="000000"/>
              <w:bottom w:val="single" w:sz="4" w:space="0" w:color="000000"/>
              <w:right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67" w:type="dxa"/>
            <w:tcBorders>
              <w:top w:val="nil"/>
              <w:left w:val="single" w:sz="4" w:space="0" w:color="000000"/>
              <w:bottom w:val="single" w:sz="4" w:space="0" w:color="000000"/>
              <w:right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17" w:type="dxa"/>
            <w:tcBorders>
              <w:top w:val="nil"/>
              <w:left w:val="single" w:sz="4" w:space="0" w:color="000000"/>
              <w:bottom w:val="single" w:sz="4" w:space="0" w:color="000000"/>
              <w:right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r>
      <w:tr w:rsidR="00F41995" w:rsidRPr="00C2154E" w:rsidTr="00F41995">
        <w:tc>
          <w:tcPr>
            <w:tcW w:w="1505" w:type="dxa"/>
            <w:vMerge w:val="restart"/>
            <w:tcBorders>
              <w:top w:val="single" w:sz="4" w:space="0" w:color="000000"/>
            </w:tcBorders>
            <w:vAlign w:val="center"/>
          </w:tcPr>
          <w:p w:rsidR="00F41995" w:rsidRPr="00483D15" w:rsidRDefault="00F41995" w:rsidP="00492694">
            <w:pPr>
              <w:pStyle w:val="Tablewriting"/>
              <w:rPr>
                <w:sz w:val="22"/>
                <w:szCs w:val="22"/>
              </w:rPr>
            </w:pPr>
            <w:r w:rsidRPr="00483D15">
              <w:rPr>
                <w:sz w:val="22"/>
                <w:szCs w:val="22"/>
              </w:rPr>
              <w:t>Glibenclamide</w:t>
            </w:r>
          </w:p>
        </w:tc>
        <w:tc>
          <w:tcPr>
            <w:tcW w:w="754"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t>TGA</w:t>
            </w:r>
          </w:p>
        </w:tc>
        <w:tc>
          <w:tcPr>
            <w:tcW w:w="1362"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362"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04"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67"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17"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r>
      <w:tr w:rsidR="00F41995" w:rsidRPr="00C2154E" w:rsidTr="00F41995">
        <w:tc>
          <w:tcPr>
            <w:tcW w:w="1505" w:type="dxa"/>
            <w:vMerge/>
            <w:tcBorders>
              <w:bottom w:val="single" w:sz="4" w:space="0" w:color="000000"/>
            </w:tcBorders>
            <w:vAlign w:val="center"/>
          </w:tcPr>
          <w:p w:rsidR="00F41995" w:rsidRPr="00483D15" w:rsidRDefault="00F41995" w:rsidP="00492694">
            <w:pPr>
              <w:pStyle w:val="Tablewriting"/>
              <w:rPr>
                <w:sz w:val="22"/>
                <w:szCs w:val="22"/>
              </w:rPr>
            </w:pPr>
          </w:p>
        </w:tc>
        <w:tc>
          <w:tcPr>
            <w:tcW w:w="754"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t>PBS</w:t>
            </w:r>
          </w:p>
        </w:tc>
        <w:tc>
          <w:tcPr>
            <w:tcW w:w="1362"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362"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04"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67"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17"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r>
      <w:tr w:rsidR="00F41995" w:rsidRPr="00C2154E" w:rsidTr="00F41995">
        <w:tc>
          <w:tcPr>
            <w:tcW w:w="1505" w:type="dxa"/>
            <w:vMerge w:val="restart"/>
            <w:tcBorders>
              <w:top w:val="single" w:sz="4" w:space="0" w:color="000000"/>
            </w:tcBorders>
            <w:vAlign w:val="center"/>
          </w:tcPr>
          <w:p w:rsidR="00F41995" w:rsidRPr="00483D15" w:rsidRDefault="00F41995" w:rsidP="00492694">
            <w:pPr>
              <w:pStyle w:val="Tablewriting"/>
              <w:rPr>
                <w:sz w:val="22"/>
                <w:szCs w:val="22"/>
              </w:rPr>
            </w:pPr>
            <w:r w:rsidRPr="00483D15">
              <w:rPr>
                <w:sz w:val="22"/>
                <w:szCs w:val="22"/>
              </w:rPr>
              <w:t>Gliclazide</w:t>
            </w:r>
          </w:p>
        </w:tc>
        <w:tc>
          <w:tcPr>
            <w:tcW w:w="754"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t>TGA</w:t>
            </w:r>
          </w:p>
        </w:tc>
        <w:tc>
          <w:tcPr>
            <w:tcW w:w="1362"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362"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04"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67"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17"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r>
      <w:tr w:rsidR="00F41995" w:rsidRPr="00C2154E" w:rsidTr="00F41995">
        <w:tc>
          <w:tcPr>
            <w:tcW w:w="1505" w:type="dxa"/>
            <w:vMerge/>
            <w:tcBorders>
              <w:bottom w:val="single" w:sz="4" w:space="0" w:color="000000"/>
            </w:tcBorders>
            <w:vAlign w:val="center"/>
          </w:tcPr>
          <w:p w:rsidR="00F41995" w:rsidRPr="00483D15" w:rsidRDefault="00F41995" w:rsidP="00492694">
            <w:pPr>
              <w:pStyle w:val="Tablewriting"/>
              <w:rPr>
                <w:sz w:val="22"/>
                <w:szCs w:val="22"/>
              </w:rPr>
            </w:pPr>
          </w:p>
        </w:tc>
        <w:tc>
          <w:tcPr>
            <w:tcW w:w="754"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t>PBS</w:t>
            </w:r>
          </w:p>
        </w:tc>
        <w:tc>
          <w:tcPr>
            <w:tcW w:w="1362"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362"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04"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67"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17"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r>
      <w:tr w:rsidR="00F41995" w:rsidRPr="00C2154E" w:rsidTr="00F41995">
        <w:tc>
          <w:tcPr>
            <w:tcW w:w="1505" w:type="dxa"/>
            <w:vMerge w:val="restart"/>
            <w:tcBorders>
              <w:top w:val="single" w:sz="4" w:space="0" w:color="000000"/>
            </w:tcBorders>
            <w:vAlign w:val="center"/>
          </w:tcPr>
          <w:p w:rsidR="00F41995" w:rsidRPr="00483D15" w:rsidRDefault="00F41995" w:rsidP="00492694">
            <w:pPr>
              <w:pStyle w:val="Tablewriting"/>
              <w:rPr>
                <w:sz w:val="22"/>
                <w:szCs w:val="22"/>
              </w:rPr>
            </w:pPr>
            <w:r w:rsidRPr="00483D15">
              <w:rPr>
                <w:sz w:val="22"/>
                <w:szCs w:val="22"/>
              </w:rPr>
              <w:t>Glimepiride</w:t>
            </w:r>
          </w:p>
        </w:tc>
        <w:tc>
          <w:tcPr>
            <w:tcW w:w="754"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t>TGA</w:t>
            </w:r>
          </w:p>
        </w:tc>
        <w:tc>
          <w:tcPr>
            <w:tcW w:w="1362"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362"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04"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67"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17"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r>
      <w:tr w:rsidR="00F41995" w:rsidRPr="00C2154E" w:rsidTr="00F41995">
        <w:tc>
          <w:tcPr>
            <w:tcW w:w="1505" w:type="dxa"/>
            <w:vMerge/>
            <w:tcBorders>
              <w:bottom w:val="single" w:sz="4" w:space="0" w:color="000000"/>
            </w:tcBorders>
            <w:vAlign w:val="center"/>
          </w:tcPr>
          <w:p w:rsidR="00F41995" w:rsidRPr="00483D15" w:rsidRDefault="00F41995" w:rsidP="00492694">
            <w:pPr>
              <w:pStyle w:val="Tablewriting"/>
              <w:rPr>
                <w:sz w:val="22"/>
                <w:szCs w:val="22"/>
              </w:rPr>
            </w:pPr>
          </w:p>
        </w:tc>
        <w:tc>
          <w:tcPr>
            <w:tcW w:w="754"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t>PBS</w:t>
            </w:r>
          </w:p>
        </w:tc>
        <w:tc>
          <w:tcPr>
            <w:tcW w:w="1362"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362"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04"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67"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17"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r>
      <w:tr w:rsidR="00F41995" w:rsidRPr="00C2154E" w:rsidTr="00F41995">
        <w:tc>
          <w:tcPr>
            <w:tcW w:w="1505" w:type="dxa"/>
            <w:vMerge w:val="restart"/>
            <w:tcBorders>
              <w:top w:val="single" w:sz="4" w:space="0" w:color="000000"/>
            </w:tcBorders>
            <w:vAlign w:val="center"/>
          </w:tcPr>
          <w:p w:rsidR="00F41995" w:rsidRPr="00483D15" w:rsidRDefault="00F41995" w:rsidP="00492694">
            <w:pPr>
              <w:pStyle w:val="Tablewriting"/>
              <w:rPr>
                <w:sz w:val="22"/>
                <w:szCs w:val="22"/>
              </w:rPr>
            </w:pPr>
            <w:r w:rsidRPr="00483D15">
              <w:rPr>
                <w:sz w:val="22"/>
                <w:szCs w:val="22"/>
              </w:rPr>
              <w:t>Glipizide</w:t>
            </w:r>
          </w:p>
        </w:tc>
        <w:tc>
          <w:tcPr>
            <w:tcW w:w="754"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t>TGA</w:t>
            </w:r>
          </w:p>
        </w:tc>
        <w:tc>
          <w:tcPr>
            <w:tcW w:w="1362"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362"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04"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67"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17"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r>
      <w:tr w:rsidR="00F41995" w:rsidRPr="00C2154E" w:rsidTr="00F41995">
        <w:tc>
          <w:tcPr>
            <w:tcW w:w="1505" w:type="dxa"/>
            <w:vMerge/>
            <w:tcBorders>
              <w:bottom w:val="single" w:sz="4" w:space="0" w:color="000000"/>
            </w:tcBorders>
            <w:vAlign w:val="center"/>
          </w:tcPr>
          <w:p w:rsidR="00F41995" w:rsidRPr="00483D15" w:rsidRDefault="00F41995" w:rsidP="00492694">
            <w:pPr>
              <w:pStyle w:val="Tablewriting"/>
              <w:rPr>
                <w:sz w:val="22"/>
                <w:szCs w:val="22"/>
              </w:rPr>
            </w:pPr>
          </w:p>
        </w:tc>
        <w:tc>
          <w:tcPr>
            <w:tcW w:w="754"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t>PBS</w:t>
            </w:r>
          </w:p>
        </w:tc>
        <w:tc>
          <w:tcPr>
            <w:tcW w:w="1362"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362"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04"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67"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17"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r>
      <w:tr w:rsidR="00F41995" w:rsidRPr="00C2154E" w:rsidTr="00F41995">
        <w:tc>
          <w:tcPr>
            <w:tcW w:w="1505" w:type="dxa"/>
            <w:vMerge w:val="restart"/>
            <w:tcBorders>
              <w:top w:val="single" w:sz="4" w:space="0" w:color="000000"/>
            </w:tcBorders>
            <w:vAlign w:val="center"/>
          </w:tcPr>
          <w:p w:rsidR="00F41995" w:rsidRPr="00483D15" w:rsidRDefault="00F41995" w:rsidP="00492694">
            <w:pPr>
              <w:pStyle w:val="Tablewriting"/>
              <w:rPr>
                <w:sz w:val="22"/>
                <w:szCs w:val="22"/>
              </w:rPr>
            </w:pPr>
            <w:r w:rsidRPr="00483D15">
              <w:rPr>
                <w:sz w:val="22"/>
                <w:szCs w:val="22"/>
              </w:rPr>
              <w:t>Acarbose</w:t>
            </w:r>
          </w:p>
        </w:tc>
        <w:tc>
          <w:tcPr>
            <w:tcW w:w="754"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t>TGA</w:t>
            </w:r>
          </w:p>
        </w:tc>
        <w:tc>
          <w:tcPr>
            <w:tcW w:w="1362"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362" w:type="dxa"/>
            <w:tcBorders>
              <w:top w:val="single" w:sz="4" w:space="0" w:color="000000"/>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04" w:type="dxa"/>
            <w:tcBorders>
              <w:bottom w:val="nil"/>
            </w:tcBorders>
            <w:shd w:val="pct25" w:color="auto" w:fill="auto"/>
            <w:vAlign w:val="center"/>
          </w:tcPr>
          <w:p w:rsidR="00F41995" w:rsidRPr="00483D15" w:rsidRDefault="00F41995" w:rsidP="00492694">
            <w:pPr>
              <w:pStyle w:val="Tablewriting"/>
              <w:rPr>
                <w:sz w:val="22"/>
                <w:szCs w:val="22"/>
                <w:vertAlign w:val="superscript"/>
              </w:rPr>
            </w:pPr>
            <w:r w:rsidRPr="00483D15">
              <w:rPr>
                <w:sz w:val="22"/>
                <w:szCs w:val="22"/>
              </w:rPr>
              <w:sym w:font="Wingdings" w:char="F0FC"/>
            </w:r>
            <w:r w:rsidRPr="00483D15">
              <w:rPr>
                <w:sz w:val="22"/>
                <w:szCs w:val="22"/>
                <w:vertAlign w:val="superscript"/>
              </w:rPr>
              <w:t>a</w:t>
            </w:r>
          </w:p>
        </w:tc>
        <w:tc>
          <w:tcPr>
            <w:tcW w:w="1467"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17" w:type="dxa"/>
            <w:tcBorders>
              <w:bottom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r>
      <w:tr w:rsidR="00F41995" w:rsidRPr="00C2154E" w:rsidTr="00F41995">
        <w:tc>
          <w:tcPr>
            <w:tcW w:w="1505" w:type="dxa"/>
            <w:vMerge/>
            <w:tcBorders>
              <w:bottom w:val="single" w:sz="4" w:space="0" w:color="000000"/>
            </w:tcBorders>
            <w:vAlign w:val="center"/>
          </w:tcPr>
          <w:p w:rsidR="00F41995" w:rsidRPr="00483D15" w:rsidRDefault="00F41995" w:rsidP="00492694">
            <w:pPr>
              <w:pStyle w:val="Tablewriting"/>
              <w:rPr>
                <w:sz w:val="22"/>
                <w:szCs w:val="22"/>
              </w:rPr>
            </w:pPr>
          </w:p>
        </w:tc>
        <w:tc>
          <w:tcPr>
            <w:tcW w:w="754"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t>PBS</w:t>
            </w:r>
          </w:p>
        </w:tc>
        <w:tc>
          <w:tcPr>
            <w:tcW w:w="1362"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362" w:type="dxa"/>
            <w:tcBorders>
              <w:top w:val="nil"/>
              <w:bottom w:val="single" w:sz="4" w:space="0" w:color="000000"/>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04" w:type="dxa"/>
            <w:tcBorders>
              <w:top w:val="nil"/>
            </w:tcBorders>
            <w:shd w:val="pct25" w:color="auto" w:fill="auto"/>
            <w:vAlign w:val="center"/>
          </w:tcPr>
          <w:p w:rsidR="00F41995" w:rsidRPr="00483D15" w:rsidRDefault="00F41995" w:rsidP="00492694">
            <w:pPr>
              <w:pStyle w:val="Tablewriting"/>
              <w:rPr>
                <w:sz w:val="22"/>
                <w:szCs w:val="22"/>
              </w:rPr>
            </w:pPr>
            <w:r w:rsidRPr="00483D15">
              <w:rPr>
                <w:sz w:val="22"/>
                <w:szCs w:val="22"/>
              </w:rPr>
              <w:sym w:font="Wingdings" w:char="F0FB"/>
            </w:r>
          </w:p>
        </w:tc>
        <w:tc>
          <w:tcPr>
            <w:tcW w:w="1467"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c>
          <w:tcPr>
            <w:tcW w:w="1417" w:type="dxa"/>
            <w:tcBorders>
              <w:top w:val="nil"/>
            </w:tcBorders>
            <w:vAlign w:val="center"/>
          </w:tcPr>
          <w:p w:rsidR="00F41995" w:rsidRPr="00483D15" w:rsidRDefault="00F41995" w:rsidP="00492694">
            <w:pPr>
              <w:pStyle w:val="Tablewriting"/>
              <w:rPr>
                <w:sz w:val="22"/>
                <w:szCs w:val="22"/>
              </w:rPr>
            </w:pPr>
            <w:r w:rsidRPr="00483D15">
              <w:rPr>
                <w:sz w:val="22"/>
                <w:szCs w:val="22"/>
              </w:rPr>
              <w:sym w:font="Wingdings" w:char="F0FC"/>
            </w:r>
          </w:p>
        </w:tc>
      </w:tr>
    </w:tbl>
    <w:p w:rsidR="00F41995" w:rsidRPr="00422AD1" w:rsidRDefault="00F41995" w:rsidP="00646887">
      <w:pPr>
        <w:pStyle w:val="Notes"/>
      </w:pPr>
      <w:r w:rsidRPr="0092369C">
        <w:rPr>
          <w:u w:val="single"/>
        </w:rPr>
        <w:t>Source</w:t>
      </w:r>
      <w:r w:rsidRPr="003A1AEC">
        <w:t>: Schedule of Pharmaceutical Benefits and Product Information (October 2012)</w:t>
      </w:r>
    </w:p>
    <w:p w:rsidR="00F41995" w:rsidRPr="00422AD1" w:rsidRDefault="00F41995" w:rsidP="00646887">
      <w:pPr>
        <w:pStyle w:val="Notes"/>
      </w:pPr>
      <w:r w:rsidRPr="0092369C">
        <w:rPr>
          <w:u w:val="single"/>
        </w:rPr>
        <w:t>Notes</w:t>
      </w:r>
      <w:r w:rsidRPr="003A1AEC">
        <w:t xml:space="preserve">: </w:t>
      </w:r>
      <w:r>
        <w:tab/>
      </w:r>
      <w:r w:rsidRPr="003A1AEC">
        <w:t>The references to mono-, dual and triple therapy are in relation to the active ingredient(s), not products. The (</w:t>
      </w:r>
      <w:r w:rsidRPr="003A1AEC">
        <w:sym w:font="Wingdings" w:char="F0FC"/>
      </w:r>
      <w:r w:rsidRPr="003A1AEC">
        <w:t xml:space="preserve">) indicates that the drug can be part of the regimen by virtue of not being specifically excluded. </w:t>
      </w:r>
      <w:r>
        <w:t>The (</w:t>
      </w:r>
      <w:r w:rsidRPr="00D372CE">
        <w:sym w:font="Wingdings" w:char="F0FB"/>
      </w:r>
      <w:r>
        <w:t xml:space="preserve">) indicates that the drug can’t be part of the regimen. </w:t>
      </w:r>
      <w:r w:rsidRPr="003A1AEC">
        <w:t>Cells in grey highlight differences between TGA/PBS indications</w:t>
      </w:r>
      <w:r>
        <w:t xml:space="preserve">. </w:t>
      </w:r>
    </w:p>
    <w:p w:rsidR="00F41995" w:rsidRPr="00422AD1" w:rsidRDefault="00F41995" w:rsidP="00646887">
      <w:pPr>
        <w:pStyle w:val="Notes"/>
      </w:pPr>
      <w:r w:rsidRPr="003A1AEC">
        <w:rPr>
          <w:vertAlign w:val="superscript"/>
        </w:rPr>
        <w:t>a</w:t>
      </w:r>
      <w:r w:rsidRPr="003A1AEC">
        <w:t xml:space="preserve"> Acarbose is TGA-approved as adjunct therapy. However, the </w:t>
      </w:r>
      <w:r w:rsidR="006820B1">
        <w:t>TZDs</w:t>
      </w:r>
      <w:r w:rsidRPr="003A1AEC">
        <w:t xml:space="preserve"> are not TGA</w:t>
      </w:r>
      <w:r>
        <w:t>-approved for use with acarbose</w:t>
      </w:r>
    </w:p>
    <w:p w:rsidR="00F41995" w:rsidRDefault="00F41995" w:rsidP="00492694"/>
    <w:p w:rsidR="00F41995" w:rsidRPr="00F41995" w:rsidRDefault="00F41995" w:rsidP="00492694">
      <w:pPr>
        <w:pStyle w:val="BodyText1"/>
        <w:rPr>
          <w:bCs/>
        </w:rPr>
      </w:pPr>
      <w:r w:rsidRPr="003A1AEC">
        <w:t>Acarbose, metformin</w:t>
      </w:r>
      <w:r>
        <w:t>,</w:t>
      </w:r>
      <w:r w:rsidRPr="003A1AEC">
        <w:t xml:space="preserve"> sulfonylureas (glibenclamide, gliclazide, glipizide</w:t>
      </w:r>
      <w:r>
        <w:t xml:space="preserve"> and </w:t>
      </w:r>
      <w:r w:rsidRPr="003A1AEC">
        <w:t>glimepiride) and combinations such as metformin</w:t>
      </w:r>
      <w:r>
        <w:t xml:space="preserve"> </w:t>
      </w:r>
      <w:r w:rsidRPr="003A1AEC">
        <w:t>+</w:t>
      </w:r>
      <w:r>
        <w:t xml:space="preserve"> </w:t>
      </w:r>
      <w:r w:rsidRPr="003A1AEC">
        <w:t xml:space="preserve">glibenclamide are all </w:t>
      </w:r>
      <w:r>
        <w:t xml:space="preserve">unrestricted benefits </w:t>
      </w:r>
      <w:r w:rsidRPr="003A1AEC">
        <w:t xml:space="preserve">in the General Schedule of the PBS, and there are no restrictions for prescribers in using these agents for monotherapy, dual or triple therapy or in combination with insulin for the management of </w:t>
      </w:r>
      <w:r>
        <w:t>type 2 diabetes</w:t>
      </w:r>
      <w:r w:rsidRPr="003A1AEC">
        <w:t>.</w:t>
      </w:r>
      <w:r w:rsidRPr="00422AD1">
        <w:t xml:space="preserve"> </w:t>
      </w:r>
    </w:p>
    <w:p w:rsidR="00F41995" w:rsidRPr="00C45556" w:rsidRDefault="00F41995" w:rsidP="00492694">
      <w:pPr>
        <w:pStyle w:val="BodyText1"/>
        <w:rPr>
          <w:b/>
        </w:rPr>
      </w:pPr>
      <w:r w:rsidRPr="00C45556">
        <w:rPr>
          <w:b/>
        </w:rPr>
        <w:lastRenderedPageBreak/>
        <w:t>Table 2</w:t>
      </w:r>
      <w:r w:rsidR="00F244DE" w:rsidRPr="00C45556">
        <w:rPr>
          <w:b/>
        </w:rPr>
        <w:t>.</w:t>
      </w:r>
      <w:r w:rsidRPr="00C45556">
        <w:rPr>
          <w:b/>
        </w:rPr>
        <w:t xml:space="preserve"> Medicines for diabetes listed between 2003 and 2012: TGA-approved indications versus PBS listings</w:t>
      </w:r>
      <w:r w:rsidR="00F244DE" w:rsidRPr="00C45556">
        <w:rPr>
          <w:b/>
        </w:rPr>
        <w:t>.</w:t>
      </w:r>
      <w:r w:rsidRPr="00C45556">
        <w:rPr>
          <w:b/>
        </w:rPr>
        <w:t xml:space="preserve"> </w:t>
      </w:r>
    </w:p>
    <w:tbl>
      <w:tblPr>
        <w:tblW w:w="511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515"/>
        <w:gridCol w:w="684"/>
        <w:gridCol w:w="1285"/>
        <w:gridCol w:w="1429"/>
        <w:gridCol w:w="1428"/>
        <w:gridCol w:w="1572"/>
        <w:gridCol w:w="1428"/>
      </w:tblGrid>
      <w:tr w:rsidR="00F41995" w:rsidRPr="00C2154E" w:rsidTr="00F244DE">
        <w:trPr>
          <w:tblHeader/>
        </w:trPr>
        <w:tc>
          <w:tcPr>
            <w:tcW w:w="2199" w:type="dxa"/>
            <w:gridSpan w:val="2"/>
            <w:tcBorders>
              <w:bottom w:val="single" w:sz="4" w:space="0" w:color="000000"/>
            </w:tcBorders>
            <w:shd w:val="clear" w:color="auto" w:fill="BFBFBF"/>
            <w:vAlign w:val="center"/>
          </w:tcPr>
          <w:p w:rsidR="00F41995" w:rsidRPr="00351683" w:rsidRDefault="00F244DE" w:rsidP="00492694">
            <w:pPr>
              <w:pStyle w:val="Tableheading"/>
              <w:rPr>
                <w:sz w:val="22"/>
                <w:szCs w:val="22"/>
              </w:rPr>
            </w:pPr>
            <w:r w:rsidRPr="00351683">
              <w:rPr>
                <w:sz w:val="22"/>
                <w:szCs w:val="22"/>
              </w:rPr>
              <w:t>Medicine</w:t>
            </w:r>
          </w:p>
        </w:tc>
        <w:tc>
          <w:tcPr>
            <w:tcW w:w="1285" w:type="dxa"/>
            <w:tcBorders>
              <w:bottom w:val="single" w:sz="4" w:space="0" w:color="000000"/>
            </w:tcBorders>
            <w:shd w:val="clear" w:color="auto" w:fill="BFBFBF"/>
            <w:vAlign w:val="center"/>
          </w:tcPr>
          <w:p w:rsidR="00F41995" w:rsidRPr="00351683" w:rsidRDefault="00F41995" w:rsidP="00492694">
            <w:pPr>
              <w:pStyle w:val="Tableheading"/>
              <w:rPr>
                <w:sz w:val="22"/>
                <w:szCs w:val="22"/>
              </w:rPr>
            </w:pPr>
            <w:r w:rsidRPr="00351683">
              <w:rPr>
                <w:sz w:val="22"/>
                <w:szCs w:val="22"/>
              </w:rPr>
              <w:t>Mono-therapy</w:t>
            </w:r>
          </w:p>
        </w:tc>
        <w:tc>
          <w:tcPr>
            <w:tcW w:w="1429" w:type="dxa"/>
            <w:tcBorders>
              <w:bottom w:val="single" w:sz="4" w:space="0" w:color="000000"/>
            </w:tcBorders>
            <w:shd w:val="clear" w:color="auto" w:fill="BFBFBF"/>
            <w:vAlign w:val="center"/>
          </w:tcPr>
          <w:p w:rsidR="00F41995" w:rsidRPr="00351683" w:rsidRDefault="00F41995" w:rsidP="00492694">
            <w:pPr>
              <w:pStyle w:val="Tableheading"/>
              <w:rPr>
                <w:sz w:val="22"/>
                <w:szCs w:val="22"/>
              </w:rPr>
            </w:pPr>
            <w:r w:rsidRPr="00351683">
              <w:rPr>
                <w:sz w:val="22"/>
                <w:szCs w:val="22"/>
              </w:rPr>
              <w:t>Dual therapy [+met or sul</w:t>
            </w:r>
            <w:r w:rsidR="00F244DE" w:rsidRPr="00351683">
              <w:rPr>
                <w:sz w:val="22"/>
                <w:szCs w:val="22"/>
              </w:rPr>
              <w:t>f</w:t>
            </w:r>
            <w:r w:rsidRPr="00351683">
              <w:rPr>
                <w:sz w:val="22"/>
                <w:szCs w:val="22"/>
              </w:rPr>
              <w:t>]</w:t>
            </w:r>
          </w:p>
        </w:tc>
        <w:tc>
          <w:tcPr>
            <w:tcW w:w="1428" w:type="dxa"/>
            <w:tcBorders>
              <w:bottom w:val="single" w:sz="4" w:space="0" w:color="000000"/>
            </w:tcBorders>
            <w:shd w:val="clear" w:color="auto" w:fill="BFBFBF"/>
            <w:vAlign w:val="center"/>
          </w:tcPr>
          <w:p w:rsidR="00F41995" w:rsidRPr="00351683" w:rsidRDefault="006820B1" w:rsidP="00492694">
            <w:pPr>
              <w:pStyle w:val="Tableheading"/>
              <w:rPr>
                <w:sz w:val="22"/>
                <w:szCs w:val="22"/>
              </w:rPr>
            </w:pPr>
            <w:r>
              <w:rPr>
                <w:sz w:val="22"/>
                <w:szCs w:val="22"/>
              </w:rPr>
              <w:t>Dual therapy [+glip or TZD</w:t>
            </w:r>
            <w:r w:rsidR="00F41995" w:rsidRPr="00351683">
              <w:rPr>
                <w:sz w:val="22"/>
                <w:szCs w:val="22"/>
              </w:rPr>
              <w:t>]</w:t>
            </w:r>
          </w:p>
        </w:tc>
        <w:tc>
          <w:tcPr>
            <w:tcW w:w="1572" w:type="dxa"/>
            <w:tcBorders>
              <w:bottom w:val="single" w:sz="4" w:space="0" w:color="000000"/>
            </w:tcBorders>
            <w:shd w:val="clear" w:color="auto" w:fill="BFBFBF"/>
            <w:vAlign w:val="center"/>
          </w:tcPr>
          <w:p w:rsidR="00F41995" w:rsidRPr="00351683" w:rsidRDefault="00F41995" w:rsidP="00492694">
            <w:pPr>
              <w:pStyle w:val="Tableheading"/>
              <w:rPr>
                <w:sz w:val="22"/>
                <w:szCs w:val="22"/>
              </w:rPr>
            </w:pPr>
            <w:r w:rsidRPr="00351683">
              <w:rPr>
                <w:sz w:val="22"/>
                <w:szCs w:val="22"/>
              </w:rPr>
              <w:t>Triple therapy [+met+sul</w:t>
            </w:r>
            <w:r w:rsidR="00F244DE" w:rsidRPr="00351683">
              <w:rPr>
                <w:sz w:val="22"/>
                <w:szCs w:val="22"/>
              </w:rPr>
              <w:t>f</w:t>
            </w:r>
            <w:r w:rsidRPr="00351683">
              <w:rPr>
                <w:sz w:val="22"/>
                <w:szCs w:val="22"/>
              </w:rPr>
              <w:t>]</w:t>
            </w:r>
          </w:p>
        </w:tc>
        <w:tc>
          <w:tcPr>
            <w:tcW w:w="1428" w:type="dxa"/>
            <w:tcBorders>
              <w:bottom w:val="single" w:sz="4" w:space="0" w:color="000000"/>
            </w:tcBorders>
            <w:shd w:val="clear" w:color="auto" w:fill="BFBFBF"/>
            <w:vAlign w:val="center"/>
          </w:tcPr>
          <w:p w:rsidR="00F41995" w:rsidRPr="00351683" w:rsidRDefault="00F41995" w:rsidP="00492694">
            <w:pPr>
              <w:pStyle w:val="Tableheading"/>
              <w:rPr>
                <w:sz w:val="22"/>
                <w:szCs w:val="22"/>
              </w:rPr>
            </w:pPr>
            <w:r w:rsidRPr="00351683">
              <w:rPr>
                <w:sz w:val="22"/>
                <w:szCs w:val="22"/>
              </w:rPr>
              <w:t>With insulin</w:t>
            </w:r>
          </w:p>
        </w:tc>
      </w:tr>
      <w:tr w:rsidR="00F41995" w:rsidRPr="00C2154E" w:rsidTr="00F244DE">
        <w:tc>
          <w:tcPr>
            <w:tcW w:w="1515" w:type="dxa"/>
            <w:vMerge w:val="restart"/>
            <w:tcBorders>
              <w:top w:val="single" w:sz="4" w:space="0" w:color="000000"/>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t>Rosiglitazone</w:t>
            </w:r>
          </w:p>
        </w:tc>
        <w:tc>
          <w:tcPr>
            <w:tcW w:w="684" w:type="dxa"/>
            <w:tcBorders>
              <w:top w:val="nil"/>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t>TGA</w:t>
            </w:r>
          </w:p>
        </w:tc>
        <w:tc>
          <w:tcPr>
            <w:tcW w:w="1285" w:type="dxa"/>
            <w:tcBorders>
              <w:top w:val="nil"/>
              <w:left w:val="single" w:sz="4" w:space="0" w:color="000000"/>
              <w:bottom w:val="nil"/>
              <w:right w:val="single" w:sz="4" w:space="0" w:color="000000"/>
            </w:tcBorders>
            <w:shd w:val="clear" w:color="auto" w:fill="BFBFBF"/>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9" w:type="dxa"/>
            <w:tcBorders>
              <w:top w:val="nil"/>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nil"/>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nil"/>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top w:val="nil"/>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tcBorders>
              <w:top w:val="single" w:sz="4" w:space="0" w:color="000000"/>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p>
        </w:tc>
        <w:tc>
          <w:tcPr>
            <w:tcW w:w="684"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t>PBS</w:t>
            </w:r>
          </w:p>
        </w:tc>
        <w:tc>
          <w:tcPr>
            <w:tcW w:w="1285" w:type="dxa"/>
            <w:tcBorders>
              <w:top w:val="nil"/>
              <w:left w:val="single" w:sz="4" w:space="0" w:color="000000"/>
              <w:bottom w:val="single" w:sz="4" w:space="0" w:color="000000"/>
              <w:right w:val="single" w:sz="4" w:space="0" w:color="000000"/>
            </w:tcBorders>
            <w:shd w:val="clear" w:color="auto" w:fill="BFBFBF"/>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val="restart"/>
            <w:tcBorders>
              <w:top w:val="single" w:sz="4" w:space="0" w:color="000000"/>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t>Pioglitazone</w:t>
            </w:r>
          </w:p>
        </w:tc>
        <w:tc>
          <w:tcPr>
            <w:tcW w:w="684"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t>TGA</w:t>
            </w:r>
          </w:p>
        </w:tc>
        <w:tc>
          <w:tcPr>
            <w:tcW w:w="1285" w:type="dxa"/>
            <w:tcBorders>
              <w:top w:val="single" w:sz="4" w:space="0" w:color="000000"/>
              <w:left w:val="single" w:sz="4" w:space="0" w:color="000000"/>
              <w:bottom w:val="nil"/>
              <w:right w:val="single" w:sz="4" w:space="0" w:color="000000"/>
            </w:tcBorders>
            <w:shd w:val="clear" w:color="auto" w:fill="BFBFBF"/>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9"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single" w:sz="4" w:space="0" w:color="000000"/>
              <w:left w:val="single" w:sz="4" w:space="0" w:color="000000"/>
              <w:bottom w:val="nil"/>
              <w:right w:val="single" w:sz="4" w:space="0" w:color="000000"/>
            </w:tcBorders>
            <w:shd w:val="pct25" w:color="auto" w:fill="auto"/>
            <w:vAlign w:val="center"/>
          </w:tcPr>
          <w:p w:rsidR="00F41995" w:rsidRPr="00351683" w:rsidRDefault="00F41995" w:rsidP="00492694">
            <w:pPr>
              <w:pStyle w:val="Tablewriting"/>
              <w:rPr>
                <w:sz w:val="22"/>
                <w:szCs w:val="22"/>
                <w:vertAlign w:val="superscript"/>
              </w:rPr>
            </w:pPr>
            <w:r w:rsidRPr="00351683">
              <w:rPr>
                <w:sz w:val="22"/>
                <w:szCs w:val="22"/>
              </w:rPr>
              <w:sym w:font="Wingdings" w:char="F0FC"/>
            </w:r>
            <w:r w:rsidRPr="00351683">
              <w:rPr>
                <w:sz w:val="22"/>
                <w:szCs w:val="22"/>
                <w:vertAlign w:val="superscript"/>
              </w:rPr>
              <w:t>a</w:t>
            </w:r>
          </w:p>
        </w:tc>
      </w:tr>
      <w:tr w:rsidR="00F41995" w:rsidRPr="00C2154E" w:rsidTr="00F244DE">
        <w:tc>
          <w:tcPr>
            <w:tcW w:w="1515" w:type="dxa"/>
            <w:vMerge/>
            <w:tcBorders>
              <w:top w:val="single" w:sz="4" w:space="0" w:color="000000"/>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p>
        </w:tc>
        <w:tc>
          <w:tcPr>
            <w:tcW w:w="684"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t>PBS</w:t>
            </w:r>
          </w:p>
        </w:tc>
        <w:tc>
          <w:tcPr>
            <w:tcW w:w="1285" w:type="dxa"/>
            <w:tcBorders>
              <w:top w:val="nil"/>
              <w:left w:val="single" w:sz="4" w:space="0" w:color="000000"/>
              <w:bottom w:val="single" w:sz="4" w:space="0" w:color="000000"/>
              <w:right w:val="single" w:sz="4" w:space="0" w:color="000000"/>
            </w:tcBorders>
            <w:shd w:val="clear" w:color="auto" w:fill="BFBFBF"/>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nil"/>
              <w:left w:val="single" w:sz="4" w:space="0" w:color="000000"/>
              <w:bottom w:val="single" w:sz="4" w:space="0" w:color="000000"/>
              <w:right w:val="single" w:sz="4" w:space="0" w:color="000000"/>
            </w:tcBorders>
            <w:shd w:val="pct25" w:color="auto" w:fill="auto"/>
            <w:vAlign w:val="center"/>
          </w:tcPr>
          <w:p w:rsidR="00F41995" w:rsidRPr="00351683" w:rsidRDefault="00F41995" w:rsidP="00492694">
            <w:pPr>
              <w:pStyle w:val="Tablewriting"/>
              <w:rPr>
                <w:sz w:val="22"/>
                <w:szCs w:val="22"/>
                <w:vertAlign w:val="superscript"/>
              </w:rPr>
            </w:pPr>
            <w:r w:rsidRPr="00351683">
              <w:rPr>
                <w:sz w:val="22"/>
                <w:szCs w:val="22"/>
              </w:rPr>
              <w:sym w:font="Wingdings" w:char="F0FC"/>
            </w:r>
            <w:r w:rsidRPr="00351683">
              <w:rPr>
                <w:sz w:val="22"/>
                <w:szCs w:val="22"/>
                <w:vertAlign w:val="superscript"/>
              </w:rPr>
              <w:t>a</w:t>
            </w:r>
          </w:p>
        </w:tc>
      </w:tr>
      <w:tr w:rsidR="00F41995" w:rsidRPr="00C2154E" w:rsidTr="00F244DE">
        <w:tc>
          <w:tcPr>
            <w:tcW w:w="1515" w:type="dxa"/>
            <w:vMerge w:val="restart"/>
            <w:tcBorders>
              <w:top w:val="single" w:sz="4" w:space="0" w:color="000000"/>
            </w:tcBorders>
            <w:vAlign w:val="center"/>
          </w:tcPr>
          <w:p w:rsidR="00F41995" w:rsidRPr="00351683" w:rsidRDefault="00F41995" w:rsidP="00492694">
            <w:pPr>
              <w:pStyle w:val="Tablewriting"/>
              <w:rPr>
                <w:sz w:val="22"/>
                <w:szCs w:val="22"/>
                <w:vertAlign w:val="superscript"/>
              </w:rPr>
            </w:pPr>
            <w:r w:rsidRPr="00351683">
              <w:rPr>
                <w:sz w:val="22"/>
                <w:szCs w:val="22"/>
              </w:rPr>
              <w:t>Sitagliptin</w:t>
            </w:r>
          </w:p>
        </w:tc>
        <w:tc>
          <w:tcPr>
            <w:tcW w:w="684" w:type="dxa"/>
            <w:tcBorders>
              <w:top w:val="single" w:sz="4" w:space="0" w:color="000000"/>
              <w:bottom w:val="nil"/>
            </w:tcBorders>
            <w:vAlign w:val="center"/>
          </w:tcPr>
          <w:p w:rsidR="00F41995" w:rsidRPr="00351683" w:rsidRDefault="00F41995" w:rsidP="00492694">
            <w:pPr>
              <w:pStyle w:val="Tablewriting"/>
              <w:rPr>
                <w:sz w:val="22"/>
                <w:szCs w:val="22"/>
              </w:rPr>
            </w:pPr>
            <w:r w:rsidRPr="00351683">
              <w:rPr>
                <w:sz w:val="22"/>
                <w:szCs w:val="22"/>
              </w:rPr>
              <w:t>TGA</w:t>
            </w:r>
          </w:p>
        </w:tc>
        <w:tc>
          <w:tcPr>
            <w:tcW w:w="1285" w:type="dxa"/>
            <w:tcBorders>
              <w:top w:val="single" w:sz="4" w:space="0" w:color="000000"/>
              <w:bottom w:val="nil"/>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single" w:sz="4" w:space="0" w:color="000000"/>
              <w:bottom w:val="nil"/>
            </w:tcBorders>
            <w:vAlign w:val="center"/>
          </w:tcPr>
          <w:p w:rsidR="00F41995" w:rsidRPr="00351683" w:rsidRDefault="00F41995" w:rsidP="00492694">
            <w:pPr>
              <w:pStyle w:val="Tablewriting"/>
              <w:rPr>
                <w:sz w:val="22"/>
                <w:szCs w:val="22"/>
                <w:vertAlign w:val="superscript"/>
              </w:rPr>
            </w:pPr>
            <w:r w:rsidRPr="00351683">
              <w:rPr>
                <w:sz w:val="22"/>
                <w:szCs w:val="22"/>
              </w:rPr>
              <w:sym w:font="Wingdings" w:char="F0FC"/>
            </w:r>
          </w:p>
        </w:tc>
        <w:tc>
          <w:tcPr>
            <w:tcW w:w="1428" w:type="dxa"/>
            <w:tcBorders>
              <w:bottom w:val="nil"/>
            </w:tcBorders>
            <w:shd w:val="clear" w:color="auto" w:fill="BFBFBF"/>
            <w:vAlign w:val="center"/>
          </w:tcPr>
          <w:p w:rsidR="00F41995" w:rsidRPr="00351683" w:rsidRDefault="00F41995" w:rsidP="00492694">
            <w:pPr>
              <w:pStyle w:val="Tablewriting"/>
              <w:rPr>
                <w:sz w:val="22"/>
                <w:szCs w:val="22"/>
              </w:rPr>
            </w:pPr>
            <w:r w:rsidRPr="00351683">
              <w:rPr>
                <w:sz w:val="22"/>
                <w:szCs w:val="22"/>
              </w:rPr>
              <w:sym w:font="Wingdings" w:char="F0FC"/>
            </w:r>
            <w:r w:rsidRPr="00351683">
              <w:rPr>
                <w:sz w:val="22"/>
                <w:szCs w:val="22"/>
                <w:vertAlign w:val="superscript"/>
              </w:rPr>
              <w:t>b</w:t>
            </w:r>
          </w:p>
        </w:tc>
        <w:tc>
          <w:tcPr>
            <w:tcW w:w="1572" w:type="dxa"/>
            <w:tcBorders>
              <w:bottom w:val="nil"/>
            </w:tcBorders>
            <w:shd w:val="clear" w:color="auto" w:fill="auto"/>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bottom w:val="nil"/>
            </w:tcBorders>
            <w:shd w:val="clear" w:color="auto" w:fill="auto"/>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tcBorders>
              <w:bottom w:val="single" w:sz="4" w:space="0" w:color="000000"/>
            </w:tcBorders>
            <w:vAlign w:val="center"/>
          </w:tcPr>
          <w:p w:rsidR="00F41995" w:rsidRPr="00351683" w:rsidRDefault="00F41995" w:rsidP="00492694">
            <w:pPr>
              <w:pStyle w:val="Tablewriting"/>
              <w:rPr>
                <w:sz w:val="22"/>
                <w:szCs w:val="22"/>
              </w:rPr>
            </w:pPr>
          </w:p>
        </w:tc>
        <w:tc>
          <w:tcPr>
            <w:tcW w:w="684"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t>PBS</w:t>
            </w:r>
          </w:p>
        </w:tc>
        <w:tc>
          <w:tcPr>
            <w:tcW w:w="1285"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nil"/>
            </w:tcBorders>
            <w:shd w:val="clear" w:color="auto" w:fill="BFBFBF"/>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nil"/>
            </w:tcBorders>
            <w:shd w:val="clear" w:color="auto" w:fill="auto"/>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top w:val="nil"/>
              <w:bottom w:val="single" w:sz="4" w:space="0" w:color="000000"/>
            </w:tcBorders>
            <w:shd w:val="clear" w:color="auto" w:fill="auto"/>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val="restart"/>
            <w:tcBorders>
              <w:top w:val="single" w:sz="4" w:space="0" w:color="000000"/>
            </w:tcBorders>
            <w:vAlign w:val="center"/>
          </w:tcPr>
          <w:p w:rsidR="00F41995" w:rsidRPr="00351683" w:rsidRDefault="00F41995" w:rsidP="00492694">
            <w:pPr>
              <w:pStyle w:val="Tablewriting"/>
              <w:rPr>
                <w:sz w:val="22"/>
                <w:szCs w:val="22"/>
                <w:vertAlign w:val="superscript"/>
              </w:rPr>
            </w:pPr>
            <w:r w:rsidRPr="00351683">
              <w:rPr>
                <w:sz w:val="22"/>
                <w:szCs w:val="22"/>
              </w:rPr>
              <w:t>Saxagliptin</w:t>
            </w:r>
          </w:p>
        </w:tc>
        <w:tc>
          <w:tcPr>
            <w:tcW w:w="684" w:type="dxa"/>
            <w:tcBorders>
              <w:top w:val="single" w:sz="4" w:space="0" w:color="000000"/>
              <w:bottom w:val="nil"/>
            </w:tcBorders>
            <w:vAlign w:val="center"/>
          </w:tcPr>
          <w:p w:rsidR="00F41995" w:rsidRPr="00351683" w:rsidRDefault="00F41995" w:rsidP="00492694">
            <w:pPr>
              <w:pStyle w:val="Tablewriting"/>
              <w:rPr>
                <w:sz w:val="22"/>
                <w:szCs w:val="22"/>
              </w:rPr>
            </w:pPr>
            <w:r w:rsidRPr="00351683">
              <w:rPr>
                <w:sz w:val="22"/>
                <w:szCs w:val="22"/>
              </w:rPr>
              <w:t>TGA</w:t>
            </w:r>
          </w:p>
        </w:tc>
        <w:tc>
          <w:tcPr>
            <w:tcW w:w="1285" w:type="dxa"/>
            <w:tcBorders>
              <w:top w:val="single" w:sz="4" w:space="0" w:color="000000"/>
              <w:bottom w:val="nil"/>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single" w:sz="4" w:space="0" w:color="000000"/>
              <w:bottom w:val="nil"/>
            </w:tcBorders>
            <w:vAlign w:val="center"/>
          </w:tcPr>
          <w:p w:rsidR="00F41995" w:rsidRPr="00351683" w:rsidRDefault="00F41995" w:rsidP="00492694">
            <w:pPr>
              <w:pStyle w:val="Tablewriting"/>
              <w:rPr>
                <w:sz w:val="22"/>
                <w:szCs w:val="22"/>
                <w:vertAlign w:val="superscript"/>
              </w:rPr>
            </w:pPr>
            <w:r w:rsidRPr="00351683">
              <w:rPr>
                <w:sz w:val="22"/>
                <w:szCs w:val="22"/>
              </w:rPr>
              <w:sym w:font="Wingdings" w:char="F0FC"/>
            </w:r>
            <w:r w:rsidRPr="00351683">
              <w:rPr>
                <w:sz w:val="22"/>
                <w:szCs w:val="22"/>
                <w:vertAlign w:val="superscript"/>
              </w:rPr>
              <w:t>e</w:t>
            </w:r>
          </w:p>
        </w:tc>
        <w:tc>
          <w:tcPr>
            <w:tcW w:w="1428" w:type="dxa"/>
            <w:tcBorders>
              <w:bottom w:val="nil"/>
            </w:tcBorders>
            <w:shd w:val="clear" w:color="auto" w:fill="BFBFBF"/>
            <w:vAlign w:val="center"/>
          </w:tcPr>
          <w:p w:rsidR="00F41995" w:rsidRPr="00351683" w:rsidRDefault="00F41995" w:rsidP="00492694">
            <w:pPr>
              <w:pStyle w:val="Tablewriting"/>
              <w:rPr>
                <w:sz w:val="22"/>
                <w:szCs w:val="22"/>
              </w:rPr>
            </w:pPr>
            <w:r w:rsidRPr="00351683">
              <w:rPr>
                <w:sz w:val="22"/>
                <w:szCs w:val="22"/>
              </w:rPr>
              <w:sym w:font="Wingdings" w:char="F0FC"/>
            </w:r>
            <w:r w:rsidRPr="00351683">
              <w:rPr>
                <w:sz w:val="22"/>
                <w:szCs w:val="22"/>
                <w:vertAlign w:val="superscript"/>
              </w:rPr>
              <w:t>b</w:t>
            </w:r>
          </w:p>
        </w:tc>
        <w:tc>
          <w:tcPr>
            <w:tcW w:w="1572" w:type="dxa"/>
            <w:tcBorders>
              <w:bottom w:val="nil"/>
            </w:tcBorders>
            <w:shd w:val="clear" w:color="auto" w:fill="auto"/>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bottom w:val="nil"/>
            </w:tcBorders>
            <w:shd w:val="pct25" w:color="auto" w:fill="auto"/>
            <w:vAlign w:val="center"/>
          </w:tcPr>
          <w:p w:rsidR="00F41995" w:rsidRPr="00351683" w:rsidRDefault="00F41995" w:rsidP="00492694">
            <w:pPr>
              <w:pStyle w:val="Tablewriting"/>
              <w:rPr>
                <w:sz w:val="22"/>
                <w:szCs w:val="22"/>
              </w:rPr>
            </w:pPr>
            <w:r w:rsidRPr="00351683">
              <w:rPr>
                <w:sz w:val="22"/>
                <w:szCs w:val="22"/>
              </w:rPr>
              <w:sym w:font="Wingdings" w:char="F0FC"/>
            </w:r>
          </w:p>
        </w:tc>
      </w:tr>
      <w:tr w:rsidR="00F41995" w:rsidRPr="00C2154E" w:rsidTr="00F244DE">
        <w:tc>
          <w:tcPr>
            <w:tcW w:w="1515" w:type="dxa"/>
            <w:vMerge/>
            <w:tcBorders>
              <w:bottom w:val="single" w:sz="4" w:space="0" w:color="000000"/>
            </w:tcBorders>
            <w:vAlign w:val="center"/>
          </w:tcPr>
          <w:p w:rsidR="00F41995" w:rsidRPr="00351683" w:rsidRDefault="00F41995" w:rsidP="00492694">
            <w:pPr>
              <w:pStyle w:val="Tablewriting"/>
              <w:rPr>
                <w:sz w:val="22"/>
                <w:szCs w:val="22"/>
              </w:rPr>
            </w:pPr>
          </w:p>
        </w:tc>
        <w:tc>
          <w:tcPr>
            <w:tcW w:w="684"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t>PBS</w:t>
            </w:r>
          </w:p>
        </w:tc>
        <w:tc>
          <w:tcPr>
            <w:tcW w:w="1285"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r w:rsidRPr="00351683">
              <w:rPr>
                <w:sz w:val="22"/>
                <w:szCs w:val="22"/>
                <w:vertAlign w:val="superscript"/>
              </w:rPr>
              <w:t>e</w:t>
            </w:r>
          </w:p>
        </w:tc>
        <w:tc>
          <w:tcPr>
            <w:tcW w:w="1428" w:type="dxa"/>
            <w:tcBorders>
              <w:top w:val="nil"/>
            </w:tcBorders>
            <w:shd w:val="clear" w:color="auto" w:fill="BFBFBF"/>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nil"/>
            </w:tcBorders>
            <w:shd w:val="clear" w:color="auto" w:fill="auto"/>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top w:val="nil"/>
            </w:tcBorders>
            <w:shd w:val="pct25" w:color="auto" w:fill="auto"/>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val="restart"/>
            <w:vAlign w:val="center"/>
          </w:tcPr>
          <w:p w:rsidR="00F41995" w:rsidRPr="00351683" w:rsidRDefault="00F41995" w:rsidP="00492694">
            <w:pPr>
              <w:pStyle w:val="Tablewriting"/>
              <w:rPr>
                <w:sz w:val="22"/>
                <w:szCs w:val="22"/>
              </w:rPr>
            </w:pPr>
            <w:r w:rsidRPr="00351683">
              <w:rPr>
                <w:sz w:val="22"/>
                <w:szCs w:val="22"/>
              </w:rPr>
              <w:t>Vildagliptin</w:t>
            </w:r>
          </w:p>
        </w:tc>
        <w:tc>
          <w:tcPr>
            <w:tcW w:w="684" w:type="dxa"/>
            <w:tcBorders>
              <w:bottom w:val="nil"/>
            </w:tcBorders>
            <w:vAlign w:val="center"/>
          </w:tcPr>
          <w:p w:rsidR="00F41995" w:rsidRPr="00351683" w:rsidRDefault="00F41995" w:rsidP="00492694">
            <w:pPr>
              <w:pStyle w:val="Tablewriting"/>
              <w:rPr>
                <w:sz w:val="22"/>
                <w:szCs w:val="22"/>
              </w:rPr>
            </w:pPr>
            <w:r w:rsidRPr="00351683">
              <w:rPr>
                <w:sz w:val="22"/>
                <w:szCs w:val="22"/>
              </w:rPr>
              <w:t>TGA</w:t>
            </w:r>
          </w:p>
        </w:tc>
        <w:tc>
          <w:tcPr>
            <w:tcW w:w="1285" w:type="dxa"/>
            <w:tcBorders>
              <w:bottom w:val="nil"/>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bottom w:val="nil"/>
            </w:tcBorders>
            <w:vAlign w:val="center"/>
          </w:tcPr>
          <w:p w:rsidR="00F41995" w:rsidRPr="00351683" w:rsidRDefault="00F41995" w:rsidP="00492694">
            <w:pPr>
              <w:pStyle w:val="Tablewriting"/>
              <w:rPr>
                <w:sz w:val="22"/>
                <w:szCs w:val="22"/>
                <w:vertAlign w:val="superscript"/>
              </w:rPr>
            </w:pPr>
            <w:r w:rsidRPr="00351683">
              <w:rPr>
                <w:sz w:val="22"/>
                <w:szCs w:val="22"/>
              </w:rPr>
              <w:sym w:font="Wingdings" w:char="F0FC"/>
            </w:r>
          </w:p>
        </w:tc>
        <w:tc>
          <w:tcPr>
            <w:tcW w:w="1428" w:type="dxa"/>
            <w:tcBorders>
              <w:bottom w:val="nil"/>
            </w:tcBorders>
            <w:shd w:val="clear" w:color="auto" w:fill="BFBFBF"/>
            <w:vAlign w:val="center"/>
          </w:tcPr>
          <w:p w:rsidR="00F41995" w:rsidRPr="00351683" w:rsidRDefault="00F41995" w:rsidP="00492694">
            <w:pPr>
              <w:pStyle w:val="Tablewriting"/>
              <w:rPr>
                <w:sz w:val="22"/>
                <w:szCs w:val="22"/>
              </w:rPr>
            </w:pPr>
            <w:r w:rsidRPr="00351683">
              <w:rPr>
                <w:sz w:val="22"/>
                <w:szCs w:val="22"/>
              </w:rPr>
              <w:sym w:font="Wingdings" w:char="F0FC"/>
            </w:r>
            <w:r w:rsidRPr="00351683">
              <w:rPr>
                <w:sz w:val="22"/>
                <w:szCs w:val="22"/>
                <w:vertAlign w:val="superscript"/>
              </w:rPr>
              <w:t>b,c</w:t>
            </w:r>
          </w:p>
        </w:tc>
        <w:tc>
          <w:tcPr>
            <w:tcW w:w="1572" w:type="dxa"/>
            <w:tcBorders>
              <w:bottom w:val="nil"/>
            </w:tcBorders>
            <w:shd w:val="clear" w:color="auto" w:fill="auto"/>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bottom w:val="nil"/>
            </w:tcBorders>
            <w:shd w:val="clear" w:color="auto" w:fill="auto"/>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tcBorders>
              <w:bottom w:val="single" w:sz="4" w:space="0" w:color="000000"/>
            </w:tcBorders>
            <w:vAlign w:val="center"/>
          </w:tcPr>
          <w:p w:rsidR="00F41995" w:rsidRPr="00351683" w:rsidRDefault="00F41995" w:rsidP="00492694">
            <w:pPr>
              <w:pStyle w:val="Tablewriting"/>
              <w:rPr>
                <w:sz w:val="22"/>
                <w:szCs w:val="22"/>
              </w:rPr>
            </w:pPr>
          </w:p>
        </w:tc>
        <w:tc>
          <w:tcPr>
            <w:tcW w:w="684"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t>PBS</w:t>
            </w:r>
          </w:p>
        </w:tc>
        <w:tc>
          <w:tcPr>
            <w:tcW w:w="1285"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nil"/>
            </w:tcBorders>
            <w:shd w:val="clear" w:color="auto" w:fill="BFBFBF"/>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nil"/>
              <w:bottom w:val="single" w:sz="4" w:space="0" w:color="000000"/>
            </w:tcBorders>
            <w:shd w:val="clear" w:color="auto" w:fill="auto"/>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top w:val="nil"/>
            </w:tcBorders>
            <w:shd w:val="clear" w:color="auto" w:fill="auto"/>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val="restart"/>
            <w:tcBorders>
              <w:top w:val="single" w:sz="4" w:space="0" w:color="000000"/>
            </w:tcBorders>
            <w:vAlign w:val="center"/>
          </w:tcPr>
          <w:p w:rsidR="00F41995" w:rsidRPr="00351683" w:rsidRDefault="00F41995" w:rsidP="00492694">
            <w:pPr>
              <w:pStyle w:val="Tablewriting"/>
              <w:rPr>
                <w:sz w:val="22"/>
                <w:szCs w:val="22"/>
              </w:rPr>
            </w:pPr>
            <w:r w:rsidRPr="00351683">
              <w:rPr>
                <w:sz w:val="22"/>
                <w:szCs w:val="22"/>
              </w:rPr>
              <w:t>Linagliptin</w:t>
            </w:r>
          </w:p>
        </w:tc>
        <w:tc>
          <w:tcPr>
            <w:tcW w:w="684" w:type="dxa"/>
            <w:tcBorders>
              <w:top w:val="single" w:sz="4" w:space="0" w:color="000000"/>
              <w:bottom w:val="nil"/>
            </w:tcBorders>
            <w:vAlign w:val="center"/>
          </w:tcPr>
          <w:p w:rsidR="00F41995" w:rsidRPr="00351683" w:rsidRDefault="00F41995" w:rsidP="00492694">
            <w:pPr>
              <w:pStyle w:val="Tablewriting"/>
              <w:rPr>
                <w:sz w:val="22"/>
                <w:szCs w:val="22"/>
              </w:rPr>
            </w:pPr>
            <w:r w:rsidRPr="00351683">
              <w:rPr>
                <w:sz w:val="22"/>
                <w:szCs w:val="22"/>
              </w:rPr>
              <w:t>TGA</w:t>
            </w:r>
          </w:p>
        </w:tc>
        <w:tc>
          <w:tcPr>
            <w:tcW w:w="1285" w:type="dxa"/>
            <w:tcBorders>
              <w:top w:val="single" w:sz="4" w:space="0" w:color="000000"/>
              <w:bottom w:val="nil"/>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single" w:sz="4" w:space="0" w:color="000000"/>
              <w:bottom w:val="nil"/>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bottom w:val="nil"/>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bottom w:val="nil"/>
            </w:tcBorders>
            <w:shd w:val="pct25" w:color="auto" w:fill="auto"/>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bottom w:val="nil"/>
            </w:tcBorders>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tcBorders>
              <w:bottom w:val="single" w:sz="4" w:space="0" w:color="000000"/>
            </w:tcBorders>
            <w:vAlign w:val="center"/>
          </w:tcPr>
          <w:p w:rsidR="00F41995" w:rsidRPr="00351683" w:rsidRDefault="00F41995" w:rsidP="00492694">
            <w:pPr>
              <w:pStyle w:val="Tablewriting"/>
              <w:rPr>
                <w:sz w:val="22"/>
                <w:szCs w:val="22"/>
              </w:rPr>
            </w:pPr>
          </w:p>
        </w:tc>
        <w:tc>
          <w:tcPr>
            <w:tcW w:w="684"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t>PBS</w:t>
            </w:r>
          </w:p>
        </w:tc>
        <w:tc>
          <w:tcPr>
            <w:tcW w:w="1285"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nil"/>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nil"/>
            </w:tcBorders>
            <w:shd w:val="pct25" w:color="auto" w:fill="auto"/>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top w:val="nil"/>
            </w:tcBorders>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val="restart"/>
            <w:tcBorders>
              <w:top w:val="single" w:sz="4" w:space="0" w:color="000000"/>
            </w:tcBorders>
            <w:vAlign w:val="center"/>
          </w:tcPr>
          <w:p w:rsidR="00F41995" w:rsidRPr="00351683" w:rsidRDefault="00F41995" w:rsidP="00492694">
            <w:pPr>
              <w:pStyle w:val="Tablewriting"/>
              <w:rPr>
                <w:sz w:val="22"/>
                <w:szCs w:val="22"/>
              </w:rPr>
            </w:pPr>
            <w:r w:rsidRPr="00351683">
              <w:rPr>
                <w:sz w:val="22"/>
                <w:szCs w:val="22"/>
              </w:rPr>
              <w:t>Exenatide BD</w:t>
            </w:r>
          </w:p>
        </w:tc>
        <w:tc>
          <w:tcPr>
            <w:tcW w:w="684" w:type="dxa"/>
            <w:tcBorders>
              <w:top w:val="single" w:sz="4" w:space="0" w:color="000000"/>
              <w:bottom w:val="nil"/>
            </w:tcBorders>
            <w:vAlign w:val="center"/>
          </w:tcPr>
          <w:p w:rsidR="00F41995" w:rsidRPr="00351683" w:rsidRDefault="00F41995" w:rsidP="00492694">
            <w:pPr>
              <w:pStyle w:val="Tablewriting"/>
              <w:rPr>
                <w:sz w:val="22"/>
                <w:szCs w:val="22"/>
              </w:rPr>
            </w:pPr>
            <w:r w:rsidRPr="00351683">
              <w:rPr>
                <w:sz w:val="22"/>
                <w:szCs w:val="22"/>
              </w:rPr>
              <w:t>TGA</w:t>
            </w:r>
          </w:p>
        </w:tc>
        <w:tc>
          <w:tcPr>
            <w:tcW w:w="1285" w:type="dxa"/>
            <w:tcBorders>
              <w:top w:val="single" w:sz="4" w:space="0" w:color="000000"/>
              <w:bottom w:val="nil"/>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single" w:sz="4" w:space="0" w:color="000000"/>
              <w:bottom w:val="nil"/>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bottom w:val="nil"/>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bottom w:val="nil"/>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bottom w:val="nil"/>
            </w:tcBorders>
            <w:shd w:val="pct25" w:color="auto" w:fill="auto"/>
            <w:vAlign w:val="center"/>
          </w:tcPr>
          <w:p w:rsidR="00F41995" w:rsidRPr="00351683" w:rsidRDefault="00F41995" w:rsidP="00492694">
            <w:pPr>
              <w:pStyle w:val="Tablewriting"/>
              <w:rPr>
                <w:sz w:val="22"/>
                <w:szCs w:val="22"/>
              </w:rPr>
            </w:pPr>
            <w:r w:rsidRPr="00351683">
              <w:rPr>
                <w:sz w:val="22"/>
                <w:szCs w:val="22"/>
              </w:rPr>
              <w:sym w:font="Wingdings" w:char="F0FC"/>
            </w:r>
          </w:p>
        </w:tc>
      </w:tr>
      <w:tr w:rsidR="00F41995" w:rsidRPr="00C2154E" w:rsidTr="00F244DE">
        <w:tc>
          <w:tcPr>
            <w:tcW w:w="1515" w:type="dxa"/>
            <w:vMerge/>
            <w:vAlign w:val="center"/>
          </w:tcPr>
          <w:p w:rsidR="00F41995" w:rsidRPr="00351683" w:rsidRDefault="00F41995" w:rsidP="00492694">
            <w:pPr>
              <w:pStyle w:val="Tablewriting"/>
              <w:rPr>
                <w:sz w:val="22"/>
                <w:szCs w:val="22"/>
              </w:rPr>
            </w:pPr>
          </w:p>
        </w:tc>
        <w:tc>
          <w:tcPr>
            <w:tcW w:w="684"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t>PBS</w:t>
            </w:r>
          </w:p>
        </w:tc>
        <w:tc>
          <w:tcPr>
            <w:tcW w:w="1285"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nil"/>
              <w:bottom w:val="single" w:sz="4" w:space="0" w:color="000000"/>
            </w:tcBorders>
            <w:shd w:val="pct25" w:color="auto" w:fill="auto"/>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val="restart"/>
            <w:tcBorders>
              <w:top w:val="single" w:sz="4" w:space="0" w:color="000000"/>
            </w:tcBorders>
            <w:vAlign w:val="center"/>
          </w:tcPr>
          <w:p w:rsidR="00F41995" w:rsidRPr="00351683" w:rsidRDefault="00F41995" w:rsidP="00492694">
            <w:pPr>
              <w:pStyle w:val="Tablewriting"/>
              <w:rPr>
                <w:sz w:val="22"/>
                <w:szCs w:val="22"/>
              </w:rPr>
            </w:pPr>
            <w:r w:rsidRPr="00351683">
              <w:rPr>
                <w:sz w:val="22"/>
                <w:szCs w:val="22"/>
              </w:rPr>
              <w:t>Metformin+ glibenclamide</w:t>
            </w:r>
          </w:p>
        </w:tc>
        <w:tc>
          <w:tcPr>
            <w:tcW w:w="684" w:type="dxa"/>
            <w:tcBorders>
              <w:top w:val="single" w:sz="4" w:space="0" w:color="000000"/>
              <w:bottom w:val="nil"/>
            </w:tcBorders>
            <w:vAlign w:val="center"/>
          </w:tcPr>
          <w:p w:rsidR="00F41995" w:rsidRPr="00351683" w:rsidRDefault="00F41995" w:rsidP="00492694">
            <w:pPr>
              <w:pStyle w:val="Tablewriting"/>
              <w:rPr>
                <w:sz w:val="22"/>
                <w:szCs w:val="22"/>
              </w:rPr>
            </w:pPr>
            <w:r w:rsidRPr="00351683">
              <w:rPr>
                <w:sz w:val="22"/>
                <w:szCs w:val="22"/>
              </w:rPr>
              <w:t>TGA</w:t>
            </w:r>
          </w:p>
        </w:tc>
        <w:tc>
          <w:tcPr>
            <w:tcW w:w="1285" w:type="dxa"/>
            <w:tcBorders>
              <w:top w:val="single" w:sz="4" w:space="0" w:color="000000"/>
              <w:bottom w:val="nil"/>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single" w:sz="4" w:space="0" w:color="000000"/>
              <w:bottom w:val="nil"/>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bottom w:val="nil"/>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bottom w:val="nil"/>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bottom w:val="nil"/>
            </w:tcBorders>
            <w:vAlign w:val="center"/>
          </w:tcPr>
          <w:p w:rsidR="00F41995" w:rsidRPr="00351683" w:rsidRDefault="00F41995" w:rsidP="00492694">
            <w:pPr>
              <w:pStyle w:val="Tablewriting"/>
              <w:rPr>
                <w:sz w:val="22"/>
                <w:szCs w:val="22"/>
              </w:rPr>
            </w:pPr>
            <w:r w:rsidRPr="00351683">
              <w:rPr>
                <w:sz w:val="22"/>
                <w:szCs w:val="22"/>
              </w:rPr>
              <w:sym w:font="Wingdings" w:char="F0FC"/>
            </w:r>
          </w:p>
        </w:tc>
      </w:tr>
      <w:tr w:rsidR="00F41995" w:rsidRPr="00C2154E" w:rsidTr="00F244DE">
        <w:tc>
          <w:tcPr>
            <w:tcW w:w="1515" w:type="dxa"/>
            <w:vMerge/>
            <w:vAlign w:val="center"/>
          </w:tcPr>
          <w:p w:rsidR="00F41995" w:rsidRPr="00351683" w:rsidRDefault="00F41995" w:rsidP="00492694">
            <w:pPr>
              <w:pStyle w:val="Tablewriting"/>
              <w:rPr>
                <w:sz w:val="22"/>
                <w:szCs w:val="22"/>
              </w:rPr>
            </w:pPr>
          </w:p>
        </w:tc>
        <w:tc>
          <w:tcPr>
            <w:tcW w:w="684"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t>PBS</w:t>
            </w:r>
          </w:p>
        </w:tc>
        <w:tc>
          <w:tcPr>
            <w:tcW w:w="1285"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nil"/>
              <w:bottom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r>
      <w:tr w:rsidR="00F41995" w:rsidRPr="00C2154E" w:rsidTr="00F244DE">
        <w:tc>
          <w:tcPr>
            <w:tcW w:w="1515" w:type="dxa"/>
            <w:vMerge w:val="restart"/>
            <w:vAlign w:val="center"/>
          </w:tcPr>
          <w:p w:rsidR="00F41995" w:rsidRPr="00351683" w:rsidRDefault="00F41995" w:rsidP="00492694">
            <w:pPr>
              <w:pStyle w:val="Tablewriting"/>
              <w:rPr>
                <w:sz w:val="22"/>
                <w:szCs w:val="22"/>
              </w:rPr>
            </w:pPr>
            <w:r w:rsidRPr="00351683">
              <w:rPr>
                <w:sz w:val="22"/>
                <w:szCs w:val="22"/>
              </w:rPr>
              <w:t>Rosiglitazone+ metformin</w:t>
            </w:r>
          </w:p>
        </w:tc>
        <w:tc>
          <w:tcPr>
            <w:tcW w:w="684"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t>TGA</w:t>
            </w:r>
          </w:p>
        </w:tc>
        <w:tc>
          <w:tcPr>
            <w:tcW w:w="1285"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572"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vAlign w:val="center"/>
          </w:tcPr>
          <w:p w:rsidR="00F41995" w:rsidRPr="00351683" w:rsidRDefault="00F41995" w:rsidP="00492694">
            <w:pPr>
              <w:pStyle w:val="Tablewriting"/>
              <w:rPr>
                <w:sz w:val="22"/>
                <w:szCs w:val="22"/>
              </w:rPr>
            </w:pPr>
          </w:p>
        </w:tc>
        <w:tc>
          <w:tcPr>
            <w:tcW w:w="684"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t>PBS</w:t>
            </w:r>
          </w:p>
        </w:tc>
        <w:tc>
          <w:tcPr>
            <w:tcW w:w="1285"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vertAlign w:val="superscript"/>
              </w:rPr>
            </w:pPr>
            <w:r w:rsidRPr="00351683">
              <w:rPr>
                <w:sz w:val="22"/>
                <w:szCs w:val="22"/>
              </w:rPr>
              <w:sym w:font="Wingdings" w:char="F0FC"/>
            </w:r>
            <w:r w:rsidRPr="00351683">
              <w:rPr>
                <w:sz w:val="22"/>
                <w:szCs w:val="22"/>
                <w:vertAlign w:val="superscript"/>
              </w:rPr>
              <w:t>d</w:t>
            </w:r>
          </w:p>
        </w:tc>
        <w:tc>
          <w:tcPr>
            <w:tcW w:w="1428"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572"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val="restart"/>
            <w:vAlign w:val="center"/>
          </w:tcPr>
          <w:p w:rsidR="00F41995" w:rsidRPr="00351683" w:rsidRDefault="00F41995" w:rsidP="00492694">
            <w:pPr>
              <w:pStyle w:val="Tablewriting"/>
              <w:rPr>
                <w:sz w:val="22"/>
                <w:szCs w:val="22"/>
              </w:rPr>
            </w:pPr>
            <w:r w:rsidRPr="00351683">
              <w:rPr>
                <w:sz w:val="22"/>
                <w:szCs w:val="22"/>
              </w:rPr>
              <w:t>Vildagliptin+ metformin</w:t>
            </w:r>
          </w:p>
        </w:tc>
        <w:tc>
          <w:tcPr>
            <w:tcW w:w="684"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t>TGA</w:t>
            </w:r>
          </w:p>
        </w:tc>
        <w:tc>
          <w:tcPr>
            <w:tcW w:w="1285"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vAlign w:val="center"/>
          </w:tcPr>
          <w:p w:rsidR="00F41995" w:rsidRPr="00351683" w:rsidRDefault="00F41995" w:rsidP="00492694">
            <w:pPr>
              <w:pStyle w:val="Tablewriting"/>
              <w:rPr>
                <w:sz w:val="22"/>
                <w:szCs w:val="22"/>
              </w:rPr>
            </w:pPr>
          </w:p>
        </w:tc>
        <w:tc>
          <w:tcPr>
            <w:tcW w:w="684"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t>PBS</w:t>
            </w:r>
          </w:p>
        </w:tc>
        <w:tc>
          <w:tcPr>
            <w:tcW w:w="1285"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vertAlign w:val="superscript"/>
              </w:rPr>
            </w:pPr>
            <w:r w:rsidRPr="00351683">
              <w:rPr>
                <w:sz w:val="22"/>
                <w:szCs w:val="22"/>
              </w:rPr>
              <w:sym w:font="Wingdings" w:char="F0FC"/>
            </w:r>
            <w:r w:rsidRPr="00351683">
              <w:rPr>
                <w:sz w:val="22"/>
                <w:szCs w:val="22"/>
                <w:vertAlign w:val="superscript"/>
              </w:rPr>
              <w:t>d</w:t>
            </w:r>
          </w:p>
        </w:tc>
        <w:tc>
          <w:tcPr>
            <w:tcW w:w="1428"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rPr>
          <w:trHeight w:val="113"/>
        </w:trPr>
        <w:tc>
          <w:tcPr>
            <w:tcW w:w="1515" w:type="dxa"/>
            <w:vMerge w:val="restart"/>
            <w:vAlign w:val="center"/>
          </w:tcPr>
          <w:p w:rsidR="00F41995" w:rsidRPr="00351683" w:rsidRDefault="00F41995" w:rsidP="00492694">
            <w:pPr>
              <w:pStyle w:val="Tablewriting"/>
              <w:rPr>
                <w:sz w:val="22"/>
                <w:szCs w:val="22"/>
              </w:rPr>
            </w:pPr>
            <w:r w:rsidRPr="00351683">
              <w:rPr>
                <w:sz w:val="22"/>
                <w:szCs w:val="22"/>
              </w:rPr>
              <w:t>Sitagliptin+ metformin</w:t>
            </w:r>
          </w:p>
        </w:tc>
        <w:tc>
          <w:tcPr>
            <w:tcW w:w="684"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t>TGA</w:t>
            </w:r>
          </w:p>
        </w:tc>
        <w:tc>
          <w:tcPr>
            <w:tcW w:w="1285"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C"/>
            </w:r>
          </w:p>
        </w:tc>
        <w:tc>
          <w:tcPr>
            <w:tcW w:w="1428"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top w:val="single" w:sz="4" w:space="0" w:color="000000"/>
              <w:left w:val="single" w:sz="4" w:space="0" w:color="000000"/>
              <w:bottom w:val="nil"/>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r>
      <w:tr w:rsidR="00F41995" w:rsidRPr="00C2154E" w:rsidTr="00F244DE">
        <w:tc>
          <w:tcPr>
            <w:tcW w:w="1515" w:type="dxa"/>
            <w:vMerge/>
            <w:vAlign w:val="center"/>
          </w:tcPr>
          <w:p w:rsidR="00F41995" w:rsidRPr="00351683" w:rsidRDefault="00F41995" w:rsidP="00492694">
            <w:pPr>
              <w:pStyle w:val="Tablewriting"/>
              <w:rPr>
                <w:sz w:val="22"/>
                <w:szCs w:val="22"/>
              </w:rPr>
            </w:pPr>
          </w:p>
        </w:tc>
        <w:tc>
          <w:tcPr>
            <w:tcW w:w="684"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t>PBS</w:t>
            </w:r>
          </w:p>
        </w:tc>
        <w:tc>
          <w:tcPr>
            <w:tcW w:w="1285"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9"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vertAlign w:val="superscript"/>
              </w:rPr>
            </w:pPr>
            <w:r w:rsidRPr="00351683">
              <w:rPr>
                <w:sz w:val="22"/>
                <w:szCs w:val="22"/>
              </w:rPr>
              <w:sym w:font="Wingdings" w:char="F0FC"/>
            </w:r>
            <w:r w:rsidRPr="00351683">
              <w:rPr>
                <w:sz w:val="22"/>
                <w:szCs w:val="22"/>
                <w:vertAlign w:val="superscript"/>
              </w:rPr>
              <w:t>d</w:t>
            </w:r>
          </w:p>
        </w:tc>
        <w:tc>
          <w:tcPr>
            <w:tcW w:w="1428"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572"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c>
          <w:tcPr>
            <w:tcW w:w="1428" w:type="dxa"/>
            <w:tcBorders>
              <w:top w:val="nil"/>
              <w:left w:val="single" w:sz="4" w:space="0" w:color="000000"/>
              <w:bottom w:val="single" w:sz="4" w:space="0" w:color="000000"/>
              <w:right w:val="single" w:sz="4" w:space="0" w:color="000000"/>
            </w:tcBorders>
            <w:vAlign w:val="center"/>
          </w:tcPr>
          <w:p w:rsidR="00F41995" w:rsidRPr="00351683" w:rsidRDefault="00F41995" w:rsidP="00492694">
            <w:pPr>
              <w:pStyle w:val="Tablewriting"/>
              <w:rPr>
                <w:sz w:val="22"/>
                <w:szCs w:val="22"/>
              </w:rPr>
            </w:pPr>
            <w:r w:rsidRPr="00351683">
              <w:rPr>
                <w:sz w:val="22"/>
                <w:szCs w:val="22"/>
              </w:rPr>
              <w:sym w:font="Wingdings" w:char="F0FB"/>
            </w:r>
          </w:p>
        </w:tc>
      </w:tr>
    </w:tbl>
    <w:p w:rsidR="00F41995" w:rsidRDefault="00F41995" w:rsidP="00646887">
      <w:pPr>
        <w:pStyle w:val="Notes"/>
      </w:pPr>
      <w:r w:rsidRPr="0092369C">
        <w:rPr>
          <w:u w:val="single"/>
        </w:rPr>
        <w:t>Source</w:t>
      </w:r>
      <w:r w:rsidRPr="003A1AEC">
        <w:t>: Schedule of Pharmaceutical Benefits and Product Information</w:t>
      </w:r>
      <w:r>
        <w:t xml:space="preserve"> </w:t>
      </w:r>
      <w:r w:rsidRPr="003A1AEC">
        <w:t>(</w:t>
      </w:r>
      <w:r>
        <w:t>October</w:t>
      </w:r>
      <w:r w:rsidRPr="003A1AEC">
        <w:t xml:space="preserve"> 2012)</w:t>
      </w:r>
    </w:p>
    <w:p w:rsidR="002772EC" w:rsidRPr="00422AD1" w:rsidRDefault="002772EC" w:rsidP="00646887">
      <w:pPr>
        <w:pStyle w:val="Notes"/>
      </w:pPr>
      <w:r w:rsidRPr="0092369C">
        <w:rPr>
          <w:u w:val="single"/>
        </w:rPr>
        <w:t>Abbreviations</w:t>
      </w:r>
      <w:r>
        <w:t>: met = metformin; sulf = sulfonylurea; glip = DPP-4 inhibitor; and glit =</w:t>
      </w:r>
      <w:r w:rsidR="00C15997">
        <w:t xml:space="preserve"> TZD</w:t>
      </w:r>
      <w:r>
        <w:t>.</w:t>
      </w:r>
    </w:p>
    <w:p w:rsidR="00F41995" w:rsidRDefault="00F41995" w:rsidP="00646887">
      <w:pPr>
        <w:pStyle w:val="Notes"/>
      </w:pPr>
      <w:r w:rsidRPr="0092369C">
        <w:rPr>
          <w:u w:val="single"/>
        </w:rPr>
        <w:t>Note</w:t>
      </w:r>
      <w:r w:rsidR="0092369C">
        <w:t>s</w:t>
      </w:r>
      <w:r w:rsidRPr="003A1AEC">
        <w:t xml:space="preserve">: </w:t>
      </w:r>
      <w:r>
        <w:tab/>
      </w:r>
      <w:r w:rsidRPr="003A1AEC">
        <w:t>The references to mono-, dual and triple therapy are in relation to the active ingredient(s), not products. The (</w:t>
      </w:r>
      <w:r w:rsidRPr="003A1AEC">
        <w:sym w:font="Wingdings" w:char="F0FC"/>
      </w:r>
      <w:r w:rsidRPr="003A1AEC">
        <w:t xml:space="preserve">) indicates that the drug can be part of the regimen by virtue of not being specifically excluded. </w:t>
      </w:r>
      <w:r>
        <w:t>The (</w:t>
      </w:r>
      <w:r w:rsidRPr="00D372CE">
        <w:sym w:font="Wingdings" w:char="F0FB"/>
      </w:r>
      <w:r>
        <w:t xml:space="preserve">) indicates that the drug can’t be part of the regimen. </w:t>
      </w:r>
      <w:r w:rsidRPr="003A1AEC">
        <w:t>Cells in grey highlight differences between TGA/PBS indications</w:t>
      </w:r>
      <w:r>
        <w:t xml:space="preserve"> </w:t>
      </w:r>
      <w:r>
        <w:br/>
      </w:r>
      <w:r w:rsidRPr="003A1AEC">
        <w:rPr>
          <w:vertAlign w:val="superscript"/>
        </w:rPr>
        <w:t>a</w:t>
      </w:r>
      <w:r w:rsidRPr="003A1AEC">
        <w:t xml:space="preserve"> TGA-approved for dual therapy in combination with insulin. However, the PBS</w:t>
      </w:r>
      <w:r>
        <w:t xml:space="preserve"> </w:t>
      </w:r>
      <w:r w:rsidRPr="003A1AEC">
        <w:t xml:space="preserve">listing does not specify the </w:t>
      </w:r>
      <w:r>
        <w:t>diabetes medicines</w:t>
      </w:r>
      <w:r w:rsidRPr="003A1AEC">
        <w:t xml:space="preserve"> to be used in combination w</w:t>
      </w:r>
      <w:r>
        <w:t>ith insulin and appears broader</w:t>
      </w:r>
      <w:r>
        <w:br/>
      </w:r>
      <w:r w:rsidRPr="003A1AEC">
        <w:rPr>
          <w:vertAlign w:val="superscript"/>
        </w:rPr>
        <w:t>b</w:t>
      </w:r>
      <w:r w:rsidRPr="003A1AEC">
        <w:t xml:space="preserve"> TGA-approved for dual therapy in combination with </w:t>
      </w:r>
      <w:r w:rsidR="006820B1">
        <w:t>TZDs</w:t>
      </w:r>
      <w:r w:rsidRPr="003A1AEC">
        <w:t xml:space="preserve">. However, </w:t>
      </w:r>
      <w:r w:rsidR="006820B1">
        <w:t>TZDs</w:t>
      </w:r>
      <w:r w:rsidRPr="003A1AEC">
        <w:t xml:space="preserve"> are not TGA</w:t>
      </w:r>
      <w:r>
        <w:t xml:space="preserve">-approved for use with </w:t>
      </w:r>
      <w:r w:rsidR="002772EC">
        <w:t>DPP-4 inhibitors</w:t>
      </w:r>
      <w:r>
        <w:br/>
      </w:r>
      <w:r w:rsidRPr="003A1AEC">
        <w:rPr>
          <w:vertAlign w:val="superscript"/>
        </w:rPr>
        <w:t>c</w:t>
      </w:r>
      <w:r>
        <w:t xml:space="preserve"> Pioglitazone only</w:t>
      </w:r>
      <w:r>
        <w:br/>
      </w:r>
      <w:r w:rsidRPr="003A1AEC">
        <w:rPr>
          <w:vertAlign w:val="superscript"/>
        </w:rPr>
        <w:t>d</w:t>
      </w:r>
      <w:r w:rsidRPr="003A1AEC">
        <w:t xml:space="preserve"> Only dual</w:t>
      </w:r>
      <w:r>
        <w:t xml:space="preserve"> therapy with metformin allowed</w:t>
      </w:r>
      <w:r w:rsidRPr="003A1AEC">
        <w:t xml:space="preserve"> </w:t>
      </w:r>
      <w:r>
        <w:br/>
      </w:r>
      <w:r>
        <w:rPr>
          <w:vertAlign w:val="superscript"/>
        </w:rPr>
        <w:t>e</w:t>
      </w:r>
      <w:r w:rsidRPr="003A1AEC">
        <w:t xml:space="preserve"> The TGA-approved indication is wider, a</w:t>
      </w:r>
      <w:r>
        <w:t>nd</w:t>
      </w:r>
      <w:r w:rsidRPr="003A1AEC">
        <w:t xml:space="preserve"> includes use as initial combination therapy when dual saxagliptin and metformin therapy is appropriate</w:t>
      </w:r>
      <w:r w:rsidR="00F244DE">
        <w:t>.</w:t>
      </w:r>
    </w:p>
    <w:p w:rsidR="00F244DE" w:rsidRPr="00422AD1" w:rsidRDefault="00F244DE" w:rsidP="00492694">
      <w:pPr>
        <w:pStyle w:val="BodyText1"/>
      </w:pPr>
    </w:p>
    <w:p w:rsidR="00F41995" w:rsidRPr="00C45556" w:rsidRDefault="00F41995" w:rsidP="00492694">
      <w:pPr>
        <w:pStyle w:val="BodyText1"/>
        <w:rPr>
          <w:b/>
        </w:rPr>
      </w:pPr>
      <w:r w:rsidRPr="00C45556">
        <w:rPr>
          <w:b/>
        </w:rPr>
        <w:t>Table 3</w:t>
      </w:r>
      <w:r w:rsidR="00F244DE" w:rsidRPr="00C45556">
        <w:rPr>
          <w:b/>
        </w:rPr>
        <w:t>.</w:t>
      </w:r>
      <w:r w:rsidRPr="00C45556">
        <w:rPr>
          <w:b/>
        </w:rPr>
        <w:t xml:space="preserve"> Full PBS restriction wording by restriction and</w:t>
      </w:r>
      <w:r w:rsidR="00F244DE" w:rsidRPr="00C45556">
        <w:rPr>
          <w:b/>
        </w:rPr>
        <w:t xml:space="preserve"> medicine.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23"/>
        <w:gridCol w:w="2519"/>
      </w:tblGrid>
      <w:tr w:rsidR="00F41995" w:rsidRPr="00C2154E" w:rsidTr="00F41995">
        <w:trPr>
          <w:tblHeader/>
        </w:trPr>
        <w:tc>
          <w:tcPr>
            <w:tcW w:w="10008" w:type="dxa"/>
            <w:shd w:val="clear" w:color="auto" w:fill="BFBFBF"/>
            <w:vAlign w:val="center"/>
          </w:tcPr>
          <w:p w:rsidR="00F41995" w:rsidRPr="00351683" w:rsidRDefault="00F41995" w:rsidP="00492694">
            <w:pPr>
              <w:pStyle w:val="Tableheading"/>
              <w:rPr>
                <w:sz w:val="22"/>
                <w:szCs w:val="22"/>
              </w:rPr>
            </w:pPr>
            <w:r w:rsidRPr="00351683">
              <w:rPr>
                <w:sz w:val="22"/>
                <w:szCs w:val="22"/>
              </w:rPr>
              <w:t>Restriction</w:t>
            </w:r>
          </w:p>
        </w:tc>
        <w:tc>
          <w:tcPr>
            <w:tcW w:w="3168" w:type="dxa"/>
            <w:tcBorders>
              <w:bottom w:val="nil"/>
            </w:tcBorders>
            <w:shd w:val="clear" w:color="auto" w:fill="BFBFBF"/>
          </w:tcPr>
          <w:p w:rsidR="00F41995" w:rsidRPr="00351683" w:rsidRDefault="00F244DE" w:rsidP="00492694">
            <w:pPr>
              <w:pStyle w:val="Tableheading"/>
              <w:rPr>
                <w:sz w:val="22"/>
                <w:szCs w:val="22"/>
              </w:rPr>
            </w:pPr>
            <w:r w:rsidRPr="00351683">
              <w:rPr>
                <w:sz w:val="22"/>
                <w:szCs w:val="22"/>
              </w:rPr>
              <w:t>Medicine</w:t>
            </w:r>
          </w:p>
        </w:tc>
      </w:tr>
      <w:tr w:rsidR="00F41995" w:rsidRPr="00C2154E" w:rsidTr="00F244DE">
        <w:tc>
          <w:tcPr>
            <w:tcW w:w="10008" w:type="dxa"/>
            <w:vMerge w:val="restart"/>
          </w:tcPr>
          <w:p w:rsidR="00F41995" w:rsidRPr="00351683" w:rsidRDefault="00F41995" w:rsidP="00492694">
            <w:pPr>
              <w:pStyle w:val="Tablewriting"/>
              <w:rPr>
                <w:sz w:val="22"/>
                <w:szCs w:val="22"/>
              </w:rPr>
            </w:pPr>
            <w:r w:rsidRPr="00351683">
              <w:rPr>
                <w:sz w:val="22"/>
                <w:szCs w:val="22"/>
              </w:rPr>
              <w:t>Unrestricted</w:t>
            </w:r>
          </w:p>
        </w:tc>
        <w:tc>
          <w:tcPr>
            <w:tcW w:w="3168" w:type="dxa"/>
            <w:tcBorders>
              <w:bottom w:val="nil"/>
            </w:tcBorders>
          </w:tcPr>
          <w:p w:rsidR="00F41995" w:rsidRPr="00351683" w:rsidRDefault="00F41995" w:rsidP="00492694">
            <w:pPr>
              <w:pStyle w:val="Tablewriting"/>
              <w:rPr>
                <w:sz w:val="22"/>
                <w:szCs w:val="22"/>
              </w:rPr>
            </w:pPr>
            <w:r w:rsidRPr="00351683">
              <w:rPr>
                <w:sz w:val="22"/>
                <w:szCs w:val="22"/>
              </w:rPr>
              <w:t>Metformin</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bottom w:val="nil"/>
            </w:tcBorders>
          </w:tcPr>
          <w:p w:rsidR="00F41995" w:rsidRPr="00351683" w:rsidRDefault="00F41995" w:rsidP="00492694">
            <w:pPr>
              <w:pStyle w:val="Tablewriting"/>
              <w:rPr>
                <w:sz w:val="22"/>
                <w:szCs w:val="22"/>
              </w:rPr>
            </w:pPr>
            <w:r w:rsidRPr="00351683">
              <w:rPr>
                <w:sz w:val="22"/>
                <w:szCs w:val="22"/>
              </w:rPr>
              <w:t>Glibenclamide</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bottom w:val="nil"/>
            </w:tcBorders>
          </w:tcPr>
          <w:p w:rsidR="00F41995" w:rsidRPr="00351683" w:rsidRDefault="00F41995" w:rsidP="00492694">
            <w:pPr>
              <w:pStyle w:val="Tablewriting"/>
              <w:rPr>
                <w:sz w:val="22"/>
                <w:szCs w:val="22"/>
              </w:rPr>
            </w:pPr>
            <w:r w:rsidRPr="00351683">
              <w:rPr>
                <w:sz w:val="22"/>
                <w:szCs w:val="22"/>
              </w:rPr>
              <w:t>Gliclazide</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bottom w:val="nil"/>
            </w:tcBorders>
          </w:tcPr>
          <w:p w:rsidR="00F41995" w:rsidRPr="00351683" w:rsidRDefault="00F41995" w:rsidP="00492694">
            <w:pPr>
              <w:pStyle w:val="Tablewriting"/>
              <w:rPr>
                <w:sz w:val="22"/>
                <w:szCs w:val="22"/>
              </w:rPr>
            </w:pPr>
            <w:r w:rsidRPr="00351683">
              <w:rPr>
                <w:sz w:val="22"/>
                <w:szCs w:val="22"/>
              </w:rPr>
              <w:t>Glimepiride</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bottom w:val="nil"/>
            </w:tcBorders>
          </w:tcPr>
          <w:p w:rsidR="00F41995" w:rsidRPr="00351683" w:rsidRDefault="00F41995" w:rsidP="00492694">
            <w:pPr>
              <w:pStyle w:val="Tablewriting"/>
              <w:rPr>
                <w:sz w:val="22"/>
                <w:szCs w:val="22"/>
              </w:rPr>
            </w:pPr>
            <w:r w:rsidRPr="00351683">
              <w:rPr>
                <w:sz w:val="22"/>
                <w:szCs w:val="22"/>
              </w:rPr>
              <w:t>Glipizide</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bottom w:val="nil"/>
            </w:tcBorders>
          </w:tcPr>
          <w:p w:rsidR="00F41995" w:rsidRPr="00351683" w:rsidRDefault="00F41995" w:rsidP="00492694">
            <w:pPr>
              <w:pStyle w:val="Tablewriting"/>
              <w:rPr>
                <w:sz w:val="22"/>
                <w:szCs w:val="22"/>
              </w:rPr>
            </w:pPr>
            <w:r w:rsidRPr="00351683">
              <w:rPr>
                <w:sz w:val="22"/>
                <w:szCs w:val="22"/>
              </w:rPr>
              <w:t>Acarbose</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bottom w:val="nil"/>
            </w:tcBorders>
          </w:tcPr>
          <w:p w:rsidR="00F41995" w:rsidRPr="00351683" w:rsidRDefault="00F41995" w:rsidP="00492694">
            <w:pPr>
              <w:pStyle w:val="Tablewriting"/>
              <w:rPr>
                <w:sz w:val="22"/>
                <w:szCs w:val="22"/>
              </w:rPr>
            </w:pPr>
            <w:r w:rsidRPr="00351683">
              <w:rPr>
                <w:sz w:val="22"/>
                <w:szCs w:val="22"/>
              </w:rPr>
              <w:t>Insulin aspart</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bottom w:val="nil"/>
            </w:tcBorders>
          </w:tcPr>
          <w:p w:rsidR="00F41995" w:rsidRPr="00351683" w:rsidRDefault="00F41995" w:rsidP="00492694">
            <w:pPr>
              <w:pStyle w:val="Tablewriting"/>
              <w:rPr>
                <w:sz w:val="22"/>
                <w:szCs w:val="22"/>
              </w:rPr>
            </w:pPr>
            <w:r w:rsidRPr="00351683">
              <w:rPr>
                <w:sz w:val="22"/>
                <w:szCs w:val="22"/>
              </w:rPr>
              <w:t xml:space="preserve">Insulin aspart and protamine suspension </w:t>
            </w:r>
          </w:p>
          <w:p w:rsidR="00F41995" w:rsidRPr="00351683" w:rsidRDefault="00F41995" w:rsidP="00492694">
            <w:pPr>
              <w:pStyle w:val="Tablewriting"/>
              <w:rPr>
                <w:sz w:val="22"/>
                <w:szCs w:val="22"/>
              </w:rPr>
            </w:pPr>
            <w:r w:rsidRPr="00351683">
              <w:rPr>
                <w:sz w:val="22"/>
                <w:szCs w:val="22"/>
              </w:rPr>
              <w:t>Insulin detemir</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bottom w:val="nil"/>
            </w:tcBorders>
          </w:tcPr>
          <w:p w:rsidR="00F41995" w:rsidRPr="00351683" w:rsidRDefault="00F41995" w:rsidP="00492694">
            <w:pPr>
              <w:pStyle w:val="Tablewriting"/>
              <w:rPr>
                <w:sz w:val="22"/>
                <w:szCs w:val="22"/>
              </w:rPr>
            </w:pPr>
            <w:r w:rsidRPr="00351683">
              <w:rPr>
                <w:sz w:val="22"/>
                <w:szCs w:val="22"/>
              </w:rPr>
              <w:t>Insulin glargine</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bottom w:val="nil"/>
            </w:tcBorders>
          </w:tcPr>
          <w:p w:rsidR="00F41995" w:rsidRPr="00351683" w:rsidRDefault="00F41995" w:rsidP="00492694">
            <w:pPr>
              <w:pStyle w:val="Tablewriting"/>
              <w:rPr>
                <w:sz w:val="22"/>
                <w:szCs w:val="22"/>
              </w:rPr>
            </w:pPr>
            <w:r w:rsidRPr="00351683">
              <w:rPr>
                <w:sz w:val="22"/>
                <w:szCs w:val="22"/>
              </w:rPr>
              <w:t>Insulin glulisine</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bottom w:val="nil"/>
            </w:tcBorders>
          </w:tcPr>
          <w:p w:rsidR="00F41995" w:rsidRPr="00351683" w:rsidRDefault="00F41995" w:rsidP="00492694">
            <w:pPr>
              <w:pStyle w:val="Tablewriting"/>
              <w:rPr>
                <w:sz w:val="22"/>
                <w:szCs w:val="22"/>
              </w:rPr>
            </w:pPr>
            <w:r w:rsidRPr="00351683">
              <w:rPr>
                <w:sz w:val="22"/>
                <w:szCs w:val="22"/>
              </w:rPr>
              <w:t>Insulin lispro</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bottom w:val="nil"/>
            </w:tcBorders>
          </w:tcPr>
          <w:p w:rsidR="00F41995" w:rsidRPr="00351683" w:rsidRDefault="00F41995" w:rsidP="00492694">
            <w:pPr>
              <w:pStyle w:val="Tablewriting"/>
              <w:rPr>
                <w:sz w:val="22"/>
                <w:szCs w:val="22"/>
              </w:rPr>
            </w:pPr>
            <w:r w:rsidRPr="00351683">
              <w:rPr>
                <w:sz w:val="22"/>
                <w:szCs w:val="22"/>
              </w:rPr>
              <w:t>Insulin lispro and protamine suspension</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bottom w:val="nil"/>
            </w:tcBorders>
          </w:tcPr>
          <w:p w:rsidR="00F41995" w:rsidRPr="00351683" w:rsidRDefault="00F41995" w:rsidP="00492694">
            <w:pPr>
              <w:pStyle w:val="Tablewriting"/>
              <w:rPr>
                <w:sz w:val="22"/>
                <w:szCs w:val="22"/>
              </w:rPr>
            </w:pPr>
            <w:r w:rsidRPr="00351683">
              <w:rPr>
                <w:sz w:val="22"/>
                <w:szCs w:val="22"/>
              </w:rPr>
              <w:t>Insulin neutral</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bottom w:val="nil"/>
            </w:tcBorders>
          </w:tcPr>
          <w:p w:rsidR="00F41995" w:rsidRPr="00351683" w:rsidRDefault="00F41995" w:rsidP="00492694">
            <w:pPr>
              <w:pStyle w:val="Tablewriting"/>
              <w:rPr>
                <w:sz w:val="22"/>
                <w:szCs w:val="22"/>
              </w:rPr>
            </w:pPr>
            <w:r w:rsidRPr="00351683">
              <w:rPr>
                <w:sz w:val="22"/>
                <w:szCs w:val="22"/>
              </w:rPr>
              <w:t>Insulin neutral and insulin isophane (biphasic isophane)</w:t>
            </w:r>
          </w:p>
        </w:tc>
      </w:tr>
      <w:tr w:rsidR="00F41995" w:rsidRPr="00C2154E" w:rsidTr="00F244DE">
        <w:tc>
          <w:tcPr>
            <w:tcW w:w="10008" w:type="dxa"/>
            <w:vMerge/>
          </w:tcPr>
          <w:p w:rsidR="00F41995" w:rsidRPr="00351683" w:rsidRDefault="00F41995" w:rsidP="00492694">
            <w:pPr>
              <w:pStyle w:val="Tablewriting"/>
              <w:rPr>
                <w:sz w:val="22"/>
                <w:szCs w:val="22"/>
              </w:rPr>
            </w:pPr>
          </w:p>
        </w:tc>
        <w:tc>
          <w:tcPr>
            <w:tcW w:w="3168" w:type="dxa"/>
            <w:tcBorders>
              <w:top w:val="nil"/>
            </w:tcBorders>
          </w:tcPr>
          <w:p w:rsidR="00F41995" w:rsidRPr="00351683" w:rsidRDefault="00F41995" w:rsidP="00492694">
            <w:pPr>
              <w:pStyle w:val="Tablewriting"/>
              <w:rPr>
                <w:sz w:val="22"/>
                <w:szCs w:val="22"/>
              </w:rPr>
            </w:pPr>
            <w:r w:rsidRPr="00351683">
              <w:rPr>
                <w:sz w:val="22"/>
                <w:szCs w:val="22"/>
              </w:rPr>
              <w:t>Metformin and glibenclamide FDC</w:t>
            </w:r>
          </w:p>
        </w:tc>
      </w:tr>
      <w:tr w:rsidR="00F41995" w:rsidRPr="00C2154E" w:rsidTr="00F244DE">
        <w:tc>
          <w:tcPr>
            <w:tcW w:w="10008" w:type="dxa"/>
          </w:tcPr>
          <w:p w:rsidR="00F41995" w:rsidRPr="00351683" w:rsidRDefault="00F41995" w:rsidP="00492694">
            <w:pPr>
              <w:pStyle w:val="Tablewriting"/>
              <w:rPr>
                <w:sz w:val="22"/>
                <w:szCs w:val="22"/>
              </w:rPr>
            </w:pPr>
            <w:r w:rsidRPr="00351683">
              <w:rPr>
                <w:sz w:val="22"/>
                <w:szCs w:val="22"/>
              </w:rPr>
              <w:t>Authority required (streamlined)</w:t>
            </w:r>
          </w:p>
          <w:p w:rsidR="00F41995" w:rsidRPr="00351683" w:rsidRDefault="00F41995" w:rsidP="00492694">
            <w:pPr>
              <w:pStyle w:val="Tablewriting"/>
              <w:rPr>
                <w:sz w:val="22"/>
                <w:szCs w:val="22"/>
              </w:rPr>
            </w:pPr>
            <w:r w:rsidRPr="00351683">
              <w:rPr>
                <w:sz w:val="22"/>
                <w:szCs w:val="22"/>
              </w:rPr>
              <w:t>Dual oral combination therapy with metformin or a sulfonylurea</w:t>
            </w:r>
          </w:p>
          <w:p w:rsidR="00F41995" w:rsidRPr="00351683" w:rsidRDefault="00F41995" w:rsidP="00492694">
            <w:pPr>
              <w:pStyle w:val="Tablewriting"/>
              <w:rPr>
                <w:sz w:val="22"/>
                <w:szCs w:val="22"/>
              </w:rPr>
            </w:pPr>
            <w:r w:rsidRPr="00351683">
              <w:rPr>
                <w:sz w:val="22"/>
                <w:szCs w:val="22"/>
              </w:rPr>
              <w:t>Type 2 diabetes, in combination with either metformin or a sulfonylurea, in a patient whose HbA1c</w:t>
            </w:r>
            <w:r w:rsidRPr="00351683">
              <w:rPr>
                <w:sz w:val="22"/>
                <w:szCs w:val="22"/>
                <w:vertAlign w:val="superscript"/>
              </w:rPr>
              <w:t>a</w:t>
            </w:r>
            <w:r w:rsidRPr="00351683">
              <w:rPr>
                <w:sz w:val="22"/>
                <w:szCs w:val="22"/>
              </w:rPr>
              <w:t xml:space="preserve"> is greater than 7% prior to initiation of a dipeptidyl peptidase 4 inhibitor (gliptin), a thiazolidinedione (glitazone) or a glucagon-like peptide-1 despite treatment with either metformin or a sulfonylurea and where a combination of metformin and a sulfonylurea is contraindicated or not tolerated.</w:t>
            </w:r>
          </w:p>
        </w:tc>
        <w:tc>
          <w:tcPr>
            <w:tcW w:w="3168" w:type="dxa"/>
          </w:tcPr>
          <w:p w:rsidR="00F41995" w:rsidRPr="00351683" w:rsidRDefault="00F41995" w:rsidP="00492694">
            <w:pPr>
              <w:pStyle w:val="Tablewriting"/>
              <w:rPr>
                <w:sz w:val="22"/>
                <w:szCs w:val="22"/>
              </w:rPr>
            </w:pPr>
            <w:r w:rsidRPr="00351683">
              <w:rPr>
                <w:sz w:val="22"/>
                <w:szCs w:val="22"/>
              </w:rPr>
              <w:t>Rosiglitazone (telephone Authority required)</w:t>
            </w:r>
          </w:p>
          <w:p w:rsidR="00F41995" w:rsidRPr="00351683" w:rsidRDefault="00F41995" w:rsidP="00492694">
            <w:pPr>
              <w:pStyle w:val="Tablewriting"/>
              <w:rPr>
                <w:sz w:val="22"/>
                <w:szCs w:val="22"/>
              </w:rPr>
            </w:pPr>
            <w:r w:rsidRPr="00351683">
              <w:rPr>
                <w:sz w:val="22"/>
                <w:szCs w:val="22"/>
              </w:rPr>
              <w:t>Pioglitazone</w:t>
            </w:r>
          </w:p>
          <w:p w:rsidR="00F41995" w:rsidRPr="00351683" w:rsidRDefault="00F41995" w:rsidP="00492694">
            <w:pPr>
              <w:pStyle w:val="Tablewriting"/>
              <w:rPr>
                <w:sz w:val="22"/>
                <w:szCs w:val="22"/>
              </w:rPr>
            </w:pPr>
            <w:r w:rsidRPr="00351683">
              <w:rPr>
                <w:sz w:val="22"/>
                <w:szCs w:val="22"/>
              </w:rPr>
              <w:t>Sitagliptin</w:t>
            </w:r>
          </w:p>
          <w:p w:rsidR="00F41995" w:rsidRPr="00351683" w:rsidRDefault="00F41995" w:rsidP="00492694">
            <w:pPr>
              <w:pStyle w:val="Tablewriting"/>
              <w:rPr>
                <w:sz w:val="22"/>
                <w:szCs w:val="22"/>
              </w:rPr>
            </w:pPr>
            <w:r w:rsidRPr="00351683">
              <w:rPr>
                <w:sz w:val="22"/>
                <w:szCs w:val="22"/>
              </w:rPr>
              <w:t>Saxagliptin</w:t>
            </w:r>
          </w:p>
          <w:p w:rsidR="00F41995" w:rsidRPr="00351683" w:rsidRDefault="00F41995" w:rsidP="00492694">
            <w:pPr>
              <w:pStyle w:val="Tablewriting"/>
              <w:rPr>
                <w:sz w:val="22"/>
                <w:szCs w:val="22"/>
              </w:rPr>
            </w:pPr>
            <w:r w:rsidRPr="00351683">
              <w:rPr>
                <w:sz w:val="22"/>
                <w:szCs w:val="22"/>
              </w:rPr>
              <w:t>Vildagliptin</w:t>
            </w:r>
          </w:p>
          <w:p w:rsidR="00F41995" w:rsidRPr="00351683" w:rsidRDefault="00F41995" w:rsidP="00492694">
            <w:pPr>
              <w:pStyle w:val="Tablewriting"/>
              <w:rPr>
                <w:sz w:val="22"/>
                <w:szCs w:val="22"/>
              </w:rPr>
            </w:pPr>
            <w:r w:rsidRPr="00351683">
              <w:rPr>
                <w:sz w:val="22"/>
                <w:szCs w:val="22"/>
              </w:rPr>
              <w:t>Linagliptin</w:t>
            </w:r>
          </w:p>
          <w:p w:rsidR="00F41995" w:rsidRPr="00351683" w:rsidRDefault="00F41995" w:rsidP="00492694">
            <w:pPr>
              <w:pStyle w:val="Tablewriting"/>
              <w:rPr>
                <w:sz w:val="22"/>
                <w:szCs w:val="22"/>
              </w:rPr>
            </w:pPr>
            <w:r w:rsidRPr="00351683">
              <w:rPr>
                <w:sz w:val="22"/>
                <w:szCs w:val="22"/>
              </w:rPr>
              <w:t>Exenatide</w:t>
            </w:r>
          </w:p>
        </w:tc>
      </w:tr>
      <w:tr w:rsidR="00F41995" w:rsidRPr="00C2154E" w:rsidTr="00F244DE">
        <w:tc>
          <w:tcPr>
            <w:tcW w:w="10008" w:type="dxa"/>
          </w:tcPr>
          <w:p w:rsidR="00F41995" w:rsidRPr="00351683" w:rsidRDefault="00F41995" w:rsidP="00492694">
            <w:pPr>
              <w:pStyle w:val="Tablewriting"/>
              <w:rPr>
                <w:sz w:val="22"/>
                <w:szCs w:val="22"/>
              </w:rPr>
            </w:pPr>
            <w:r w:rsidRPr="00351683">
              <w:rPr>
                <w:sz w:val="22"/>
                <w:szCs w:val="22"/>
              </w:rPr>
              <w:t>Authority required</w:t>
            </w:r>
          </w:p>
          <w:p w:rsidR="00F41995" w:rsidRPr="00351683" w:rsidRDefault="00F41995" w:rsidP="00492694">
            <w:pPr>
              <w:pStyle w:val="Tablewriting"/>
              <w:rPr>
                <w:sz w:val="22"/>
                <w:szCs w:val="22"/>
                <w:u w:val="single"/>
              </w:rPr>
            </w:pPr>
            <w:r w:rsidRPr="00351683">
              <w:rPr>
                <w:sz w:val="22"/>
                <w:szCs w:val="22"/>
              </w:rPr>
              <w:t>Type 2 diabetes in a patient whose HbA1c</w:t>
            </w:r>
            <w:r w:rsidRPr="00351683">
              <w:rPr>
                <w:sz w:val="22"/>
                <w:szCs w:val="22"/>
                <w:vertAlign w:val="superscript"/>
              </w:rPr>
              <w:t>a</w:t>
            </w:r>
            <w:r w:rsidRPr="00351683">
              <w:rPr>
                <w:sz w:val="22"/>
                <w:szCs w:val="22"/>
              </w:rPr>
              <w:t xml:space="preserve"> is greater than 7% prior to initiation of a dipeptidyl peptidase 4 inhibitor (gliptin), a thiazolidinedione (glitazone) or a glucagon-like peptide-1 despite treatment with metformin and where a sulfonylurea is contraindicated or not tolerated.</w:t>
            </w:r>
          </w:p>
        </w:tc>
        <w:tc>
          <w:tcPr>
            <w:tcW w:w="3168" w:type="dxa"/>
          </w:tcPr>
          <w:p w:rsidR="00F41995" w:rsidRPr="00351683" w:rsidRDefault="00F41995" w:rsidP="00492694">
            <w:pPr>
              <w:pStyle w:val="Tablewriting"/>
              <w:rPr>
                <w:sz w:val="22"/>
                <w:szCs w:val="22"/>
              </w:rPr>
            </w:pPr>
            <w:r w:rsidRPr="00351683">
              <w:rPr>
                <w:sz w:val="22"/>
                <w:szCs w:val="22"/>
              </w:rPr>
              <w:t>Rosiglitazone and metformin</w:t>
            </w:r>
          </w:p>
        </w:tc>
      </w:tr>
      <w:tr w:rsidR="00F41995" w:rsidRPr="00C2154E" w:rsidTr="00F244DE">
        <w:tc>
          <w:tcPr>
            <w:tcW w:w="10008" w:type="dxa"/>
          </w:tcPr>
          <w:p w:rsidR="00F41995" w:rsidRPr="00351683" w:rsidRDefault="00F41995" w:rsidP="00492694">
            <w:pPr>
              <w:pStyle w:val="Tablewriting"/>
              <w:rPr>
                <w:sz w:val="22"/>
                <w:szCs w:val="22"/>
              </w:rPr>
            </w:pPr>
            <w:r w:rsidRPr="00351683">
              <w:rPr>
                <w:sz w:val="22"/>
                <w:szCs w:val="22"/>
              </w:rPr>
              <w:t>Authority required (streamlined)</w:t>
            </w:r>
          </w:p>
          <w:p w:rsidR="00F41995" w:rsidRPr="00351683" w:rsidRDefault="00F41995" w:rsidP="00492694">
            <w:pPr>
              <w:pStyle w:val="Tablewriting"/>
              <w:rPr>
                <w:sz w:val="22"/>
                <w:szCs w:val="22"/>
              </w:rPr>
            </w:pPr>
            <w:r w:rsidRPr="00351683">
              <w:rPr>
                <w:sz w:val="22"/>
                <w:szCs w:val="22"/>
              </w:rPr>
              <w:lastRenderedPageBreak/>
              <w:t>Combination therapy with insulin</w:t>
            </w:r>
          </w:p>
          <w:p w:rsidR="00F41995" w:rsidRPr="00351683" w:rsidRDefault="00F41995" w:rsidP="00492694">
            <w:pPr>
              <w:pStyle w:val="Tablewriting"/>
              <w:rPr>
                <w:sz w:val="22"/>
                <w:szCs w:val="22"/>
              </w:rPr>
            </w:pPr>
            <w:r w:rsidRPr="00351683">
              <w:rPr>
                <w:sz w:val="22"/>
                <w:szCs w:val="22"/>
              </w:rPr>
              <w:t>Type 2 diabetes, in combination with insulin, in a patient whose HbA1c</w:t>
            </w:r>
            <w:r w:rsidRPr="00351683">
              <w:rPr>
                <w:sz w:val="22"/>
                <w:szCs w:val="22"/>
                <w:vertAlign w:val="superscript"/>
              </w:rPr>
              <w:t>a</w:t>
            </w:r>
            <w:r w:rsidRPr="00351683">
              <w:rPr>
                <w:sz w:val="22"/>
                <w:szCs w:val="22"/>
              </w:rPr>
              <w:t xml:space="preserve"> is greater than 7% prior to initiation of a dipeptidyl peptidase 4 inhibitor (gliptin), a thiazolidinedione (glitazone) or a glucagon-like peptide-1 despite treatment with insulin and oral anti-diabetic agents, or insulin alone where metformin is contraindicated.</w:t>
            </w:r>
          </w:p>
        </w:tc>
        <w:tc>
          <w:tcPr>
            <w:tcW w:w="3168" w:type="dxa"/>
          </w:tcPr>
          <w:p w:rsidR="00F41995" w:rsidRPr="00351683" w:rsidRDefault="00F41995" w:rsidP="00492694">
            <w:pPr>
              <w:pStyle w:val="Tablewriting"/>
              <w:rPr>
                <w:sz w:val="22"/>
                <w:szCs w:val="22"/>
              </w:rPr>
            </w:pPr>
            <w:r w:rsidRPr="00351683">
              <w:rPr>
                <w:sz w:val="22"/>
                <w:szCs w:val="22"/>
              </w:rPr>
              <w:lastRenderedPageBreak/>
              <w:t>Pioglitazone</w:t>
            </w:r>
          </w:p>
        </w:tc>
      </w:tr>
      <w:tr w:rsidR="00F41995" w:rsidRPr="00C2154E" w:rsidTr="00F244DE">
        <w:tc>
          <w:tcPr>
            <w:tcW w:w="10008" w:type="dxa"/>
          </w:tcPr>
          <w:p w:rsidR="00F41995" w:rsidRPr="00351683" w:rsidRDefault="00F41995" w:rsidP="00492694">
            <w:pPr>
              <w:pStyle w:val="Tablewriting"/>
              <w:rPr>
                <w:sz w:val="22"/>
                <w:szCs w:val="22"/>
              </w:rPr>
            </w:pPr>
            <w:r w:rsidRPr="00351683">
              <w:rPr>
                <w:sz w:val="22"/>
                <w:szCs w:val="22"/>
              </w:rPr>
              <w:lastRenderedPageBreak/>
              <w:t>Authority required (streamlined)</w:t>
            </w:r>
          </w:p>
          <w:p w:rsidR="00F41995" w:rsidRPr="00351683" w:rsidRDefault="00F41995" w:rsidP="00492694">
            <w:pPr>
              <w:pStyle w:val="Tablewriting"/>
              <w:rPr>
                <w:sz w:val="22"/>
                <w:szCs w:val="22"/>
              </w:rPr>
            </w:pPr>
            <w:r w:rsidRPr="00351683">
              <w:rPr>
                <w:sz w:val="22"/>
                <w:szCs w:val="22"/>
              </w:rPr>
              <w:t>Triple oral combination therapy with metformin and a sulfonylurea</w:t>
            </w:r>
          </w:p>
          <w:p w:rsidR="00F41995" w:rsidRPr="00351683" w:rsidRDefault="00F41995" w:rsidP="00492694">
            <w:pPr>
              <w:pStyle w:val="Tablewriting"/>
              <w:rPr>
                <w:sz w:val="22"/>
                <w:szCs w:val="22"/>
                <w:u w:val="single"/>
              </w:rPr>
            </w:pPr>
            <w:r w:rsidRPr="00351683">
              <w:rPr>
                <w:sz w:val="22"/>
                <w:szCs w:val="22"/>
              </w:rPr>
              <w:t>Type 2 diabetes, in combination with metformin and a sulfonylurea, in a patient whose HbA1c</w:t>
            </w:r>
            <w:r w:rsidRPr="00351683">
              <w:rPr>
                <w:sz w:val="22"/>
                <w:szCs w:val="22"/>
                <w:vertAlign w:val="superscript"/>
              </w:rPr>
              <w:t>a</w:t>
            </w:r>
            <w:r w:rsidRPr="00351683">
              <w:rPr>
                <w:sz w:val="22"/>
                <w:szCs w:val="22"/>
              </w:rPr>
              <w:t xml:space="preserve"> is greater than 7% prior to initiation of a dipeptidyl peptidase 4 inhibitor (gliptin), a thiazolidinedione (glitazone) or a glucagon-like peptide-1 despite treatment with maximally tolerated doses of metformin and a sulfonylurea.</w:t>
            </w:r>
          </w:p>
        </w:tc>
        <w:tc>
          <w:tcPr>
            <w:tcW w:w="3168" w:type="dxa"/>
          </w:tcPr>
          <w:p w:rsidR="00F41995" w:rsidRPr="00351683" w:rsidRDefault="00F41995" w:rsidP="00492694">
            <w:pPr>
              <w:pStyle w:val="Tablewriting"/>
              <w:rPr>
                <w:sz w:val="22"/>
                <w:szCs w:val="22"/>
              </w:rPr>
            </w:pPr>
            <w:r w:rsidRPr="00351683">
              <w:rPr>
                <w:sz w:val="22"/>
                <w:szCs w:val="22"/>
              </w:rPr>
              <w:t>Pioglitazone</w:t>
            </w:r>
          </w:p>
          <w:p w:rsidR="00F41995" w:rsidRPr="00351683" w:rsidRDefault="00F41995" w:rsidP="00492694">
            <w:pPr>
              <w:pStyle w:val="Tablewriting"/>
              <w:rPr>
                <w:sz w:val="22"/>
                <w:szCs w:val="22"/>
              </w:rPr>
            </w:pPr>
            <w:r w:rsidRPr="00351683">
              <w:rPr>
                <w:sz w:val="22"/>
                <w:szCs w:val="22"/>
              </w:rPr>
              <w:t>Exenatide</w:t>
            </w:r>
          </w:p>
        </w:tc>
      </w:tr>
      <w:tr w:rsidR="00F41995" w:rsidRPr="00C2154E" w:rsidTr="00F244DE">
        <w:tc>
          <w:tcPr>
            <w:tcW w:w="10008" w:type="dxa"/>
          </w:tcPr>
          <w:p w:rsidR="00F41995" w:rsidRPr="00351683" w:rsidRDefault="00F41995" w:rsidP="00492694">
            <w:pPr>
              <w:pStyle w:val="Tablewriting"/>
              <w:rPr>
                <w:sz w:val="22"/>
                <w:szCs w:val="22"/>
              </w:rPr>
            </w:pPr>
            <w:r w:rsidRPr="00351683">
              <w:rPr>
                <w:sz w:val="22"/>
                <w:szCs w:val="22"/>
              </w:rPr>
              <w:t>Authority required (streamlined) 3543</w:t>
            </w:r>
          </w:p>
          <w:p w:rsidR="00F41995" w:rsidRPr="00351683" w:rsidRDefault="00F41995" w:rsidP="00492694">
            <w:pPr>
              <w:pStyle w:val="Tablewriting"/>
              <w:rPr>
                <w:sz w:val="22"/>
                <w:szCs w:val="22"/>
                <w:u w:val="single"/>
              </w:rPr>
            </w:pPr>
            <w:r w:rsidRPr="00351683">
              <w:rPr>
                <w:sz w:val="22"/>
                <w:szCs w:val="22"/>
              </w:rPr>
              <w:t>Type 2 diabetes in a patient whose HbA1c</w:t>
            </w:r>
            <w:r w:rsidRPr="00351683">
              <w:rPr>
                <w:sz w:val="22"/>
                <w:szCs w:val="22"/>
                <w:vertAlign w:val="superscript"/>
              </w:rPr>
              <w:t>a</w:t>
            </w:r>
            <w:r w:rsidRPr="00351683">
              <w:rPr>
                <w:sz w:val="22"/>
                <w:szCs w:val="22"/>
              </w:rPr>
              <w:t xml:space="preserve"> is greater than 7% prior to initiation of a dipeptidyl peptidase 4 inhibitor (gliptin), a thiazolidinedione (glitazone) or a glucagon-like peptide-1 despite treatment with metformin and where a combination of metformin and a sulfonylurea is contraindicated or not tolerated.</w:t>
            </w:r>
          </w:p>
        </w:tc>
        <w:tc>
          <w:tcPr>
            <w:tcW w:w="3168" w:type="dxa"/>
          </w:tcPr>
          <w:p w:rsidR="00F41995" w:rsidRPr="00351683" w:rsidRDefault="00F41995" w:rsidP="00492694">
            <w:pPr>
              <w:pStyle w:val="Tablewriting"/>
              <w:rPr>
                <w:sz w:val="22"/>
                <w:szCs w:val="22"/>
              </w:rPr>
            </w:pPr>
            <w:r w:rsidRPr="00351683">
              <w:rPr>
                <w:sz w:val="22"/>
                <w:szCs w:val="22"/>
              </w:rPr>
              <w:t>Metformin and sitagliptin FDC</w:t>
            </w:r>
          </w:p>
          <w:p w:rsidR="00F41995" w:rsidRPr="00351683" w:rsidRDefault="00F41995" w:rsidP="00492694">
            <w:pPr>
              <w:pStyle w:val="Tablewriting"/>
              <w:rPr>
                <w:sz w:val="22"/>
                <w:szCs w:val="22"/>
                <w:u w:val="single"/>
              </w:rPr>
            </w:pPr>
            <w:r w:rsidRPr="00351683">
              <w:rPr>
                <w:sz w:val="22"/>
                <w:szCs w:val="22"/>
              </w:rPr>
              <w:t>Metformin and vildagliptin FDC</w:t>
            </w:r>
          </w:p>
        </w:tc>
      </w:tr>
      <w:tr w:rsidR="00F41995" w:rsidRPr="00C2154E" w:rsidTr="00F244DE">
        <w:tc>
          <w:tcPr>
            <w:tcW w:w="10008" w:type="dxa"/>
          </w:tcPr>
          <w:p w:rsidR="00F41995" w:rsidRPr="00351683" w:rsidRDefault="00F41995" w:rsidP="00492694">
            <w:pPr>
              <w:pStyle w:val="Tablewriting"/>
              <w:rPr>
                <w:sz w:val="22"/>
                <w:szCs w:val="22"/>
              </w:rPr>
            </w:pPr>
            <w:r w:rsidRPr="00351683">
              <w:rPr>
                <w:sz w:val="22"/>
                <w:szCs w:val="22"/>
              </w:rPr>
              <w:t>Authority required (streamlined) 3149; 3686</w:t>
            </w:r>
          </w:p>
          <w:p w:rsidR="00F41995" w:rsidRPr="00351683" w:rsidRDefault="00F41995" w:rsidP="00492694">
            <w:pPr>
              <w:pStyle w:val="Tablewriting"/>
              <w:rPr>
                <w:sz w:val="22"/>
                <w:szCs w:val="22"/>
              </w:rPr>
            </w:pPr>
            <w:r w:rsidRPr="00351683">
              <w:rPr>
                <w:sz w:val="22"/>
                <w:szCs w:val="22"/>
              </w:rPr>
              <w:t>Continuation of therapy in type 2 diabetes mellitus in a patient who has previously received and been stabilised on a PBS-subsidised regimen of oral diabetic medicines which includes metformin and sitagliptin / metformin and vildagliptin.</w:t>
            </w:r>
          </w:p>
        </w:tc>
        <w:tc>
          <w:tcPr>
            <w:tcW w:w="3168" w:type="dxa"/>
          </w:tcPr>
          <w:p w:rsidR="00F41995" w:rsidRPr="00351683" w:rsidRDefault="00F41995" w:rsidP="00492694">
            <w:pPr>
              <w:pStyle w:val="Tablewriting"/>
              <w:rPr>
                <w:sz w:val="22"/>
                <w:szCs w:val="22"/>
              </w:rPr>
            </w:pPr>
            <w:r w:rsidRPr="00351683">
              <w:rPr>
                <w:sz w:val="22"/>
                <w:szCs w:val="22"/>
              </w:rPr>
              <w:t>Metformin and sitagliptin FDC</w:t>
            </w:r>
          </w:p>
          <w:p w:rsidR="00F41995" w:rsidRPr="00351683" w:rsidRDefault="00F41995" w:rsidP="00492694">
            <w:pPr>
              <w:pStyle w:val="Tablewriting"/>
              <w:rPr>
                <w:sz w:val="22"/>
                <w:szCs w:val="22"/>
              </w:rPr>
            </w:pPr>
            <w:r w:rsidRPr="00351683">
              <w:rPr>
                <w:sz w:val="22"/>
                <w:szCs w:val="22"/>
              </w:rPr>
              <w:t>Metformin and vildagliptin FDC</w:t>
            </w:r>
          </w:p>
        </w:tc>
      </w:tr>
    </w:tbl>
    <w:p w:rsidR="00F41995" w:rsidRDefault="00F41995" w:rsidP="00646887">
      <w:pPr>
        <w:pStyle w:val="Notes"/>
      </w:pPr>
      <w:r w:rsidRPr="00175828">
        <w:rPr>
          <w:vertAlign w:val="superscript"/>
        </w:rPr>
        <w:t xml:space="preserve">a </w:t>
      </w:r>
      <w:r w:rsidRPr="00175828">
        <w:t>The date and level of the qualifying HbA1c must be documented in the patient's medical records at the time treatment with a gliptin, a glitazone or a glucagon-like peptide-1 is initiated. The HbA1c must be no more than 4 months old at the time treatment with a gliptin, a glitazone or a glucagon-like peptide-1 is initiated.</w:t>
      </w:r>
      <w:r>
        <w:t xml:space="preserve"> </w:t>
      </w:r>
    </w:p>
    <w:p w:rsidR="00F41995" w:rsidRPr="00175828" w:rsidRDefault="00F41995" w:rsidP="00646887">
      <w:pPr>
        <w:pStyle w:val="Notes"/>
      </w:pPr>
      <w:r w:rsidRPr="00175828">
        <w:t>Blood glucose monitoring may be used as an alternative assessment to HbA1c levels in the following circumstances:</w:t>
      </w:r>
    </w:p>
    <w:p w:rsidR="00F41995" w:rsidRPr="00175828" w:rsidRDefault="00F41995" w:rsidP="00646887">
      <w:pPr>
        <w:pStyle w:val="Notes"/>
      </w:pPr>
      <w:r w:rsidRPr="00175828">
        <w:t>(a) clinical conditions with reduced red blood cell survival, including haemolytic anaem</w:t>
      </w:r>
      <w:r>
        <w:t xml:space="preserve">ias and </w:t>
      </w:r>
      <w:r w:rsidRPr="00175828">
        <w:t>haemoglobinopathies; and/or</w:t>
      </w:r>
    </w:p>
    <w:p w:rsidR="00F41995" w:rsidRPr="00175828" w:rsidRDefault="00F41995" w:rsidP="00646887">
      <w:pPr>
        <w:pStyle w:val="Notes"/>
      </w:pPr>
      <w:r w:rsidRPr="00175828">
        <w:t>(b) red cell transfusi</w:t>
      </w:r>
      <w:r>
        <w:t>on within the previous 3 months.</w:t>
      </w:r>
    </w:p>
    <w:p w:rsidR="00F41995" w:rsidRPr="00175828" w:rsidRDefault="00F41995" w:rsidP="00646887">
      <w:pPr>
        <w:pStyle w:val="Notes"/>
      </w:pPr>
      <w:r w:rsidRPr="006B137D">
        <w:t xml:space="preserve">A patient in these circumstances will be eligible for treatment where blood glucose monitoring over a 2 week period shows blood glucose levels greater than 10 mmol per </w:t>
      </w:r>
      <w:r>
        <w:t>litre</w:t>
      </w:r>
      <w:r w:rsidRPr="006B137D">
        <w:t xml:space="preserve"> in more than 20% of tests. The results of this blood glucose monitoring, which must be no more than 4 months old at the time of initiation of treatment with a gliptin, a glitazone or a glucagon-like peptide-1, must</w:t>
      </w:r>
      <w:r w:rsidRPr="00175828">
        <w:t xml:space="preserve"> be documented i</w:t>
      </w:r>
      <w:r>
        <w:t>n the patient's medical records.</w:t>
      </w:r>
    </w:p>
    <w:p w:rsidR="00F41995" w:rsidRPr="00F41995" w:rsidRDefault="00F41995" w:rsidP="00492694"/>
    <w:p w:rsidR="00F41995" w:rsidRPr="00C45556" w:rsidRDefault="00F41995" w:rsidP="00492694">
      <w:pPr>
        <w:pStyle w:val="BodyText1"/>
        <w:rPr>
          <w:b/>
        </w:rPr>
      </w:pPr>
      <w:r w:rsidRPr="00C45556">
        <w:rPr>
          <w:b/>
        </w:rPr>
        <w:t>Table 4</w:t>
      </w:r>
      <w:r w:rsidR="00F244DE" w:rsidRPr="00C45556">
        <w:rPr>
          <w:b/>
        </w:rPr>
        <w:t>.</w:t>
      </w:r>
      <w:r w:rsidRPr="00C45556">
        <w:rPr>
          <w:b/>
        </w:rPr>
        <w:t xml:space="preserve"> Date of PBS listing of </w:t>
      </w:r>
      <w:r w:rsidR="00F244DE" w:rsidRPr="00C45556">
        <w:rPr>
          <w:b/>
        </w:rPr>
        <w:t>medicine</w:t>
      </w:r>
      <w:r w:rsidRPr="00C45556">
        <w:rPr>
          <w:b/>
        </w:rPr>
        <w:t>s used to treat diabetes</w:t>
      </w:r>
      <w:r w:rsidR="00F244DE" w:rsidRPr="00C45556">
        <w:rPr>
          <w:b/>
        </w:rPr>
        <w:t>.</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1276"/>
        <w:gridCol w:w="5812"/>
      </w:tblGrid>
      <w:tr w:rsidR="00F41995" w:rsidRPr="00C2154E" w:rsidTr="00F41995">
        <w:trPr>
          <w:tblHeader/>
        </w:trPr>
        <w:tc>
          <w:tcPr>
            <w:tcW w:w="1951" w:type="dxa"/>
            <w:shd w:val="clear" w:color="auto" w:fill="BFBFBF"/>
          </w:tcPr>
          <w:p w:rsidR="00F41995" w:rsidRPr="00351683" w:rsidRDefault="00F244DE" w:rsidP="00492694">
            <w:pPr>
              <w:pStyle w:val="Tableheading"/>
              <w:rPr>
                <w:sz w:val="22"/>
                <w:szCs w:val="22"/>
              </w:rPr>
            </w:pPr>
            <w:r w:rsidRPr="00351683">
              <w:rPr>
                <w:sz w:val="22"/>
                <w:szCs w:val="22"/>
              </w:rPr>
              <w:t>Medicine</w:t>
            </w:r>
          </w:p>
        </w:tc>
        <w:tc>
          <w:tcPr>
            <w:tcW w:w="1276" w:type="dxa"/>
            <w:shd w:val="clear" w:color="auto" w:fill="BFBFBF"/>
          </w:tcPr>
          <w:p w:rsidR="00F41995" w:rsidRPr="00351683" w:rsidRDefault="00F244DE" w:rsidP="00492694">
            <w:pPr>
              <w:pStyle w:val="Tableheading"/>
              <w:rPr>
                <w:sz w:val="22"/>
                <w:szCs w:val="22"/>
              </w:rPr>
            </w:pPr>
            <w:r w:rsidRPr="00351683">
              <w:rPr>
                <w:sz w:val="22"/>
                <w:szCs w:val="22"/>
              </w:rPr>
              <w:t>D</w:t>
            </w:r>
            <w:r w:rsidR="00F41995" w:rsidRPr="00351683">
              <w:rPr>
                <w:sz w:val="22"/>
                <w:szCs w:val="22"/>
              </w:rPr>
              <w:t>ate</w:t>
            </w:r>
          </w:p>
        </w:tc>
        <w:tc>
          <w:tcPr>
            <w:tcW w:w="5812" w:type="dxa"/>
            <w:shd w:val="clear" w:color="auto" w:fill="BFBFBF"/>
          </w:tcPr>
          <w:p w:rsidR="00F41995" w:rsidRPr="00351683" w:rsidRDefault="00F41995" w:rsidP="00492694">
            <w:pPr>
              <w:pStyle w:val="Tableheading"/>
              <w:rPr>
                <w:sz w:val="22"/>
                <w:szCs w:val="22"/>
              </w:rPr>
            </w:pPr>
            <w:r w:rsidRPr="00351683">
              <w:rPr>
                <w:sz w:val="22"/>
                <w:szCs w:val="22"/>
              </w:rPr>
              <w:t>Summarised restriction</w:t>
            </w:r>
          </w:p>
        </w:tc>
      </w:tr>
      <w:tr w:rsidR="00F41995" w:rsidRPr="00C2154E" w:rsidTr="00F244DE">
        <w:tc>
          <w:tcPr>
            <w:tcW w:w="1951" w:type="dxa"/>
          </w:tcPr>
          <w:p w:rsidR="00F41995" w:rsidRPr="00351683" w:rsidRDefault="00F41995" w:rsidP="00492694">
            <w:pPr>
              <w:pStyle w:val="Tablewriting"/>
              <w:rPr>
                <w:sz w:val="22"/>
                <w:szCs w:val="22"/>
              </w:rPr>
            </w:pPr>
            <w:r w:rsidRPr="00351683">
              <w:rPr>
                <w:sz w:val="22"/>
                <w:szCs w:val="22"/>
              </w:rPr>
              <w:t>Glimepiride</w:t>
            </w:r>
          </w:p>
        </w:tc>
        <w:tc>
          <w:tcPr>
            <w:tcW w:w="1276" w:type="dxa"/>
          </w:tcPr>
          <w:p w:rsidR="00F41995" w:rsidRPr="00351683" w:rsidRDefault="00F41995" w:rsidP="00492694">
            <w:pPr>
              <w:pStyle w:val="Tablewriting"/>
              <w:rPr>
                <w:sz w:val="22"/>
                <w:szCs w:val="22"/>
              </w:rPr>
            </w:pPr>
            <w:r w:rsidRPr="00351683">
              <w:rPr>
                <w:sz w:val="22"/>
                <w:szCs w:val="22"/>
              </w:rPr>
              <w:t>Nov 2000</w:t>
            </w:r>
          </w:p>
        </w:tc>
        <w:tc>
          <w:tcPr>
            <w:tcW w:w="5812" w:type="dxa"/>
          </w:tcPr>
          <w:p w:rsidR="00F41995" w:rsidRPr="00351683" w:rsidRDefault="00F41995" w:rsidP="00492694">
            <w:pPr>
              <w:pStyle w:val="Tablewriting"/>
              <w:rPr>
                <w:sz w:val="22"/>
                <w:szCs w:val="22"/>
              </w:rPr>
            </w:pPr>
            <w:r w:rsidRPr="00351683">
              <w:rPr>
                <w:sz w:val="22"/>
                <w:szCs w:val="22"/>
              </w:rPr>
              <w:t>Unrestricted benefit</w:t>
            </w:r>
          </w:p>
        </w:tc>
      </w:tr>
      <w:tr w:rsidR="00F41995" w:rsidRPr="00C2154E" w:rsidTr="00F244DE">
        <w:tc>
          <w:tcPr>
            <w:tcW w:w="1951" w:type="dxa"/>
            <w:vMerge w:val="restart"/>
          </w:tcPr>
          <w:p w:rsidR="00F41995" w:rsidRPr="00351683" w:rsidRDefault="00F41995" w:rsidP="00492694">
            <w:pPr>
              <w:pStyle w:val="Tablewriting"/>
              <w:rPr>
                <w:sz w:val="22"/>
                <w:szCs w:val="22"/>
              </w:rPr>
            </w:pPr>
            <w:r w:rsidRPr="00351683">
              <w:rPr>
                <w:sz w:val="22"/>
                <w:szCs w:val="22"/>
              </w:rPr>
              <w:t>Rosiglitazone</w:t>
            </w:r>
          </w:p>
        </w:tc>
        <w:tc>
          <w:tcPr>
            <w:tcW w:w="1276" w:type="dxa"/>
          </w:tcPr>
          <w:p w:rsidR="00F41995" w:rsidRPr="00351683" w:rsidRDefault="00F41995" w:rsidP="00492694">
            <w:pPr>
              <w:pStyle w:val="Tablewriting"/>
              <w:rPr>
                <w:sz w:val="22"/>
                <w:szCs w:val="22"/>
              </w:rPr>
            </w:pPr>
            <w:r w:rsidRPr="00351683">
              <w:rPr>
                <w:sz w:val="22"/>
                <w:szCs w:val="22"/>
              </w:rPr>
              <w:t>Nov 2003</w:t>
            </w:r>
          </w:p>
        </w:tc>
        <w:tc>
          <w:tcPr>
            <w:tcW w:w="5812" w:type="dxa"/>
          </w:tcPr>
          <w:p w:rsidR="00F41995" w:rsidRPr="00351683" w:rsidRDefault="00F41995" w:rsidP="00492694">
            <w:pPr>
              <w:pStyle w:val="Tablewriting"/>
              <w:rPr>
                <w:sz w:val="22"/>
                <w:szCs w:val="22"/>
              </w:rPr>
            </w:pPr>
            <w:r w:rsidRPr="00351683">
              <w:rPr>
                <w:sz w:val="22"/>
                <w:szCs w:val="22"/>
              </w:rPr>
              <w:t>Dual oral – with either metformin or a sulfonylurea*</w:t>
            </w:r>
          </w:p>
        </w:tc>
      </w:tr>
      <w:tr w:rsidR="00F41995" w:rsidRPr="00C2154E" w:rsidTr="00F244DE">
        <w:tc>
          <w:tcPr>
            <w:tcW w:w="1951" w:type="dxa"/>
            <w:vMerge/>
          </w:tcPr>
          <w:p w:rsidR="00F41995" w:rsidRPr="00351683" w:rsidRDefault="00F41995" w:rsidP="00492694">
            <w:pPr>
              <w:pStyle w:val="Tablewriting"/>
              <w:rPr>
                <w:sz w:val="22"/>
                <w:szCs w:val="22"/>
              </w:rPr>
            </w:pPr>
          </w:p>
        </w:tc>
        <w:tc>
          <w:tcPr>
            <w:tcW w:w="1276" w:type="dxa"/>
          </w:tcPr>
          <w:p w:rsidR="00F41995" w:rsidRPr="00351683" w:rsidRDefault="00F41995" w:rsidP="00492694">
            <w:pPr>
              <w:pStyle w:val="Tablewriting"/>
              <w:rPr>
                <w:sz w:val="22"/>
                <w:szCs w:val="22"/>
              </w:rPr>
            </w:pPr>
            <w:r w:rsidRPr="00351683">
              <w:rPr>
                <w:sz w:val="22"/>
                <w:szCs w:val="22"/>
              </w:rPr>
              <w:t>Aug 2005</w:t>
            </w:r>
          </w:p>
        </w:tc>
        <w:tc>
          <w:tcPr>
            <w:tcW w:w="5812" w:type="dxa"/>
          </w:tcPr>
          <w:p w:rsidR="00F41995" w:rsidRPr="00351683" w:rsidRDefault="00F41995" w:rsidP="00492694">
            <w:pPr>
              <w:pStyle w:val="Tablewriting"/>
              <w:rPr>
                <w:sz w:val="22"/>
                <w:szCs w:val="22"/>
              </w:rPr>
            </w:pPr>
            <w:r w:rsidRPr="00351683">
              <w:rPr>
                <w:sz w:val="22"/>
                <w:szCs w:val="22"/>
              </w:rPr>
              <w:t>Combination therapy with insulin – PBS subsidisation ceased late 2008</w:t>
            </w:r>
          </w:p>
        </w:tc>
      </w:tr>
      <w:tr w:rsidR="00F41995" w:rsidRPr="00C2154E" w:rsidTr="00F244DE">
        <w:trPr>
          <w:trHeight w:val="1027"/>
        </w:trPr>
        <w:tc>
          <w:tcPr>
            <w:tcW w:w="1951" w:type="dxa"/>
            <w:vMerge/>
          </w:tcPr>
          <w:p w:rsidR="00F41995" w:rsidRPr="00351683" w:rsidRDefault="00F41995" w:rsidP="00492694">
            <w:pPr>
              <w:pStyle w:val="Tablewriting"/>
              <w:rPr>
                <w:sz w:val="22"/>
                <w:szCs w:val="22"/>
              </w:rPr>
            </w:pPr>
          </w:p>
        </w:tc>
        <w:tc>
          <w:tcPr>
            <w:tcW w:w="1276" w:type="dxa"/>
          </w:tcPr>
          <w:p w:rsidR="00F41995" w:rsidRPr="00351683" w:rsidRDefault="00F41995" w:rsidP="00492694">
            <w:pPr>
              <w:pStyle w:val="Tablewriting"/>
              <w:rPr>
                <w:sz w:val="22"/>
                <w:szCs w:val="22"/>
              </w:rPr>
            </w:pPr>
            <w:r w:rsidRPr="00351683">
              <w:rPr>
                <w:sz w:val="22"/>
                <w:szCs w:val="22"/>
              </w:rPr>
              <w:t>Aug 2006</w:t>
            </w:r>
          </w:p>
        </w:tc>
        <w:tc>
          <w:tcPr>
            <w:tcW w:w="5812" w:type="dxa"/>
          </w:tcPr>
          <w:p w:rsidR="00F41995" w:rsidRPr="00351683" w:rsidRDefault="00F41995" w:rsidP="00492694">
            <w:pPr>
              <w:pStyle w:val="Tablewriting"/>
              <w:rPr>
                <w:sz w:val="22"/>
                <w:szCs w:val="22"/>
              </w:rPr>
            </w:pPr>
            <w:r w:rsidRPr="00351683">
              <w:rPr>
                <w:sz w:val="22"/>
                <w:szCs w:val="22"/>
              </w:rPr>
              <w:t>Triple therapy with metformin and sulfonylurea– PBS subsidisation ceased Feb 2009</w:t>
            </w:r>
          </w:p>
        </w:tc>
      </w:tr>
      <w:tr w:rsidR="00F41995" w:rsidRPr="00C2154E" w:rsidTr="00F244DE">
        <w:tc>
          <w:tcPr>
            <w:tcW w:w="1951" w:type="dxa"/>
          </w:tcPr>
          <w:p w:rsidR="00F41995" w:rsidRPr="00351683" w:rsidRDefault="00F41995" w:rsidP="00492694">
            <w:pPr>
              <w:pStyle w:val="Tablewriting"/>
              <w:rPr>
                <w:sz w:val="22"/>
                <w:szCs w:val="22"/>
              </w:rPr>
            </w:pPr>
            <w:r w:rsidRPr="00351683">
              <w:rPr>
                <w:sz w:val="22"/>
                <w:szCs w:val="22"/>
              </w:rPr>
              <w:t>Rosiglitazone with metformin FDC</w:t>
            </w:r>
          </w:p>
        </w:tc>
        <w:tc>
          <w:tcPr>
            <w:tcW w:w="1276" w:type="dxa"/>
          </w:tcPr>
          <w:p w:rsidR="00F41995" w:rsidRPr="00351683" w:rsidRDefault="00F41995" w:rsidP="00492694">
            <w:pPr>
              <w:pStyle w:val="Tablewriting"/>
              <w:rPr>
                <w:sz w:val="22"/>
                <w:szCs w:val="22"/>
              </w:rPr>
            </w:pPr>
            <w:r w:rsidRPr="00351683">
              <w:rPr>
                <w:sz w:val="22"/>
                <w:szCs w:val="22"/>
              </w:rPr>
              <w:t>Dec 2006</w:t>
            </w:r>
          </w:p>
        </w:tc>
        <w:tc>
          <w:tcPr>
            <w:tcW w:w="5812" w:type="dxa"/>
          </w:tcPr>
          <w:p w:rsidR="00F41995" w:rsidRPr="00351683" w:rsidRDefault="00F41995" w:rsidP="00492694">
            <w:pPr>
              <w:pStyle w:val="Tablewriting"/>
              <w:rPr>
                <w:sz w:val="22"/>
                <w:szCs w:val="22"/>
              </w:rPr>
            </w:pPr>
            <w:r w:rsidRPr="00351683">
              <w:rPr>
                <w:sz w:val="22"/>
                <w:szCs w:val="22"/>
              </w:rPr>
              <w:t>Dual therapy when sulfonylurea is contraindicated or not tolerated</w:t>
            </w:r>
          </w:p>
        </w:tc>
      </w:tr>
      <w:tr w:rsidR="00F41995" w:rsidRPr="00C2154E" w:rsidTr="00F244DE">
        <w:tc>
          <w:tcPr>
            <w:tcW w:w="1951" w:type="dxa"/>
            <w:vMerge w:val="restart"/>
          </w:tcPr>
          <w:p w:rsidR="00F41995" w:rsidRPr="00351683" w:rsidRDefault="00F41995" w:rsidP="00492694">
            <w:pPr>
              <w:pStyle w:val="Tablewriting"/>
              <w:rPr>
                <w:sz w:val="22"/>
                <w:szCs w:val="22"/>
              </w:rPr>
            </w:pPr>
            <w:r w:rsidRPr="00351683">
              <w:rPr>
                <w:sz w:val="22"/>
                <w:szCs w:val="22"/>
              </w:rPr>
              <w:t>Pioglitazone</w:t>
            </w:r>
          </w:p>
        </w:tc>
        <w:tc>
          <w:tcPr>
            <w:tcW w:w="1276" w:type="dxa"/>
          </w:tcPr>
          <w:p w:rsidR="00F41995" w:rsidRPr="00351683" w:rsidRDefault="00F41995" w:rsidP="00492694">
            <w:pPr>
              <w:pStyle w:val="Tablewriting"/>
              <w:rPr>
                <w:sz w:val="22"/>
                <w:szCs w:val="22"/>
              </w:rPr>
            </w:pPr>
            <w:r w:rsidRPr="00351683">
              <w:rPr>
                <w:sz w:val="22"/>
                <w:szCs w:val="22"/>
              </w:rPr>
              <w:t>Nov 2003</w:t>
            </w:r>
          </w:p>
        </w:tc>
        <w:tc>
          <w:tcPr>
            <w:tcW w:w="5812" w:type="dxa"/>
          </w:tcPr>
          <w:p w:rsidR="00F41995" w:rsidRPr="00351683" w:rsidRDefault="00F41995" w:rsidP="00492694">
            <w:pPr>
              <w:pStyle w:val="Tablewriting"/>
              <w:rPr>
                <w:sz w:val="22"/>
                <w:szCs w:val="22"/>
              </w:rPr>
            </w:pPr>
            <w:r w:rsidRPr="00351683">
              <w:rPr>
                <w:sz w:val="22"/>
                <w:szCs w:val="22"/>
              </w:rPr>
              <w:t>Dual oral – with either metformin or a sulfonylurea*</w:t>
            </w:r>
          </w:p>
        </w:tc>
      </w:tr>
      <w:tr w:rsidR="00F41995" w:rsidRPr="00C2154E" w:rsidTr="00F244DE">
        <w:tc>
          <w:tcPr>
            <w:tcW w:w="1951" w:type="dxa"/>
            <w:vMerge/>
          </w:tcPr>
          <w:p w:rsidR="00F41995" w:rsidRPr="00351683" w:rsidRDefault="00F41995" w:rsidP="00492694">
            <w:pPr>
              <w:pStyle w:val="Tablewriting"/>
              <w:rPr>
                <w:sz w:val="22"/>
                <w:szCs w:val="22"/>
              </w:rPr>
            </w:pPr>
          </w:p>
        </w:tc>
        <w:tc>
          <w:tcPr>
            <w:tcW w:w="1276" w:type="dxa"/>
          </w:tcPr>
          <w:p w:rsidR="00F41995" w:rsidRPr="00351683" w:rsidRDefault="00F41995" w:rsidP="00492694">
            <w:pPr>
              <w:pStyle w:val="Tablewriting"/>
              <w:rPr>
                <w:sz w:val="22"/>
                <w:szCs w:val="22"/>
              </w:rPr>
            </w:pPr>
            <w:r w:rsidRPr="00351683">
              <w:rPr>
                <w:sz w:val="22"/>
                <w:szCs w:val="22"/>
              </w:rPr>
              <w:t>Nov 2003</w:t>
            </w:r>
          </w:p>
        </w:tc>
        <w:tc>
          <w:tcPr>
            <w:tcW w:w="5812" w:type="dxa"/>
          </w:tcPr>
          <w:p w:rsidR="00F41995" w:rsidRPr="00351683" w:rsidRDefault="00F41995" w:rsidP="00492694">
            <w:pPr>
              <w:pStyle w:val="Tablewriting"/>
              <w:rPr>
                <w:sz w:val="22"/>
                <w:szCs w:val="22"/>
              </w:rPr>
            </w:pPr>
            <w:r w:rsidRPr="00351683">
              <w:rPr>
                <w:sz w:val="22"/>
                <w:szCs w:val="22"/>
              </w:rPr>
              <w:t>Combination therapy with insulin</w:t>
            </w:r>
          </w:p>
        </w:tc>
      </w:tr>
      <w:tr w:rsidR="00F41995" w:rsidRPr="00C2154E" w:rsidTr="00F244DE">
        <w:tc>
          <w:tcPr>
            <w:tcW w:w="1951" w:type="dxa"/>
            <w:vMerge/>
          </w:tcPr>
          <w:p w:rsidR="00F41995" w:rsidRPr="00351683" w:rsidRDefault="00F41995" w:rsidP="00492694">
            <w:pPr>
              <w:pStyle w:val="Tablewriting"/>
              <w:rPr>
                <w:sz w:val="22"/>
                <w:szCs w:val="22"/>
              </w:rPr>
            </w:pPr>
          </w:p>
        </w:tc>
        <w:tc>
          <w:tcPr>
            <w:tcW w:w="1276" w:type="dxa"/>
          </w:tcPr>
          <w:p w:rsidR="00F41995" w:rsidRPr="00351683" w:rsidRDefault="00F41995" w:rsidP="00492694">
            <w:pPr>
              <w:pStyle w:val="Tablewriting"/>
              <w:rPr>
                <w:sz w:val="22"/>
                <w:szCs w:val="22"/>
              </w:rPr>
            </w:pPr>
            <w:r w:rsidRPr="00351683">
              <w:rPr>
                <w:sz w:val="22"/>
                <w:szCs w:val="22"/>
              </w:rPr>
              <w:t>Feb 2008</w:t>
            </w:r>
          </w:p>
        </w:tc>
        <w:tc>
          <w:tcPr>
            <w:tcW w:w="5812" w:type="dxa"/>
          </w:tcPr>
          <w:p w:rsidR="00F41995" w:rsidRPr="00351683" w:rsidRDefault="00F41995" w:rsidP="00492694">
            <w:pPr>
              <w:pStyle w:val="Tablewriting"/>
              <w:rPr>
                <w:sz w:val="22"/>
                <w:szCs w:val="22"/>
              </w:rPr>
            </w:pPr>
            <w:r w:rsidRPr="00351683">
              <w:rPr>
                <w:sz w:val="22"/>
                <w:szCs w:val="22"/>
              </w:rPr>
              <w:t>Triple therapy – with metformin and a sulfonylurea</w:t>
            </w:r>
          </w:p>
        </w:tc>
      </w:tr>
      <w:tr w:rsidR="00F41995" w:rsidRPr="00C2154E" w:rsidTr="00F244DE">
        <w:tc>
          <w:tcPr>
            <w:tcW w:w="1951" w:type="dxa"/>
          </w:tcPr>
          <w:p w:rsidR="00F41995" w:rsidRPr="00351683" w:rsidRDefault="00F41995" w:rsidP="00492694">
            <w:pPr>
              <w:pStyle w:val="Tablewriting"/>
              <w:rPr>
                <w:sz w:val="22"/>
                <w:szCs w:val="22"/>
              </w:rPr>
            </w:pPr>
            <w:r w:rsidRPr="00351683">
              <w:rPr>
                <w:sz w:val="22"/>
                <w:szCs w:val="22"/>
              </w:rPr>
              <w:t>Insulin detemir</w:t>
            </w:r>
          </w:p>
        </w:tc>
        <w:tc>
          <w:tcPr>
            <w:tcW w:w="1276" w:type="dxa"/>
          </w:tcPr>
          <w:p w:rsidR="00F41995" w:rsidRPr="00351683" w:rsidRDefault="00F41995" w:rsidP="00492694">
            <w:pPr>
              <w:pStyle w:val="Tablewriting"/>
              <w:rPr>
                <w:sz w:val="22"/>
                <w:szCs w:val="22"/>
              </w:rPr>
            </w:pPr>
            <w:r w:rsidRPr="00351683">
              <w:rPr>
                <w:sz w:val="22"/>
                <w:szCs w:val="22"/>
              </w:rPr>
              <w:t>Oct 2006</w:t>
            </w:r>
          </w:p>
        </w:tc>
        <w:tc>
          <w:tcPr>
            <w:tcW w:w="5812" w:type="dxa"/>
          </w:tcPr>
          <w:p w:rsidR="00F41995" w:rsidRPr="00351683" w:rsidRDefault="00F41995" w:rsidP="00492694">
            <w:pPr>
              <w:pStyle w:val="Tablewriting"/>
              <w:rPr>
                <w:sz w:val="22"/>
                <w:szCs w:val="22"/>
              </w:rPr>
            </w:pPr>
            <w:r w:rsidRPr="00351683">
              <w:rPr>
                <w:sz w:val="22"/>
                <w:szCs w:val="22"/>
              </w:rPr>
              <w:t>Restricted benefit – type one diabetes</w:t>
            </w:r>
          </w:p>
        </w:tc>
      </w:tr>
      <w:tr w:rsidR="00F41995" w:rsidRPr="00C2154E" w:rsidTr="00F244DE">
        <w:tc>
          <w:tcPr>
            <w:tcW w:w="1951" w:type="dxa"/>
          </w:tcPr>
          <w:p w:rsidR="00F41995" w:rsidRPr="00351683" w:rsidRDefault="00F41995" w:rsidP="00492694">
            <w:pPr>
              <w:pStyle w:val="Tablewriting"/>
              <w:rPr>
                <w:sz w:val="22"/>
                <w:szCs w:val="22"/>
              </w:rPr>
            </w:pPr>
            <w:r w:rsidRPr="00351683">
              <w:rPr>
                <w:sz w:val="22"/>
                <w:szCs w:val="22"/>
              </w:rPr>
              <w:t>Insulin glargine</w:t>
            </w:r>
          </w:p>
        </w:tc>
        <w:tc>
          <w:tcPr>
            <w:tcW w:w="1276" w:type="dxa"/>
          </w:tcPr>
          <w:p w:rsidR="00F41995" w:rsidRPr="00351683" w:rsidRDefault="00F41995" w:rsidP="00492694">
            <w:pPr>
              <w:pStyle w:val="Tablewriting"/>
              <w:rPr>
                <w:sz w:val="22"/>
                <w:szCs w:val="22"/>
              </w:rPr>
            </w:pPr>
            <w:r w:rsidRPr="00351683">
              <w:rPr>
                <w:sz w:val="22"/>
                <w:szCs w:val="22"/>
              </w:rPr>
              <w:t>Oct 2006</w:t>
            </w:r>
          </w:p>
        </w:tc>
        <w:tc>
          <w:tcPr>
            <w:tcW w:w="5812" w:type="dxa"/>
          </w:tcPr>
          <w:p w:rsidR="00F41995" w:rsidRPr="00351683" w:rsidRDefault="00F41995" w:rsidP="00492694">
            <w:pPr>
              <w:pStyle w:val="Tablewriting"/>
              <w:rPr>
                <w:sz w:val="22"/>
                <w:szCs w:val="22"/>
              </w:rPr>
            </w:pPr>
            <w:r w:rsidRPr="00351683">
              <w:rPr>
                <w:sz w:val="22"/>
                <w:szCs w:val="22"/>
              </w:rPr>
              <w:t>Unrestricted benefit</w:t>
            </w:r>
          </w:p>
        </w:tc>
      </w:tr>
      <w:tr w:rsidR="00F41995" w:rsidRPr="00C2154E" w:rsidTr="00F244DE">
        <w:tc>
          <w:tcPr>
            <w:tcW w:w="1951" w:type="dxa"/>
          </w:tcPr>
          <w:p w:rsidR="00F41995" w:rsidRPr="00351683" w:rsidRDefault="00F41995" w:rsidP="00492694">
            <w:pPr>
              <w:pStyle w:val="Tablewriting"/>
              <w:rPr>
                <w:sz w:val="22"/>
                <w:szCs w:val="22"/>
              </w:rPr>
            </w:pPr>
            <w:r w:rsidRPr="00351683">
              <w:rPr>
                <w:sz w:val="22"/>
                <w:szCs w:val="22"/>
              </w:rPr>
              <w:t>Insulin glulisine</w:t>
            </w:r>
          </w:p>
        </w:tc>
        <w:tc>
          <w:tcPr>
            <w:tcW w:w="1276" w:type="dxa"/>
          </w:tcPr>
          <w:p w:rsidR="00F41995" w:rsidRPr="00351683" w:rsidRDefault="00F41995" w:rsidP="00492694">
            <w:pPr>
              <w:pStyle w:val="Tablewriting"/>
              <w:rPr>
                <w:sz w:val="22"/>
                <w:szCs w:val="22"/>
              </w:rPr>
            </w:pPr>
            <w:r w:rsidRPr="00351683">
              <w:rPr>
                <w:sz w:val="22"/>
                <w:szCs w:val="22"/>
              </w:rPr>
              <w:t>Jul 2007</w:t>
            </w:r>
          </w:p>
        </w:tc>
        <w:tc>
          <w:tcPr>
            <w:tcW w:w="5812" w:type="dxa"/>
          </w:tcPr>
          <w:p w:rsidR="00F41995" w:rsidRPr="00351683" w:rsidRDefault="00F41995" w:rsidP="00492694">
            <w:pPr>
              <w:pStyle w:val="Tablewriting"/>
              <w:rPr>
                <w:sz w:val="22"/>
                <w:szCs w:val="22"/>
              </w:rPr>
            </w:pPr>
            <w:r w:rsidRPr="00351683">
              <w:rPr>
                <w:sz w:val="22"/>
                <w:szCs w:val="22"/>
              </w:rPr>
              <w:t>Unrestricted benefit</w:t>
            </w:r>
          </w:p>
        </w:tc>
      </w:tr>
      <w:tr w:rsidR="00F41995" w:rsidRPr="00C2154E" w:rsidTr="00F244DE">
        <w:tc>
          <w:tcPr>
            <w:tcW w:w="1951" w:type="dxa"/>
          </w:tcPr>
          <w:p w:rsidR="00F41995" w:rsidRPr="00351683" w:rsidRDefault="00F41995" w:rsidP="00492694">
            <w:pPr>
              <w:pStyle w:val="Tablewriting"/>
              <w:rPr>
                <w:sz w:val="22"/>
                <w:szCs w:val="22"/>
              </w:rPr>
            </w:pPr>
            <w:r w:rsidRPr="00351683">
              <w:rPr>
                <w:sz w:val="22"/>
                <w:szCs w:val="22"/>
              </w:rPr>
              <w:t>Sitagliptin</w:t>
            </w:r>
          </w:p>
        </w:tc>
        <w:tc>
          <w:tcPr>
            <w:tcW w:w="1276" w:type="dxa"/>
          </w:tcPr>
          <w:p w:rsidR="00F41995" w:rsidRPr="00351683" w:rsidRDefault="00F41995" w:rsidP="00492694">
            <w:pPr>
              <w:pStyle w:val="Tablewriting"/>
              <w:rPr>
                <w:sz w:val="22"/>
                <w:szCs w:val="22"/>
              </w:rPr>
            </w:pPr>
            <w:r w:rsidRPr="00351683">
              <w:rPr>
                <w:sz w:val="22"/>
                <w:szCs w:val="22"/>
              </w:rPr>
              <w:t>Aug 2008</w:t>
            </w:r>
          </w:p>
        </w:tc>
        <w:tc>
          <w:tcPr>
            <w:tcW w:w="5812" w:type="dxa"/>
          </w:tcPr>
          <w:p w:rsidR="00F41995" w:rsidRPr="00351683" w:rsidRDefault="00F41995" w:rsidP="00492694">
            <w:pPr>
              <w:pStyle w:val="Tablewriting"/>
              <w:rPr>
                <w:sz w:val="22"/>
                <w:szCs w:val="22"/>
              </w:rPr>
            </w:pPr>
            <w:r w:rsidRPr="00351683">
              <w:rPr>
                <w:sz w:val="22"/>
                <w:szCs w:val="22"/>
              </w:rPr>
              <w:t>Dual oral – with either metformin or a sulfonylurea*</w:t>
            </w:r>
          </w:p>
        </w:tc>
      </w:tr>
      <w:tr w:rsidR="00F41995" w:rsidRPr="00C2154E" w:rsidTr="00F244DE">
        <w:trPr>
          <w:trHeight w:val="350"/>
        </w:trPr>
        <w:tc>
          <w:tcPr>
            <w:tcW w:w="1951" w:type="dxa"/>
          </w:tcPr>
          <w:p w:rsidR="00F41995" w:rsidRPr="00351683" w:rsidRDefault="00F41995" w:rsidP="00492694">
            <w:pPr>
              <w:pStyle w:val="Tablewriting"/>
              <w:rPr>
                <w:sz w:val="22"/>
                <w:szCs w:val="22"/>
              </w:rPr>
            </w:pPr>
            <w:r w:rsidRPr="00351683">
              <w:rPr>
                <w:sz w:val="22"/>
                <w:szCs w:val="22"/>
              </w:rPr>
              <w:t>Sitagliptin with metformin FDC</w:t>
            </w:r>
          </w:p>
        </w:tc>
        <w:tc>
          <w:tcPr>
            <w:tcW w:w="1276" w:type="dxa"/>
          </w:tcPr>
          <w:p w:rsidR="00F41995" w:rsidRPr="00351683" w:rsidRDefault="00F41995" w:rsidP="00492694">
            <w:pPr>
              <w:pStyle w:val="Tablewriting"/>
              <w:rPr>
                <w:sz w:val="22"/>
                <w:szCs w:val="22"/>
              </w:rPr>
            </w:pPr>
            <w:r w:rsidRPr="00351683">
              <w:rPr>
                <w:sz w:val="22"/>
                <w:szCs w:val="22"/>
              </w:rPr>
              <w:t>Aug 2009</w:t>
            </w:r>
          </w:p>
        </w:tc>
        <w:tc>
          <w:tcPr>
            <w:tcW w:w="5812" w:type="dxa"/>
          </w:tcPr>
          <w:p w:rsidR="00F41995" w:rsidRPr="00351683" w:rsidRDefault="00F41995" w:rsidP="00492694">
            <w:pPr>
              <w:pStyle w:val="Tablewriting"/>
              <w:rPr>
                <w:sz w:val="22"/>
                <w:szCs w:val="22"/>
              </w:rPr>
            </w:pPr>
            <w:r w:rsidRPr="00351683">
              <w:rPr>
                <w:sz w:val="22"/>
                <w:szCs w:val="22"/>
              </w:rPr>
              <w:t>Dual therapy when sulfonylurea is contraindicated or not tolerated</w:t>
            </w:r>
          </w:p>
        </w:tc>
      </w:tr>
      <w:tr w:rsidR="00F41995" w:rsidRPr="00C2154E" w:rsidTr="00F244DE">
        <w:trPr>
          <w:trHeight w:val="350"/>
        </w:trPr>
        <w:tc>
          <w:tcPr>
            <w:tcW w:w="1951" w:type="dxa"/>
            <w:vMerge w:val="restart"/>
          </w:tcPr>
          <w:p w:rsidR="00F41995" w:rsidRPr="00351683" w:rsidRDefault="00F41995" w:rsidP="00492694">
            <w:pPr>
              <w:pStyle w:val="Tablewriting"/>
              <w:rPr>
                <w:sz w:val="22"/>
                <w:szCs w:val="22"/>
              </w:rPr>
            </w:pPr>
            <w:r w:rsidRPr="00351683">
              <w:rPr>
                <w:sz w:val="22"/>
                <w:szCs w:val="22"/>
              </w:rPr>
              <w:t>Exenatide</w:t>
            </w:r>
          </w:p>
        </w:tc>
        <w:tc>
          <w:tcPr>
            <w:tcW w:w="1276" w:type="dxa"/>
          </w:tcPr>
          <w:p w:rsidR="00F41995" w:rsidRPr="00351683" w:rsidRDefault="00F41995" w:rsidP="00492694">
            <w:pPr>
              <w:pStyle w:val="Tablewriting"/>
              <w:rPr>
                <w:sz w:val="22"/>
                <w:szCs w:val="22"/>
              </w:rPr>
            </w:pPr>
            <w:r w:rsidRPr="00351683">
              <w:rPr>
                <w:sz w:val="22"/>
                <w:szCs w:val="22"/>
              </w:rPr>
              <w:t>Aug 2010</w:t>
            </w:r>
          </w:p>
        </w:tc>
        <w:tc>
          <w:tcPr>
            <w:tcW w:w="5812" w:type="dxa"/>
          </w:tcPr>
          <w:p w:rsidR="00F41995" w:rsidRPr="00351683" w:rsidRDefault="00F41995" w:rsidP="00492694">
            <w:pPr>
              <w:pStyle w:val="Tablewriting"/>
              <w:rPr>
                <w:sz w:val="22"/>
                <w:szCs w:val="22"/>
              </w:rPr>
            </w:pPr>
            <w:r w:rsidRPr="00351683">
              <w:rPr>
                <w:sz w:val="22"/>
                <w:szCs w:val="22"/>
              </w:rPr>
              <w:t>Dual oral – with either metformin or a sulfonylurea*</w:t>
            </w:r>
          </w:p>
        </w:tc>
      </w:tr>
      <w:tr w:rsidR="00F41995" w:rsidRPr="00C2154E" w:rsidTr="00F244DE">
        <w:trPr>
          <w:trHeight w:val="399"/>
        </w:trPr>
        <w:tc>
          <w:tcPr>
            <w:tcW w:w="1951" w:type="dxa"/>
            <w:vMerge/>
          </w:tcPr>
          <w:p w:rsidR="00F41995" w:rsidRPr="00351683" w:rsidRDefault="00F41995" w:rsidP="00492694">
            <w:pPr>
              <w:pStyle w:val="Tablewriting"/>
              <w:rPr>
                <w:sz w:val="22"/>
                <w:szCs w:val="22"/>
              </w:rPr>
            </w:pPr>
          </w:p>
        </w:tc>
        <w:tc>
          <w:tcPr>
            <w:tcW w:w="1276" w:type="dxa"/>
          </w:tcPr>
          <w:p w:rsidR="00F41995" w:rsidRPr="00351683" w:rsidRDefault="00F41995" w:rsidP="00492694">
            <w:pPr>
              <w:pStyle w:val="Tablewriting"/>
              <w:rPr>
                <w:sz w:val="22"/>
                <w:szCs w:val="22"/>
              </w:rPr>
            </w:pPr>
            <w:r w:rsidRPr="00351683">
              <w:rPr>
                <w:sz w:val="22"/>
                <w:szCs w:val="22"/>
              </w:rPr>
              <w:t>Aug 2010</w:t>
            </w:r>
          </w:p>
        </w:tc>
        <w:tc>
          <w:tcPr>
            <w:tcW w:w="5812" w:type="dxa"/>
          </w:tcPr>
          <w:p w:rsidR="00F41995" w:rsidRPr="00351683" w:rsidRDefault="00F41995" w:rsidP="00492694">
            <w:pPr>
              <w:pStyle w:val="Tablewriting"/>
              <w:rPr>
                <w:sz w:val="22"/>
                <w:szCs w:val="22"/>
              </w:rPr>
            </w:pPr>
            <w:r w:rsidRPr="00351683">
              <w:rPr>
                <w:sz w:val="22"/>
                <w:szCs w:val="22"/>
              </w:rPr>
              <w:t>Triple therapy – with metformin and a sulfonylurea</w:t>
            </w:r>
          </w:p>
        </w:tc>
      </w:tr>
      <w:tr w:rsidR="00F41995" w:rsidRPr="00C2154E" w:rsidTr="00F244DE">
        <w:trPr>
          <w:trHeight w:val="228"/>
        </w:trPr>
        <w:tc>
          <w:tcPr>
            <w:tcW w:w="1951" w:type="dxa"/>
          </w:tcPr>
          <w:p w:rsidR="00F41995" w:rsidRPr="00351683" w:rsidRDefault="00F41995" w:rsidP="00492694">
            <w:pPr>
              <w:pStyle w:val="Tablewriting"/>
              <w:rPr>
                <w:sz w:val="22"/>
                <w:szCs w:val="22"/>
              </w:rPr>
            </w:pPr>
            <w:r w:rsidRPr="00351683">
              <w:rPr>
                <w:sz w:val="22"/>
                <w:szCs w:val="22"/>
              </w:rPr>
              <w:t>Vildagliptin</w:t>
            </w:r>
          </w:p>
        </w:tc>
        <w:tc>
          <w:tcPr>
            <w:tcW w:w="1276" w:type="dxa"/>
          </w:tcPr>
          <w:p w:rsidR="00F41995" w:rsidRPr="00351683" w:rsidRDefault="00F41995" w:rsidP="00492694">
            <w:pPr>
              <w:pStyle w:val="Tablewriting"/>
              <w:rPr>
                <w:sz w:val="22"/>
                <w:szCs w:val="22"/>
              </w:rPr>
            </w:pPr>
            <w:r w:rsidRPr="00351683">
              <w:rPr>
                <w:sz w:val="22"/>
                <w:szCs w:val="22"/>
              </w:rPr>
              <w:t>Aug 2010</w:t>
            </w:r>
          </w:p>
        </w:tc>
        <w:tc>
          <w:tcPr>
            <w:tcW w:w="5812" w:type="dxa"/>
          </w:tcPr>
          <w:p w:rsidR="00F41995" w:rsidRPr="00351683" w:rsidRDefault="00F41995" w:rsidP="00492694">
            <w:pPr>
              <w:pStyle w:val="Tablewriting"/>
              <w:rPr>
                <w:sz w:val="22"/>
                <w:szCs w:val="22"/>
              </w:rPr>
            </w:pPr>
            <w:r w:rsidRPr="00351683">
              <w:rPr>
                <w:sz w:val="22"/>
                <w:szCs w:val="22"/>
              </w:rPr>
              <w:t>Dual oral – with either metformin or a sulfonylurea*</w:t>
            </w:r>
          </w:p>
        </w:tc>
      </w:tr>
      <w:tr w:rsidR="00F41995" w:rsidRPr="00C2154E" w:rsidTr="00F244DE">
        <w:tc>
          <w:tcPr>
            <w:tcW w:w="1951" w:type="dxa"/>
          </w:tcPr>
          <w:p w:rsidR="00F41995" w:rsidRPr="00351683" w:rsidRDefault="00F41995" w:rsidP="00492694">
            <w:pPr>
              <w:pStyle w:val="Tablewriting"/>
              <w:rPr>
                <w:sz w:val="22"/>
                <w:szCs w:val="22"/>
              </w:rPr>
            </w:pPr>
            <w:r w:rsidRPr="00351683">
              <w:rPr>
                <w:sz w:val="22"/>
                <w:szCs w:val="22"/>
              </w:rPr>
              <w:t>Vildagliptin with metformin FDC</w:t>
            </w:r>
          </w:p>
        </w:tc>
        <w:tc>
          <w:tcPr>
            <w:tcW w:w="1276" w:type="dxa"/>
          </w:tcPr>
          <w:p w:rsidR="00F41995" w:rsidRPr="00351683" w:rsidRDefault="00F41995" w:rsidP="00492694">
            <w:pPr>
              <w:pStyle w:val="Tablewriting"/>
              <w:rPr>
                <w:sz w:val="22"/>
                <w:szCs w:val="22"/>
              </w:rPr>
            </w:pPr>
            <w:r w:rsidRPr="00351683">
              <w:rPr>
                <w:sz w:val="22"/>
                <w:szCs w:val="22"/>
              </w:rPr>
              <w:t>Apr 2011</w:t>
            </w:r>
          </w:p>
        </w:tc>
        <w:tc>
          <w:tcPr>
            <w:tcW w:w="5812" w:type="dxa"/>
          </w:tcPr>
          <w:p w:rsidR="00F41995" w:rsidRPr="00351683" w:rsidRDefault="00F41995" w:rsidP="00492694">
            <w:pPr>
              <w:pStyle w:val="Tablewriting"/>
              <w:rPr>
                <w:sz w:val="22"/>
                <w:szCs w:val="22"/>
              </w:rPr>
            </w:pPr>
            <w:r w:rsidRPr="00351683">
              <w:rPr>
                <w:sz w:val="22"/>
                <w:szCs w:val="22"/>
              </w:rPr>
              <w:t>Dual therapy when sulfonylurea is contraindicated or not tolerated</w:t>
            </w:r>
          </w:p>
        </w:tc>
      </w:tr>
      <w:tr w:rsidR="00F41995" w:rsidRPr="00C2154E" w:rsidTr="00F244DE">
        <w:tc>
          <w:tcPr>
            <w:tcW w:w="1951" w:type="dxa"/>
          </w:tcPr>
          <w:p w:rsidR="00F41995" w:rsidRPr="00351683" w:rsidRDefault="00F41995" w:rsidP="00492694">
            <w:pPr>
              <w:pStyle w:val="Tablewriting"/>
              <w:rPr>
                <w:sz w:val="22"/>
                <w:szCs w:val="22"/>
              </w:rPr>
            </w:pPr>
            <w:r w:rsidRPr="00351683">
              <w:rPr>
                <w:sz w:val="22"/>
                <w:szCs w:val="22"/>
              </w:rPr>
              <w:t>Saxagliptin</w:t>
            </w:r>
          </w:p>
        </w:tc>
        <w:tc>
          <w:tcPr>
            <w:tcW w:w="1276" w:type="dxa"/>
          </w:tcPr>
          <w:p w:rsidR="00F41995" w:rsidRPr="00351683" w:rsidRDefault="00F41995" w:rsidP="00492694">
            <w:pPr>
              <w:pStyle w:val="Tablewriting"/>
              <w:rPr>
                <w:sz w:val="22"/>
                <w:szCs w:val="22"/>
              </w:rPr>
            </w:pPr>
            <w:r w:rsidRPr="00351683">
              <w:rPr>
                <w:sz w:val="22"/>
                <w:szCs w:val="22"/>
              </w:rPr>
              <w:t>Jun 2011</w:t>
            </w:r>
          </w:p>
        </w:tc>
        <w:tc>
          <w:tcPr>
            <w:tcW w:w="5812" w:type="dxa"/>
          </w:tcPr>
          <w:p w:rsidR="00F41995" w:rsidRPr="00351683" w:rsidRDefault="00F41995" w:rsidP="00492694">
            <w:pPr>
              <w:pStyle w:val="Tablewriting"/>
              <w:rPr>
                <w:sz w:val="22"/>
                <w:szCs w:val="22"/>
              </w:rPr>
            </w:pPr>
            <w:r w:rsidRPr="00351683">
              <w:rPr>
                <w:sz w:val="22"/>
                <w:szCs w:val="22"/>
              </w:rPr>
              <w:t>Dual oral – with either metformin or a sulfonylurea*</w:t>
            </w:r>
          </w:p>
        </w:tc>
      </w:tr>
      <w:tr w:rsidR="00F41995" w:rsidRPr="00C2154E" w:rsidTr="00F244DE">
        <w:tc>
          <w:tcPr>
            <w:tcW w:w="1951" w:type="dxa"/>
          </w:tcPr>
          <w:p w:rsidR="00F41995" w:rsidRPr="00351683" w:rsidRDefault="00F41995" w:rsidP="00492694">
            <w:pPr>
              <w:pStyle w:val="Tablewriting"/>
              <w:rPr>
                <w:sz w:val="22"/>
                <w:szCs w:val="22"/>
              </w:rPr>
            </w:pPr>
            <w:r w:rsidRPr="00351683">
              <w:rPr>
                <w:sz w:val="22"/>
                <w:szCs w:val="22"/>
              </w:rPr>
              <w:t>Linagliptin</w:t>
            </w:r>
          </w:p>
        </w:tc>
        <w:tc>
          <w:tcPr>
            <w:tcW w:w="1276" w:type="dxa"/>
          </w:tcPr>
          <w:p w:rsidR="00F41995" w:rsidRPr="00351683" w:rsidRDefault="00F41995" w:rsidP="00492694">
            <w:pPr>
              <w:pStyle w:val="Tablewriting"/>
              <w:rPr>
                <w:sz w:val="22"/>
                <w:szCs w:val="22"/>
              </w:rPr>
            </w:pPr>
            <w:r w:rsidRPr="00351683">
              <w:rPr>
                <w:sz w:val="22"/>
                <w:szCs w:val="22"/>
              </w:rPr>
              <w:t>Mar 2012</w:t>
            </w:r>
          </w:p>
        </w:tc>
        <w:tc>
          <w:tcPr>
            <w:tcW w:w="5812" w:type="dxa"/>
          </w:tcPr>
          <w:p w:rsidR="00F41995" w:rsidRPr="00351683" w:rsidRDefault="00F41995" w:rsidP="00492694">
            <w:pPr>
              <w:pStyle w:val="Tablewriting"/>
              <w:rPr>
                <w:sz w:val="22"/>
                <w:szCs w:val="22"/>
              </w:rPr>
            </w:pPr>
            <w:r w:rsidRPr="00351683">
              <w:rPr>
                <w:sz w:val="22"/>
                <w:szCs w:val="22"/>
              </w:rPr>
              <w:t>Dual oral – with either metformin or a sulfonylurea*</w:t>
            </w:r>
          </w:p>
        </w:tc>
      </w:tr>
    </w:tbl>
    <w:p w:rsidR="00F41995" w:rsidRDefault="0092369C" w:rsidP="00646887">
      <w:pPr>
        <w:pStyle w:val="Notes"/>
      </w:pPr>
      <w:r w:rsidRPr="0092369C">
        <w:rPr>
          <w:u w:val="single"/>
        </w:rPr>
        <w:t>Notes</w:t>
      </w:r>
      <w:r>
        <w:t>: * W</w:t>
      </w:r>
      <w:r w:rsidR="00F41995">
        <w:t>here one of metformin or a sulfonylurea is contraindicated or not tolerated</w:t>
      </w:r>
      <w:r>
        <w:t>.</w:t>
      </w:r>
    </w:p>
    <w:p w:rsidR="00F41995" w:rsidRDefault="00F41995" w:rsidP="00492694"/>
    <w:p w:rsidR="00F41995" w:rsidRDefault="00F41995" w:rsidP="00492694">
      <w:pPr>
        <w:pStyle w:val="BodyText1"/>
      </w:pPr>
      <w:r>
        <w:t>Metformin and insulin neutral were listed on the PBS in 1963. All other drugs covered by this a</w:t>
      </w:r>
      <w:r w:rsidR="00F244DE">
        <w:t>nalysis, except those in Table 4</w:t>
      </w:r>
      <w:r>
        <w:t xml:space="preserve"> above, were listed between 1992 and 2002.</w:t>
      </w:r>
    </w:p>
    <w:p w:rsidR="00F41995" w:rsidRDefault="00F41995" w:rsidP="00492694">
      <w:pPr>
        <w:pStyle w:val="BodyText1"/>
      </w:pPr>
      <w:r>
        <w:t xml:space="preserve">Rosiglitazone was delisted for combination therapy with insulin in late 2008 and delisted for triple therapy with metformin and a sulfonylurea in February 2009. </w:t>
      </w:r>
    </w:p>
    <w:p w:rsidR="00F41995" w:rsidRDefault="00F41995" w:rsidP="00492694">
      <w:pPr>
        <w:pStyle w:val="BodyText1"/>
      </w:pPr>
      <w:r>
        <w:t xml:space="preserve">In March 2010, the PBAC recommended that restrictions on </w:t>
      </w:r>
      <w:r w:rsidRPr="00742FBA">
        <w:t>all currently PBS</w:t>
      </w:r>
      <w:r>
        <w:t>-</w:t>
      </w:r>
      <w:r w:rsidRPr="00742FBA">
        <w:t xml:space="preserve">subsidised </w:t>
      </w:r>
      <w:r w:rsidR="002772EC">
        <w:t>DPP-4 inhibitors</w:t>
      </w:r>
      <w:r w:rsidRPr="00742FBA">
        <w:t xml:space="preserve"> and </w:t>
      </w:r>
      <w:r w:rsidR="006820B1">
        <w:t>TZDs</w:t>
      </w:r>
      <w:r w:rsidRPr="00742FBA">
        <w:t xml:space="preserve"> be modified to allow patients to switch between agents in these two classes without having to requalify with respect to glycosylated haemoglobin levels (HbA</w:t>
      </w:r>
      <w:r w:rsidRPr="008375CC">
        <w:rPr>
          <w:vertAlign w:val="subscript"/>
        </w:rPr>
        <w:t>1c</w:t>
      </w:r>
      <w:r w:rsidRPr="00742FBA">
        <w:t>).</w:t>
      </w:r>
      <w:r>
        <w:t xml:space="preserve"> </w:t>
      </w:r>
      <w:r w:rsidRPr="00742FBA">
        <w:t xml:space="preserve">Although the evidence to support switches from a </w:t>
      </w:r>
      <w:r w:rsidR="002772EC">
        <w:t>DPP-4 inhibitor</w:t>
      </w:r>
      <w:r w:rsidRPr="00742FBA">
        <w:t xml:space="preserve"> to a </w:t>
      </w:r>
      <w:r w:rsidR="006820B1">
        <w:t>TZD</w:t>
      </w:r>
      <w:r w:rsidRPr="00742FBA">
        <w:t xml:space="preserve"> and vice versa is limited, </w:t>
      </w:r>
      <w:r>
        <w:t xml:space="preserve">PBAC </w:t>
      </w:r>
      <w:r w:rsidRPr="00742FBA">
        <w:t>considered it unreasonable to require a loss of diabetic control prior to switching.</w:t>
      </w:r>
      <w:r>
        <w:t xml:space="preserve"> This same recommendation to allow switching was subsequently applied to exenatide.</w:t>
      </w:r>
    </w:p>
    <w:p w:rsidR="00217038" w:rsidRDefault="00217038" w:rsidP="00492694">
      <w:pPr>
        <w:pStyle w:val="BodyText1"/>
      </w:pPr>
    </w:p>
    <w:p w:rsidR="00E20472" w:rsidRDefault="00E20472">
      <w:pPr>
        <w:spacing w:after="0" w:line="240" w:lineRule="auto"/>
        <w:sectPr w:rsidR="00E20472" w:rsidSect="006926F4">
          <w:pgSz w:w="11906" w:h="16838"/>
          <w:pgMar w:top="1440" w:right="1440" w:bottom="1440" w:left="1440" w:header="708" w:footer="708" w:gutter="0"/>
          <w:cols w:space="708"/>
          <w:docGrid w:linePitch="360"/>
        </w:sectPr>
      </w:pPr>
    </w:p>
    <w:p w:rsidR="002E71E3" w:rsidRDefault="002E71E3" w:rsidP="00217038">
      <w:pPr>
        <w:pStyle w:val="Heading2"/>
      </w:pPr>
      <w:bookmarkStart w:id="483" w:name="_Appendix_F:_Literature"/>
      <w:bookmarkStart w:id="484" w:name="_Appendix_F:_PBS/RPS"/>
      <w:bookmarkStart w:id="485" w:name="_Appendix_F:_PBS/RPBS"/>
      <w:bookmarkStart w:id="486" w:name="_Toc397947736"/>
      <w:bookmarkStart w:id="487" w:name="_Toc403399577"/>
      <w:bookmarkEnd w:id="483"/>
      <w:bookmarkEnd w:id="484"/>
      <w:bookmarkEnd w:id="485"/>
      <w:r>
        <w:lastRenderedPageBreak/>
        <w:t>Appendix F: PBS/RPBS Prescriptions and Expenditure by Medicine</w:t>
      </w:r>
      <w:bookmarkEnd w:id="486"/>
      <w:bookmarkEnd w:id="487"/>
    </w:p>
    <w:p w:rsidR="002E71E3" w:rsidRDefault="002E71E3" w:rsidP="002E71E3">
      <w:pPr>
        <w:jc w:val="both"/>
        <w:rPr>
          <w:b/>
        </w:rPr>
      </w:pPr>
      <w:r>
        <w:rPr>
          <w:b/>
        </w:rPr>
        <w:t xml:space="preserve">Details of PBS/RPBS prescriptions </w:t>
      </w:r>
      <w:r w:rsidR="0093424D">
        <w:rPr>
          <w:b/>
        </w:rPr>
        <w:t xml:space="preserve">dispensed </w:t>
      </w:r>
      <w:r>
        <w:rPr>
          <w:b/>
        </w:rPr>
        <w:t xml:space="preserve">during the twelve months ending April 2014 for newer type 2 diabetes medicines. Items </w:t>
      </w:r>
      <w:r w:rsidR="00DA2A7F">
        <w:rPr>
          <w:b/>
        </w:rPr>
        <w:t xml:space="preserve">included </w:t>
      </w:r>
      <w:r>
        <w:rPr>
          <w:b/>
        </w:rPr>
        <w:t>and prices based on the 1 August 2014 PBS Schedule.</w:t>
      </w:r>
    </w:p>
    <w:tbl>
      <w:tblPr>
        <w:tblW w:w="1488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410"/>
        <w:gridCol w:w="992"/>
        <w:gridCol w:w="1276"/>
        <w:gridCol w:w="1134"/>
        <w:gridCol w:w="992"/>
        <w:gridCol w:w="1701"/>
        <w:gridCol w:w="4820"/>
      </w:tblGrid>
      <w:tr w:rsidR="002E71E3" w:rsidTr="0027611E">
        <w:trPr>
          <w:tblHeader/>
        </w:trPr>
        <w:tc>
          <w:tcPr>
            <w:tcW w:w="1560" w:type="dxa"/>
            <w:shd w:val="clear" w:color="auto" w:fill="D9D9D9" w:themeFill="background1" w:themeFillShade="D9"/>
          </w:tcPr>
          <w:p w:rsidR="002E71E3" w:rsidRPr="0027611E" w:rsidRDefault="002E71E3" w:rsidP="0093424D">
            <w:pPr>
              <w:spacing w:before="40" w:after="40" w:line="240" w:lineRule="auto"/>
              <w:rPr>
                <w:rFonts w:asciiTheme="majorHAnsi" w:hAnsiTheme="majorHAnsi" w:cs="Arial"/>
                <w:b/>
                <w:sz w:val="20"/>
                <w:szCs w:val="20"/>
              </w:rPr>
            </w:pPr>
            <w:r w:rsidRPr="0027611E">
              <w:rPr>
                <w:rFonts w:asciiTheme="majorHAnsi" w:hAnsiTheme="majorHAnsi" w:cs="Arial"/>
                <w:b/>
                <w:sz w:val="20"/>
                <w:szCs w:val="20"/>
              </w:rPr>
              <w:t>Drug Name</w:t>
            </w:r>
          </w:p>
        </w:tc>
        <w:tc>
          <w:tcPr>
            <w:tcW w:w="2410" w:type="dxa"/>
            <w:shd w:val="clear" w:color="auto" w:fill="D9D9D9" w:themeFill="background1" w:themeFillShade="D9"/>
          </w:tcPr>
          <w:p w:rsidR="002E71E3" w:rsidRPr="0027611E" w:rsidRDefault="002E71E3" w:rsidP="0093424D">
            <w:pPr>
              <w:spacing w:before="40" w:after="40" w:line="240" w:lineRule="auto"/>
              <w:rPr>
                <w:rFonts w:asciiTheme="majorHAnsi" w:hAnsiTheme="majorHAnsi" w:cs="Arial"/>
                <w:b/>
                <w:sz w:val="20"/>
                <w:szCs w:val="20"/>
              </w:rPr>
            </w:pPr>
            <w:r w:rsidRPr="0027611E">
              <w:rPr>
                <w:rFonts w:asciiTheme="majorHAnsi" w:hAnsiTheme="majorHAnsi" w:cs="Arial"/>
                <w:b/>
                <w:sz w:val="20"/>
                <w:szCs w:val="20"/>
              </w:rPr>
              <w:t>Form &amp; Strength</w:t>
            </w:r>
          </w:p>
        </w:tc>
        <w:tc>
          <w:tcPr>
            <w:tcW w:w="992" w:type="dxa"/>
            <w:shd w:val="clear" w:color="auto" w:fill="D9D9D9" w:themeFill="background1" w:themeFillShade="D9"/>
          </w:tcPr>
          <w:p w:rsidR="002E71E3" w:rsidRPr="0027611E" w:rsidRDefault="002E71E3" w:rsidP="0093424D">
            <w:pPr>
              <w:spacing w:before="40" w:after="40" w:line="240" w:lineRule="auto"/>
              <w:jc w:val="center"/>
              <w:rPr>
                <w:rFonts w:asciiTheme="majorHAnsi" w:hAnsiTheme="majorHAnsi" w:cs="Arial"/>
                <w:b/>
                <w:sz w:val="20"/>
                <w:szCs w:val="20"/>
              </w:rPr>
            </w:pPr>
            <w:r w:rsidRPr="0027611E">
              <w:rPr>
                <w:rFonts w:asciiTheme="majorHAnsi" w:hAnsiTheme="majorHAnsi" w:cs="Arial"/>
                <w:b/>
                <w:sz w:val="20"/>
                <w:szCs w:val="20"/>
              </w:rPr>
              <w:t>Item No.</w:t>
            </w:r>
          </w:p>
        </w:tc>
        <w:tc>
          <w:tcPr>
            <w:tcW w:w="1276" w:type="dxa"/>
            <w:shd w:val="clear" w:color="auto" w:fill="D9D9D9" w:themeFill="background1" w:themeFillShade="D9"/>
          </w:tcPr>
          <w:p w:rsidR="002E71E3" w:rsidRPr="0027611E" w:rsidRDefault="002E71E3" w:rsidP="0093424D">
            <w:pPr>
              <w:spacing w:before="40" w:after="40" w:line="240" w:lineRule="auto"/>
              <w:jc w:val="center"/>
              <w:rPr>
                <w:rFonts w:asciiTheme="majorHAnsi" w:hAnsiTheme="majorHAnsi" w:cs="Arial"/>
                <w:b/>
                <w:sz w:val="20"/>
                <w:szCs w:val="20"/>
              </w:rPr>
            </w:pPr>
            <w:r w:rsidRPr="0027611E">
              <w:rPr>
                <w:rFonts w:asciiTheme="majorHAnsi" w:hAnsiTheme="majorHAnsi" w:cs="Arial"/>
                <w:b/>
                <w:sz w:val="20"/>
                <w:szCs w:val="20"/>
              </w:rPr>
              <w:t>MQ packs/ MQ units/</w:t>
            </w:r>
          </w:p>
          <w:p w:rsidR="002E71E3" w:rsidRPr="0027611E" w:rsidRDefault="002E71E3" w:rsidP="0093424D">
            <w:pPr>
              <w:spacing w:before="40" w:after="40" w:line="240" w:lineRule="auto"/>
              <w:jc w:val="center"/>
              <w:rPr>
                <w:rFonts w:asciiTheme="majorHAnsi" w:hAnsiTheme="majorHAnsi" w:cs="Arial"/>
                <w:b/>
                <w:sz w:val="20"/>
                <w:szCs w:val="20"/>
              </w:rPr>
            </w:pPr>
            <w:r w:rsidRPr="0027611E">
              <w:rPr>
                <w:rFonts w:asciiTheme="majorHAnsi" w:hAnsiTheme="majorHAnsi" w:cs="Arial"/>
                <w:b/>
                <w:sz w:val="20"/>
                <w:szCs w:val="20"/>
              </w:rPr>
              <w:t>No. of Rpts.</w:t>
            </w:r>
          </w:p>
        </w:tc>
        <w:tc>
          <w:tcPr>
            <w:tcW w:w="1134" w:type="dxa"/>
            <w:shd w:val="clear" w:color="auto" w:fill="D9D9D9" w:themeFill="background1" w:themeFillShade="D9"/>
          </w:tcPr>
          <w:p w:rsidR="002E71E3" w:rsidRDefault="002E71E3" w:rsidP="0093424D">
            <w:pPr>
              <w:spacing w:before="40" w:after="40" w:line="240" w:lineRule="auto"/>
              <w:jc w:val="center"/>
              <w:rPr>
                <w:rFonts w:asciiTheme="majorHAnsi" w:hAnsiTheme="majorHAnsi" w:cs="Arial"/>
                <w:b/>
                <w:sz w:val="20"/>
                <w:szCs w:val="20"/>
              </w:rPr>
            </w:pPr>
            <w:r w:rsidRPr="0027611E">
              <w:rPr>
                <w:rFonts w:asciiTheme="majorHAnsi" w:hAnsiTheme="majorHAnsi" w:cs="Arial"/>
                <w:b/>
                <w:sz w:val="20"/>
                <w:szCs w:val="20"/>
              </w:rPr>
              <w:t>DPMQ</w:t>
            </w:r>
          </w:p>
          <w:p w:rsidR="0027611E" w:rsidRPr="0027611E" w:rsidRDefault="0027611E" w:rsidP="0093424D">
            <w:pPr>
              <w:spacing w:before="40" w:after="40" w:line="240" w:lineRule="auto"/>
              <w:jc w:val="center"/>
              <w:rPr>
                <w:rFonts w:asciiTheme="majorHAnsi" w:hAnsiTheme="majorHAnsi" w:cs="Arial"/>
                <w:b/>
                <w:sz w:val="20"/>
                <w:szCs w:val="20"/>
              </w:rPr>
            </w:pPr>
            <w:r>
              <w:rPr>
                <w:rFonts w:asciiTheme="majorHAnsi" w:hAnsiTheme="majorHAnsi" w:cs="Arial"/>
                <w:b/>
                <w:sz w:val="20"/>
                <w:szCs w:val="20"/>
              </w:rPr>
              <w:t>(Price)</w:t>
            </w:r>
          </w:p>
        </w:tc>
        <w:tc>
          <w:tcPr>
            <w:tcW w:w="992" w:type="dxa"/>
            <w:shd w:val="clear" w:color="auto" w:fill="D9D9D9" w:themeFill="background1" w:themeFillShade="D9"/>
          </w:tcPr>
          <w:p w:rsidR="002E71E3" w:rsidRPr="0027611E" w:rsidRDefault="002E71E3" w:rsidP="0093424D">
            <w:pPr>
              <w:spacing w:before="40" w:after="40" w:line="240" w:lineRule="auto"/>
              <w:jc w:val="center"/>
              <w:rPr>
                <w:rFonts w:asciiTheme="majorHAnsi" w:hAnsiTheme="majorHAnsi" w:cs="Arial"/>
                <w:b/>
                <w:sz w:val="20"/>
                <w:szCs w:val="20"/>
              </w:rPr>
            </w:pPr>
            <w:r w:rsidRPr="0027611E">
              <w:rPr>
                <w:rFonts w:asciiTheme="majorHAnsi" w:hAnsiTheme="majorHAnsi" w:cs="Arial"/>
                <w:b/>
                <w:sz w:val="20"/>
                <w:szCs w:val="20"/>
              </w:rPr>
              <w:t>No. of Scripts</w:t>
            </w:r>
          </w:p>
        </w:tc>
        <w:tc>
          <w:tcPr>
            <w:tcW w:w="1701" w:type="dxa"/>
            <w:shd w:val="clear" w:color="auto" w:fill="D9D9D9" w:themeFill="background1" w:themeFillShade="D9"/>
          </w:tcPr>
          <w:p w:rsidR="002E71E3" w:rsidRPr="0027611E" w:rsidRDefault="002E71E3" w:rsidP="0093424D">
            <w:pPr>
              <w:spacing w:before="40" w:after="40" w:line="240" w:lineRule="auto"/>
              <w:jc w:val="center"/>
              <w:rPr>
                <w:rFonts w:asciiTheme="majorHAnsi" w:hAnsiTheme="majorHAnsi" w:cs="Arial"/>
                <w:b/>
                <w:sz w:val="20"/>
                <w:szCs w:val="20"/>
              </w:rPr>
            </w:pPr>
            <w:r w:rsidRPr="0027611E">
              <w:rPr>
                <w:rFonts w:asciiTheme="majorHAnsi" w:hAnsiTheme="majorHAnsi" w:cs="Arial"/>
                <w:b/>
                <w:sz w:val="20"/>
                <w:szCs w:val="20"/>
              </w:rPr>
              <w:t xml:space="preserve">Cost to Govt </w:t>
            </w:r>
          </w:p>
        </w:tc>
        <w:tc>
          <w:tcPr>
            <w:tcW w:w="4820" w:type="dxa"/>
            <w:shd w:val="clear" w:color="auto" w:fill="D9D9D9" w:themeFill="background1" w:themeFillShade="D9"/>
          </w:tcPr>
          <w:p w:rsidR="002E71E3" w:rsidRPr="0027611E" w:rsidRDefault="002E71E3" w:rsidP="0093424D">
            <w:pPr>
              <w:spacing w:before="40" w:after="40" w:line="240" w:lineRule="auto"/>
              <w:jc w:val="center"/>
              <w:rPr>
                <w:rFonts w:asciiTheme="majorHAnsi" w:hAnsiTheme="majorHAnsi" w:cs="Arial"/>
                <w:b/>
                <w:sz w:val="20"/>
                <w:szCs w:val="20"/>
              </w:rPr>
            </w:pPr>
            <w:r w:rsidRPr="0027611E">
              <w:rPr>
                <w:rFonts w:asciiTheme="majorHAnsi" w:hAnsiTheme="majorHAnsi" w:cs="Arial"/>
                <w:b/>
                <w:sz w:val="20"/>
                <w:szCs w:val="20"/>
              </w:rPr>
              <w:t>Abbreviated restriction</w:t>
            </w:r>
          </w:p>
        </w:tc>
      </w:tr>
      <w:tr w:rsidR="002E71E3" w:rsidTr="0093424D">
        <w:trPr>
          <w:cantSplit/>
          <w:trHeight w:val="75"/>
        </w:trPr>
        <w:tc>
          <w:tcPr>
            <w:tcW w:w="14885" w:type="dxa"/>
            <w:gridSpan w:val="8"/>
            <w:shd w:val="clear" w:color="auto" w:fill="D9D9D9" w:themeFill="background1" w:themeFillShade="D9"/>
          </w:tcPr>
          <w:p w:rsidR="002E71E3" w:rsidRPr="0027611E" w:rsidRDefault="002E71E3" w:rsidP="0093424D">
            <w:pPr>
              <w:spacing w:before="40" w:after="40" w:line="240" w:lineRule="auto"/>
              <w:rPr>
                <w:rFonts w:asciiTheme="majorHAnsi" w:hAnsiTheme="majorHAnsi" w:cs="Arial"/>
                <w:b/>
                <w:i/>
                <w:sz w:val="20"/>
                <w:szCs w:val="20"/>
              </w:rPr>
            </w:pPr>
            <w:r w:rsidRPr="0027611E">
              <w:rPr>
                <w:rFonts w:asciiTheme="majorHAnsi" w:hAnsiTheme="majorHAnsi" w:cs="Arial"/>
                <w:b/>
                <w:i/>
                <w:sz w:val="20"/>
                <w:szCs w:val="20"/>
              </w:rPr>
              <w:t>TZDs</w:t>
            </w:r>
          </w:p>
        </w:tc>
      </w:tr>
      <w:tr w:rsidR="002E71E3" w:rsidTr="0027611E">
        <w:trPr>
          <w:cantSplit/>
          <w:trHeight w:val="75"/>
        </w:trPr>
        <w:tc>
          <w:tcPr>
            <w:tcW w:w="156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Pioglitazone</w:t>
            </w:r>
          </w:p>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15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8694N</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$32.13</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45,121</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$1,421,399</w:t>
            </w:r>
          </w:p>
        </w:tc>
        <w:tc>
          <w:tcPr>
            <w:tcW w:w="482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Authority Required (STREAMLINED)</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In combination with Met or Su, and contraindicated/intolerant to Met + Su.</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In combination with insulin.</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In combination with Met + Su.</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HbA</w:t>
            </w:r>
            <w:r w:rsidRPr="0027611E">
              <w:rPr>
                <w:rFonts w:asciiTheme="majorHAnsi" w:hAnsiTheme="majorHAnsi" w:cs="Arial"/>
                <w:sz w:val="20"/>
                <w:szCs w:val="20"/>
                <w:vertAlign w:val="subscript"/>
              </w:rPr>
              <w:t>1c</w:t>
            </w:r>
            <w:r w:rsidRPr="0027611E">
              <w:rPr>
                <w:rFonts w:asciiTheme="majorHAnsi" w:hAnsiTheme="majorHAnsi" w:cs="Arial"/>
                <w:sz w:val="20"/>
                <w:szCs w:val="20"/>
              </w:rPr>
              <w:t xml:space="preserve"> &gt;7%.</w:t>
            </w: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30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8695P</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$45.19</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117,722</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$5,476,143</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45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8696Q</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$55.39</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84,447</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$5,062,349</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Rosiglitazone</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4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8689H</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$61.49</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6,572</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$374,785</w:t>
            </w:r>
          </w:p>
        </w:tc>
        <w:tc>
          <w:tcPr>
            <w:tcW w:w="482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Authority Required</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In combination with Met or Su, and contraindicated/intolerant to Met + Su.</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HbA</w:t>
            </w:r>
            <w:r w:rsidRPr="0027611E">
              <w:rPr>
                <w:rFonts w:asciiTheme="majorHAnsi" w:hAnsiTheme="majorHAnsi" w:cs="Arial"/>
                <w:sz w:val="20"/>
                <w:szCs w:val="20"/>
                <w:vertAlign w:val="subscript"/>
              </w:rPr>
              <w:t>1c</w:t>
            </w:r>
            <w:r w:rsidRPr="0027611E">
              <w:rPr>
                <w:rFonts w:asciiTheme="majorHAnsi" w:hAnsiTheme="majorHAnsi" w:cs="Arial"/>
                <w:sz w:val="20"/>
                <w:szCs w:val="20"/>
              </w:rPr>
              <w:t xml:space="preserve"> &gt;7%.</w:t>
            </w: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8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8690J</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$90.94</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7,257</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$586,155</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93424D">
        <w:trPr>
          <w:cantSplit/>
          <w:trHeight w:val="75"/>
        </w:trPr>
        <w:tc>
          <w:tcPr>
            <w:tcW w:w="14885" w:type="dxa"/>
            <w:gridSpan w:val="8"/>
            <w:shd w:val="clear" w:color="auto" w:fill="D9D9D9" w:themeFill="background1" w:themeFillShade="D9"/>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b/>
                <w:i/>
                <w:sz w:val="20"/>
                <w:szCs w:val="20"/>
              </w:rPr>
              <w:t>TZD + metformin combinations</w:t>
            </w:r>
          </w:p>
        </w:tc>
      </w:tr>
      <w:tr w:rsidR="002E71E3" w:rsidTr="0027611E">
        <w:trPr>
          <w:cantSplit/>
          <w:trHeight w:val="75"/>
        </w:trPr>
        <w:tc>
          <w:tcPr>
            <w:tcW w:w="156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Rosiglitazone + metformin</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2 mg + 500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9059T</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$63.58</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1,628</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$92,197</w:t>
            </w:r>
          </w:p>
        </w:tc>
        <w:tc>
          <w:tcPr>
            <w:tcW w:w="482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Authority Required</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Contraindicated/intolerant to Su.</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HbA</w:t>
            </w:r>
            <w:r w:rsidRPr="0027611E">
              <w:rPr>
                <w:rFonts w:asciiTheme="majorHAnsi" w:hAnsiTheme="majorHAnsi" w:cs="Arial"/>
                <w:sz w:val="20"/>
                <w:szCs w:val="20"/>
                <w:vertAlign w:val="subscript"/>
              </w:rPr>
              <w:t>1c</w:t>
            </w:r>
            <w:r w:rsidRPr="0027611E">
              <w:rPr>
                <w:rFonts w:asciiTheme="majorHAnsi" w:hAnsiTheme="majorHAnsi" w:cs="Arial"/>
                <w:sz w:val="20"/>
                <w:szCs w:val="20"/>
              </w:rPr>
              <w:t xml:space="preserve"> &gt;7%.</w:t>
            </w: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2 mg + 1 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9060W</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$65.54</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4,474</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$243,032</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4 mg + 500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9061X</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$93.04</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1,455</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$119,374</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4 mg + 1 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9062Y</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$95.00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8,236</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$679,977</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93424D">
        <w:trPr>
          <w:cantSplit/>
          <w:trHeight w:val="75"/>
        </w:trPr>
        <w:tc>
          <w:tcPr>
            <w:tcW w:w="14885" w:type="dxa"/>
            <w:gridSpan w:val="8"/>
            <w:shd w:val="clear" w:color="auto" w:fill="D9D9D9" w:themeFill="background1" w:themeFillShade="D9"/>
          </w:tcPr>
          <w:p w:rsidR="002E71E3" w:rsidRPr="0027611E" w:rsidRDefault="002E71E3" w:rsidP="0093424D">
            <w:pPr>
              <w:spacing w:before="40" w:after="40" w:line="240" w:lineRule="auto"/>
              <w:rPr>
                <w:rFonts w:asciiTheme="majorHAnsi" w:hAnsiTheme="majorHAnsi" w:cs="Arial"/>
                <w:b/>
                <w:i/>
                <w:sz w:val="20"/>
                <w:szCs w:val="20"/>
              </w:rPr>
            </w:pPr>
            <w:r w:rsidRPr="0027611E">
              <w:rPr>
                <w:rFonts w:asciiTheme="majorHAnsi" w:hAnsiTheme="majorHAnsi" w:cs="Arial"/>
                <w:b/>
                <w:i/>
                <w:sz w:val="20"/>
                <w:szCs w:val="20"/>
              </w:rPr>
              <w:t>DPP-4 inhibitors</w:t>
            </w:r>
          </w:p>
        </w:tc>
      </w:tr>
      <w:tr w:rsidR="002E71E3" w:rsidTr="0027611E">
        <w:trPr>
          <w:cantSplit/>
          <w:trHeight w:val="75"/>
        </w:trPr>
        <w:tc>
          <w:tcPr>
            <w:tcW w:w="156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Alogliptin</w:t>
            </w:r>
            <w:r w:rsidRPr="0027611E">
              <w:rPr>
                <w:rFonts w:asciiTheme="majorHAnsi" w:hAnsiTheme="majorHAnsi" w:cs="Arial"/>
                <w:sz w:val="20"/>
                <w:szCs w:val="20"/>
                <w:vertAlign w:val="superscript"/>
              </w:rPr>
              <w:t>a</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6.25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2944Y</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264</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$12,069</w:t>
            </w:r>
          </w:p>
        </w:tc>
        <w:tc>
          <w:tcPr>
            <w:tcW w:w="482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Authority Required (STREAMLINED)</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In combination with Met or Su.</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HbA</w:t>
            </w:r>
            <w:r w:rsidRPr="0027611E">
              <w:rPr>
                <w:rFonts w:asciiTheme="majorHAnsi" w:hAnsiTheme="majorHAnsi" w:cs="Arial"/>
                <w:sz w:val="20"/>
                <w:szCs w:val="20"/>
                <w:vertAlign w:val="subscript"/>
              </w:rPr>
              <w:t>1c</w:t>
            </w:r>
            <w:r w:rsidRPr="0027611E">
              <w:rPr>
                <w:rFonts w:asciiTheme="majorHAnsi" w:hAnsiTheme="majorHAnsi" w:cs="Arial"/>
                <w:sz w:val="20"/>
                <w:szCs w:val="20"/>
              </w:rPr>
              <w:t xml:space="preserve"> &gt;7%.</w:t>
            </w: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12.5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2933J</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529</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$23,991</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2986E</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1,490</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$62,392</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Linagliptin</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3387G</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1/30/5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$62.95</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180,797</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$14,811,371</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lastRenderedPageBreak/>
              <w:t>Saxagliptin</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10128C</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8983T</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104,351</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$7,829,503</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Sitagliptin</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9180E</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28,339</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$2,272,930</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9181F</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80,558</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$6,413,969</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100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9182G</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$59.20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282,045</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$21,386,177</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Vildagliptin</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3415R</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$62.95</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57,752</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$4,750,890</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93424D">
        <w:trPr>
          <w:cantSplit/>
          <w:trHeight w:val="75"/>
        </w:trPr>
        <w:tc>
          <w:tcPr>
            <w:tcW w:w="14885" w:type="dxa"/>
            <w:gridSpan w:val="8"/>
            <w:shd w:val="clear" w:color="auto" w:fill="D9D9D9" w:themeFill="background1" w:themeFillShade="D9"/>
          </w:tcPr>
          <w:p w:rsidR="002E71E3" w:rsidRPr="0027611E" w:rsidRDefault="002E71E3" w:rsidP="0093424D">
            <w:pPr>
              <w:spacing w:before="40" w:after="40" w:line="240" w:lineRule="auto"/>
              <w:rPr>
                <w:rFonts w:asciiTheme="majorHAnsi" w:hAnsiTheme="majorHAnsi" w:cs="Arial"/>
                <w:b/>
                <w:i/>
                <w:sz w:val="20"/>
                <w:szCs w:val="20"/>
              </w:rPr>
            </w:pPr>
            <w:r w:rsidRPr="0027611E">
              <w:rPr>
                <w:rFonts w:asciiTheme="majorHAnsi" w:hAnsiTheme="majorHAnsi" w:cs="Arial"/>
                <w:b/>
                <w:i/>
                <w:sz w:val="20"/>
                <w:szCs w:val="20"/>
              </w:rPr>
              <w:t>DPP-4 inhibitor + metformin combinations</w:t>
            </w:r>
          </w:p>
        </w:tc>
      </w:tr>
      <w:tr w:rsidR="002E71E3" w:rsidTr="0027611E">
        <w:trPr>
          <w:cantSplit/>
          <w:trHeight w:val="75"/>
        </w:trPr>
        <w:tc>
          <w:tcPr>
            <w:tcW w:w="156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Alogliptin + metformin</w:t>
            </w:r>
            <w:r w:rsidRPr="0027611E">
              <w:rPr>
                <w:rFonts w:asciiTheme="majorHAnsi" w:hAnsiTheme="majorHAnsi" w:cs="Arial"/>
                <w:sz w:val="20"/>
                <w:szCs w:val="20"/>
                <w:vertAlign w:val="superscript"/>
              </w:rPr>
              <w:t>b</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12.5 mg + 500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10033C</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$61.30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157</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$6,932</w:t>
            </w:r>
          </w:p>
        </w:tc>
        <w:tc>
          <w:tcPr>
            <w:tcW w:w="482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Authority Required (STREAMLINED)</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HbA</w:t>
            </w:r>
            <w:r w:rsidRPr="0027611E">
              <w:rPr>
                <w:rFonts w:asciiTheme="majorHAnsi" w:hAnsiTheme="majorHAnsi" w:cs="Arial"/>
                <w:sz w:val="20"/>
                <w:szCs w:val="20"/>
                <w:vertAlign w:val="subscript"/>
              </w:rPr>
              <w:t>1c</w:t>
            </w:r>
            <w:r w:rsidRPr="0027611E">
              <w:rPr>
                <w:rFonts w:asciiTheme="majorHAnsi" w:hAnsiTheme="majorHAnsi" w:cs="Arial"/>
                <w:sz w:val="20"/>
                <w:szCs w:val="20"/>
              </w:rPr>
              <w:t xml:space="preserve"> &gt;7% despite treatment with metformin.</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Continuing: Patient stabilised on metformin + the relevant DPP-4 inhibitor.</w:t>
            </w: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12.5 mg + 850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10032B</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$62.70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107</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$5,402</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12.5 mg + 1 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10035E</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$63.26</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500</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$22,819</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Linagliptin + metformin</w:t>
            </w:r>
            <w:r w:rsidRPr="0027611E">
              <w:rPr>
                <w:rFonts w:asciiTheme="majorHAnsi" w:hAnsiTheme="majorHAnsi" w:cs="Arial"/>
                <w:sz w:val="20"/>
                <w:szCs w:val="20"/>
                <w:vertAlign w:val="superscript"/>
              </w:rPr>
              <w:t>c</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+ 500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10038H</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$65.20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256</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$12,878</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+ 850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10045Q</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$66.69</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102</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$4943</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+ 1 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10044P</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$67.29</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635</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$31,936</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Saxagliptin + metformin</w:t>
            </w:r>
            <w:r w:rsidRPr="0027611E">
              <w:rPr>
                <w:rFonts w:asciiTheme="majorHAnsi" w:hAnsiTheme="majorHAnsi" w:cs="Arial"/>
                <w:sz w:val="20"/>
                <w:szCs w:val="20"/>
                <w:vertAlign w:val="superscript"/>
              </w:rPr>
              <w:t>c</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2.5 mg + 1 g tablet: MR</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10048W</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$63.26</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893</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$40,575</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 mg + 500 mg tablet: MR</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10055F</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$60.25</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245</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$11,022</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 mg + 1 g tablet: MR</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10051B</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$61.30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859</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$38,110</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Sitagliptin + metformin</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+ 500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9449H</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$61.30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107,632</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$8,248,078</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+ 850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9450J</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$62.70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66,912</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$5,169,337</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+ 1 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9451K</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$63.26</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439,983</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$33,775,009</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+ 1 g tablet: MR</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10090C</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1/56/5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$63.26</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100 mg + 1 g tablet: MR</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10089B</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$61.30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Vildagliptin + metformin</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+ 500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5474D</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$62.12</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40,226</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$3,210,966</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+ 850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5475E</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$63.61</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28,617</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$2,290,197</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50 mg + 1 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5476F</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1/60/5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$64.21</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164,880</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$13,178,960</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93424D">
        <w:trPr>
          <w:cantSplit/>
          <w:trHeight w:val="75"/>
        </w:trPr>
        <w:tc>
          <w:tcPr>
            <w:tcW w:w="14885" w:type="dxa"/>
            <w:gridSpan w:val="8"/>
            <w:shd w:val="clear" w:color="auto" w:fill="D9D9D9" w:themeFill="background1" w:themeFillShade="D9"/>
          </w:tcPr>
          <w:p w:rsidR="002E71E3" w:rsidRPr="0027611E" w:rsidRDefault="002E71E3" w:rsidP="0093424D">
            <w:pPr>
              <w:spacing w:before="40" w:after="40" w:line="240" w:lineRule="auto"/>
              <w:rPr>
                <w:rFonts w:asciiTheme="majorHAnsi" w:hAnsiTheme="majorHAnsi" w:cs="Arial"/>
                <w:b/>
                <w:i/>
                <w:sz w:val="20"/>
                <w:szCs w:val="20"/>
              </w:rPr>
            </w:pPr>
            <w:r w:rsidRPr="0027611E">
              <w:rPr>
                <w:rFonts w:asciiTheme="majorHAnsi" w:hAnsiTheme="majorHAnsi" w:cs="Arial"/>
                <w:b/>
                <w:i/>
                <w:sz w:val="20"/>
                <w:szCs w:val="20"/>
              </w:rPr>
              <w:lastRenderedPageBreak/>
              <w:t>SGLT2 inhibitors</w:t>
            </w:r>
          </w:p>
        </w:tc>
      </w:tr>
      <w:tr w:rsidR="002E71E3" w:rsidTr="0027611E">
        <w:trPr>
          <w:cantSplit/>
          <w:trHeight w:val="75"/>
        </w:trPr>
        <w:tc>
          <w:tcPr>
            <w:tcW w:w="156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Canagliflozin</w:t>
            </w:r>
            <w:r w:rsidR="00C519F0" w:rsidRPr="0027611E">
              <w:rPr>
                <w:rFonts w:asciiTheme="majorHAnsi" w:hAnsiTheme="majorHAnsi" w:cs="Arial"/>
                <w:sz w:val="20"/>
                <w:szCs w:val="20"/>
                <w:vertAlign w:val="superscript"/>
              </w:rPr>
              <w:t>a</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100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2873F</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1/30/5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$96.61</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554</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$47,376</w:t>
            </w:r>
          </w:p>
        </w:tc>
        <w:tc>
          <w:tcPr>
            <w:tcW w:w="482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Authority Required</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In combination with Met or Su, and not able to be adequately controlled by Met + Su.</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HbA</w:t>
            </w:r>
            <w:r w:rsidRPr="0027611E">
              <w:rPr>
                <w:rFonts w:asciiTheme="majorHAnsi" w:hAnsiTheme="majorHAnsi" w:cs="Arial"/>
                <w:sz w:val="20"/>
                <w:szCs w:val="20"/>
                <w:vertAlign w:val="subscript"/>
              </w:rPr>
              <w:t>1c</w:t>
            </w:r>
            <w:r w:rsidRPr="0027611E">
              <w:rPr>
                <w:rFonts w:asciiTheme="majorHAnsi" w:hAnsiTheme="majorHAnsi" w:cs="Arial"/>
                <w:sz w:val="20"/>
                <w:szCs w:val="20"/>
              </w:rPr>
              <w:t xml:space="preserve"> &gt;7%.</w:t>
            </w:r>
          </w:p>
        </w:tc>
      </w:tr>
      <w:tr w:rsidR="002E71E3" w:rsidTr="0027611E">
        <w:trPr>
          <w:cantSplit/>
          <w:trHeight w:val="75"/>
        </w:trPr>
        <w:tc>
          <w:tcPr>
            <w:tcW w:w="1560" w:type="dxa"/>
            <w:vMerge/>
          </w:tcPr>
          <w:p w:rsidR="002E71E3" w:rsidRPr="0027611E" w:rsidRDefault="002E71E3" w:rsidP="0093424D">
            <w:pPr>
              <w:spacing w:before="40" w:after="40" w:line="240" w:lineRule="auto"/>
              <w:rPr>
                <w:rFonts w:asciiTheme="majorHAnsi" w:hAnsiTheme="majorHAnsi" w:cs="Arial"/>
                <w:sz w:val="20"/>
                <w:szCs w:val="20"/>
              </w:rPr>
            </w:pP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300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2987F</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1/30/5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$96.61</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843</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$66,453</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27611E">
        <w:trPr>
          <w:cantSplit/>
          <w:trHeight w:val="75"/>
        </w:trPr>
        <w:tc>
          <w:tcPr>
            <w:tcW w:w="156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Dapagliflozin</w:t>
            </w:r>
            <w:r w:rsidR="00C519F0" w:rsidRPr="0027611E">
              <w:rPr>
                <w:rFonts w:asciiTheme="majorHAnsi" w:hAnsiTheme="majorHAnsi" w:cs="Arial"/>
                <w:sz w:val="20"/>
                <w:szCs w:val="20"/>
                <w:vertAlign w:val="superscript"/>
              </w:rPr>
              <w:t>a</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10 mg tablet</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10011X</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1/28/5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$90.40</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10,553</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$762,323</w:t>
            </w:r>
          </w:p>
        </w:tc>
        <w:tc>
          <w:tcPr>
            <w:tcW w:w="4820" w:type="dxa"/>
            <w:vMerge/>
          </w:tcPr>
          <w:p w:rsidR="002E71E3" w:rsidRPr="0027611E" w:rsidRDefault="002E71E3" w:rsidP="0093424D">
            <w:pPr>
              <w:spacing w:before="40" w:after="40" w:line="240" w:lineRule="auto"/>
              <w:rPr>
                <w:rFonts w:asciiTheme="majorHAnsi" w:hAnsiTheme="majorHAnsi" w:cs="Arial"/>
                <w:sz w:val="20"/>
                <w:szCs w:val="20"/>
              </w:rPr>
            </w:pPr>
          </w:p>
        </w:tc>
      </w:tr>
      <w:tr w:rsidR="002E71E3" w:rsidTr="0093424D">
        <w:trPr>
          <w:cantSplit/>
          <w:trHeight w:val="75"/>
        </w:trPr>
        <w:tc>
          <w:tcPr>
            <w:tcW w:w="14885" w:type="dxa"/>
            <w:gridSpan w:val="8"/>
            <w:shd w:val="clear" w:color="auto" w:fill="D9D9D9" w:themeFill="background1" w:themeFillShade="D9"/>
          </w:tcPr>
          <w:p w:rsidR="002E71E3" w:rsidRPr="0027611E" w:rsidRDefault="002E71E3" w:rsidP="0093424D">
            <w:pPr>
              <w:spacing w:before="40" w:after="40" w:line="240" w:lineRule="auto"/>
              <w:rPr>
                <w:rFonts w:asciiTheme="majorHAnsi" w:hAnsiTheme="majorHAnsi" w:cs="Arial"/>
                <w:b/>
                <w:i/>
                <w:sz w:val="20"/>
                <w:szCs w:val="20"/>
              </w:rPr>
            </w:pPr>
            <w:r w:rsidRPr="0027611E">
              <w:rPr>
                <w:rFonts w:asciiTheme="majorHAnsi" w:hAnsiTheme="majorHAnsi" w:cs="Arial"/>
                <w:b/>
                <w:i/>
                <w:sz w:val="20"/>
                <w:szCs w:val="20"/>
              </w:rPr>
              <w:t>GLP-1 receptor agonists</w:t>
            </w:r>
          </w:p>
        </w:tc>
      </w:tr>
      <w:tr w:rsidR="002E71E3" w:rsidTr="0027611E">
        <w:trPr>
          <w:cantSplit/>
          <w:trHeight w:val="75"/>
        </w:trPr>
        <w:tc>
          <w:tcPr>
            <w:tcW w:w="156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Exenatide</w:t>
            </w:r>
            <w:r w:rsidR="00B07F08" w:rsidRPr="00B07F08">
              <w:rPr>
                <w:rFonts w:asciiTheme="majorHAnsi" w:hAnsiTheme="majorHAnsi" w:cs="Arial"/>
                <w:sz w:val="20"/>
                <w:szCs w:val="20"/>
                <w:vertAlign w:val="superscript"/>
              </w:rPr>
              <w:t>d</w:t>
            </w:r>
          </w:p>
        </w:tc>
        <w:tc>
          <w:tcPr>
            <w:tcW w:w="2410" w:type="dxa"/>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5 µg/0.02 mL injection, 60 unit doses</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3423E</w:t>
            </w:r>
          </w:p>
        </w:tc>
        <w:tc>
          <w:tcPr>
            <w:tcW w:w="1276"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1/1/5</w:t>
            </w:r>
          </w:p>
        </w:tc>
        <w:tc>
          <w:tcPr>
            <w:tcW w:w="1134"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$122.79</w:t>
            </w:r>
          </w:p>
        </w:tc>
        <w:tc>
          <w:tcPr>
            <w:tcW w:w="992"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41,781</w:t>
            </w:r>
          </w:p>
        </w:tc>
        <w:tc>
          <w:tcPr>
            <w:tcW w:w="1701" w:type="dxa"/>
          </w:tcPr>
          <w:p w:rsidR="002E71E3" w:rsidRPr="0027611E" w:rsidRDefault="002E71E3" w:rsidP="0093424D">
            <w:pPr>
              <w:spacing w:before="40" w:after="40" w:line="240" w:lineRule="auto"/>
              <w:jc w:val="center"/>
              <w:rPr>
                <w:rFonts w:asciiTheme="majorHAnsi" w:hAnsiTheme="majorHAnsi" w:cs="Arial"/>
                <w:sz w:val="20"/>
                <w:szCs w:val="20"/>
              </w:rPr>
            </w:pPr>
            <w:r w:rsidRPr="0027611E">
              <w:rPr>
                <w:rFonts w:asciiTheme="majorHAnsi" w:hAnsiTheme="majorHAnsi" w:cs="Arial"/>
                <w:sz w:val="20"/>
                <w:szCs w:val="20"/>
              </w:rPr>
              <w:t>$5,817,477</w:t>
            </w:r>
          </w:p>
        </w:tc>
        <w:tc>
          <w:tcPr>
            <w:tcW w:w="4820" w:type="dxa"/>
            <w:vMerge w:val="restart"/>
          </w:tcPr>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Authority Required (STREAMLINED)</w:t>
            </w:r>
          </w:p>
          <w:p w:rsidR="002E71E3"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In combination with Met or Su, and contraindicated/intolerant to Met + Su.</w:t>
            </w:r>
          </w:p>
          <w:p w:rsidR="005E3CD2" w:rsidRPr="0027611E" w:rsidRDefault="005E3CD2" w:rsidP="0093424D">
            <w:pPr>
              <w:spacing w:before="40" w:after="40" w:line="240" w:lineRule="auto"/>
              <w:rPr>
                <w:rFonts w:asciiTheme="majorHAnsi" w:hAnsiTheme="majorHAnsi" w:cs="Arial"/>
                <w:sz w:val="20"/>
                <w:szCs w:val="20"/>
              </w:rPr>
            </w:pPr>
            <w:r>
              <w:rPr>
                <w:rFonts w:asciiTheme="majorHAnsi" w:hAnsiTheme="majorHAnsi" w:cs="Arial"/>
                <w:sz w:val="20"/>
                <w:szCs w:val="20"/>
              </w:rPr>
              <w:t>In combination with Met + Su.</w:t>
            </w:r>
          </w:p>
          <w:p w:rsidR="002E71E3" w:rsidRPr="0027611E" w:rsidRDefault="002E71E3" w:rsidP="0093424D">
            <w:pPr>
              <w:spacing w:before="40" w:after="40" w:line="240" w:lineRule="auto"/>
              <w:rPr>
                <w:rFonts w:asciiTheme="majorHAnsi" w:hAnsiTheme="majorHAnsi" w:cs="Arial"/>
                <w:sz w:val="20"/>
                <w:szCs w:val="20"/>
              </w:rPr>
            </w:pPr>
            <w:r w:rsidRPr="0027611E">
              <w:rPr>
                <w:rFonts w:asciiTheme="majorHAnsi" w:hAnsiTheme="majorHAnsi" w:cs="Arial"/>
                <w:sz w:val="20"/>
                <w:szCs w:val="20"/>
              </w:rPr>
              <w:t>HbA</w:t>
            </w:r>
            <w:r w:rsidRPr="0027611E">
              <w:rPr>
                <w:rFonts w:asciiTheme="majorHAnsi" w:hAnsiTheme="majorHAnsi" w:cs="Arial"/>
                <w:sz w:val="20"/>
                <w:szCs w:val="20"/>
                <w:vertAlign w:val="subscript"/>
              </w:rPr>
              <w:t>1c</w:t>
            </w:r>
            <w:r w:rsidRPr="0027611E">
              <w:rPr>
                <w:rFonts w:asciiTheme="majorHAnsi" w:hAnsiTheme="majorHAnsi" w:cs="Arial"/>
                <w:sz w:val="20"/>
                <w:szCs w:val="20"/>
              </w:rPr>
              <w:t xml:space="preserve"> &gt;7%.</w:t>
            </w:r>
          </w:p>
        </w:tc>
      </w:tr>
      <w:tr w:rsidR="002E71E3" w:rsidTr="0027611E">
        <w:trPr>
          <w:cantSplit/>
          <w:trHeight w:val="75"/>
        </w:trPr>
        <w:tc>
          <w:tcPr>
            <w:tcW w:w="1560" w:type="dxa"/>
            <w:vMerge/>
          </w:tcPr>
          <w:p w:rsidR="002E71E3" w:rsidRPr="000F629D" w:rsidRDefault="002E71E3" w:rsidP="00D41EFF">
            <w:pPr>
              <w:spacing w:before="40" w:after="40"/>
              <w:rPr>
                <w:rFonts w:ascii="Arial" w:hAnsi="Arial" w:cs="Arial"/>
                <w:sz w:val="20"/>
                <w:szCs w:val="20"/>
              </w:rPr>
            </w:pPr>
          </w:p>
        </w:tc>
        <w:tc>
          <w:tcPr>
            <w:tcW w:w="2410" w:type="dxa"/>
          </w:tcPr>
          <w:p w:rsidR="002E71E3" w:rsidRPr="0027611E" w:rsidRDefault="002E71E3" w:rsidP="00D41EFF">
            <w:pPr>
              <w:spacing w:before="40" w:after="40"/>
              <w:rPr>
                <w:rFonts w:asciiTheme="majorHAnsi" w:hAnsiTheme="majorHAnsi" w:cs="Arial"/>
                <w:sz w:val="20"/>
                <w:szCs w:val="20"/>
              </w:rPr>
            </w:pPr>
            <w:r w:rsidRPr="0027611E">
              <w:rPr>
                <w:rFonts w:asciiTheme="majorHAnsi" w:hAnsiTheme="majorHAnsi" w:cs="Arial"/>
                <w:sz w:val="20"/>
                <w:szCs w:val="20"/>
              </w:rPr>
              <w:t>10 µg/0.04 mL injection, 60 unit doses</w:t>
            </w:r>
          </w:p>
        </w:tc>
        <w:tc>
          <w:tcPr>
            <w:tcW w:w="992" w:type="dxa"/>
          </w:tcPr>
          <w:p w:rsidR="002E71E3" w:rsidRPr="0027611E" w:rsidRDefault="002E71E3" w:rsidP="00D41EFF">
            <w:pPr>
              <w:spacing w:before="40" w:after="40"/>
              <w:jc w:val="center"/>
              <w:rPr>
                <w:rFonts w:asciiTheme="majorHAnsi" w:hAnsiTheme="majorHAnsi" w:cs="Arial"/>
                <w:sz w:val="20"/>
                <w:szCs w:val="20"/>
              </w:rPr>
            </w:pPr>
            <w:r w:rsidRPr="0027611E">
              <w:rPr>
                <w:rFonts w:asciiTheme="majorHAnsi" w:hAnsiTheme="majorHAnsi" w:cs="Arial"/>
                <w:sz w:val="20"/>
                <w:szCs w:val="20"/>
              </w:rPr>
              <w:t>3424F</w:t>
            </w:r>
          </w:p>
        </w:tc>
        <w:tc>
          <w:tcPr>
            <w:tcW w:w="1276" w:type="dxa"/>
          </w:tcPr>
          <w:p w:rsidR="002E71E3" w:rsidRPr="0027611E" w:rsidRDefault="002E71E3" w:rsidP="00D41EFF">
            <w:pPr>
              <w:spacing w:before="40" w:after="40"/>
              <w:jc w:val="center"/>
              <w:rPr>
                <w:rFonts w:asciiTheme="majorHAnsi" w:hAnsiTheme="majorHAnsi" w:cs="Arial"/>
                <w:sz w:val="20"/>
                <w:szCs w:val="20"/>
              </w:rPr>
            </w:pPr>
            <w:r w:rsidRPr="0027611E">
              <w:rPr>
                <w:rFonts w:asciiTheme="majorHAnsi" w:hAnsiTheme="majorHAnsi" w:cs="Arial"/>
                <w:sz w:val="20"/>
                <w:szCs w:val="20"/>
              </w:rPr>
              <w:t>1/1/5</w:t>
            </w:r>
          </w:p>
        </w:tc>
        <w:tc>
          <w:tcPr>
            <w:tcW w:w="1134" w:type="dxa"/>
          </w:tcPr>
          <w:p w:rsidR="002E71E3" w:rsidRPr="0027611E" w:rsidRDefault="002E71E3" w:rsidP="00D41EFF">
            <w:pPr>
              <w:spacing w:before="40" w:after="40"/>
              <w:jc w:val="center"/>
              <w:rPr>
                <w:rFonts w:asciiTheme="majorHAnsi" w:hAnsiTheme="majorHAnsi" w:cs="Arial"/>
                <w:sz w:val="20"/>
                <w:szCs w:val="20"/>
              </w:rPr>
            </w:pPr>
            <w:r w:rsidRPr="0027611E">
              <w:rPr>
                <w:rFonts w:asciiTheme="majorHAnsi" w:hAnsiTheme="majorHAnsi" w:cs="Arial"/>
                <w:sz w:val="20"/>
                <w:szCs w:val="20"/>
              </w:rPr>
              <w:t>$131.65</w:t>
            </w:r>
          </w:p>
        </w:tc>
        <w:tc>
          <w:tcPr>
            <w:tcW w:w="992" w:type="dxa"/>
          </w:tcPr>
          <w:p w:rsidR="002E71E3" w:rsidRPr="0027611E" w:rsidRDefault="002E71E3" w:rsidP="00D41EFF">
            <w:pPr>
              <w:spacing w:before="40" w:after="40"/>
              <w:jc w:val="center"/>
              <w:rPr>
                <w:rFonts w:asciiTheme="majorHAnsi" w:hAnsiTheme="majorHAnsi" w:cs="Arial"/>
                <w:sz w:val="20"/>
                <w:szCs w:val="20"/>
              </w:rPr>
            </w:pPr>
            <w:r w:rsidRPr="0027611E">
              <w:rPr>
                <w:rFonts w:asciiTheme="majorHAnsi" w:hAnsiTheme="majorHAnsi" w:cs="Arial"/>
                <w:sz w:val="20"/>
                <w:szCs w:val="20"/>
              </w:rPr>
              <w:t>117,339</w:t>
            </w:r>
          </w:p>
        </w:tc>
        <w:tc>
          <w:tcPr>
            <w:tcW w:w="1701" w:type="dxa"/>
          </w:tcPr>
          <w:p w:rsidR="002E71E3" w:rsidRPr="0027611E" w:rsidRDefault="002E71E3" w:rsidP="00D41EFF">
            <w:pPr>
              <w:spacing w:before="40" w:after="40"/>
              <w:jc w:val="center"/>
              <w:rPr>
                <w:rFonts w:asciiTheme="majorHAnsi" w:hAnsiTheme="majorHAnsi" w:cs="Arial"/>
                <w:sz w:val="20"/>
                <w:szCs w:val="20"/>
              </w:rPr>
            </w:pPr>
            <w:r w:rsidRPr="0027611E">
              <w:rPr>
                <w:rFonts w:asciiTheme="majorHAnsi" w:hAnsiTheme="majorHAnsi" w:cs="Arial"/>
                <w:sz w:val="20"/>
                <w:szCs w:val="20"/>
              </w:rPr>
              <w:t>$16,539,129</w:t>
            </w:r>
          </w:p>
        </w:tc>
        <w:tc>
          <w:tcPr>
            <w:tcW w:w="4820" w:type="dxa"/>
            <w:vMerge/>
          </w:tcPr>
          <w:p w:rsidR="002E71E3" w:rsidRPr="0093424D" w:rsidRDefault="002E71E3" w:rsidP="00D41EFF">
            <w:pPr>
              <w:spacing w:before="40" w:after="40"/>
              <w:rPr>
                <w:rFonts w:asciiTheme="majorHAnsi" w:hAnsiTheme="majorHAnsi" w:cs="Arial"/>
                <w:sz w:val="22"/>
                <w:szCs w:val="22"/>
              </w:rPr>
            </w:pPr>
          </w:p>
        </w:tc>
      </w:tr>
    </w:tbl>
    <w:p w:rsidR="002E71E3" w:rsidRPr="0093424D" w:rsidRDefault="002E71E3" w:rsidP="0027611E">
      <w:pPr>
        <w:spacing w:after="0" w:line="240" w:lineRule="auto"/>
        <w:rPr>
          <w:rFonts w:asciiTheme="majorHAnsi" w:hAnsiTheme="majorHAnsi" w:cs="Arial"/>
          <w:sz w:val="20"/>
          <w:szCs w:val="20"/>
        </w:rPr>
      </w:pPr>
      <w:r w:rsidRPr="0027611E">
        <w:rPr>
          <w:rFonts w:asciiTheme="majorHAnsi" w:hAnsiTheme="majorHAnsi" w:cs="Arial"/>
          <w:sz w:val="20"/>
          <w:szCs w:val="20"/>
          <w:u w:val="single"/>
        </w:rPr>
        <w:t>Abbreviations</w:t>
      </w:r>
      <w:r w:rsidRPr="0093424D">
        <w:rPr>
          <w:rFonts w:asciiTheme="majorHAnsi" w:hAnsiTheme="majorHAnsi" w:cs="Arial"/>
          <w:sz w:val="20"/>
          <w:szCs w:val="20"/>
        </w:rPr>
        <w:t xml:space="preserve">: DPMQ = Dispensed price for maximum quantity, </w:t>
      </w:r>
      <w:r>
        <w:rPr>
          <w:rFonts w:asciiTheme="majorHAnsi" w:hAnsiTheme="majorHAnsi" w:cs="Arial"/>
          <w:sz w:val="20"/>
          <w:szCs w:val="20"/>
        </w:rPr>
        <w:t>MQ = M</w:t>
      </w:r>
      <w:r w:rsidRPr="0093424D">
        <w:rPr>
          <w:rFonts w:asciiTheme="majorHAnsi" w:hAnsiTheme="majorHAnsi" w:cs="Arial"/>
          <w:sz w:val="20"/>
          <w:szCs w:val="20"/>
        </w:rPr>
        <w:t>aximum quantity, MR = Modified release; Met = Metformin; and Su = Sulfonylurea.</w:t>
      </w:r>
    </w:p>
    <w:p w:rsidR="002E71E3" w:rsidRPr="0027611E" w:rsidRDefault="0027611E" w:rsidP="0027611E">
      <w:pPr>
        <w:spacing w:after="0" w:line="240" w:lineRule="auto"/>
        <w:rPr>
          <w:rFonts w:asciiTheme="majorHAnsi" w:hAnsiTheme="majorHAnsi" w:cs="Arial"/>
          <w:sz w:val="20"/>
          <w:szCs w:val="20"/>
          <w:u w:val="single"/>
        </w:rPr>
      </w:pPr>
      <w:r>
        <w:rPr>
          <w:rFonts w:asciiTheme="majorHAnsi" w:hAnsiTheme="majorHAnsi" w:cs="Arial"/>
          <w:sz w:val="20"/>
          <w:szCs w:val="20"/>
          <w:u w:val="single"/>
        </w:rPr>
        <w:t xml:space="preserve">Notes: </w:t>
      </w:r>
      <w:r w:rsidR="002E71E3" w:rsidRPr="0093424D">
        <w:rPr>
          <w:rFonts w:asciiTheme="majorHAnsi" w:hAnsiTheme="majorHAnsi" w:cs="Arial"/>
          <w:sz w:val="20"/>
          <w:szCs w:val="20"/>
        </w:rPr>
        <w:t xml:space="preserve">Dashes indicate medicines listed after 1 April 2014. </w:t>
      </w:r>
    </w:p>
    <w:p w:rsidR="00B07F08" w:rsidRDefault="002E71E3" w:rsidP="0027611E">
      <w:pPr>
        <w:spacing w:after="0" w:line="240" w:lineRule="auto"/>
        <w:rPr>
          <w:rFonts w:asciiTheme="majorHAnsi" w:hAnsiTheme="majorHAnsi" w:cs="Arial"/>
          <w:sz w:val="20"/>
          <w:szCs w:val="20"/>
        </w:rPr>
      </w:pPr>
      <w:r w:rsidRPr="0093424D">
        <w:rPr>
          <w:rFonts w:asciiTheme="majorHAnsi" w:hAnsiTheme="majorHAnsi" w:cs="Arial"/>
          <w:sz w:val="20"/>
          <w:szCs w:val="20"/>
          <w:vertAlign w:val="superscript"/>
        </w:rPr>
        <w:t xml:space="preserve">a </w:t>
      </w:r>
      <w:r w:rsidRPr="0093424D">
        <w:rPr>
          <w:rFonts w:asciiTheme="majorHAnsi" w:hAnsiTheme="majorHAnsi" w:cs="Arial"/>
          <w:sz w:val="20"/>
          <w:szCs w:val="20"/>
        </w:rPr>
        <w:t>Alogliptin</w:t>
      </w:r>
      <w:r w:rsidR="00C519F0">
        <w:rPr>
          <w:rFonts w:asciiTheme="majorHAnsi" w:hAnsiTheme="majorHAnsi" w:cs="Arial"/>
          <w:sz w:val="20"/>
          <w:szCs w:val="20"/>
        </w:rPr>
        <w:t>, c</w:t>
      </w:r>
      <w:r w:rsidR="00C519F0" w:rsidRPr="000769C4">
        <w:rPr>
          <w:rFonts w:asciiTheme="majorHAnsi" w:hAnsiTheme="majorHAnsi" w:cs="Arial"/>
          <w:sz w:val="20"/>
          <w:szCs w:val="20"/>
        </w:rPr>
        <w:t xml:space="preserve">anagliflozin and dapagliflozin </w:t>
      </w:r>
      <w:r w:rsidR="00DA2A7F">
        <w:rPr>
          <w:rFonts w:asciiTheme="majorHAnsi" w:hAnsiTheme="majorHAnsi" w:cs="Arial"/>
          <w:sz w:val="20"/>
          <w:szCs w:val="20"/>
        </w:rPr>
        <w:t xml:space="preserve">were </w:t>
      </w:r>
      <w:r w:rsidRPr="0093424D">
        <w:rPr>
          <w:rFonts w:asciiTheme="majorHAnsi" w:hAnsiTheme="majorHAnsi" w:cs="Arial"/>
          <w:sz w:val="20"/>
          <w:szCs w:val="20"/>
        </w:rPr>
        <w:t xml:space="preserve">listed </w:t>
      </w:r>
      <w:r w:rsidR="00DA2A7F">
        <w:rPr>
          <w:rFonts w:asciiTheme="majorHAnsi" w:hAnsiTheme="majorHAnsi" w:cs="Arial"/>
          <w:sz w:val="20"/>
          <w:szCs w:val="20"/>
        </w:rPr>
        <w:t xml:space="preserve">on </w:t>
      </w:r>
      <w:r w:rsidR="00B07F08">
        <w:rPr>
          <w:rFonts w:asciiTheme="majorHAnsi" w:hAnsiTheme="majorHAnsi" w:cs="Arial"/>
          <w:sz w:val="20"/>
          <w:szCs w:val="20"/>
        </w:rPr>
        <w:t>1 December 2013.</w:t>
      </w:r>
    </w:p>
    <w:p w:rsidR="00B07F08" w:rsidRDefault="002E71E3" w:rsidP="0027611E">
      <w:pPr>
        <w:spacing w:after="0" w:line="240" w:lineRule="auto"/>
        <w:rPr>
          <w:rFonts w:asciiTheme="majorHAnsi" w:hAnsiTheme="majorHAnsi" w:cs="Arial"/>
          <w:sz w:val="20"/>
          <w:szCs w:val="20"/>
        </w:rPr>
      </w:pPr>
      <w:r w:rsidRPr="0093424D">
        <w:rPr>
          <w:rFonts w:asciiTheme="majorHAnsi" w:hAnsiTheme="majorHAnsi" w:cs="Arial"/>
          <w:sz w:val="20"/>
          <w:szCs w:val="20"/>
          <w:vertAlign w:val="superscript"/>
        </w:rPr>
        <w:t>b</w:t>
      </w:r>
      <w:r w:rsidRPr="0093424D">
        <w:rPr>
          <w:rFonts w:asciiTheme="majorHAnsi" w:hAnsiTheme="majorHAnsi" w:cs="Arial"/>
          <w:sz w:val="20"/>
          <w:szCs w:val="20"/>
        </w:rPr>
        <w:t xml:space="preserve"> Alogliptin + metformin</w:t>
      </w:r>
      <w:r w:rsidR="00DA2A7F">
        <w:rPr>
          <w:rFonts w:asciiTheme="majorHAnsi" w:hAnsiTheme="majorHAnsi" w:cs="Arial"/>
          <w:sz w:val="20"/>
          <w:szCs w:val="20"/>
        </w:rPr>
        <w:t xml:space="preserve"> FDC was</w:t>
      </w:r>
      <w:r w:rsidRPr="0093424D">
        <w:rPr>
          <w:rFonts w:asciiTheme="majorHAnsi" w:hAnsiTheme="majorHAnsi" w:cs="Arial"/>
          <w:sz w:val="20"/>
          <w:szCs w:val="20"/>
        </w:rPr>
        <w:t xml:space="preserve"> listed </w:t>
      </w:r>
      <w:r w:rsidR="00DA2A7F">
        <w:rPr>
          <w:rFonts w:asciiTheme="majorHAnsi" w:hAnsiTheme="majorHAnsi" w:cs="Arial"/>
          <w:sz w:val="20"/>
          <w:szCs w:val="20"/>
        </w:rPr>
        <w:t xml:space="preserve">on </w:t>
      </w:r>
      <w:r w:rsidR="00B07F08">
        <w:rPr>
          <w:rFonts w:asciiTheme="majorHAnsi" w:hAnsiTheme="majorHAnsi" w:cs="Arial"/>
          <w:sz w:val="20"/>
          <w:szCs w:val="20"/>
        </w:rPr>
        <w:t>1 February 2014.</w:t>
      </w:r>
    </w:p>
    <w:p w:rsidR="002E71E3" w:rsidRDefault="002E71E3" w:rsidP="0027611E">
      <w:pPr>
        <w:spacing w:after="0" w:line="240" w:lineRule="auto"/>
        <w:rPr>
          <w:rFonts w:asciiTheme="majorHAnsi" w:hAnsiTheme="majorHAnsi" w:cs="Arial"/>
          <w:sz w:val="20"/>
          <w:szCs w:val="20"/>
        </w:rPr>
      </w:pPr>
      <w:r w:rsidRPr="0093424D">
        <w:rPr>
          <w:rFonts w:asciiTheme="majorHAnsi" w:hAnsiTheme="majorHAnsi" w:cs="Arial"/>
          <w:sz w:val="20"/>
          <w:szCs w:val="20"/>
          <w:vertAlign w:val="superscript"/>
        </w:rPr>
        <w:t xml:space="preserve">c </w:t>
      </w:r>
      <w:r w:rsidRPr="0093424D">
        <w:rPr>
          <w:rFonts w:asciiTheme="majorHAnsi" w:hAnsiTheme="majorHAnsi" w:cs="Arial"/>
          <w:sz w:val="20"/>
          <w:szCs w:val="20"/>
        </w:rPr>
        <w:t>Linagliptin + metformin and saxaglitpin + metformin listed 1 March 2014.</w:t>
      </w:r>
    </w:p>
    <w:p w:rsidR="00B07F08" w:rsidRPr="00B07F08" w:rsidRDefault="00B07F08" w:rsidP="0027611E">
      <w:pPr>
        <w:spacing w:after="0" w:line="240" w:lineRule="auto"/>
        <w:rPr>
          <w:rFonts w:asciiTheme="majorHAnsi" w:hAnsiTheme="majorHAnsi" w:cs="Arial"/>
          <w:sz w:val="20"/>
          <w:szCs w:val="20"/>
        </w:rPr>
      </w:pPr>
      <w:r w:rsidRPr="00B07F08">
        <w:rPr>
          <w:rFonts w:asciiTheme="majorHAnsi" w:hAnsiTheme="majorHAnsi" w:cs="Arial"/>
          <w:sz w:val="20"/>
          <w:szCs w:val="20"/>
          <w:vertAlign w:val="superscript"/>
        </w:rPr>
        <w:t>d</w:t>
      </w:r>
      <w:r>
        <w:rPr>
          <w:rFonts w:asciiTheme="majorHAnsi" w:hAnsiTheme="majorHAnsi" w:cs="Arial"/>
          <w:sz w:val="20"/>
          <w:szCs w:val="20"/>
          <w:vertAlign w:val="superscript"/>
        </w:rPr>
        <w:t xml:space="preserve"> </w:t>
      </w:r>
      <w:r>
        <w:rPr>
          <w:rFonts w:asciiTheme="majorHAnsi" w:hAnsiTheme="majorHAnsi" w:cs="Arial"/>
          <w:sz w:val="20"/>
          <w:szCs w:val="20"/>
        </w:rPr>
        <w:t>Special pricing arrangements exist for exenatide. Therefore, the final cost to Government may differ from that shown.</w:t>
      </w:r>
    </w:p>
    <w:p w:rsidR="0027611E" w:rsidRDefault="0027611E" w:rsidP="00217038">
      <w:pPr>
        <w:pStyle w:val="Heading2"/>
      </w:pPr>
      <w:bookmarkStart w:id="488" w:name="_Appendix_G:_Literature"/>
      <w:bookmarkStart w:id="489" w:name="_Toc397947737"/>
      <w:bookmarkEnd w:id="488"/>
      <w:r>
        <w:br w:type="page"/>
      </w:r>
    </w:p>
    <w:p w:rsidR="00217038" w:rsidRDefault="004711D6" w:rsidP="00217038">
      <w:pPr>
        <w:pStyle w:val="Heading2"/>
      </w:pPr>
      <w:bookmarkStart w:id="490" w:name="_Appendix_G:_Literature_1"/>
      <w:bookmarkStart w:id="491" w:name="_Toc403399578"/>
      <w:bookmarkEnd w:id="490"/>
      <w:r>
        <w:lastRenderedPageBreak/>
        <w:t xml:space="preserve">Appendix </w:t>
      </w:r>
      <w:r w:rsidR="002E71E3">
        <w:t>G</w:t>
      </w:r>
      <w:r w:rsidR="00217038">
        <w:t>: Literature Review – Supplementary Tables</w:t>
      </w:r>
      <w:bookmarkEnd w:id="489"/>
      <w:bookmarkEnd w:id="491"/>
    </w:p>
    <w:p w:rsidR="00E20472" w:rsidRPr="00E20472" w:rsidRDefault="00E20472" w:rsidP="00E20472">
      <w:pPr>
        <w:rPr>
          <w:b/>
        </w:rPr>
      </w:pPr>
      <w:bookmarkStart w:id="492" w:name="_Ref384987287"/>
      <w:proofErr w:type="gramStart"/>
      <w:r w:rsidRPr="00E20472">
        <w:rPr>
          <w:b/>
        </w:rPr>
        <w:t>Table</w:t>
      </w:r>
      <w:bookmarkEnd w:id="492"/>
      <w:r w:rsidRPr="00E20472">
        <w:rPr>
          <w:b/>
          <w:noProof w:val="0"/>
        </w:rPr>
        <w:t xml:space="preserve"> 1.</w:t>
      </w:r>
      <w:proofErr w:type="gramEnd"/>
      <w:r w:rsidRPr="00E20472">
        <w:rPr>
          <w:b/>
        </w:rPr>
        <w:t xml:space="preserve"> Included monotherapy trials, treatment comparisons and outcomes.</w:t>
      </w:r>
    </w:p>
    <w:tbl>
      <w:tblPr>
        <w:tblW w:w="5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3"/>
        <w:gridCol w:w="1136"/>
        <w:gridCol w:w="574"/>
        <w:gridCol w:w="991"/>
        <w:gridCol w:w="991"/>
        <w:gridCol w:w="991"/>
        <w:gridCol w:w="997"/>
        <w:gridCol w:w="559"/>
        <w:gridCol w:w="6"/>
        <w:gridCol w:w="420"/>
        <w:gridCol w:w="426"/>
        <w:gridCol w:w="565"/>
        <w:gridCol w:w="710"/>
        <w:gridCol w:w="565"/>
        <w:gridCol w:w="568"/>
        <w:gridCol w:w="464"/>
        <w:gridCol w:w="426"/>
        <w:gridCol w:w="429"/>
        <w:gridCol w:w="1657"/>
      </w:tblGrid>
      <w:tr w:rsidR="00E20472" w:rsidRPr="00082421" w:rsidTr="00E20472">
        <w:trPr>
          <w:cantSplit/>
          <w:trHeight w:val="20"/>
          <w:tblHeader/>
        </w:trPr>
        <w:tc>
          <w:tcPr>
            <w:tcW w:w="1285" w:type="pct"/>
            <w:gridSpan w:val="3"/>
            <w:shd w:val="clear" w:color="auto" w:fill="D9D9D9" w:themeFill="background1" w:themeFillShade="D9"/>
            <w:noWrap/>
            <w:vAlign w:val="center"/>
            <w:hideMark/>
          </w:tcPr>
          <w:p w:rsidR="00E20472" w:rsidRPr="00E20472" w:rsidRDefault="00E20472" w:rsidP="001802EE">
            <w:pPr>
              <w:pStyle w:val="TableFooter"/>
              <w:spacing w:before="20" w:after="20"/>
              <w:jc w:val="left"/>
              <w:rPr>
                <w:rStyle w:val="TableText"/>
                <w:rFonts w:asciiTheme="majorHAnsi" w:hAnsiTheme="majorHAnsi"/>
                <w:b/>
                <w:sz w:val="18"/>
                <w:szCs w:val="18"/>
              </w:rPr>
            </w:pPr>
            <w:r w:rsidRPr="00E20472">
              <w:rPr>
                <w:rStyle w:val="TableText"/>
                <w:rFonts w:asciiTheme="majorHAnsi" w:hAnsiTheme="majorHAnsi"/>
                <w:b/>
                <w:sz w:val="18"/>
                <w:szCs w:val="18"/>
              </w:rPr>
              <w:t>Monotherapy</w:t>
            </w:r>
          </w:p>
        </w:tc>
        <w:tc>
          <w:tcPr>
            <w:tcW w:w="1370" w:type="pct"/>
            <w:gridSpan w:val="4"/>
            <w:shd w:val="clear" w:color="auto" w:fill="D9D9D9" w:themeFill="background1" w:themeFillShade="D9"/>
            <w:noWrap/>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Treatment arm</w:t>
            </w:r>
          </w:p>
        </w:tc>
        <w:tc>
          <w:tcPr>
            <w:tcW w:w="1773" w:type="pct"/>
            <w:gridSpan w:val="11"/>
            <w:shd w:val="clear" w:color="auto" w:fill="D9D9D9" w:themeFill="background1" w:themeFillShade="D9"/>
            <w:noWrap/>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Outcomes</w:t>
            </w:r>
          </w:p>
        </w:tc>
        <w:tc>
          <w:tcPr>
            <w:tcW w:w="573" w:type="pct"/>
            <w:vMerge w:val="restart"/>
            <w:shd w:val="clear" w:color="auto" w:fill="D9D9D9" w:themeFill="background1" w:themeFillShade="D9"/>
            <w:vAlign w:val="center"/>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 xml:space="preserve">Seen by </w:t>
            </w:r>
            <w:proofErr w:type="spellStart"/>
            <w:r w:rsidRPr="00E20472">
              <w:rPr>
                <w:rStyle w:val="TableText"/>
                <w:rFonts w:asciiTheme="majorHAnsi" w:hAnsiTheme="majorHAnsi"/>
                <w:b/>
                <w:sz w:val="18"/>
                <w:szCs w:val="18"/>
              </w:rPr>
              <w:t>PBAC?</w:t>
            </w:r>
            <w:r w:rsidR="00470430" w:rsidRPr="00470430">
              <w:rPr>
                <w:rStyle w:val="TableText"/>
                <w:rFonts w:asciiTheme="majorHAnsi" w:hAnsiTheme="majorHAnsi"/>
                <w:b/>
                <w:sz w:val="18"/>
                <w:szCs w:val="18"/>
                <w:vertAlign w:val="superscript"/>
              </w:rPr>
              <w:t>a</w:t>
            </w:r>
            <w:proofErr w:type="spellEnd"/>
          </w:p>
        </w:tc>
      </w:tr>
      <w:tr w:rsidR="00E20472" w:rsidRPr="00082421" w:rsidTr="00E20472">
        <w:trPr>
          <w:cantSplit/>
          <w:trHeight w:val="20"/>
          <w:tblHeader/>
        </w:trPr>
        <w:tc>
          <w:tcPr>
            <w:tcW w:w="695" w:type="pct"/>
            <w:shd w:val="clear" w:color="auto" w:fill="D9D9D9" w:themeFill="background1" w:themeFillShade="D9"/>
            <w:noWrap/>
            <w:vAlign w:val="center"/>
            <w:hideMark/>
          </w:tcPr>
          <w:p w:rsidR="00E20472" w:rsidRPr="00E20472" w:rsidRDefault="00E20472" w:rsidP="001802EE">
            <w:pPr>
              <w:pStyle w:val="TableFooter"/>
              <w:spacing w:before="20" w:after="20"/>
              <w:jc w:val="left"/>
              <w:rPr>
                <w:rStyle w:val="TableText"/>
                <w:rFonts w:asciiTheme="majorHAnsi" w:hAnsiTheme="majorHAnsi"/>
                <w:b/>
                <w:sz w:val="18"/>
                <w:szCs w:val="18"/>
              </w:rPr>
            </w:pPr>
            <w:r w:rsidRPr="00E20472">
              <w:rPr>
                <w:rStyle w:val="TableText"/>
                <w:rFonts w:asciiTheme="majorHAnsi" w:hAnsiTheme="majorHAnsi"/>
                <w:b/>
                <w:sz w:val="18"/>
                <w:szCs w:val="18"/>
              </w:rPr>
              <w:t>Author, Year</w:t>
            </w:r>
          </w:p>
        </w:tc>
        <w:tc>
          <w:tcPr>
            <w:tcW w:w="392" w:type="pct"/>
            <w:shd w:val="clear" w:color="auto" w:fill="D9D9D9" w:themeFill="background1" w:themeFillShade="D9"/>
            <w:vAlign w:val="center"/>
            <w:hideMark/>
          </w:tcPr>
          <w:p w:rsidR="00E20472" w:rsidRPr="00E20472" w:rsidRDefault="00E20472" w:rsidP="001802EE">
            <w:pPr>
              <w:pStyle w:val="TableFooter"/>
              <w:spacing w:before="20" w:after="20"/>
              <w:jc w:val="left"/>
              <w:rPr>
                <w:rStyle w:val="TableText"/>
                <w:rFonts w:asciiTheme="majorHAnsi" w:hAnsiTheme="majorHAnsi"/>
                <w:b/>
                <w:sz w:val="18"/>
                <w:szCs w:val="18"/>
              </w:rPr>
            </w:pPr>
            <w:r w:rsidRPr="00E20472">
              <w:rPr>
                <w:rStyle w:val="TableText"/>
                <w:rFonts w:asciiTheme="majorHAnsi" w:hAnsiTheme="majorHAnsi"/>
                <w:b/>
                <w:sz w:val="18"/>
                <w:szCs w:val="18"/>
              </w:rPr>
              <w:t>Trial duration</w:t>
            </w:r>
          </w:p>
        </w:tc>
        <w:tc>
          <w:tcPr>
            <w:tcW w:w="198" w:type="pct"/>
            <w:shd w:val="clear" w:color="auto" w:fill="D9D9D9" w:themeFill="background1" w:themeFillShade="D9"/>
            <w:noWrap/>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N</w:t>
            </w:r>
          </w:p>
        </w:tc>
        <w:tc>
          <w:tcPr>
            <w:tcW w:w="342" w:type="pct"/>
            <w:shd w:val="clear" w:color="auto" w:fill="D9D9D9" w:themeFill="background1" w:themeFillShade="D9"/>
            <w:noWrap/>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1</w:t>
            </w:r>
          </w:p>
        </w:tc>
        <w:tc>
          <w:tcPr>
            <w:tcW w:w="342" w:type="pct"/>
            <w:shd w:val="clear" w:color="auto" w:fill="D9D9D9" w:themeFill="background1" w:themeFillShade="D9"/>
            <w:noWrap/>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2</w:t>
            </w:r>
          </w:p>
        </w:tc>
        <w:tc>
          <w:tcPr>
            <w:tcW w:w="342" w:type="pct"/>
            <w:shd w:val="clear" w:color="auto" w:fill="D9D9D9" w:themeFill="background1" w:themeFillShade="D9"/>
            <w:noWrap/>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3</w:t>
            </w:r>
          </w:p>
        </w:tc>
        <w:tc>
          <w:tcPr>
            <w:tcW w:w="342" w:type="pct"/>
            <w:shd w:val="clear" w:color="auto" w:fill="D9D9D9" w:themeFill="background1" w:themeFillShade="D9"/>
            <w:noWrap/>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4</w:t>
            </w:r>
          </w:p>
        </w:tc>
        <w:tc>
          <w:tcPr>
            <w:tcW w:w="195" w:type="pct"/>
            <w:gridSpan w:val="2"/>
            <w:shd w:val="clear" w:color="auto" w:fill="D9D9D9" w:themeFill="background1" w:themeFillShade="D9"/>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Fonts w:asciiTheme="majorHAnsi" w:hAnsiTheme="majorHAnsi"/>
                <w:b/>
                <w:szCs w:val="18"/>
              </w:rPr>
              <w:t>HbA</w:t>
            </w:r>
            <w:r w:rsidRPr="00E20472">
              <w:rPr>
                <w:rFonts w:asciiTheme="majorHAnsi" w:hAnsiTheme="majorHAnsi"/>
                <w:b/>
                <w:szCs w:val="18"/>
                <w:vertAlign w:val="subscript"/>
              </w:rPr>
              <w:t>1c</w:t>
            </w:r>
          </w:p>
        </w:tc>
        <w:tc>
          <w:tcPr>
            <w:tcW w:w="144" w:type="pct"/>
            <w:shd w:val="clear" w:color="auto" w:fill="D9D9D9" w:themeFill="background1" w:themeFillShade="D9"/>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BW</w:t>
            </w:r>
          </w:p>
        </w:tc>
        <w:tc>
          <w:tcPr>
            <w:tcW w:w="147" w:type="pct"/>
            <w:shd w:val="clear" w:color="auto" w:fill="D9D9D9" w:themeFill="background1" w:themeFillShade="D9"/>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AE</w:t>
            </w:r>
          </w:p>
        </w:tc>
        <w:tc>
          <w:tcPr>
            <w:tcW w:w="195" w:type="pct"/>
            <w:shd w:val="clear" w:color="auto" w:fill="D9D9D9" w:themeFill="background1" w:themeFillShade="D9"/>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SAE</w:t>
            </w:r>
          </w:p>
        </w:tc>
        <w:tc>
          <w:tcPr>
            <w:tcW w:w="245" w:type="pct"/>
            <w:shd w:val="clear" w:color="auto" w:fill="D9D9D9" w:themeFill="background1" w:themeFillShade="D9"/>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Hypo-G</w:t>
            </w:r>
          </w:p>
        </w:tc>
        <w:tc>
          <w:tcPr>
            <w:tcW w:w="195" w:type="pct"/>
            <w:shd w:val="clear" w:color="auto" w:fill="D9D9D9" w:themeFill="background1" w:themeFillShade="D9"/>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proofErr w:type="spellStart"/>
            <w:r w:rsidRPr="00E20472">
              <w:rPr>
                <w:rStyle w:val="TableText"/>
                <w:rFonts w:asciiTheme="majorHAnsi" w:hAnsiTheme="majorHAnsi"/>
                <w:b/>
                <w:sz w:val="18"/>
                <w:szCs w:val="18"/>
              </w:rPr>
              <w:t>Mor</w:t>
            </w:r>
            <w:proofErr w:type="spellEnd"/>
          </w:p>
        </w:tc>
        <w:tc>
          <w:tcPr>
            <w:tcW w:w="196" w:type="pct"/>
            <w:shd w:val="clear" w:color="auto" w:fill="D9D9D9" w:themeFill="background1" w:themeFillShade="D9"/>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CVD</w:t>
            </w:r>
          </w:p>
        </w:tc>
        <w:tc>
          <w:tcPr>
            <w:tcW w:w="160" w:type="pct"/>
            <w:shd w:val="clear" w:color="auto" w:fill="D9D9D9" w:themeFill="background1" w:themeFillShade="D9"/>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MVD</w:t>
            </w:r>
          </w:p>
        </w:tc>
        <w:tc>
          <w:tcPr>
            <w:tcW w:w="147" w:type="pct"/>
            <w:shd w:val="clear" w:color="auto" w:fill="D9D9D9" w:themeFill="background1" w:themeFillShade="D9"/>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UTI</w:t>
            </w:r>
          </w:p>
        </w:tc>
        <w:tc>
          <w:tcPr>
            <w:tcW w:w="147" w:type="pct"/>
            <w:shd w:val="clear" w:color="auto" w:fill="D9D9D9" w:themeFill="background1" w:themeFillShade="D9"/>
            <w:vAlign w:val="center"/>
            <w:hideMark/>
          </w:tcPr>
          <w:p w:rsidR="00E20472" w:rsidRPr="00E20472" w:rsidRDefault="00E20472" w:rsidP="001802EE">
            <w:pPr>
              <w:pStyle w:val="TableFooter"/>
              <w:spacing w:before="20" w:after="20"/>
              <w:jc w:val="center"/>
              <w:rPr>
                <w:rStyle w:val="TableText"/>
                <w:rFonts w:asciiTheme="majorHAnsi" w:hAnsiTheme="majorHAnsi"/>
                <w:b/>
                <w:sz w:val="18"/>
                <w:szCs w:val="18"/>
              </w:rPr>
            </w:pPr>
            <w:r w:rsidRPr="00E20472">
              <w:rPr>
                <w:rStyle w:val="TableText"/>
                <w:rFonts w:asciiTheme="majorHAnsi" w:hAnsiTheme="majorHAnsi"/>
                <w:b/>
                <w:sz w:val="18"/>
                <w:szCs w:val="18"/>
              </w:rPr>
              <w:t>Pan</w:t>
            </w:r>
          </w:p>
        </w:tc>
        <w:tc>
          <w:tcPr>
            <w:tcW w:w="573" w:type="pct"/>
            <w:vMerge/>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b/>
                <w:sz w:val="18"/>
                <w:szCs w:val="18"/>
              </w:rPr>
              <w:t>PBO vs.</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i/>
                <w:sz w:val="18"/>
                <w:szCs w:val="18"/>
              </w:rPr>
              <w:t>TZDs</w:t>
            </w:r>
          </w:p>
        </w:tc>
      </w:tr>
      <w:tr w:rsidR="00E20472" w:rsidRPr="00082421" w:rsidTr="00E20472">
        <w:trPr>
          <w:cantSplit/>
          <w:trHeight w:val="20"/>
        </w:trPr>
        <w:tc>
          <w:tcPr>
            <w:tcW w:w="695" w:type="pct"/>
            <w:shd w:val="clear" w:color="auto" w:fill="auto"/>
            <w:noWrap/>
            <w:vAlign w:val="center"/>
            <w:hideMark/>
          </w:tcPr>
          <w:p w:rsidR="00E20472" w:rsidRPr="00E20472" w:rsidRDefault="00E20472" w:rsidP="0093455B">
            <w:pPr>
              <w:pStyle w:val="TableFooter"/>
              <w:spacing w:before="20" w:after="20"/>
              <w:ind w:firstLine="142"/>
              <w:jc w:val="left"/>
              <w:rPr>
                <w:rStyle w:val="TableText"/>
                <w:rFonts w:asciiTheme="majorHAnsi" w:hAnsiTheme="majorHAnsi"/>
                <w:sz w:val="18"/>
                <w:szCs w:val="18"/>
              </w:rPr>
            </w:pPr>
            <w:r>
              <w:rPr>
                <w:rStyle w:val="TableText"/>
                <w:rFonts w:asciiTheme="majorHAnsi" w:hAnsiTheme="majorHAnsi"/>
                <w:sz w:val="18"/>
                <w:szCs w:val="18"/>
              </w:rPr>
              <w:t>Chou, 2012</w:t>
            </w:r>
            <w:r w:rsidR="0093455B" w:rsidRPr="00DF4210">
              <w:rPr>
                <w:rStyle w:val="TableText"/>
                <w:rFonts w:asciiTheme="majorHAnsi" w:hAnsiTheme="majorHAnsi"/>
                <w:noProof/>
                <w:sz w:val="18"/>
                <w:szCs w:val="18"/>
                <w:vertAlign w:val="superscript"/>
              </w:rPr>
              <w:t>97</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26 weeks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1,912</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RIVO</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RIVO</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PIO</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PBO</w:t>
            </w:r>
          </w:p>
        </w:tc>
        <w:tc>
          <w:tcPr>
            <w:tcW w:w="195"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4"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No</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i/>
                <w:sz w:val="18"/>
                <w:szCs w:val="18"/>
              </w:rPr>
              <w:t>DPP-4 inhibitors</w:t>
            </w:r>
          </w:p>
        </w:tc>
      </w:tr>
      <w:tr w:rsidR="00E20472" w:rsidRPr="00082421" w:rsidTr="00E20472">
        <w:trPr>
          <w:cantSplit/>
          <w:trHeight w:val="20"/>
        </w:trPr>
        <w:tc>
          <w:tcPr>
            <w:tcW w:w="695" w:type="pct"/>
            <w:shd w:val="clear" w:color="auto" w:fill="auto"/>
            <w:noWrap/>
            <w:vAlign w:val="center"/>
            <w:hideMark/>
          </w:tcPr>
          <w:p w:rsidR="00E20472" w:rsidRPr="00E20472" w:rsidRDefault="00E20472" w:rsidP="0093455B">
            <w:pPr>
              <w:pStyle w:val="TableFooter"/>
              <w:spacing w:before="20" w:after="20"/>
              <w:ind w:firstLine="142"/>
              <w:jc w:val="left"/>
              <w:rPr>
                <w:rStyle w:val="TableText"/>
                <w:rFonts w:asciiTheme="majorHAnsi" w:hAnsiTheme="majorHAnsi"/>
                <w:sz w:val="18"/>
                <w:szCs w:val="18"/>
              </w:rPr>
            </w:pPr>
            <w:r>
              <w:rPr>
                <w:rStyle w:val="TableText"/>
                <w:rFonts w:asciiTheme="majorHAnsi" w:hAnsiTheme="majorHAnsi"/>
                <w:sz w:val="18"/>
                <w:szCs w:val="18"/>
              </w:rPr>
              <w:t>Pan, 2012</w:t>
            </w:r>
            <w:r w:rsidR="0093455B" w:rsidRPr="00DF4210">
              <w:rPr>
                <w:rStyle w:val="TableText"/>
                <w:rFonts w:asciiTheme="majorHAnsi" w:hAnsiTheme="majorHAnsi"/>
                <w:noProof/>
                <w:sz w:val="18"/>
                <w:szCs w:val="18"/>
                <w:vertAlign w:val="superscript"/>
              </w:rPr>
              <w:t>98</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24 weeks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568</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SAX</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PBO</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5"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4"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No</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b/>
                <w:sz w:val="18"/>
                <w:szCs w:val="18"/>
              </w:rPr>
              <w:t>MET vs.</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i/>
                <w:sz w:val="18"/>
                <w:szCs w:val="18"/>
              </w:rPr>
              <w:t>SU</w:t>
            </w:r>
          </w:p>
        </w:tc>
      </w:tr>
      <w:tr w:rsidR="00E20472" w:rsidRPr="00082421" w:rsidTr="00E20472">
        <w:trPr>
          <w:cantSplit/>
          <w:trHeight w:val="20"/>
        </w:trPr>
        <w:tc>
          <w:tcPr>
            <w:tcW w:w="695" w:type="pct"/>
            <w:shd w:val="clear" w:color="auto" w:fill="auto"/>
            <w:noWrap/>
            <w:vAlign w:val="center"/>
            <w:hideMark/>
          </w:tcPr>
          <w:p w:rsidR="00E20472" w:rsidRPr="00E20472" w:rsidRDefault="00E20472" w:rsidP="0093455B">
            <w:pPr>
              <w:pStyle w:val="TableFooter"/>
              <w:spacing w:before="20" w:after="20"/>
              <w:ind w:firstLine="142"/>
              <w:jc w:val="left"/>
              <w:rPr>
                <w:rStyle w:val="TableText"/>
                <w:rFonts w:asciiTheme="majorHAnsi" w:hAnsiTheme="majorHAnsi"/>
                <w:sz w:val="18"/>
                <w:szCs w:val="18"/>
              </w:rPr>
            </w:pPr>
            <w:r w:rsidRPr="00E20472">
              <w:rPr>
                <w:rStyle w:val="TableText"/>
                <w:rFonts w:asciiTheme="majorHAnsi" w:hAnsiTheme="majorHAnsi"/>
                <w:sz w:val="18"/>
                <w:szCs w:val="18"/>
              </w:rPr>
              <w:t>Kahn, 2006</w:t>
            </w:r>
            <w:r w:rsidR="0093455B" w:rsidRPr="00DF4210">
              <w:rPr>
                <w:rStyle w:val="TableText"/>
                <w:rFonts w:asciiTheme="majorHAnsi" w:hAnsiTheme="majorHAnsi"/>
                <w:noProof/>
                <w:sz w:val="18"/>
                <w:szCs w:val="18"/>
                <w:vertAlign w:val="superscript"/>
              </w:rPr>
              <w:t>99</w:t>
            </w:r>
            <w:r w:rsidR="00470430">
              <w:rPr>
                <w:rStyle w:val="TableText"/>
                <w:rFonts w:asciiTheme="majorHAnsi" w:hAnsiTheme="majorHAnsi"/>
                <w:sz w:val="18"/>
                <w:szCs w:val="18"/>
              </w:rPr>
              <w:t xml:space="preserve">  </w:t>
            </w:r>
            <w:r w:rsidR="00470430" w:rsidRPr="00470430">
              <w:rPr>
                <w:rStyle w:val="TableText"/>
                <w:rFonts w:asciiTheme="majorHAnsi" w:hAnsiTheme="majorHAnsi"/>
                <w:sz w:val="18"/>
                <w:szCs w:val="18"/>
                <w:vertAlign w:val="superscript"/>
              </w:rPr>
              <w:t>b</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4 years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4,360</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MET</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GLIB</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ROS</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Yes</w:t>
            </w:r>
          </w:p>
        </w:tc>
      </w:tr>
      <w:tr w:rsidR="00E20472" w:rsidRPr="00082421" w:rsidTr="00E20472">
        <w:trPr>
          <w:cantSplit/>
          <w:trHeight w:val="20"/>
        </w:trPr>
        <w:tc>
          <w:tcPr>
            <w:tcW w:w="695" w:type="pct"/>
            <w:shd w:val="clear" w:color="auto" w:fill="auto"/>
            <w:noWrap/>
            <w:vAlign w:val="center"/>
            <w:hideMark/>
          </w:tcPr>
          <w:p w:rsidR="00E20472" w:rsidRPr="00E20472" w:rsidRDefault="00E20472" w:rsidP="0093455B">
            <w:pPr>
              <w:pStyle w:val="TableFooter"/>
              <w:spacing w:before="20" w:after="20"/>
              <w:ind w:firstLine="142"/>
              <w:jc w:val="left"/>
              <w:rPr>
                <w:rStyle w:val="TableText"/>
                <w:rFonts w:asciiTheme="majorHAnsi" w:hAnsiTheme="majorHAnsi"/>
                <w:sz w:val="18"/>
                <w:szCs w:val="18"/>
              </w:rPr>
            </w:pPr>
            <w:r>
              <w:rPr>
                <w:rStyle w:val="TableText"/>
                <w:rFonts w:asciiTheme="majorHAnsi" w:hAnsiTheme="majorHAnsi"/>
                <w:sz w:val="18"/>
                <w:szCs w:val="18"/>
              </w:rPr>
              <w:t>Wright, 2006</w:t>
            </w:r>
            <w:r w:rsidR="0093455B" w:rsidRPr="00DF4210">
              <w:rPr>
                <w:rStyle w:val="TableText"/>
                <w:rFonts w:asciiTheme="majorHAnsi" w:hAnsiTheme="majorHAnsi"/>
                <w:noProof/>
                <w:sz w:val="18"/>
                <w:szCs w:val="18"/>
                <w:vertAlign w:val="superscript"/>
              </w:rPr>
              <w:t>100</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6 years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5,102</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MET</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SU</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Diet alone</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No</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i/>
                <w:sz w:val="18"/>
                <w:szCs w:val="18"/>
              </w:rPr>
              <w:t>TZDs</w:t>
            </w:r>
          </w:p>
        </w:tc>
      </w:tr>
      <w:tr w:rsidR="00E20472" w:rsidRPr="00082421" w:rsidTr="00E20472">
        <w:trPr>
          <w:cantSplit/>
          <w:trHeight w:val="20"/>
        </w:trPr>
        <w:tc>
          <w:tcPr>
            <w:tcW w:w="695" w:type="pct"/>
            <w:shd w:val="clear" w:color="auto" w:fill="auto"/>
            <w:noWrap/>
            <w:vAlign w:val="center"/>
            <w:hideMark/>
          </w:tcPr>
          <w:p w:rsidR="00E20472" w:rsidRPr="00E20472" w:rsidRDefault="00E20472" w:rsidP="0093455B">
            <w:pPr>
              <w:pStyle w:val="TableFooter"/>
              <w:spacing w:before="20" w:after="20"/>
              <w:ind w:firstLine="142"/>
              <w:jc w:val="left"/>
              <w:rPr>
                <w:rStyle w:val="TableText"/>
                <w:rFonts w:asciiTheme="majorHAnsi" w:hAnsiTheme="majorHAnsi"/>
                <w:sz w:val="18"/>
                <w:szCs w:val="18"/>
              </w:rPr>
            </w:pPr>
            <w:r>
              <w:rPr>
                <w:rStyle w:val="TableText"/>
                <w:rFonts w:asciiTheme="majorHAnsi" w:hAnsiTheme="majorHAnsi"/>
                <w:sz w:val="18"/>
                <w:szCs w:val="18"/>
              </w:rPr>
              <w:t>Kahn, 2006</w:t>
            </w:r>
            <w:r w:rsidR="0093455B" w:rsidRPr="00DF4210">
              <w:rPr>
                <w:rStyle w:val="TableText"/>
                <w:rFonts w:asciiTheme="majorHAnsi" w:hAnsiTheme="majorHAnsi"/>
                <w:noProof/>
                <w:sz w:val="18"/>
                <w:szCs w:val="18"/>
                <w:vertAlign w:val="superscript"/>
              </w:rPr>
              <w:t>99</w:t>
            </w:r>
            <w:r w:rsidR="00470430">
              <w:rPr>
                <w:rStyle w:val="TableText"/>
                <w:rFonts w:asciiTheme="majorHAnsi" w:hAnsiTheme="majorHAnsi"/>
                <w:sz w:val="18"/>
                <w:szCs w:val="18"/>
              </w:rPr>
              <w:t xml:space="preserve"> </w:t>
            </w:r>
            <w:r w:rsidR="00470430" w:rsidRPr="00470430">
              <w:rPr>
                <w:rStyle w:val="TableText"/>
                <w:rFonts w:asciiTheme="majorHAnsi" w:hAnsiTheme="majorHAnsi"/>
                <w:sz w:val="18"/>
                <w:szCs w:val="18"/>
                <w:vertAlign w:val="superscript"/>
              </w:rPr>
              <w:t>b</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4 years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4,360</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MET</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ROS</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GLIB</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Yes</w:t>
            </w:r>
          </w:p>
        </w:tc>
      </w:tr>
      <w:tr w:rsidR="00E20472" w:rsidRPr="00082421" w:rsidTr="00E20472">
        <w:trPr>
          <w:cantSplit/>
          <w:trHeight w:val="20"/>
        </w:trPr>
        <w:tc>
          <w:tcPr>
            <w:tcW w:w="695" w:type="pct"/>
            <w:shd w:val="clear" w:color="auto" w:fill="auto"/>
            <w:noWrap/>
            <w:vAlign w:val="center"/>
            <w:hideMark/>
          </w:tcPr>
          <w:p w:rsidR="00E20472" w:rsidRPr="00E20472" w:rsidRDefault="00E20472" w:rsidP="0093455B">
            <w:pPr>
              <w:pStyle w:val="TableFooter"/>
              <w:spacing w:before="20" w:after="20"/>
              <w:ind w:firstLine="142"/>
              <w:jc w:val="left"/>
              <w:rPr>
                <w:rStyle w:val="TableText"/>
                <w:rFonts w:asciiTheme="majorHAnsi" w:hAnsiTheme="majorHAnsi"/>
                <w:sz w:val="18"/>
                <w:szCs w:val="18"/>
              </w:rPr>
            </w:pPr>
            <w:proofErr w:type="spellStart"/>
            <w:r w:rsidRPr="00E20472">
              <w:rPr>
                <w:rStyle w:val="TableText"/>
                <w:rFonts w:asciiTheme="majorHAnsi" w:hAnsiTheme="majorHAnsi"/>
                <w:sz w:val="18"/>
                <w:szCs w:val="18"/>
              </w:rPr>
              <w:t>Scherntha</w:t>
            </w:r>
            <w:r>
              <w:rPr>
                <w:rStyle w:val="TableText"/>
                <w:rFonts w:asciiTheme="majorHAnsi" w:hAnsiTheme="majorHAnsi"/>
                <w:sz w:val="18"/>
                <w:szCs w:val="18"/>
              </w:rPr>
              <w:t>ner</w:t>
            </w:r>
            <w:proofErr w:type="spellEnd"/>
            <w:r>
              <w:rPr>
                <w:rStyle w:val="TableText"/>
                <w:rFonts w:asciiTheme="majorHAnsi" w:hAnsiTheme="majorHAnsi"/>
                <w:sz w:val="18"/>
                <w:szCs w:val="18"/>
              </w:rPr>
              <w:t>, 2004</w:t>
            </w:r>
            <w:r w:rsidR="0093455B" w:rsidRPr="00DF4210">
              <w:rPr>
                <w:rStyle w:val="TableText"/>
                <w:rFonts w:asciiTheme="majorHAnsi" w:hAnsiTheme="majorHAnsi"/>
                <w:noProof/>
                <w:sz w:val="18"/>
                <w:szCs w:val="18"/>
                <w:vertAlign w:val="superscript"/>
              </w:rPr>
              <w:t>101</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52 weeks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1,199</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MET</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PIO</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No</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i/>
                <w:sz w:val="18"/>
                <w:szCs w:val="18"/>
              </w:rPr>
              <w:t>DPP-4 inhibitors</w:t>
            </w:r>
          </w:p>
        </w:tc>
      </w:tr>
      <w:tr w:rsidR="00E20472" w:rsidRPr="00082421" w:rsidTr="00E20472">
        <w:trPr>
          <w:cantSplit/>
          <w:trHeight w:val="20"/>
        </w:trPr>
        <w:tc>
          <w:tcPr>
            <w:tcW w:w="695" w:type="pct"/>
            <w:shd w:val="clear" w:color="auto" w:fill="auto"/>
            <w:noWrap/>
            <w:vAlign w:val="center"/>
            <w:hideMark/>
          </w:tcPr>
          <w:p w:rsidR="00E20472" w:rsidRPr="00E20472" w:rsidRDefault="00E20472" w:rsidP="0093455B">
            <w:pPr>
              <w:pStyle w:val="TableFooter"/>
              <w:spacing w:before="20" w:after="20"/>
              <w:ind w:firstLine="142"/>
              <w:jc w:val="left"/>
              <w:rPr>
                <w:rStyle w:val="TableText"/>
                <w:rFonts w:asciiTheme="majorHAnsi" w:hAnsiTheme="majorHAnsi"/>
                <w:sz w:val="18"/>
                <w:szCs w:val="18"/>
              </w:rPr>
            </w:pPr>
            <w:proofErr w:type="spellStart"/>
            <w:r w:rsidRPr="00E20472">
              <w:rPr>
                <w:rStyle w:val="TableText"/>
                <w:rFonts w:asciiTheme="majorHAnsi" w:hAnsiTheme="majorHAnsi"/>
                <w:sz w:val="18"/>
                <w:szCs w:val="18"/>
              </w:rPr>
              <w:t>Aschner</w:t>
            </w:r>
            <w:proofErr w:type="spellEnd"/>
            <w:r w:rsidRPr="00E20472">
              <w:rPr>
                <w:rStyle w:val="TableText"/>
                <w:rFonts w:asciiTheme="majorHAnsi" w:hAnsiTheme="majorHAnsi"/>
                <w:sz w:val="18"/>
                <w:szCs w:val="18"/>
              </w:rPr>
              <w:t xml:space="preserve">, 2010 </w:t>
            </w:r>
            <w:r w:rsidR="0093455B" w:rsidRPr="00DF4210">
              <w:rPr>
                <w:rStyle w:val="TableText"/>
                <w:rFonts w:asciiTheme="majorHAnsi" w:hAnsiTheme="majorHAnsi"/>
                <w:noProof/>
                <w:sz w:val="18"/>
                <w:szCs w:val="18"/>
                <w:vertAlign w:val="superscript"/>
              </w:rPr>
              <w:t>102</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24 weeks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1,050</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MET</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SIT</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Yes</w:t>
            </w:r>
          </w:p>
        </w:tc>
      </w:tr>
      <w:tr w:rsidR="00E20472" w:rsidRPr="00082421" w:rsidTr="00E20472">
        <w:trPr>
          <w:cantSplit/>
          <w:trHeight w:val="20"/>
        </w:trPr>
        <w:tc>
          <w:tcPr>
            <w:tcW w:w="695" w:type="pct"/>
            <w:shd w:val="clear" w:color="auto" w:fill="auto"/>
            <w:noWrap/>
            <w:vAlign w:val="center"/>
            <w:hideMark/>
          </w:tcPr>
          <w:p w:rsidR="00E20472" w:rsidRPr="00E20472" w:rsidRDefault="00E20472" w:rsidP="0093455B">
            <w:pPr>
              <w:pStyle w:val="TableFooter"/>
              <w:spacing w:before="20" w:after="20"/>
              <w:ind w:firstLine="142"/>
              <w:jc w:val="left"/>
              <w:rPr>
                <w:rStyle w:val="TableText"/>
                <w:rFonts w:asciiTheme="majorHAnsi" w:hAnsiTheme="majorHAnsi"/>
                <w:sz w:val="18"/>
                <w:szCs w:val="18"/>
              </w:rPr>
            </w:pPr>
            <w:proofErr w:type="spellStart"/>
            <w:r>
              <w:rPr>
                <w:rStyle w:val="TableText"/>
                <w:rFonts w:asciiTheme="majorHAnsi" w:hAnsiTheme="majorHAnsi"/>
                <w:sz w:val="18"/>
                <w:szCs w:val="18"/>
              </w:rPr>
              <w:t>Bosi</w:t>
            </w:r>
            <w:proofErr w:type="spellEnd"/>
            <w:r>
              <w:rPr>
                <w:rStyle w:val="TableText"/>
                <w:rFonts w:asciiTheme="majorHAnsi" w:hAnsiTheme="majorHAnsi"/>
                <w:sz w:val="18"/>
                <w:szCs w:val="18"/>
              </w:rPr>
              <w:t>, 2009</w:t>
            </w:r>
            <w:r w:rsidR="0093455B" w:rsidRPr="00DF4210">
              <w:rPr>
                <w:rStyle w:val="TableText"/>
                <w:rFonts w:asciiTheme="majorHAnsi" w:hAnsiTheme="majorHAnsi"/>
                <w:noProof/>
                <w:sz w:val="18"/>
                <w:szCs w:val="18"/>
                <w:vertAlign w:val="superscript"/>
              </w:rPr>
              <w:t>103</w:t>
            </w:r>
            <w:r w:rsidR="00470430">
              <w:rPr>
                <w:rStyle w:val="TableText"/>
                <w:rFonts w:asciiTheme="majorHAnsi" w:hAnsiTheme="majorHAnsi"/>
                <w:sz w:val="18"/>
                <w:szCs w:val="18"/>
              </w:rPr>
              <w:t xml:space="preserve"> </w:t>
            </w:r>
            <w:r w:rsidR="00470430" w:rsidRPr="00470430">
              <w:rPr>
                <w:rStyle w:val="TableText"/>
                <w:rFonts w:asciiTheme="majorHAnsi" w:hAnsiTheme="majorHAnsi"/>
                <w:sz w:val="18"/>
                <w:szCs w:val="18"/>
                <w:vertAlign w:val="superscript"/>
              </w:rPr>
              <w:t>b</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24 weeks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1,179</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MET</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VIL</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MET + VIL</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Yes</w:t>
            </w:r>
          </w:p>
        </w:tc>
      </w:tr>
      <w:tr w:rsidR="00E20472" w:rsidRPr="00082421" w:rsidTr="00E20472">
        <w:trPr>
          <w:cantSplit/>
          <w:trHeight w:val="20"/>
        </w:trPr>
        <w:tc>
          <w:tcPr>
            <w:tcW w:w="695" w:type="pct"/>
            <w:shd w:val="clear" w:color="auto" w:fill="auto"/>
            <w:noWrap/>
            <w:vAlign w:val="center"/>
            <w:hideMark/>
          </w:tcPr>
          <w:p w:rsidR="00E20472" w:rsidRPr="00E20472" w:rsidRDefault="00997A41" w:rsidP="001802EE">
            <w:pPr>
              <w:pStyle w:val="TableFooter"/>
              <w:spacing w:before="20" w:after="20"/>
              <w:ind w:firstLine="142"/>
              <w:jc w:val="left"/>
              <w:rPr>
                <w:rStyle w:val="TableText"/>
                <w:rFonts w:asciiTheme="majorHAnsi" w:hAnsiTheme="majorHAnsi"/>
                <w:sz w:val="18"/>
                <w:szCs w:val="18"/>
              </w:rPr>
            </w:pPr>
            <w:proofErr w:type="spellStart"/>
            <w:r>
              <w:rPr>
                <w:rStyle w:val="TableText"/>
                <w:rFonts w:asciiTheme="majorHAnsi" w:hAnsiTheme="majorHAnsi"/>
                <w:sz w:val="18"/>
                <w:szCs w:val="18"/>
              </w:rPr>
              <w:t>Jadzinsky</w:t>
            </w:r>
            <w:proofErr w:type="spellEnd"/>
            <w:r>
              <w:rPr>
                <w:rStyle w:val="TableText"/>
                <w:rFonts w:asciiTheme="majorHAnsi" w:hAnsiTheme="majorHAnsi"/>
                <w:sz w:val="18"/>
                <w:szCs w:val="18"/>
              </w:rPr>
              <w:t>, 2009</w:t>
            </w:r>
            <w:r w:rsidR="0093455B" w:rsidRPr="00DF4210">
              <w:rPr>
                <w:rStyle w:val="TableText"/>
                <w:rFonts w:asciiTheme="majorHAnsi" w:hAnsiTheme="majorHAnsi"/>
                <w:noProof/>
                <w:sz w:val="18"/>
                <w:szCs w:val="18"/>
                <w:vertAlign w:val="superscript"/>
              </w:rPr>
              <w:t>104</w:t>
            </w:r>
          </w:p>
          <w:p w:rsidR="00E20472" w:rsidRPr="00E20472" w:rsidRDefault="00997A41" w:rsidP="0093455B">
            <w:pPr>
              <w:pStyle w:val="TableFooter"/>
              <w:spacing w:before="20" w:after="20"/>
              <w:ind w:firstLine="142"/>
              <w:jc w:val="left"/>
              <w:rPr>
                <w:rStyle w:val="TableText"/>
                <w:rFonts w:asciiTheme="majorHAnsi" w:hAnsiTheme="majorHAnsi"/>
                <w:sz w:val="18"/>
                <w:szCs w:val="18"/>
              </w:rPr>
            </w:pPr>
            <w:proofErr w:type="spellStart"/>
            <w:r>
              <w:rPr>
                <w:rStyle w:val="TableText"/>
                <w:rFonts w:asciiTheme="majorHAnsi" w:hAnsiTheme="majorHAnsi"/>
                <w:sz w:val="18"/>
                <w:szCs w:val="18"/>
              </w:rPr>
              <w:t>Pfutzner</w:t>
            </w:r>
            <w:proofErr w:type="spellEnd"/>
            <w:r>
              <w:rPr>
                <w:rStyle w:val="TableText"/>
                <w:rFonts w:asciiTheme="majorHAnsi" w:hAnsiTheme="majorHAnsi"/>
                <w:sz w:val="18"/>
                <w:szCs w:val="18"/>
              </w:rPr>
              <w:t>, 2011</w:t>
            </w:r>
            <w:r w:rsidR="0093455B" w:rsidRPr="00DF4210">
              <w:rPr>
                <w:rStyle w:val="TableText"/>
                <w:rFonts w:asciiTheme="majorHAnsi" w:hAnsiTheme="majorHAnsi"/>
                <w:noProof/>
                <w:sz w:val="18"/>
                <w:szCs w:val="18"/>
                <w:vertAlign w:val="superscript"/>
              </w:rPr>
              <w:t>105</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24 weeks</w:t>
            </w:r>
          </w:p>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76 weeks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1,306</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MET + SAX</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MET + SAX</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MET + PBO</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SAX + PBO</w:t>
            </w: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No</w:t>
            </w:r>
          </w:p>
        </w:tc>
      </w:tr>
      <w:tr w:rsidR="00E20472" w:rsidRPr="00082421" w:rsidTr="00E20472">
        <w:trPr>
          <w:cantSplit/>
          <w:trHeight w:val="20"/>
        </w:trPr>
        <w:tc>
          <w:tcPr>
            <w:tcW w:w="695" w:type="pct"/>
            <w:shd w:val="clear" w:color="auto" w:fill="auto"/>
            <w:noWrap/>
            <w:vAlign w:val="center"/>
            <w:hideMark/>
          </w:tcPr>
          <w:p w:rsidR="00E20472" w:rsidRPr="00E20472" w:rsidRDefault="00997A41" w:rsidP="0093455B">
            <w:pPr>
              <w:pStyle w:val="TableFooter"/>
              <w:spacing w:before="20" w:after="20"/>
              <w:ind w:firstLine="142"/>
              <w:jc w:val="left"/>
              <w:rPr>
                <w:rStyle w:val="TableText"/>
                <w:rFonts w:asciiTheme="majorHAnsi" w:hAnsiTheme="majorHAnsi"/>
                <w:sz w:val="18"/>
                <w:szCs w:val="18"/>
              </w:rPr>
            </w:pPr>
            <w:proofErr w:type="spellStart"/>
            <w:r>
              <w:rPr>
                <w:rStyle w:val="TableText"/>
                <w:rFonts w:asciiTheme="majorHAnsi" w:hAnsiTheme="majorHAnsi"/>
                <w:sz w:val="18"/>
                <w:szCs w:val="18"/>
              </w:rPr>
              <w:t>Schweizer</w:t>
            </w:r>
            <w:proofErr w:type="spellEnd"/>
            <w:r>
              <w:rPr>
                <w:rStyle w:val="TableText"/>
                <w:rFonts w:asciiTheme="majorHAnsi" w:hAnsiTheme="majorHAnsi"/>
                <w:sz w:val="18"/>
                <w:szCs w:val="18"/>
              </w:rPr>
              <w:t>, 2007</w:t>
            </w:r>
            <w:r w:rsidR="0093455B" w:rsidRPr="00DF4210">
              <w:rPr>
                <w:rStyle w:val="TableText"/>
                <w:rFonts w:asciiTheme="majorHAnsi" w:hAnsiTheme="majorHAnsi"/>
                <w:noProof/>
                <w:sz w:val="18"/>
                <w:szCs w:val="18"/>
                <w:vertAlign w:val="superscript"/>
              </w:rPr>
              <w:t>106</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52 weeks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780</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MET</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VIL</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No</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b/>
                <w:sz w:val="18"/>
                <w:szCs w:val="18"/>
              </w:rPr>
              <w:t>SU vs.</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i/>
                <w:sz w:val="18"/>
                <w:szCs w:val="18"/>
              </w:rPr>
              <w:t>TZDs</w:t>
            </w:r>
          </w:p>
        </w:tc>
      </w:tr>
      <w:tr w:rsidR="00E20472" w:rsidRPr="00082421" w:rsidTr="00E20472">
        <w:trPr>
          <w:cantSplit/>
          <w:trHeight w:val="20"/>
        </w:trPr>
        <w:tc>
          <w:tcPr>
            <w:tcW w:w="695" w:type="pct"/>
            <w:shd w:val="clear" w:color="auto" w:fill="auto"/>
            <w:noWrap/>
            <w:vAlign w:val="center"/>
            <w:hideMark/>
          </w:tcPr>
          <w:p w:rsidR="00E20472" w:rsidRPr="00E20472" w:rsidRDefault="00B31B16" w:rsidP="0093455B">
            <w:pPr>
              <w:pStyle w:val="TableFooter"/>
              <w:spacing w:before="20" w:after="20"/>
              <w:ind w:firstLine="142"/>
              <w:jc w:val="left"/>
              <w:rPr>
                <w:rStyle w:val="TableText"/>
                <w:rFonts w:asciiTheme="majorHAnsi" w:hAnsiTheme="majorHAnsi"/>
                <w:sz w:val="18"/>
                <w:szCs w:val="18"/>
              </w:rPr>
            </w:pPr>
            <w:r>
              <w:rPr>
                <w:rStyle w:val="TableText"/>
                <w:rFonts w:asciiTheme="majorHAnsi" w:hAnsiTheme="majorHAnsi"/>
                <w:sz w:val="18"/>
                <w:szCs w:val="18"/>
              </w:rPr>
              <w:t>Jain, 2006</w:t>
            </w:r>
            <w:r w:rsidR="0093455B" w:rsidRPr="00DF4210">
              <w:rPr>
                <w:rStyle w:val="TableText"/>
                <w:rFonts w:asciiTheme="majorHAnsi" w:hAnsiTheme="majorHAnsi"/>
                <w:noProof/>
                <w:sz w:val="18"/>
                <w:szCs w:val="18"/>
                <w:vertAlign w:val="superscript"/>
              </w:rPr>
              <w:t>107</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56 weeks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502</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GLIB</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PIO</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No</w:t>
            </w:r>
          </w:p>
        </w:tc>
      </w:tr>
      <w:tr w:rsidR="00E20472" w:rsidRPr="00082421" w:rsidTr="00E20472">
        <w:trPr>
          <w:cantSplit/>
          <w:trHeight w:val="20"/>
        </w:trPr>
        <w:tc>
          <w:tcPr>
            <w:tcW w:w="695" w:type="pct"/>
            <w:shd w:val="clear" w:color="auto" w:fill="auto"/>
            <w:noWrap/>
            <w:vAlign w:val="center"/>
            <w:hideMark/>
          </w:tcPr>
          <w:p w:rsidR="00E20472" w:rsidRPr="00E20472" w:rsidRDefault="00B31B16" w:rsidP="0093455B">
            <w:pPr>
              <w:pStyle w:val="TableFooter"/>
              <w:spacing w:before="20" w:after="20"/>
              <w:ind w:firstLine="142"/>
              <w:jc w:val="left"/>
              <w:rPr>
                <w:rStyle w:val="TableText"/>
                <w:rFonts w:asciiTheme="majorHAnsi" w:hAnsiTheme="majorHAnsi"/>
                <w:sz w:val="18"/>
                <w:szCs w:val="18"/>
              </w:rPr>
            </w:pPr>
            <w:r>
              <w:rPr>
                <w:rStyle w:val="TableText"/>
                <w:rFonts w:asciiTheme="majorHAnsi" w:hAnsiTheme="majorHAnsi"/>
                <w:sz w:val="18"/>
                <w:szCs w:val="18"/>
              </w:rPr>
              <w:t>Kahn, 2006</w:t>
            </w:r>
            <w:r w:rsidR="0093455B" w:rsidRPr="00DF4210">
              <w:rPr>
                <w:rStyle w:val="TableText"/>
                <w:rFonts w:asciiTheme="majorHAnsi" w:hAnsiTheme="majorHAnsi"/>
                <w:noProof/>
                <w:sz w:val="18"/>
                <w:szCs w:val="18"/>
                <w:vertAlign w:val="superscript"/>
              </w:rPr>
              <w:t>99</w:t>
            </w:r>
            <w:r w:rsidR="00470430">
              <w:rPr>
                <w:rStyle w:val="TableText"/>
                <w:rFonts w:asciiTheme="majorHAnsi" w:hAnsiTheme="majorHAnsi"/>
                <w:sz w:val="18"/>
                <w:szCs w:val="18"/>
              </w:rPr>
              <w:t xml:space="preserve"> </w:t>
            </w:r>
            <w:r w:rsidR="00470430" w:rsidRPr="00470430">
              <w:rPr>
                <w:rStyle w:val="TableText"/>
                <w:rFonts w:asciiTheme="majorHAnsi" w:hAnsiTheme="majorHAnsi"/>
                <w:sz w:val="18"/>
                <w:szCs w:val="18"/>
                <w:vertAlign w:val="superscript"/>
              </w:rPr>
              <w:t>b</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4 years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4,360</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GLIB</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ROS</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MET</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Yes</w:t>
            </w:r>
          </w:p>
        </w:tc>
      </w:tr>
      <w:tr w:rsidR="00E20472" w:rsidRPr="00082421" w:rsidTr="00E20472">
        <w:trPr>
          <w:cantSplit/>
          <w:trHeight w:val="20"/>
        </w:trPr>
        <w:tc>
          <w:tcPr>
            <w:tcW w:w="695" w:type="pct"/>
            <w:shd w:val="clear" w:color="auto" w:fill="auto"/>
            <w:noWrap/>
            <w:vAlign w:val="center"/>
            <w:hideMark/>
          </w:tcPr>
          <w:p w:rsidR="00E20472" w:rsidRPr="00E20472" w:rsidRDefault="00B31B16" w:rsidP="0093455B">
            <w:pPr>
              <w:pStyle w:val="TableFooter"/>
              <w:spacing w:before="20" w:after="20"/>
              <w:ind w:firstLine="142"/>
              <w:jc w:val="left"/>
              <w:rPr>
                <w:rStyle w:val="TableText"/>
                <w:rFonts w:asciiTheme="majorHAnsi" w:hAnsiTheme="majorHAnsi"/>
                <w:sz w:val="18"/>
                <w:szCs w:val="18"/>
              </w:rPr>
            </w:pPr>
            <w:proofErr w:type="spellStart"/>
            <w:r>
              <w:rPr>
                <w:rStyle w:val="TableText"/>
                <w:rFonts w:asciiTheme="majorHAnsi" w:hAnsiTheme="majorHAnsi"/>
                <w:sz w:val="18"/>
                <w:szCs w:val="18"/>
              </w:rPr>
              <w:t>Tolman</w:t>
            </w:r>
            <w:proofErr w:type="spellEnd"/>
            <w:r>
              <w:rPr>
                <w:rStyle w:val="TableText"/>
                <w:rFonts w:asciiTheme="majorHAnsi" w:hAnsiTheme="majorHAnsi"/>
                <w:sz w:val="18"/>
                <w:szCs w:val="18"/>
              </w:rPr>
              <w:t>, 2009</w:t>
            </w:r>
            <w:r w:rsidR="0093455B" w:rsidRPr="00DF4210">
              <w:rPr>
                <w:rStyle w:val="TableText"/>
                <w:rFonts w:asciiTheme="majorHAnsi" w:hAnsiTheme="majorHAnsi"/>
                <w:noProof/>
                <w:sz w:val="18"/>
                <w:szCs w:val="18"/>
                <w:vertAlign w:val="superscript"/>
              </w:rPr>
              <w:t>108</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3 years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2,097</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GLIB</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PIO</w:t>
            </w:r>
          </w:p>
        </w:tc>
        <w:tc>
          <w:tcPr>
            <w:tcW w:w="342" w:type="pct"/>
            <w:shd w:val="clear" w:color="auto" w:fill="auto"/>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No</w:t>
            </w:r>
          </w:p>
        </w:tc>
      </w:tr>
      <w:tr w:rsidR="00E20472" w:rsidRPr="00082421" w:rsidTr="00E20472">
        <w:trPr>
          <w:cantSplit/>
          <w:trHeight w:val="20"/>
        </w:trPr>
        <w:tc>
          <w:tcPr>
            <w:tcW w:w="4427" w:type="pct"/>
            <w:gridSpan w:val="18"/>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i/>
                <w:sz w:val="18"/>
                <w:szCs w:val="18"/>
              </w:rPr>
            </w:pPr>
            <w:r w:rsidRPr="00E20472">
              <w:rPr>
                <w:rStyle w:val="TableText"/>
                <w:rFonts w:asciiTheme="majorHAnsi" w:hAnsiTheme="majorHAnsi"/>
                <w:i/>
                <w:sz w:val="18"/>
                <w:szCs w:val="18"/>
              </w:rPr>
              <w:t>DPP-4 inhibitors</w:t>
            </w: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p>
        </w:tc>
      </w:tr>
      <w:tr w:rsidR="00E20472" w:rsidRPr="00082421" w:rsidTr="00E20472">
        <w:trPr>
          <w:cantSplit/>
          <w:trHeight w:val="20"/>
        </w:trPr>
        <w:tc>
          <w:tcPr>
            <w:tcW w:w="695" w:type="pct"/>
            <w:shd w:val="clear" w:color="auto" w:fill="auto"/>
            <w:noWrap/>
            <w:vAlign w:val="center"/>
            <w:hideMark/>
          </w:tcPr>
          <w:p w:rsidR="00E20472" w:rsidRPr="00E20472" w:rsidRDefault="00B31B16" w:rsidP="0093455B">
            <w:pPr>
              <w:pStyle w:val="TableFooter"/>
              <w:spacing w:before="20" w:after="20"/>
              <w:ind w:firstLine="142"/>
              <w:jc w:val="left"/>
              <w:rPr>
                <w:rStyle w:val="TableText"/>
                <w:rFonts w:asciiTheme="majorHAnsi" w:hAnsiTheme="majorHAnsi"/>
                <w:sz w:val="18"/>
                <w:szCs w:val="18"/>
              </w:rPr>
            </w:pPr>
            <w:r>
              <w:rPr>
                <w:rStyle w:val="TableText"/>
                <w:rFonts w:asciiTheme="majorHAnsi" w:hAnsiTheme="majorHAnsi"/>
                <w:sz w:val="18"/>
                <w:szCs w:val="18"/>
              </w:rPr>
              <w:t>Foley, 2009</w:t>
            </w:r>
            <w:r w:rsidR="0093455B" w:rsidRPr="00DF4210">
              <w:rPr>
                <w:rStyle w:val="TableText"/>
                <w:rFonts w:asciiTheme="majorHAnsi" w:hAnsiTheme="majorHAnsi"/>
                <w:noProof/>
                <w:sz w:val="18"/>
                <w:szCs w:val="18"/>
                <w:vertAlign w:val="superscript"/>
              </w:rPr>
              <w:t>109</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104 weeks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1,092</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GLZ</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VIL</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No</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keepNext/>
              <w:keepLines/>
              <w:spacing w:before="20" w:after="20"/>
              <w:jc w:val="left"/>
              <w:rPr>
                <w:rStyle w:val="TableText"/>
                <w:rFonts w:asciiTheme="majorHAnsi" w:hAnsiTheme="majorHAnsi"/>
                <w:sz w:val="18"/>
                <w:szCs w:val="18"/>
              </w:rPr>
            </w:pPr>
            <w:r w:rsidRPr="00E20472">
              <w:rPr>
                <w:rStyle w:val="TableText"/>
                <w:rFonts w:asciiTheme="majorHAnsi" w:hAnsiTheme="majorHAnsi"/>
                <w:b/>
                <w:sz w:val="18"/>
                <w:szCs w:val="18"/>
              </w:rPr>
              <w:lastRenderedPageBreak/>
              <w:t>Alpha-glucosidase inhibitors vs.</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keepNext/>
              <w:keepLines/>
              <w:spacing w:before="20" w:after="20"/>
              <w:jc w:val="left"/>
              <w:rPr>
                <w:rStyle w:val="TableText"/>
                <w:rFonts w:asciiTheme="majorHAnsi" w:hAnsiTheme="majorHAnsi"/>
                <w:sz w:val="18"/>
                <w:szCs w:val="18"/>
              </w:rPr>
            </w:pPr>
            <w:r w:rsidRPr="00E20472">
              <w:rPr>
                <w:rStyle w:val="TableText"/>
                <w:rFonts w:asciiTheme="majorHAnsi" w:hAnsiTheme="majorHAnsi"/>
                <w:i/>
                <w:sz w:val="18"/>
                <w:szCs w:val="18"/>
              </w:rPr>
              <w:t>DPP-4 inhibitors</w:t>
            </w:r>
          </w:p>
        </w:tc>
      </w:tr>
      <w:tr w:rsidR="00E20472" w:rsidRPr="00082421" w:rsidTr="00E20472">
        <w:trPr>
          <w:cantSplit/>
          <w:trHeight w:val="20"/>
        </w:trPr>
        <w:tc>
          <w:tcPr>
            <w:tcW w:w="695" w:type="pct"/>
            <w:shd w:val="clear" w:color="auto" w:fill="auto"/>
            <w:noWrap/>
            <w:vAlign w:val="center"/>
            <w:hideMark/>
          </w:tcPr>
          <w:p w:rsidR="00E20472" w:rsidRPr="00E20472" w:rsidRDefault="00B31B16" w:rsidP="0093455B">
            <w:pPr>
              <w:pStyle w:val="TableFooter"/>
              <w:spacing w:before="20" w:after="20"/>
              <w:ind w:firstLine="142"/>
              <w:jc w:val="left"/>
              <w:rPr>
                <w:rStyle w:val="TableText"/>
                <w:rFonts w:asciiTheme="majorHAnsi" w:hAnsiTheme="majorHAnsi"/>
                <w:sz w:val="18"/>
                <w:szCs w:val="18"/>
              </w:rPr>
            </w:pPr>
            <w:r>
              <w:rPr>
                <w:rStyle w:val="TableText"/>
                <w:rFonts w:asciiTheme="majorHAnsi" w:hAnsiTheme="majorHAnsi"/>
                <w:sz w:val="18"/>
                <w:szCs w:val="18"/>
              </w:rPr>
              <w:t>Pan, 2008</w:t>
            </w:r>
            <w:r w:rsidR="0093455B" w:rsidRPr="00DF4210">
              <w:rPr>
                <w:rStyle w:val="TableText"/>
                <w:rFonts w:asciiTheme="majorHAnsi" w:hAnsiTheme="majorHAnsi"/>
                <w:noProof/>
                <w:sz w:val="18"/>
                <w:szCs w:val="18"/>
                <w:vertAlign w:val="superscript"/>
              </w:rPr>
              <w:t>110</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24 weeks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661</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ACA</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VIL</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No</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b/>
                <w:sz w:val="18"/>
                <w:szCs w:val="18"/>
              </w:rPr>
              <w:t>TZDs vs.</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i/>
                <w:sz w:val="18"/>
                <w:szCs w:val="18"/>
              </w:rPr>
              <w:t>TZDs</w:t>
            </w:r>
          </w:p>
        </w:tc>
      </w:tr>
      <w:tr w:rsidR="00E20472" w:rsidRPr="00082421" w:rsidTr="00E20472">
        <w:trPr>
          <w:cantSplit/>
          <w:trHeight w:val="20"/>
        </w:trPr>
        <w:tc>
          <w:tcPr>
            <w:tcW w:w="695" w:type="pct"/>
            <w:shd w:val="clear" w:color="auto" w:fill="auto"/>
            <w:noWrap/>
            <w:vAlign w:val="center"/>
            <w:hideMark/>
          </w:tcPr>
          <w:p w:rsidR="00E20472" w:rsidRPr="00E20472" w:rsidRDefault="00E20472" w:rsidP="0093455B">
            <w:pPr>
              <w:pStyle w:val="TableFooter"/>
              <w:spacing w:before="20" w:after="20"/>
              <w:ind w:firstLine="142"/>
              <w:jc w:val="left"/>
              <w:rPr>
                <w:rStyle w:val="TableText"/>
                <w:rFonts w:asciiTheme="majorHAnsi" w:hAnsiTheme="majorHAnsi"/>
                <w:sz w:val="18"/>
                <w:szCs w:val="18"/>
              </w:rPr>
            </w:pPr>
            <w:r w:rsidRPr="00E20472">
              <w:rPr>
                <w:rStyle w:val="TableText"/>
                <w:rFonts w:asciiTheme="majorHAnsi" w:hAnsiTheme="majorHAnsi"/>
                <w:sz w:val="18"/>
                <w:szCs w:val="18"/>
              </w:rPr>
              <w:t>Gold</w:t>
            </w:r>
            <w:r w:rsidR="00B31B16">
              <w:rPr>
                <w:rStyle w:val="TableText"/>
                <w:rFonts w:asciiTheme="majorHAnsi" w:hAnsiTheme="majorHAnsi"/>
                <w:sz w:val="18"/>
                <w:szCs w:val="18"/>
              </w:rPr>
              <w:t>berg, 2005</w:t>
            </w:r>
            <w:r w:rsidR="0093455B" w:rsidRPr="00DF4210">
              <w:rPr>
                <w:rStyle w:val="TableText"/>
                <w:rFonts w:asciiTheme="majorHAnsi" w:hAnsiTheme="majorHAnsi"/>
                <w:noProof/>
                <w:sz w:val="18"/>
                <w:szCs w:val="18"/>
                <w:vertAlign w:val="superscript"/>
              </w:rPr>
              <w:t>111</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24 weeks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802</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PIO</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ROS</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Yes</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i/>
                <w:sz w:val="18"/>
                <w:szCs w:val="18"/>
              </w:rPr>
              <w:t>DPP-4 inhibitors</w:t>
            </w:r>
          </w:p>
        </w:tc>
      </w:tr>
      <w:tr w:rsidR="00E20472" w:rsidRPr="00082421" w:rsidTr="00E20472">
        <w:trPr>
          <w:cantSplit/>
          <w:trHeight w:val="20"/>
        </w:trPr>
        <w:tc>
          <w:tcPr>
            <w:tcW w:w="695" w:type="pct"/>
            <w:shd w:val="clear" w:color="auto" w:fill="auto"/>
            <w:noWrap/>
            <w:vAlign w:val="center"/>
            <w:hideMark/>
          </w:tcPr>
          <w:p w:rsidR="00E20472" w:rsidRPr="00E20472" w:rsidRDefault="00B31B16" w:rsidP="001802EE">
            <w:pPr>
              <w:pStyle w:val="TableFooter"/>
              <w:spacing w:before="20" w:after="20"/>
              <w:ind w:firstLine="142"/>
              <w:jc w:val="left"/>
              <w:rPr>
                <w:rStyle w:val="TableText"/>
                <w:rFonts w:asciiTheme="majorHAnsi" w:hAnsiTheme="majorHAnsi"/>
                <w:sz w:val="18"/>
                <w:szCs w:val="18"/>
              </w:rPr>
            </w:pPr>
            <w:proofErr w:type="spellStart"/>
            <w:r>
              <w:rPr>
                <w:rStyle w:val="TableText"/>
                <w:rFonts w:asciiTheme="majorHAnsi" w:hAnsiTheme="majorHAnsi"/>
                <w:sz w:val="18"/>
                <w:szCs w:val="18"/>
              </w:rPr>
              <w:t>Rosenstock</w:t>
            </w:r>
            <w:proofErr w:type="spellEnd"/>
            <w:r>
              <w:rPr>
                <w:rStyle w:val="TableText"/>
                <w:rFonts w:asciiTheme="majorHAnsi" w:hAnsiTheme="majorHAnsi"/>
                <w:sz w:val="18"/>
                <w:szCs w:val="18"/>
              </w:rPr>
              <w:t>, 2007</w:t>
            </w:r>
            <w:r w:rsidR="0093455B" w:rsidRPr="00DF4210">
              <w:rPr>
                <w:rStyle w:val="TableText"/>
                <w:rFonts w:asciiTheme="majorHAnsi" w:hAnsiTheme="majorHAnsi"/>
                <w:noProof/>
                <w:sz w:val="18"/>
                <w:szCs w:val="18"/>
                <w:vertAlign w:val="superscript"/>
              </w:rPr>
              <w:t>112</w:t>
            </w:r>
          </w:p>
          <w:p w:rsidR="00E20472" w:rsidRPr="00E20472" w:rsidRDefault="00B31B16" w:rsidP="0093455B">
            <w:pPr>
              <w:pStyle w:val="TableFooter"/>
              <w:spacing w:before="20" w:after="20"/>
              <w:ind w:firstLine="142"/>
              <w:jc w:val="left"/>
              <w:rPr>
                <w:rStyle w:val="TableText"/>
                <w:rFonts w:asciiTheme="majorHAnsi" w:hAnsiTheme="majorHAnsi"/>
                <w:sz w:val="18"/>
                <w:szCs w:val="18"/>
              </w:rPr>
            </w:pPr>
            <w:proofErr w:type="spellStart"/>
            <w:r>
              <w:rPr>
                <w:rStyle w:val="TableText"/>
                <w:rFonts w:asciiTheme="majorHAnsi" w:hAnsiTheme="majorHAnsi"/>
                <w:sz w:val="18"/>
                <w:szCs w:val="18"/>
              </w:rPr>
              <w:t>Rosenstock</w:t>
            </w:r>
            <w:proofErr w:type="spellEnd"/>
            <w:r>
              <w:rPr>
                <w:rStyle w:val="TableText"/>
                <w:rFonts w:asciiTheme="majorHAnsi" w:hAnsiTheme="majorHAnsi"/>
                <w:sz w:val="18"/>
                <w:szCs w:val="18"/>
              </w:rPr>
              <w:t>, 2009</w:t>
            </w:r>
            <w:r w:rsidR="0093455B" w:rsidRPr="00DF4210">
              <w:rPr>
                <w:rStyle w:val="TableText"/>
                <w:rFonts w:asciiTheme="majorHAnsi" w:hAnsiTheme="majorHAnsi"/>
                <w:noProof/>
                <w:sz w:val="18"/>
                <w:szCs w:val="18"/>
                <w:vertAlign w:val="superscript"/>
              </w:rPr>
              <w:t>113</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24 weeks</w:t>
            </w:r>
          </w:p>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2 years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786</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ROS</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VIL</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No</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b/>
                <w:sz w:val="18"/>
                <w:szCs w:val="18"/>
              </w:rPr>
              <w:t>DPP-4 inhibitors vs.</w:t>
            </w:r>
          </w:p>
        </w:tc>
      </w:tr>
      <w:tr w:rsidR="00E20472" w:rsidRPr="00082421" w:rsidTr="00E20472">
        <w:trPr>
          <w:cantSplit/>
          <w:trHeight w:val="20"/>
        </w:trPr>
        <w:tc>
          <w:tcPr>
            <w:tcW w:w="5000" w:type="pct"/>
            <w:gridSpan w:val="19"/>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i/>
                <w:sz w:val="18"/>
                <w:szCs w:val="18"/>
              </w:rPr>
              <w:t>DPP-4 inhibitors</w:t>
            </w:r>
          </w:p>
        </w:tc>
      </w:tr>
      <w:tr w:rsidR="00E20472" w:rsidRPr="00082421" w:rsidTr="00E20472">
        <w:trPr>
          <w:cantSplit/>
          <w:trHeight w:val="20"/>
        </w:trPr>
        <w:tc>
          <w:tcPr>
            <w:tcW w:w="695" w:type="pct"/>
            <w:shd w:val="clear" w:color="auto" w:fill="auto"/>
            <w:noWrap/>
            <w:vAlign w:val="center"/>
            <w:hideMark/>
          </w:tcPr>
          <w:p w:rsidR="00E20472" w:rsidRPr="00E20472" w:rsidRDefault="00E20472" w:rsidP="0093455B">
            <w:pPr>
              <w:pStyle w:val="TableFooter"/>
              <w:spacing w:before="20" w:after="20"/>
              <w:ind w:firstLine="142"/>
              <w:jc w:val="left"/>
              <w:rPr>
                <w:rStyle w:val="TableText"/>
                <w:rFonts w:asciiTheme="majorHAnsi" w:hAnsiTheme="majorHAnsi"/>
                <w:sz w:val="18"/>
                <w:szCs w:val="18"/>
              </w:rPr>
            </w:pPr>
            <w:proofErr w:type="spellStart"/>
            <w:r w:rsidRPr="00E20472">
              <w:rPr>
                <w:rStyle w:val="TableText"/>
                <w:rFonts w:asciiTheme="majorHAnsi" w:hAnsiTheme="majorHAnsi"/>
                <w:sz w:val="18"/>
                <w:szCs w:val="18"/>
              </w:rPr>
              <w:t>Bosi</w:t>
            </w:r>
            <w:proofErr w:type="spellEnd"/>
            <w:r w:rsidRPr="00E20472">
              <w:rPr>
                <w:rStyle w:val="TableText"/>
                <w:rFonts w:asciiTheme="majorHAnsi" w:hAnsiTheme="majorHAnsi"/>
                <w:sz w:val="18"/>
                <w:szCs w:val="18"/>
              </w:rPr>
              <w:t>, 2009</w:t>
            </w:r>
            <w:r w:rsidR="0093455B" w:rsidRPr="00DF4210">
              <w:rPr>
                <w:rStyle w:val="TableText"/>
                <w:rFonts w:asciiTheme="majorHAnsi" w:hAnsiTheme="majorHAnsi"/>
                <w:noProof/>
                <w:sz w:val="18"/>
                <w:szCs w:val="18"/>
                <w:vertAlign w:val="superscript"/>
              </w:rPr>
              <w:t>103</w:t>
            </w:r>
            <w:r w:rsidRPr="00E20472">
              <w:rPr>
                <w:rStyle w:val="TableText"/>
                <w:rFonts w:asciiTheme="majorHAnsi" w:hAnsiTheme="majorHAnsi"/>
                <w:sz w:val="18"/>
                <w:szCs w:val="18"/>
              </w:rPr>
              <w:t xml:space="preserve">  *</w:t>
            </w:r>
          </w:p>
        </w:tc>
        <w:tc>
          <w:tcPr>
            <w:tcW w:w="392" w:type="pct"/>
            <w:shd w:val="clear" w:color="auto" w:fill="auto"/>
            <w:noWrap/>
            <w:vAlign w:val="center"/>
            <w:hideMark/>
          </w:tcPr>
          <w:p w:rsidR="00E20472" w:rsidRPr="00E20472" w:rsidRDefault="00E20472" w:rsidP="001802EE">
            <w:pPr>
              <w:pStyle w:val="TableFooter"/>
              <w:spacing w:before="20" w:after="20"/>
              <w:jc w:val="left"/>
              <w:rPr>
                <w:rStyle w:val="TableText"/>
                <w:rFonts w:asciiTheme="majorHAnsi" w:hAnsiTheme="majorHAnsi"/>
                <w:sz w:val="18"/>
                <w:szCs w:val="18"/>
              </w:rPr>
            </w:pPr>
            <w:r w:rsidRPr="00E20472">
              <w:rPr>
                <w:rStyle w:val="TableText"/>
                <w:rFonts w:asciiTheme="majorHAnsi" w:hAnsiTheme="majorHAnsi"/>
                <w:sz w:val="18"/>
                <w:szCs w:val="18"/>
              </w:rPr>
              <w:t>24 weeks</w:t>
            </w:r>
          </w:p>
        </w:tc>
        <w:tc>
          <w:tcPr>
            <w:tcW w:w="198"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1,179</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VIL</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VIL + MET</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MET</w:t>
            </w:r>
          </w:p>
        </w:tc>
        <w:tc>
          <w:tcPr>
            <w:tcW w:w="342"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93"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gridSpan w:val="2"/>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24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5"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96"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x</w:t>
            </w:r>
          </w:p>
        </w:tc>
        <w:tc>
          <w:tcPr>
            <w:tcW w:w="160"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147" w:type="pct"/>
            <w:shd w:val="clear" w:color="auto" w:fill="auto"/>
            <w:noWrap/>
            <w:vAlign w:val="center"/>
            <w:hideMark/>
          </w:tcPr>
          <w:p w:rsidR="00E20472" w:rsidRPr="00E20472" w:rsidRDefault="00E20472" w:rsidP="001802EE">
            <w:pPr>
              <w:pStyle w:val="TableFooter"/>
              <w:spacing w:before="20" w:after="20"/>
              <w:jc w:val="center"/>
              <w:rPr>
                <w:rStyle w:val="TableText"/>
                <w:rFonts w:asciiTheme="majorHAnsi" w:hAnsiTheme="majorHAnsi"/>
                <w:sz w:val="18"/>
                <w:szCs w:val="18"/>
              </w:rPr>
            </w:pPr>
          </w:p>
        </w:tc>
        <w:tc>
          <w:tcPr>
            <w:tcW w:w="573" w:type="pct"/>
            <w:vAlign w:val="center"/>
          </w:tcPr>
          <w:p w:rsidR="00E20472" w:rsidRPr="00E20472" w:rsidRDefault="00E20472" w:rsidP="001802EE">
            <w:pPr>
              <w:pStyle w:val="TableFooter"/>
              <w:spacing w:before="20" w:after="20"/>
              <w:jc w:val="center"/>
              <w:rPr>
                <w:rStyle w:val="TableText"/>
                <w:rFonts w:asciiTheme="majorHAnsi" w:hAnsiTheme="majorHAnsi"/>
                <w:sz w:val="18"/>
                <w:szCs w:val="18"/>
              </w:rPr>
            </w:pPr>
            <w:r w:rsidRPr="00E20472">
              <w:rPr>
                <w:rStyle w:val="TableText"/>
                <w:rFonts w:asciiTheme="majorHAnsi" w:hAnsiTheme="majorHAnsi"/>
                <w:sz w:val="18"/>
                <w:szCs w:val="18"/>
              </w:rPr>
              <w:t>Yes</w:t>
            </w:r>
          </w:p>
        </w:tc>
      </w:tr>
    </w:tbl>
    <w:p w:rsidR="00E20472" w:rsidRDefault="00E20472" w:rsidP="00E20472">
      <w:pPr>
        <w:pStyle w:val="Notes"/>
      </w:pPr>
      <w:r w:rsidRPr="0027611E">
        <w:rPr>
          <w:u w:val="single"/>
        </w:rPr>
        <w:t>Abbreviations</w:t>
      </w:r>
      <w:r>
        <w:t>:</w:t>
      </w:r>
      <w:r w:rsidR="0027611E">
        <w:t xml:space="preserve"> </w:t>
      </w:r>
      <w:r w:rsidRPr="00082421">
        <w:t>ACA = acarbose; AE = adverse event; BW = body weight; CVD = cardiovascular disease; DPP-4 = dipeptidyl peptidase-4; GLIB = glibenclamide; GLZ = gliclazide; HbA</w:t>
      </w:r>
      <w:r w:rsidRPr="00082421">
        <w:rPr>
          <w:vertAlign w:val="subscript"/>
        </w:rPr>
        <w:t>1c</w:t>
      </w:r>
      <w:r w:rsidRPr="00082421">
        <w:t xml:space="preserve"> = glycated haemoglobin; Hypo-G = hypoglycaemia; MET = metformin; Mor = mortality; MVD = microvascular disease; Pan = pancreatitis; PBAC = Pharmaceutical Benefits Advisory Committee; PBO = placebo; PIO = pioglitazone; RIVO = rivoglitazone; ROS = rosiglitazone; SAE = serious adverse event; SAX = saxagliptin; SIT =</w:t>
      </w:r>
      <w:r>
        <w:t xml:space="preserve"> sitagliptin; SU = sulfonylurea</w:t>
      </w:r>
      <w:r w:rsidRPr="00082421">
        <w:t>; UTI = urinary tract infection; VIL = vildagliptin</w:t>
      </w:r>
    </w:p>
    <w:p w:rsidR="00E20472" w:rsidRPr="00470430" w:rsidRDefault="00470430" w:rsidP="00470430">
      <w:pPr>
        <w:rPr>
          <w:rFonts w:asciiTheme="majorHAnsi" w:hAnsiTheme="majorHAnsi"/>
          <w:sz w:val="20"/>
          <w:szCs w:val="20"/>
        </w:rPr>
      </w:pPr>
      <w:r w:rsidRPr="0027611E">
        <w:rPr>
          <w:sz w:val="20"/>
          <w:szCs w:val="20"/>
          <w:u w:val="single"/>
        </w:rPr>
        <w:t>Notes</w:t>
      </w:r>
      <w:r w:rsidRPr="00470430">
        <w:rPr>
          <w:sz w:val="20"/>
          <w:szCs w:val="20"/>
        </w:rPr>
        <w:t xml:space="preserve">: </w:t>
      </w:r>
      <w:r w:rsidRPr="00470430">
        <w:rPr>
          <w:sz w:val="20"/>
          <w:szCs w:val="20"/>
          <w:vertAlign w:val="superscript"/>
        </w:rPr>
        <w:t>a</w:t>
      </w:r>
      <w:r w:rsidRPr="00470430">
        <w:rPr>
          <w:sz w:val="20"/>
          <w:szCs w:val="20"/>
        </w:rPr>
        <w:t xml:space="preserve"> </w:t>
      </w:r>
      <w:r w:rsidRPr="00470430">
        <w:rPr>
          <w:rFonts w:asciiTheme="majorHAnsi" w:hAnsiTheme="majorHAnsi"/>
          <w:sz w:val="20"/>
          <w:szCs w:val="20"/>
        </w:rPr>
        <w:t xml:space="preserve">* Trials included in submissions from 2002 to November 2013; </w:t>
      </w:r>
      <w:r w:rsidRPr="00470430">
        <w:rPr>
          <w:sz w:val="20"/>
          <w:szCs w:val="20"/>
          <w:vertAlign w:val="superscript"/>
        </w:rPr>
        <w:t>b</w:t>
      </w:r>
      <w:r w:rsidR="00E20472" w:rsidRPr="00470430">
        <w:rPr>
          <w:sz w:val="20"/>
          <w:szCs w:val="20"/>
        </w:rPr>
        <w:t xml:space="preserve"> Trial used for more than one comparison.</w:t>
      </w:r>
    </w:p>
    <w:p w:rsidR="00E20472" w:rsidRPr="00082421" w:rsidRDefault="00E20472" w:rsidP="00E20472">
      <w:pPr>
        <w:pStyle w:val="Notes"/>
      </w:pPr>
    </w:p>
    <w:p w:rsidR="00B31B16" w:rsidRPr="001802EE" w:rsidRDefault="00B31B16" w:rsidP="001802EE">
      <w:pPr>
        <w:rPr>
          <w:b/>
        </w:rPr>
      </w:pPr>
      <w:bookmarkStart w:id="493" w:name="_Ref384987289"/>
      <w:proofErr w:type="gramStart"/>
      <w:r w:rsidRPr="001802EE">
        <w:rPr>
          <w:b/>
        </w:rPr>
        <w:t xml:space="preserve">Table </w:t>
      </w:r>
      <w:bookmarkEnd w:id="493"/>
      <w:r w:rsidR="001802EE" w:rsidRPr="001802EE">
        <w:rPr>
          <w:b/>
          <w:noProof w:val="0"/>
        </w:rPr>
        <w:t>2.</w:t>
      </w:r>
      <w:proofErr w:type="gramEnd"/>
      <w:r w:rsidRPr="001802EE">
        <w:rPr>
          <w:b/>
        </w:rPr>
        <w:t xml:space="preserve"> Included dual therapy trials, treatment comparisons and outcomes</w:t>
      </w:r>
      <w:r w:rsidR="001802EE">
        <w:rPr>
          <w:b/>
        </w:rPr>
        <w:t>.</w:t>
      </w:r>
    </w:p>
    <w:tbl>
      <w:tblPr>
        <w:tblW w:w="51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010"/>
        <w:gridCol w:w="1135"/>
        <w:gridCol w:w="677"/>
        <w:gridCol w:w="990"/>
        <w:gridCol w:w="990"/>
        <w:gridCol w:w="991"/>
        <w:gridCol w:w="32"/>
        <w:gridCol w:w="965"/>
        <w:gridCol w:w="565"/>
        <w:gridCol w:w="426"/>
        <w:gridCol w:w="426"/>
        <w:gridCol w:w="565"/>
        <w:gridCol w:w="710"/>
        <w:gridCol w:w="565"/>
        <w:gridCol w:w="461"/>
        <w:gridCol w:w="12"/>
        <w:gridCol w:w="9"/>
        <w:gridCol w:w="6"/>
        <w:gridCol w:w="9"/>
        <w:gridCol w:w="12"/>
        <w:gridCol w:w="458"/>
        <w:gridCol w:w="9"/>
        <w:gridCol w:w="9"/>
        <w:gridCol w:w="6"/>
        <w:gridCol w:w="9"/>
        <w:gridCol w:w="32"/>
        <w:gridCol w:w="9"/>
        <w:gridCol w:w="345"/>
        <w:gridCol w:w="38"/>
        <w:gridCol w:w="9"/>
        <w:gridCol w:w="26"/>
        <w:gridCol w:w="435"/>
        <w:gridCol w:w="1547"/>
      </w:tblGrid>
      <w:tr w:rsidR="00B31B16" w:rsidRPr="00082421" w:rsidTr="001802EE">
        <w:trPr>
          <w:trHeight w:val="20"/>
          <w:tblHeader/>
        </w:trPr>
        <w:tc>
          <w:tcPr>
            <w:tcW w:w="1320" w:type="pct"/>
            <w:gridSpan w:val="3"/>
            <w:shd w:val="clear" w:color="auto" w:fill="D9D9D9" w:themeFill="background1" w:themeFillShade="D9"/>
            <w:noWrap/>
            <w:vAlign w:val="center"/>
            <w:hideMark/>
          </w:tcPr>
          <w:p w:rsidR="00B31B16" w:rsidRPr="001802EE" w:rsidRDefault="00B31B16" w:rsidP="001802EE">
            <w:pPr>
              <w:pStyle w:val="TableFooter"/>
              <w:spacing w:before="20" w:after="20"/>
              <w:rPr>
                <w:rStyle w:val="TableText"/>
                <w:rFonts w:asciiTheme="majorHAnsi" w:hAnsiTheme="majorHAnsi"/>
                <w:b/>
                <w:sz w:val="18"/>
                <w:szCs w:val="18"/>
              </w:rPr>
            </w:pPr>
            <w:r w:rsidRPr="001802EE">
              <w:rPr>
                <w:rStyle w:val="TableText"/>
                <w:rFonts w:asciiTheme="majorHAnsi" w:hAnsiTheme="majorHAnsi"/>
                <w:b/>
                <w:sz w:val="18"/>
                <w:szCs w:val="18"/>
              </w:rPr>
              <w:t>Dual therapy</w:t>
            </w:r>
          </w:p>
        </w:tc>
        <w:tc>
          <w:tcPr>
            <w:tcW w:w="1370" w:type="pct"/>
            <w:gridSpan w:val="5"/>
            <w:shd w:val="clear" w:color="auto" w:fill="D9D9D9" w:themeFill="background1" w:themeFillShade="D9"/>
            <w:noWrap/>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Treatment arm</w:t>
            </w:r>
          </w:p>
        </w:tc>
        <w:tc>
          <w:tcPr>
            <w:tcW w:w="1776" w:type="pct"/>
            <w:gridSpan w:val="24"/>
            <w:shd w:val="clear" w:color="auto" w:fill="D9D9D9" w:themeFill="background1" w:themeFillShade="D9"/>
            <w:noWrap/>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Outcomes</w:t>
            </w:r>
          </w:p>
        </w:tc>
        <w:tc>
          <w:tcPr>
            <w:tcW w:w="535" w:type="pct"/>
            <w:vMerge w:val="restart"/>
            <w:shd w:val="clear" w:color="auto" w:fill="D9D9D9" w:themeFill="background1" w:themeFillShade="D9"/>
            <w:vAlign w:val="center"/>
          </w:tcPr>
          <w:p w:rsidR="00B31B16" w:rsidRPr="001802EE" w:rsidRDefault="001802EE" w:rsidP="001802EE">
            <w:pPr>
              <w:pStyle w:val="TableFooter"/>
              <w:spacing w:before="20" w:after="20"/>
              <w:jc w:val="center"/>
              <w:rPr>
                <w:rStyle w:val="TableText"/>
                <w:rFonts w:asciiTheme="majorHAnsi" w:hAnsiTheme="majorHAnsi"/>
                <w:b/>
                <w:sz w:val="18"/>
                <w:szCs w:val="18"/>
              </w:rPr>
            </w:pPr>
            <w:r>
              <w:rPr>
                <w:rStyle w:val="TableText"/>
                <w:rFonts w:asciiTheme="majorHAnsi" w:hAnsiTheme="majorHAnsi"/>
                <w:b/>
                <w:sz w:val="18"/>
                <w:szCs w:val="18"/>
              </w:rPr>
              <w:t xml:space="preserve">Seen by </w:t>
            </w:r>
            <w:proofErr w:type="spellStart"/>
            <w:r w:rsidR="00B31B16" w:rsidRPr="001802EE">
              <w:rPr>
                <w:rStyle w:val="TableText"/>
                <w:rFonts w:asciiTheme="majorHAnsi" w:hAnsiTheme="majorHAnsi"/>
                <w:b/>
                <w:sz w:val="18"/>
                <w:szCs w:val="18"/>
              </w:rPr>
              <w:t>PBAC?</w:t>
            </w:r>
            <w:r w:rsidR="0027611E" w:rsidRPr="0027611E">
              <w:rPr>
                <w:rStyle w:val="TableText"/>
                <w:rFonts w:asciiTheme="majorHAnsi" w:hAnsiTheme="majorHAnsi"/>
                <w:b/>
                <w:sz w:val="18"/>
                <w:szCs w:val="18"/>
                <w:vertAlign w:val="superscript"/>
              </w:rPr>
              <w:t>a</w:t>
            </w:r>
            <w:proofErr w:type="spellEnd"/>
          </w:p>
        </w:tc>
      </w:tr>
      <w:tr w:rsidR="00B31B16" w:rsidRPr="00082421" w:rsidTr="001802EE">
        <w:trPr>
          <w:trHeight w:val="20"/>
          <w:tblHeader/>
        </w:trPr>
        <w:tc>
          <w:tcPr>
            <w:tcW w:w="694" w:type="pct"/>
            <w:shd w:val="clear" w:color="auto" w:fill="D9D9D9" w:themeFill="background1" w:themeFillShade="D9"/>
            <w:noWrap/>
            <w:vAlign w:val="center"/>
            <w:hideMark/>
          </w:tcPr>
          <w:p w:rsidR="00B31B16" w:rsidRPr="001802EE" w:rsidRDefault="00B31B16" w:rsidP="001802EE">
            <w:pPr>
              <w:pStyle w:val="TableFooter"/>
              <w:spacing w:before="20" w:after="20"/>
              <w:rPr>
                <w:rStyle w:val="TableText"/>
                <w:rFonts w:asciiTheme="majorHAnsi" w:hAnsiTheme="majorHAnsi"/>
                <w:b/>
                <w:sz w:val="18"/>
                <w:szCs w:val="18"/>
              </w:rPr>
            </w:pPr>
            <w:r w:rsidRPr="001802EE">
              <w:rPr>
                <w:rStyle w:val="TableText"/>
                <w:rFonts w:asciiTheme="majorHAnsi" w:hAnsiTheme="majorHAnsi"/>
                <w:b/>
                <w:sz w:val="18"/>
                <w:szCs w:val="18"/>
              </w:rPr>
              <w:t>Author, Year</w:t>
            </w:r>
          </w:p>
        </w:tc>
        <w:tc>
          <w:tcPr>
            <w:tcW w:w="392" w:type="pct"/>
            <w:shd w:val="clear" w:color="auto" w:fill="D9D9D9" w:themeFill="background1" w:themeFillShade="D9"/>
            <w:vAlign w:val="center"/>
            <w:hideMark/>
          </w:tcPr>
          <w:p w:rsidR="00B31B16" w:rsidRPr="001802EE" w:rsidRDefault="00B31B16" w:rsidP="001802EE">
            <w:pPr>
              <w:pStyle w:val="TableFooter"/>
              <w:spacing w:before="20" w:after="20"/>
              <w:rPr>
                <w:rStyle w:val="TableText"/>
                <w:rFonts w:asciiTheme="majorHAnsi" w:hAnsiTheme="majorHAnsi"/>
                <w:b/>
                <w:sz w:val="18"/>
                <w:szCs w:val="18"/>
              </w:rPr>
            </w:pPr>
            <w:r w:rsidRPr="001802EE">
              <w:rPr>
                <w:rStyle w:val="TableText"/>
                <w:rFonts w:asciiTheme="majorHAnsi" w:hAnsiTheme="majorHAnsi"/>
                <w:b/>
                <w:sz w:val="18"/>
                <w:szCs w:val="18"/>
              </w:rPr>
              <w:t xml:space="preserve">Trial duration </w:t>
            </w:r>
          </w:p>
        </w:tc>
        <w:tc>
          <w:tcPr>
            <w:tcW w:w="234" w:type="pct"/>
            <w:shd w:val="clear" w:color="auto" w:fill="D9D9D9" w:themeFill="background1" w:themeFillShade="D9"/>
            <w:noWrap/>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N</w:t>
            </w:r>
          </w:p>
        </w:tc>
        <w:tc>
          <w:tcPr>
            <w:tcW w:w="342" w:type="pct"/>
            <w:shd w:val="clear" w:color="auto" w:fill="D9D9D9" w:themeFill="background1" w:themeFillShade="D9"/>
            <w:noWrap/>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1</w:t>
            </w:r>
          </w:p>
        </w:tc>
        <w:tc>
          <w:tcPr>
            <w:tcW w:w="342" w:type="pct"/>
            <w:shd w:val="clear" w:color="auto" w:fill="D9D9D9" w:themeFill="background1" w:themeFillShade="D9"/>
            <w:noWrap/>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2</w:t>
            </w:r>
          </w:p>
        </w:tc>
        <w:tc>
          <w:tcPr>
            <w:tcW w:w="342" w:type="pct"/>
            <w:shd w:val="clear" w:color="auto" w:fill="D9D9D9" w:themeFill="background1" w:themeFillShade="D9"/>
            <w:noWrap/>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3</w:t>
            </w:r>
          </w:p>
        </w:tc>
        <w:tc>
          <w:tcPr>
            <w:tcW w:w="342" w:type="pct"/>
            <w:gridSpan w:val="2"/>
            <w:shd w:val="clear" w:color="auto" w:fill="D9D9D9" w:themeFill="background1" w:themeFillShade="D9"/>
            <w:noWrap/>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4</w:t>
            </w:r>
          </w:p>
        </w:tc>
        <w:tc>
          <w:tcPr>
            <w:tcW w:w="195" w:type="pct"/>
            <w:shd w:val="clear" w:color="auto" w:fill="D9D9D9" w:themeFill="background1" w:themeFillShade="D9"/>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Fonts w:asciiTheme="majorHAnsi" w:hAnsiTheme="majorHAnsi"/>
                <w:b/>
                <w:szCs w:val="18"/>
              </w:rPr>
              <w:t>HbA</w:t>
            </w:r>
            <w:r w:rsidRPr="001802EE">
              <w:rPr>
                <w:rFonts w:asciiTheme="majorHAnsi" w:hAnsiTheme="majorHAnsi"/>
                <w:b/>
                <w:szCs w:val="18"/>
                <w:vertAlign w:val="subscript"/>
              </w:rPr>
              <w:t>1c</w:t>
            </w:r>
          </w:p>
        </w:tc>
        <w:tc>
          <w:tcPr>
            <w:tcW w:w="147" w:type="pct"/>
            <w:shd w:val="clear" w:color="auto" w:fill="D9D9D9" w:themeFill="background1" w:themeFillShade="D9"/>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BW</w:t>
            </w:r>
          </w:p>
        </w:tc>
        <w:tc>
          <w:tcPr>
            <w:tcW w:w="147" w:type="pct"/>
            <w:shd w:val="clear" w:color="auto" w:fill="D9D9D9" w:themeFill="background1" w:themeFillShade="D9"/>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AE</w:t>
            </w:r>
          </w:p>
        </w:tc>
        <w:tc>
          <w:tcPr>
            <w:tcW w:w="195" w:type="pct"/>
            <w:shd w:val="clear" w:color="auto" w:fill="D9D9D9" w:themeFill="background1" w:themeFillShade="D9"/>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SAE</w:t>
            </w:r>
          </w:p>
        </w:tc>
        <w:tc>
          <w:tcPr>
            <w:tcW w:w="245" w:type="pct"/>
            <w:shd w:val="clear" w:color="auto" w:fill="D9D9D9" w:themeFill="background1" w:themeFillShade="D9"/>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Hypo-G</w:t>
            </w:r>
          </w:p>
        </w:tc>
        <w:tc>
          <w:tcPr>
            <w:tcW w:w="195" w:type="pct"/>
            <w:shd w:val="clear" w:color="auto" w:fill="D9D9D9" w:themeFill="background1" w:themeFillShade="D9"/>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proofErr w:type="spellStart"/>
            <w:r w:rsidRPr="001802EE">
              <w:rPr>
                <w:rStyle w:val="TableText"/>
                <w:rFonts w:asciiTheme="majorHAnsi" w:hAnsiTheme="majorHAnsi"/>
                <w:b/>
                <w:sz w:val="18"/>
                <w:szCs w:val="18"/>
              </w:rPr>
              <w:t>Mor</w:t>
            </w:r>
            <w:proofErr w:type="spellEnd"/>
          </w:p>
        </w:tc>
        <w:tc>
          <w:tcPr>
            <w:tcW w:w="159" w:type="pct"/>
            <w:shd w:val="clear" w:color="auto" w:fill="D9D9D9" w:themeFill="background1" w:themeFillShade="D9"/>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CVD</w:t>
            </w:r>
          </w:p>
        </w:tc>
        <w:tc>
          <w:tcPr>
            <w:tcW w:w="185" w:type="pct"/>
            <w:gridSpan w:val="10"/>
            <w:shd w:val="clear" w:color="auto" w:fill="D9D9D9" w:themeFill="background1" w:themeFillShade="D9"/>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MVD</w:t>
            </w:r>
          </w:p>
        </w:tc>
        <w:tc>
          <w:tcPr>
            <w:tcW w:w="149" w:type="pct"/>
            <w:gridSpan w:val="5"/>
            <w:shd w:val="clear" w:color="auto" w:fill="D9D9D9" w:themeFill="background1" w:themeFillShade="D9"/>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UTI</w:t>
            </w:r>
          </w:p>
        </w:tc>
        <w:tc>
          <w:tcPr>
            <w:tcW w:w="159" w:type="pct"/>
            <w:gridSpan w:val="2"/>
            <w:shd w:val="clear" w:color="auto" w:fill="D9D9D9" w:themeFill="background1" w:themeFillShade="D9"/>
            <w:vAlign w:val="center"/>
            <w:hideMark/>
          </w:tcPr>
          <w:p w:rsidR="00B31B16" w:rsidRPr="001802EE" w:rsidRDefault="00B31B16" w:rsidP="001802EE">
            <w:pPr>
              <w:pStyle w:val="TableFooter"/>
              <w:spacing w:before="20" w:after="20"/>
              <w:jc w:val="center"/>
              <w:rPr>
                <w:rStyle w:val="TableText"/>
                <w:rFonts w:asciiTheme="majorHAnsi" w:hAnsiTheme="majorHAnsi"/>
                <w:b/>
                <w:sz w:val="18"/>
                <w:szCs w:val="18"/>
              </w:rPr>
            </w:pPr>
            <w:r w:rsidRPr="001802EE">
              <w:rPr>
                <w:rStyle w:val="TableText"/>
                <w:rFonts w:asciiTheme="majorHAnsi" w:hAnsiTheme="majorHAnsi"/>
                <w:b/>
                <w:sz w:val="18"/>
                <w:szCs w:val="18"/>
              </w:rPr>
              <w:t>Pan</w:t>
            </w:r>
          </w:p>
        </w:tc>
        <w:tc>
          <w:tcPr>
            <w:tcW w:w="535" w:type="pct"/>
            <w:vMerge/>
          </w:tcPr>
          <w:p w:rsidR="00B31B16" w:rsidRPr="001802EE" w:rsidRDefault="00B31B16" w:rsidP="001802EE">
            <w:pPr>
              <w:pStyle w:val="TableFooter"/>
              <w:spacing w:before="20" w:after="20"/>
              <w:jc w:val="center"/>
              <w:rPr>
                <w:rStyle w:val="TableText"/>
                <w:rFonts w:asciiTheme="majorHAnsi" w:hAnsiTheme="majorHAnsi"/>
                <w:sz w:val="18"/>
                <w:szCs w:val="18"/>
              </w:rPr>
            </w:pP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b/>
                <w:sz w:val="18"/>
                <w:szCs w:val="18"/>
              </w:rPr>
              <w:t>MET vs.</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i/>
                <w:sz w:val="18"/>
                <w:szCs w:val="18"/>
              </w:rPr>
              <w:t>MET + TZDs</w:t>
            </w:r>
          </w:p>
        </w:tc>
      </w:tr>
      <w:tr w:rsidR="00B31B16" w:rsidRPr="00082421" w:rsidTr="001802EE">
        <w:trPr>
          <w:trHeight w:val="20"/>
        </w:trPr>
        <w:tc>
          <w:tcPr>
            <w:tcW w:w="694" w:type="pct"/>
            <w:shd w:val="clear" w:color="auto" w:fill="auto"/>
            <w:noWrap/>
            <w:vAlign w:val="center"/>
            <w:hideMark/>
          </w:tcPr>
          <w:p w:rsidR="00B31B16" w:rsidRPr="001802EE" w:rsidRDefault="00FE67EB" w:rsidP="0093455B">
            <w:pPr>
              <w:pStyle w:val="TableFooter"/>
              <w:spacing w:before="20" w:after="20"/>
              <w:ind w:firstLine="142"/>
              <w:rPr>
                <w:rStyle w:val="TableText"/>
                <w:rFonts w:asciiTheme="majorHAnsi" w:hAnsiTheme="majorHAnsi"/>
                <w:sz w:val="18"/>
                <w:szCs w:val="18"/>
              </w:rPr>
            </w:pPr>
            <w:r>
              <w:rPr>
                <w:rStyle w:val="TableText"/>
                <w:rFonts w:asciiTheme="majorHAnsi" w:hAnsiTheme="majorHAnsi"/>
                <w:sz w:val="18"/>
                <w:szCs w:val="18"/>
              </w:rPr>
              <w:t>Bailey, 2005</w:t>
            </w:r>
            <w:r w:rsidR="0093455B" w:rsidRPr="00DF4210">
              <w:rPr>
                <w:rStyle w:val="TableText"/>
                <w:rFonts w:asciiTheme="majorHAnsi" w:hAnsiTheme="majorHAnsi"/>
                <w:noProof/>
                <w:sz w:val="18"/>
                <w:szCs w:val="18"/>
                <w:vertAlign w:val="superscript"/>
              </w:rPr>
              <w:t>114</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24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568</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ROS</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1"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2"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694" w:type="pct"/>
            <w:shd w:val="clear" w:color="auto" w:fill="auto"/>
            <w:noWrap/>
            <w:vAlign w:val="center"/>
            <w:hideMark/>
          </w:tcPr>
          <w:p w:rsidR="00B31B16" w:rsidRPr="001802EE" w:rsidRDefault="00FE67EB" w:rsidP="0093455B">
            <w:pPr>
              <w:pStyle w:val="TableFooter"/>
              <w:spacing w:before="20" w:after="20"/>
              <w:ind w:firstLine="142"/>
              <w:rPr>
                <w:rStyle w:val="TableText"/>
                <w:rFonts w:asciiTheme="majorHAnsi" w:hAnsiTheme="majorHAnsi"/>
                <w:sz w:val="18"/>
                <w:szCs w:val="18"/>
              </w:rPr>
            </w:pPr>
            <w:r>
              <w:rPr>
                <w:rStyle w:val="TableText"/>
                <w:rFonts w:asciiTheme="majorHAnsi" w:hAnsiTheme="majorHAnsi"/>
                <w:sz w:val="18"/>
                <w:szCs w:val="18"/>
              </w:rPr>
              <w:t>Borges, 2011</w:t>
            </w:r>
            <w:r w:rsidR="0093455B" w:rsidRPr="00DF4210">
              <w:rPr>
                <w:rStyle w:val="TableText"/>
                <w:rFonts w:asciiTheme="majorHAnsi" w:hAnsiTheme="majorHAnsi"/>
                <w:noProof/>
                <w:sz w:val="18"/>
                <w:szCs w:val="18"/>
                <w:vertAlign w:val="superscript"/>
              </w:rPr>
              <w:t>115</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80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688</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MET/ROS</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1"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2"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r w:rsidR="00B31B16" w:rsidRPr="00082421" w:rsidTr="001802EE">
        <w:trPr>
          <w:trHeight w:val="20"/>
        </w:trPr>
        <w:tc>
          <w:tcPr>
            <w:tcW w:w="694" w:type="pct"/>
            <w:shd w:val="clear" w:color="auto" w:fill="auto"/>
            <w:noWrap/>
            <w:vAlign w:val="center"/>
            <w:hideMark/>
          </w:tcPr>
          <w:p w:rsidR="00B31B16" w:rsidRPr="001802EE" w:rsidRDefault="00FE67EB" w:rsidP="0093455B">
            <w:pPr>
              <w:pStyle w:val="TableFooter"/>
              <w:spacing w:before="20" w:after="20"/>
              <w:ind w:firstLine="142"/>
              <w:rPr>
                <w:rStyle w:val="TableText"/>
                <w:rFonts w:asciiTheme="majorHAnsi" w:hAnsiTheme="majorHAnsi"/>
                <w:sz w:val="18"/>
                <w:szCs w:val="18"/>
              </w:rPr>
            </w:pPr>
            <w:r>
              <w:rPr>
                <w:rStyle w:val="TableText"/>
                <w:rFonts w:asciiTheme="majorHAnsi" w:hAnsiTheme="majorHAnsi"/>
                <w:sz w:val="18"/>
                <w:szCs w:val="18"/>
              </w:rPr>
              <w:t>Stewart, 2006</w:t>
            </w:r>
            <w:r w:rsidR="0093455B" w:rsidRPr="00DF4210">
              <w:rPr>
                <w:rStyle w:val="TableText"/>
                <w:rFonts w:asciiTheme="majorHAnsi" w:hAnsiTheme="majorHAnsi"/>
                <w:noProof/>
                <w:sz w:val="18"/>
                <w:szCs w:val="18"/>
                <w:vertAlign w:val="superscript"/>
              </w:rPr>
              <w:t>116</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32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526</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ROS</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1"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2"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r w:rsidR="00B31B16" w:rsidRPr="00082421" w:rsidTr="001802EE">
        <w:trPr>
          <w:trHeight w:val="20"/>
        </w:trPr>
        <w:tc>
          <w:tcPr>
            <w:tcW w:w="694" w:type="pct"/>
            <w:shd w:val="clear" w:color="auto" w:fill="auto"/>
            <w:noWrap/>
            <w:vAlign w:val="center"/>
            <w:hideMark/>
          </w:tcPr>
          <w:p w:rsidR="00B31B16" w:rsidRPr="001802EE" w:rsidRDefault="00FE67EB"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Weissman</w:t>
            </w:r>
            <w:proofErr w:type="spellEnd"/>
            <w:r>
              <w:rPr>
                <w:rStyle w:val="TableText"/>
                <w:rFonts w:asciiTheme="majorHAnsi" w:hAnsiTheme="majorHAnsi"/>
                <w:sz w:val="18"/>
                <w:szCs w:val="18"/>
              </w:rPr>
              <w:t>, 2005</w:t>
            </w:r>
            <w:r w:rsidR="0093455B" w:rsidRPr="00DF4210">
              <w:rPr>
                <w:rStyle w:val="TableText"/>
                <w:rFonts w:asciiTheme="majorHAnsi" w:hAnsiTheme="majorHAnsi"/>
                <w:noProof/>
                <w:sz w:val="18"/>
                <w:szCs w:val="18"/>
                <w:vertAlign w:val="superscript"/>
              </w:rPr>
              <w:t>117</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24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766</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ROS</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1"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2" w:type="pct"/>
            <w:gridSpan w:val="6"/>
            <w:shd w:val="clear" w:color="auto" w:fill="auto"/>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i/>
                <w:sz w:val="18"/>
                <w:szCs w:val="18"/>
              </w:rPr>
              <w:t>MET + DPP-4 inhibitors</w:t>
            </w:r>
          </w:p>
        </w:tc>
      </w:tr>
      <w:tr w:rsidR="00B31B16" w:rsidRPr="00082421" w:rsidTr="001802EE">
        <w:trPr>
          <w:trHeight w:val="20"/>
        </w:trPr>
        <w:tc>
          <w:tcPr>
            <w:tcW w:w="694" w:type="pct"/>
            <w:shd w:val="clear" w:color="auto" w:fill="auto"/>
            <w:noWrap/>
            <w:vAlign w:val="center"/>
            <w:hideMark/>
          </w:tcPr>
          <w:p w:rsidR="00B31B16" w:rsidRPr="001802EE" w:rsidRDefault="00FE67EB"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Bosi</w:t>
            </w:r>
            <w:proofErr w:type="spellEnd"/>
            <w:r>
              <w:rPr>
                <w:rStyle w:val="TableText"/>
                <w:rFonts w:asciiTheme="majorHAnsi" w:hAnsiTheme="majorHAnsi"/>
                <w:sz w:val="18"/>
                <w:szCs w:val="18"/>
              </w:rPr>
              <w:t>, 2009</w:t>
            </w:r>
            <w:r w:rsidR="0093455B" w:rsidRPr="00DF4210">
              <w:rPr>
                <w:rStyle w:val="TableText"/>
                <w:rFonts w:asciiTheme="majorHAnsi" w:hAnsiTheme="majorHAnsi"/>
                <w:noProof/>
                <w:sz w:val="18"/>
                <w:szCs w:val="18"/>
                <w:vertAlign w:val="superscript"/>
              </w:rPr>
              <w:t>103</w:t>
            </w:r>
            <w:r w:rsidR="0027611E">
              <w:rPr>
                <w:rStyle w:val="TableText"/>
                <w:rFonts w:asciiTheme="majorHAnsi" w:hAnsiTheme="majorHAnsi"/>
                <w:sz w:val="18"/>
                <w:szCs w:val="18"/>
              </w:rPr>
              <w:t xml:space="preserve"> </w:t>
            </w:r>
            <w:r w:rsidR="0027611E" w:rsidRPr="0027611E">
              <w:rPr>
                <w:rStyle w:val="TableText"/>
                <w:rFonts w:asciiTheme="majorHAnsi" w:hAnsiTheme="majorHAnsi"/>
                <w:sz w:val="18"/>
                <w:szCs w:val="18"/>
                <w:vertAlign w:val="superscript"/>
              </w:rPr>
              <w:t>b</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24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1,179</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VIL</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VIL</w:t>
            </w: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1"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2"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694" w:type="pct"/>
            <w:shd w:val="clear" w:color="auto" w:fill="auto"/>
            <w:noWrap/>
            <w:vAlign w:val="center"/>
            <w:hideMark/>
          </w:tcPr>
          <w:p w:rsidR="00B31B16" w:rsidRPr="001802EE" w:rsidRDefault="00FE67EB"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lastRenderedPageBreak/>
              <w:t>Charbonnel</w:t>
            </w:r>
            <w:proofErr w:type="spellEnd"/>
            <w:r>
              <w:rPr>
                <w:rStyle w:val="TableText"/>
                <w:rFonts w:asciiTheme="majorHAnsi" w:hAnsiTheme="majorHAnsi"/>
                <w:sz w:val="18"/>
                <w:szCs w:val="18"/>
              </w:rPr>
              <w:t>, 2006</w:t>
            </w:r>
            <w:r w:rsidR="0093455B" w:rsidRPr="00DF4210">
              <w:rPr>
                <w:rStyle w:val="TableText"/>
                <w:rFonts w:asciiTheme="majorHAnsi" w:hAnsiTheme="majorHAnsi"/>
                <w:noProof/>
                <w:sz w:val="18"/>
                <w:szCs w:val="18"/>
                <w:vertAlign w:val="superscript"/>
              </w:rPr>
              <w:t>118</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24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701</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SIT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PBO</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1"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2"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694" w:type="pct"/>
            <w:shd w:val="clear" w:color="auto" w:fill="auto"/>
            <w:noWrap/>
            <w:vAlign w:val="center"/>
            <w:hideMark/>
          </w:tcPr>
          <w:p w:rsidR="00B31B16" w:rsidRPr="001802EE" w:rsidRDefault="00A3020E"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Filozof</w:t>
            </w:r>
            <w:proofErr w:type="spellEnd"/>
            <w:r>
              <w:rPr>
                <w:rStyle w:val="TableText"/>
                <w:rFonts w:asciiTheme="majorHAnsi" w:hAnsiTheme="majorHAnsi"/>
                <w:sz w:val="18"/>
                <w:szCs w:val="18"/>
              </w:rPr>
              <w:t>, 2010</w:t>
            </w:r>
            <w:r w:rsidR="0093455B" w:rsidRPr="00DF4210">
              <w:rPr>
                <w:rStyle w:val="TableText"/>
                <w:rFonts w:asciiTheme="majorHAnsi" w:hAnsiTheme="majorHAnsi"/>
                <w:noProof/>
                <w:sz w:val="18"/>
                <w:szCs w:val="18"/>
                <w:vertAlign w:val="superscript"/>
              </w:rPr>
              <w:t>119</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24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914</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VIL</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1"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2"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694" w:type="pct"/>
            <w:shd w:val="clear" w:color="auto" w:fill="auto"/>
            <w:noWrap/>
            <w:vAlign w:val="center"/>
            <w:hideMark/>
          </w:tcPr>
          <w:p w:rsidR="00B31B16" w:rsidRPr="001802EE" w:rsidRDefault="00A3020E" w:rsidP="0093455B">
            <w:pPr>
              <w:pStyle w:val="TableFooter"/>
              <w:spacing w:before="20" w:after="20"/>
              <w:ind w:firstLine="142"/>
              <w:rPr>
                <w:rStyle w:val="TableText"/>
                <w:rFonts w:asciiTheme="majorHAnsi" w:hAnsiTheme="majorHAnsi"/>
                <w:sz w:val="18"/>
                <w:szCs w:val="18"/>
              </w:rPr>
            </w:pPr>
            <w:r>
              <w:rPr>
                <w:rStyle w:val="TableText"/>
                <w:rFonts w:asciiTheme="majorHAnsi" w:hAnsiTheme="majorHAnsi"/>
                <w:sz w:val="18"/>
                <w:szCs w:val="18"/>
              </w:rPr>
              <w:t>Goldstein, 2007</w:t>
            </w:r>
            <w:r w:rsidR="0093455B" w:rsidRPr="00DF4210">
              <w:rPr>
                <w:rStyle w:val="TableText"/>
                <w:rFonts w:asciiTheme="majorHAnsi" w:hAnsiTheme="majorHAnsi"/>
                <w:noProof/>
                <w:sz w:val="18"/>
                <w:szCs w:val="18"/>
                <w:vertAlign w:val="superscript"/>
              </w:rPr>
              <w:t>120</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24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1,091</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SIT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SIT</w:t>
            </w: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1"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2"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694" w:type="pct"/>
            <w:shd w:val="clear" w:color="auto" w:fill="auto"/>
            <w:noWrap/>
            <w:vAlign w:val="center"/>
            <w:hideMark/>
          </w:tcPr>
          <w:p w:rsidR="00B31B16" w:rsidRPr="001802EE" w:rsidRDefault="00A3020E" w:rsidP="001802EE">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Jadzinsky</w:t>
            </w:r>
            <w:proofErr w:type="spellEnd"/>
            <w:r>
              <w:rPr>
                <w:rStyle w:val="TableText"/>
                <w:rFonts w:asciiTheme="majorHAnsi" w:hAnsiTheme="majorHAnsi"/>
                <w:sz w:val="18"/>
                <w:szCs w:val="18"/>
              </w:rPr>
              <w:t>, 2009</w:t>
            </w:r>
            <w:r w:rsidR="0093455B" w:rsidRPr="00DF4210">
              <w:rPr>
                <w:rStyle w:val="TableText"/>
                <w:rFonts w:asciiTheme="majorHAnsi" w:hAnsiTheme="majorHAnsi"/>
                <w:noProof/>
                <w:sz w:val="18"/>
                <w:szCs w:val="18"/>
                <w:vertAlign w:val="superscript"/>
              </w:rPr>
              <w:t>104</w:t>
            </w:r>
            <w:r w:rsidR="0027611E">
              <w:rPr>
                <w:rStyle w:val="TableText"/>
                <w:rFonts w:asciiTheme="majorHAnsi" w:hAnsiTheme="majorHAnsi"/>
                <w:sz w:val="18"/>
                <w:szCs w:val="18"/>
              </w:rPr>
              <w:t xml:space="preserve"> </w:t>
            </w:r>
            <w:r w:rsidR="0027611E" w:rsidRPr="0027611E">
              <w:rPr>
                <w:rStyle w:val="TableText"/>
                <w:rFonts w:asciiTheme="majorHAnsi" w:hAnsiTheme="majorHAnsi"/>
                <w:sz w:val="18"/>
                <w:szCs w:val="18"/>
                <w:vertAlign w:val="superscript"/>
              </w:rPr>
              <w:t>b</w:t>
            </w:r>
          </w:p>
          <w:p w:rsidR="00B31B16" w:rsidRPr="001802EE" w:rsidRDefault="00A3020E"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Pfutzner</w:t>
            </w:r>
            <w:proofErr w:type="spellEnd"/>
            <w:r>
              <w:rPr>
                <w:rStyle w:val="TableText"/>
                <w:rFonts w:asciiTheme="majorHAnsi" w:hAnsiTheme="majorHAnsi"/>
                <w:sz w:val="18"/>
                <w:szCs w:val="18"/>
              </w:rPr>
              <w:t>, 2011</w:t>
            </w:r>
            <w:r w:rsidR="0093455B" w:rsidRPr="00DF4210">
              <w:rPr>
                <w:rStyle w:val="TableText"/>
                <w:rFonts w:asciiTheme="majorHAnsi" w:hAnsiTheme="majorHAnsi"/>
                <w:noProof/>
                <w:sz w:val="18"/>
                <w:szCs w:val="18"/>
                <w:vertAlign w:val="superscript"/>
              </w:rPr>
              <w:t>105</w:t>
            </w:r>
            <w:r w:rsidR="0027611E">
              <w:rPr>
                <w:rStyle w:val="TableText"/>
                <w:rFonts w:asciiTheme="majorHAnsi" w:hAnsiTheme="majorHAnsi"/>
                <w:sz w:val="18"/>
                <w:szCs w:val="18"/>
              </w:rPr>
              <w:t xml:space="preserve"> </w:t>
            </w:r>
            <w:r w:rsidR="0027611E" w:rsidRPr="0027611E">
              <w:rPr>
                <w:rStyle w:val="TableText"/>
                <w:rFonts w:asciiTheme="majorHAnsi" w:hAnsiTheme="majorHAnsi"/>
                <w:sz w:val="18"/>
                <w:szCs w:val="18"/>
                <w:vertAlign w:val="superscript"/>
              </w:rPr>
              <w:t>b</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24 weeks</w:t>
            </w:r>
          </w:p>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76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1,306</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SAX</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SAX</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PBO</w:t>
            </w: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SAX + MET</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1"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2"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r w:rsidR="00B31B16" w:rsidRPr="00082421" w:rsidTr="001802EE">
        <w:trPr>
          <w:trHeight w:val="20"/>
        </w:trPr>
        <w:tc>
          <w:tcPr>
            <w:tcW w:w="694" w:type="pct"/>
            <w:shd w:val="clear" w:color="auto" w:fill="auto"/>
            <w:noWrap/>
            <w:vAlign w:val="center"/>
            <w:hideMark/>
          </w:tcPr>
          <w:p w:rsidR="00B31B16" w:rsidRPr="001802EE" w:rsidRDefault="00A3020E"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Olansky</w:t>
            </w:r>
            <w:proofErr w:type="spellEnd"/>
            <w:r>
              <w:rPr>
                <w:rStyle w:val="TableText"/>
                <w:rFonts w:asciiTheme="majorHAnsi" w:hAnsiTheme="majorHAnsi"/>
                <w:sz w:val="18"/>
                <w:szCs w:val="18"/>
              </w:rPr>
              <w:t>, 2011</w:t>
            </w:r>
            <w:r w:rsidR="0093455B" w:rsidRPr="00DF4210">
              <w:rPr>
                <w:rStyle w:val="TableText"/>
                <w:rFonts w:asciiTheme="majorHAnsi" w:hAnsiTheme="majorHAnsi"/>
                <w:noProof/>
                <w:sz w:val="18"/>
                <w:szCs w:val="18"/>
                <w:vertAlign w:val="superscript"/>
              </w:rPr>
              <w:t>121</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44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1,250</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MET/SIT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1"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2"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r w:rsidR="00B31B16" w:rsidRPr="00082421" w:rsidTr="001802EE">
        <w:trPr>
          <w:trHeight w:val="20"/>
        </w:trPr>
        <w:tc>
          <w:tcPr>
            <w:tcW w:w="694" w:type="pct"/>
            <w:shd w:val="clear" w:color="auto" w:fill="auto"/>
            <w:noWrap/>
            <w:vAlign w:val="center"/>
            <w:hideMark/>
          </w:tcPr>
          <w:p w:rsidR="00B31B16" w:rsidRPr="001802EE" w:rsidRDefault="00A3020E" w:rsidP="0093455B">
            <w:pPr>
              <w:pStyle w:val="TableFooter"/>
              <w:spacing w:before="20" w:after="20"/>
              <w:ind w:firstLine="142"/>
              <w:rPr>
                <w:rStyle w:val="TableText"/>
                <w:rFonts w:asciiTheme="majorHAnsi" w:hAnsiTheme="majorHAnsi"/>
                <w:sz w:val="18"/>
                <w:szCs w:val="18"/>
              </w:rPr>
            </w:pPr>
            <w:r>
              <w:rPr>
                <w:rStyle w:val="TableText"/>
                <w:rFonts w:asciiTheme="majorHAnsi" w:hAnsiTheme="majorHAnsi"/>
                <w:sz w:val="18"/>
                <w:szCs w:val="18"/>
              </w:rPr>
              <w:t>Yang, 2011</w:t>
            </w:r>
            <w:r w:rsidR="0093455B" w:rsidRPr="00DF4210">
              <w:rPr>
                <w:rStyle w:val="TableText"/>
                <w:rFonts w:asciiTheme="majorHAnsi" w:hAnsiTheme="majorHAnsi"/>
                <w:noProof/>
                <w:sz w:val="18"/>
                <w:szCs w:val="18"/>
                <w:vertAlign w:val="superscript"/>
              </w:rPr>
              <w:t>122</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24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570</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PBO</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SAX</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1"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2"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535" w:type="pct"/>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b/>
                <w:sz w:val="18"/>
                <w:szCs w:val="18"/>
              </w:rPr>
              <w:t>DPP-4 inhibitors vs.</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i/>
                <w:sz w:val="18"/>
                <w:szCs w:val="18"/>
              </w:rPr>
              <w:t>DPP-4 inhibitors + MET</w:t>
            </w:r>
          </w:p>
        </w:tc>
      </w:tr>
      <w:tr w:rsidR="00B31B16" w:rsidRPr="00082421" w:rsidTr="001802EE">
        <w:trPr>
          <w:trHeight w:val="20"/>
        </w:trPr>
        <w:tc>
          <w:tcPr>
            <w:tcW w:w="694" w:type="pct"/>
            <w:shd w:val="clear" w:color="auto" w:fill="auto"/>
            <w:noWrap/>
            <w:vAlign w:val="center"/>
            <w:hideMark/>
          </w:tcPr>
          <w:p w:rsidR="00B31B16" w:rsidRPr="001802EE" w:rsidRDefault="00A3020E"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Bosi</w:t>
            </w:r>
            <w:proofErr w:type="spellEnd"/>
            <w:r>
              <w:rPr>
                <w:rStyle w:val="TableText"/>
                <w:rFonts w:asciiTheme="majorHAnsi" w:hAnsiTheme="majorHAnsi"/>
                <w:sz w:val="18"/>
                <w:szCs w:val="18"/>
              </w:rPr>
              <w:t>, 2009</w:t>
            </w:r>
            <w:r w:rsidR="0093455B" w:rsidRPr="00DF4210">
              <w:rPr>
                <w:rStyle w:val="TableText"/>
                <w:rFonts w:asciiTheme="majorHAnsi" w:hAnsiTheme="majorHAnsi"/>
                <w:noProof/>
                <w:sz w:val="18"/>
                <w:szCs w:val="18"/>
                <w:vertAlign w:val="superscript"/>
              </w:rPr>
              <w:t>103</w:t>
            </w:r>
            <w:r w:rsidR="0027611E">
              <w:rPr>
                <w:rStyle w:val="TableText"/>
                <w:rFonts w:asciiTheme="majorHAnsi" w:hAnsiTheme="majorHAnsi"/>
                <w:sz w:val="18"/>
                <w:szCs w:val="18"/>
              </w:rPr>
              <w:t xml:space="preserve"> </w:t>
            </w:r>
            <w:r w:rsidR="0027611E" w:rsidRPr="0027611E">
              <w:rPr>
                <w:rStyle w:val="TableText"/>
                <w:rFonts w:asciiTheme="majorHAnsi" w:hAnsiTheme="majorHAnsi"/>
                <w:sz w:val="18"/>
                <w:szCs w:val="18"/>
                <w:vertAlign w:val="superscript"/>
              </w:rPr>
              <w:t>b</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24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1,179</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VIL</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VIL</w:t>
            </w: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8" w:type="pct"/>
            <w:gridSpan w:val="4"/>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5" w:type="pct"/>
            <w:gridSpan w:val="7"/>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b/>
                <w:sz w:val="18"/>
                <w:szCs w:val="18"/>
              </w:rPr>
              <w:t>TZDs vs.</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i/>
                <w:sz w:val="18"/>
                <w:szCs w:val="18"/>
              </w:rPr>
              <w:t>TZDs + DPP-4 inhibitors</w:t>
            </w:r>
          </w:p>
        </w:tc>
      </w:tr>
      <w:tr w:rsidR="00B31B16" w:rsidRPr="00082421" w:rsidTr="001802EE">
        <w:trPr>
          <w:trHeight w:val="20"/>
        </w:trPr>
        <w:tc>
          <w:tcPr>
            <w:tcW w:w="694" w:type="pct"/>
            <w:shd w:val="clear" w:color="auto" w:fill="BFBFBF" w:themeFill="background1" w:themeFillShade="BF"/>
            <w:noWrap/>
            <w:vAlign w:val="center"/>
            <w:hideMark/>
          </w:tcPr>
          <w:p w:rsidR="00B31B16" w:rsidRPr="001802EE" w:rsidRDefault="00A3020E" w:rsidP="0093455B">
            <w:pPr>
              <w:pStyle w:val="TableFooter"/>
              <w:spacing w:before="20" w:after="20"/>
              <w:ind w:firstLine="142"/>
              <w:rPr>
                <w:rStyle w:val="TableText"/>
                <w:rFonts w:asciiTheme="majorHAnsi" w:hAnsiTheme="majorHAnsi"/>
                <w:sz w:val="18"/>
                <w:szCs w:val="18"/>
              </w:rPr>
            </w:pPr>
            <w:r>
              <w:rPr>
                <w:rStyle w:val="TableText"/>
                <w:rFonts w:asciiTheme="majorHAnsi" w:hAnsiTheme="majorHAnsi"/>
                <w:sz w:val="18"/>
                <w:szCs w:val="18"/>
              </w:rPr>
              <w:t>Yoon, 2011</w:t>
            </w:r>
            <w:r w:rsidR="0093455B" w:rsidRPr="00413AE0">
              <w:rPr>
                <w:rStyle w:val="TableText"/>
                <w:rFonts w:asciiTheme="majorHAnsi" w:hAnsiTheme="majorHAnsi"/>
                <w:noProof/>
                <w:sz w:val="18"/>
                <w:szCs w:val="18"/>
                <w:vertAlign w:val="superscript"/>
              </w:rPr>
              <w:t>1</w:t>
            </w:r>
          </w:p>
        </w:tc>
        <w:tc>
          <w:tcPr>
            <w:tcW w:w="392" w:type="pct"/>
            <w:shd w:val="clear" w:color="auto" w:fill="BFBFBF" w:themeFill="background1" w:themeFillShade="BF"/>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24 weeks</w:t>
            </w:r>
          </w:p>
        </w:tc>
        <w:tc>
          <w:tcPr>
            <w:tcW w:w="234" w:type="pct"/>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520</w:t>
            </w:r>
          </w:p>
        </w:tc>
        <w:tc>
          <w:tcPr>
            <w:tcW w:w="342" w:type="pct"/>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 xml:space="preserve">PIO + SAX </w:t>
            </w:r>
          </w:p>
        </w:tc>
        <w:tc>
          <w:tcPr>
            <w:tcW w:w="342" w:type="pct"/>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PIO + PBO</w:t>
            </w:r>
          </w:p>
        </w:tc>
        <w:tc>
          <w:tcPr>
            <w:tcW w:w="342" w:type="pct"/>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8" w:type="pct"/>
            <w:gridSpan w:val="4"/>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5" w:type="pct"/>
            <w:gridSpan w:val="7"/>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9" w:type="pct"/>
            <w:gridSpan w:val="2"/>
            <w:shd w:val="clear" w:color="auto" w:fill="BFBFBF" w:themeFill="background1" w:themeFillShade="BF"/>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shd w:val="clear" w:color="auto" w:fill="BFBFBF" w:themeFill="background1" w:themeFillShade="BF"/>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i/>
                <w:sz w:val="18"/>
                <w:szCs w:val="18"/>
              </w:rPr>
              <w:t>DPP-4 inhibitors + MET</w:t>
            </w:r>
          </w:p>
        </w:tc>
      </w:tr>
      <w:tr w:rsidR="00B31B16" w:rsidRPr="00082421" w:rsidTr="001802EE">
        <w:trPr>
          <w:trHeight w:val="20"/>
        </w:trPr>
        <w:tc>
          <w:tcPr>
            <w:tcW w:w="694" w:type="pct"/>
            <w:shd w:val="clear" w:color="auto" w:fill="auto"/>
            <w:noWrap/>
            <w:vAlign w:val="center"/>
            <w:hideMark/>
          </w:tcPr>
          <w:p w:rsidR="00B31B16" w:rsidRPr="001802EE" w:rsidRDefault="00A3020E"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Wainstein</w:t>
            </w:r>
            <w:proofErr w:type="spellEnd"/>
            <w:r>
              <w:rPr>
                <w:rStyle w:val="TableText"/>
                <w:rFonts w:asciiTheme="majorHAnsi" w:hAnsiTheme="majorHAnsi"/>
                <w:sz w:val="18"/>
                <w:szCs w:val="18"/>
              </w:rPr>
              <w:t>, 2012</w:t>
            </w:r>
            <w:r w:rsidR="0093455B" w:rsidRPr="00DF4210">
              <w:rPr>
                <w:rStyle w:val="TableText"/>
                <w:rFonts w:asciiTheme="majorHAnsi" w:hAnsiTheme="majorHAnsi"/>
                <w:noProof/>
                <w:sz w:val="18"/>
                <w:szCs w:val="18"/>
                <w:vertAlign w:val="superscript"/>
              </w:rPr>
              <w:t>123</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32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521</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PIO</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SIT/MET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8" w:type="pct"/>
            <w:gridSpan w:val="4"/>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5" w:type="pct"/>
            <w:gridSpan w:val="7"/>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b/>
                <w:sz w:val="18"/>
                <w:szCs w:val="18"/>
              </w:rPr>
              <w:t>MET + SU vs.</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i/>
                <w:sz w:val="18"/>
                <w:szCs w:val="18"/>
              </w:rPr>
              <w:t>SU + TZDs</w:t>
            </w:r>
          </w:p>
        </w:tc>
      </w:tr>
      <w:tr w:rsidR="00B31B16" w:rsidRPr="00082421" w:rsidTr="001802EE">
        <w:trPr>
          <w:trHeight w:val="20"/>
        </w:trPr>
        <w:tc>
          <w:tcPr>
            <w:tcW w:w="694" w:type="pct"/>
            <w:shd w:val="clear" w:color="auto" w:fill="auto"/>
            <w:noWrap/>
            <w:vAlign w:val="center"/>
            <w:hideMark/>
          </w:tcPr>
          <w:p w:rsidR="00B31B16" w:rsidRPr="001802EE" w:rsidRDefault="00D44972" w:rsidP="001802EE">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Hanefeld</w:t>
            </w:r>
            <w:proofErr w:type="spellEnd"/>
            <w:r>
              <w:rPr>
                <w:rStyle w:val="TableText"/>
                <w:rFonts w:asciiTheme="majorHAnsi" w:hAnsiTheme="majorHAnsi"/>
                <w:sz w:val="18"/>
                <w:szCs w:val="18"/>
              </w:rPr>
              <w:t>, 2004</w:t>
            </w:r>
            <w:r w:rsidR="0093455B" w:rsidRPr="00DF4210">
              <w:rPr>
                <w:rStyle w:val="TableText"/>
                <w:rFonts w:asciiTheme="majorHAnsi" w:hAnsiTheme="majorHAnsi"/>
                <w:noProof/>
                <w:sz w:val="18"/>
                <w:szCs w:val="18"/>
                <w:vertAlign w:val="superscript"/>
              </w:rPr>
              <w:t>124</w:t>
            </w:r>
          </w:p>
          <w:p w:rsidR="00B31B16" w:rsidRPr="001802EE" w:rsidRDefault="00D44972"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Seufert</w:t>
            </w:r>
            <w:proofErr w:type="spellEnd"/>
            <w:r>
              <w:rPr>
                <w:rStyle w:val="TableText"/>
                <w:rFonts w:asciiTheme="majorHAnsi" w:hAnsiTheme="majorHAnsi"/>
                <w:sz w:val="18"/>
                <w:szCs w:val="18"/>
              </w:rPr>
              <w:t>, 2008</w:t>
            </w:r>
            <w:r w:rsidR="0093455B" w:rsidRPr="00DF4210">
              <w:rPr>
                <w:rStyle w:val="TableText"/>
                <w:rFonts w:asciiTheme="majorHAnsi" w:hAnsiTheme="majorHAnsi"/>
                <w:noProof/>
                <w:sz w:val="18"/>
                <w:szCs w:val="18"/>
                <w:vertAlign w:val="superscript"/>
              </w:rPr>
              <w:t>125</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52 weeks</w:t>
            </w:r>
          </w:p>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 years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639</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SU</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PIO + SU</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D44972" w:rsidRPr="001802EE" w:rsidRDefault="00D44972" w:rsidP="001802EE">
            <w:pPr>
              <w:pStyle w:val="TableFooter"/>
              <w:spacing w:before="20" w:after="20"/>
              <w:jc w:val="center"/>
              <w:rPr>
                <w:rStyle w:val="TableText"/>
                <w:rFonts w:asciiTheme="majorHAnsi" w:hAnsiTheme="majorHAnsi"/>
                <w:sz w:val="18"/>
                <w:szCs w:val="18"/>
              </w:rPr>
            </w:pPr>
            <w:r>
              <w:rPr>
                <w:rStyle w:val="TableText"/>
                <w:rFonts w:asciiTheme="majorHAnsi" w:hAnsiTheme="majorHAnsi"/>
                <w:sz w:val="18"/>
                <w:szCs w:val="18"/>
              </w:rPr>
              <w:t>-</w:t>
            </w:r>
          </w:p>
        </w:tc>
        <w:tc>
          <w:tcPr>
            <w:tcW w:w="159"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80" w:type="pct"/>
            <w:gridSpan w:val="8"/>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1"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62"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i/>
                <w:sz w:val="18"/>
                <w:szCs w:val="18"/>
              </w:rPr>
              <w:t>MET + TZDs</w:t>
            </w:r>
          </w:p>
        </w:tc>
      </w:tr>
      <w:tr w:rsidR="00B31B16" w:rsidRPr="00082421" w:rsidTr="001802EE">
        <w:trPr>
          <w:trHeight w:val="20"/>
        </w:trPr>
        <w:tc>
          <w:tcPr>
            <w:tcW w:w="694" w:type="pct"/>
            <w:shd w:val="clear" w:color="auto" w:fill="auto"/>
            <w:noWrap/>
            <w:vAlign w:val="center"/>
            <w:hideMark/>
          </w:tcPr>
          <w:p w:rsidR="00B31B16" w:rsidRPr="001802EE" w:rsidRDefault="00D44972"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Hamann</w:t>
            </w:r>
            <w:proofErr w:type="spellEnd"/>
            <w:r>
              <w:rPr>
                <w:rStyle w:val="TableText"/>
                <w:rFonts w:asciiTheme="majorHAnsi" w:hAnsiTheme="majorHAnsi"/>
                <w:sz w:val="18"/>
                <w:szCs w:val="18"/>
              </w:rPr>
              <w:t>, 2008</w:t>
            </w:r>
            <w:r w:rsidR="0093455B" w:rsidRPr="00DF4210">
              <w:rPr>
                <w:rStyle w:val="TableText"/>
                <w:rFonts w:asciiTheme="majorHAnsi" w:hAnsiTheme="majorHAnsi"/>
                <w:noProof/>
                <w:sz w:val="18"/>
                <w:szCs w:val="18"/>
                <w:vertAlign w:val="superscript"/>
              </w:rPr>
              <w:t>126</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52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596</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 xml:space="preserve">MET + </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 xml:space="preserve">GLZ or GLIB </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ROS</w:t>
            </w:r>
          </w:p>
        </w:tc>
        <w:tc>
          <w:tcPr>
            <w:tcW w:w="342" w:type="pct"/>
            <w:shd w:val="clear" w:color="auto" w:fill="auto"/>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59"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80" w:type="pct"/>
            <w:gridSpan w:val="8"/>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1"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62"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r w:rsidR="00B31B16" w:rsidRPr="00082421" w:rsidTr="001802EE">
        <w:trPr>
          <w:trHeight w:val="20"/>
        </w:trPr>
        <w:tc>
          <w:tcPr>
            <w:tcW w:w="694" w:type="pct"/>
            <w:shd w:val="clear" w:color="auto" w:fill="auto"/>
            <w:noWrap/>
            <w:vAlign w:val="center"/>
            <w:hideMark/>
          </w:tcPr>
          <w:p w:rsidR="00B31B16" w:rsidRPr="001802EE" w:rsidRDefault="00D44972" w:rsidP="001802EE">
            <w:pPr>
              <w:pStyle w:val="TableFooter"/>
              <w:spacing w:before="20" w:after="20"/>
              <w:ind w:firstLine="142"/>
              <w:rPr>
                <w:rStyle w:val="TableText"/>
                <w:rFonts w:asciiTheme="majorHAnsi" w:hAnsiTheme="majorHAnsi"/>
                <w:sz w:val="18"/>
                <w:szCs w:val="18"/>
              </w:rPr>
            </w:pPr>
            <w:r>
              <w:rPr>
                <w:rStyle w:val="TableText"/>
                <w:rFonts w:asciiTheme="majorHAnsi" w:hAnsiTheme="majorHAnsi"/>
                <w:sz w:val="18"/>
                <w:szCs w:val="18"/>
              </w:rPr>
              <w:t>Matthews, 2005</w:t>
            </w:r>
            <w:r w:rsidR="0093455B" w:rsidRPr="00DF4210">
              <w:rPr>
                <w:rStyle w:val="TableText"/>
                <w:rFonts w:asciiTheme="majorHAnsi" w:hAnsiTheme="majorHAnsi"/>
                <w:noProof/>
                <w:sz w:val="18"/>
                <w:szCs w:val="18"/>
                <w:vertAlign w:val="superscript"/>
              </w:rPr>
              <w:t>127</w:t>
            </w:r>
            <w:r w:rsidR="00B31B16" w:rsidRPr="001802EE">
              <w:rPr>
                <w:rStyle w:val="TableText"/>
                <w:rFonts w:asciiTheme="majorHAnsi" w:hAnsiTheme="majorHAnsi"/>
                <w:sz w:val="18"/>
                <w:szCs w:val="18"/>
              </w:rPr>
              <w:t xml:space="preserve"> </w:t>
            </w:r>
          </w:p>
          <w:p w:rsidR="00B31B16" w:rsidRPr="001802EE" w:rsidRDefault="00B31B16" w:rsidP="0093455B">
            <w:pPr>
              <w:pStyle w:val="TableFooter"/>
              <w:spacing w:before="20" w:after="20"/>
              <w:ind w:firstLine="142"/>
              <w:rPr>
                <w:rStyle w:val="TableText"/>
                <w:rFonts w:asciiTheme="majorHAnsi" w:hAnsiTheme="majorHAnsi"/>
                <w:sz w:val="18"/>
                <w:szCs w:val="18"/>
              </w:rPr>
            </w:pPr>
            <w:proofErr w:type="spellStart"/>
            <w:r w:rsidRPr="001802EE">
              <w:rPr>
                <w:rStyle w:val="TableText"/>
                <w:rFonts w:asciiTheme="majorHAnsi" w:hAnsiTheme="majorHAnsi"/>
                <w:sz w:val="18"/>
                <w:szCs w:val="18"/>
              </w:rPr>
              <w:t>Seuf</w:t>
            </w:r>
            <w:r w:rsidR="00D44972">
              <w:rPr>
                <w:rStyle w:val="TableText"/>
                <w:rFonts w:asciiTheme="majorHAnsi" w:hAnsiTheme="majorHAnsi"/>
                <w:sz w:val="18"/>
                <w:szCs w:val="18"/>
              </w:rPr>
              <w:t>ert</w:t>
            </w:r>
            <w:proofErr w:type="spellEnd"/>
            <w:r w:rsidR="00D44972">
              <w:rPr>
                <w:rStyle w:val="TableText"/>
                <w:rFonts w:asciiTheme="majorHAnsi" w:hAnsiTheme="majorHAnsi"/>
                <w:sz w:val="18"/>
                <w:szCs w:val="18"/>
              </w:rPr>
              <w:t>, 2008</w:t>
            </w:r>
            <w:r w:rsidR="0093455B" w:rsidRPr="00DF4210">
              <w:rPr>
                <w:rStyle w:val="TableText"/>
                <w:rFonts w:asciiTheme="majorHAnsi" w:hAnsiTheme="majorHAnsi"/>
                <w:noProof/>
                <w:sz w:val="18"/>
                <w:szCs w:val="18"/>
                <w:vertAlign w:val="superscript"/>
              </w:rPr>
              <w:t>125</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52 weeks</w:t>
            </w:r>
          </w:p>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 years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630</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SU</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PIO</w:t>
            </w:r>
          </w:p>
        </w:tc>
        <w:tc>
          <w:tcPr>
            <w:tcW w:w="34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w:t>
            </w:r>
          </w:p>
        </w:tc>
        <w:tc>
          <w:tcPr>
            <w:tcW w:w="159"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82" w:type="pct"/>
            <w:gridSpan w:val="9"/>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2"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9"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694" w:type="pct"/>
            <w:shd w:val="clear" w:color="auto" w:fill="auto"/>
            <w:noWrap/>
            <w:vAlign w:val="center"/>
            <w:hideMark/>
          </w:tcPr>
          <w:p w:rsidR="00B31B16" w:rsidRPr="001802EE" w:rsidRDefault="00D44972" w:rsidP="001802EE">
            <w:pPr>
              <w:pStyle w:val="TableFooter"/>
              <w:spacing w:before="20" w:after="20"/>
              <w:ind w:firstLine="142"/>
              <w:rPr>
                <w:rStyle w:val="TableText"/>
                <w:rFonts w:asciiTheme="majorHAnsi" w:hAnsiTheme="majorHAnsi"/>
                <w:sz w:val="18"/>
                <w:szCs w:val="18"/>
              </w:rPr>
            </w:pPr>
            <w:r>
              <w:rPr>
                <w:rStyle w:val="TableText"/>
                <w:rFonts w:asciiTheme="majorHAnsi" w:hAnsiTheme="majorHAnsi"/>
                <w:sz w:val="18"/>
                <w:szCs w:val="18"/>
              </w:rPr>
              <w:t>Home, 2009</w:t>
            </w:r>
            <w:r w:rsidR="0093455B" w:rsidRPr="00DF4210">
              <w:rPr>
                <w:rStyle w:val="TableText"/>
                <w:rFonts w:asciiTheme="majorHAnsi" w:hAnsiTheme="majorHAnsi"/>
                <w:noProof/>
                <w:sz w:val="18"/>
                <w:szCs w:val="18"/>
                <w:vertAlign w:val="superscript"/>
              </w:rPr>
              <w:t>128</w:t>
            </w:r>
          </w:p>
          <w:p w:rsidR="00B31B16" w:rsidRPr="001802EE" w:rsidRDefault="00D44972" w:rsidP="001802EE">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Komajda</w:t>
            </w:r>
            <w:proofErr w:type="spellEnd"/>
            <w:r>
              <w:rPr>
                <w:rStyle w:val="TableText"/>
                <w:rFonts w:asciiTheme="majorHAnsi" w:hAnsiTheme="majorHAnsi"/>
                <w:sz w:val="18"/>
                <w:szCs w:val="18"/>
              </w:rPr>
              <w:t>, 2010</w:t>
            </w:r>
            <w:r w:rsidR="0093455B" w:rsidRPr="00DF4210">
              <w:rPr>
                <w:rStyle w:val="TableText"/>
                <w:rFonts w:asciiTheme="majorHAnsi" w:hAnsiTheme="majorHAnsi"/>
                <w:noProof/>
                <w:sz w:val="18"/>
                <w:szCs w:val="18"/>
                <w:vertAlign w:val="superscript"/>
              </w:rPr>
              <w:t>129</w:t>
            </w:r>
          </w:p>
          <w:p w:rsidR="00B31B16" w:rsidRPr="001802EE" w:rsidRDefault="00D44972" w:rsidP="0093455B">
            <w:pPr>
              <w:pStyle w:val="TableFooter"/>
              <w:spacing w:before="20" w:after="20"/>
              <w:ind w:firstLine="142"/>
              <w:rPr>
                <w:rStyle w:val="TableText"/>
                <w:rFonts w:asciiTheme="majorHAnsi" w:hAnsiTheme="majorHAnsi"/>
                <w:sz w:val="18"/>
                <w:szCs w:val="18"/>
              </w:rPr>
            </w:pPr>
            <w:r>
              <w:rPr>
                <w:rStyle w:val="TableText"/>
                <w:rFonts w:asciiTheme="majorHAnsi" w:hAnsiTheme="majorHAnsi"/>
                <w:sz w:val="18"/>
                <w:szCs w:val="18"/>
              </w:rPr>
              <w:t>Mahaffey, 2013</w:t>
            </w:r>
            <w:r w:rsidR="0093455B" w:rsidRPr="00DF4210">
              <w:rPr>
                <w:rStyle w:val="TableText"/>
                <w:rFonts w:asciiTheme="majorHAnsi" w:hAnsiTheme="majorHAnsi"/>
                <w:noProof/>
                <w:sz w:val="18"/>
                <w:szCs w:val="18"/>
                <w:vertAlign w:val="superscript"/>
              </w:rPr>
              <w:t>130</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5.5 years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4,447</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SU</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or SU + ROS</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59" w:type="pct"/>
            <w:shd w:val="clear" w:color="auto" w:fill="auto"/>
            <w:noWrap/>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80" w:type="pct"/>
            <w:gridSpan w:val="8"/>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1"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62"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 xml:space="preserve">No </w:t>
            </w:r>
          </w:p>
        </w:tc>
      </w:tr>
      <w:tr w:rsidR="00B31B16" w:rsidRPr="00082421" w:rsidTr="001802EE">
        <w:trPr>
          <w:trHeight w:val="20"/>
        </w:trPr>
        <w:tc>
          <w:tcPr>
            <w:tcW w:w="5000" w:type="pct"/>
            <w:gridSpan w:val="33"/>
            <w:shd w:val="clear" w:color="auto" w:fill="auto"/>
            <w:noWrap/>
            <w:vAlign w:val="center"/>
          </w:tcPr>
          <w:p w:rsidR="00B31B16" w:rsidRPr="001802EE" w:rsidRDefault="00B31B16" w:rsidP="00D44972">
            <w:pPr>
              <w:pStyle w:val="TableFooter"/>
              <w:spacing w:before="20" w:after="20"/>
              <w:jc w:val="left"/>
              <w:rPr>
                <w:rStyle w:val="TableText"/>
                <w:rFonts w:asciiTheme="majorHAnsi" w:hAnsiTheme="majorHAnsi"/>
                <w:sz w:val="18"/>
                <w:szCs w:val="18"/>
              </w:rPr>
            </w:pPr>
            <w:r w:rsidRPr="001802EE">
              <w:rPr>
                <w:rStyle w:val="TableText"/>
                <w:rFonts w:asciiTheme="majorHAnsi" w:hAnsiTheme="majorHAnsi"/>
                <w:i/>
                <w:sz w:val="18"/>
                <w:szCs w:val="18"/>
              </w:rPr>
              <w:t xml:space="preserve">MET + </w:t>
            </w:r>
            <w:r w:rsidR="00D44972">
              <w:rPr>
                <w:rStyle w:val="TableText"/>
                <w:rFonts w:asciiTheme="majorHAnsi" w:hAnsiTheme="majorHAnsi"/>
                <w:i/>
                <w:sz w:val="18"/>
                <w:szCs w:val="18"/>
              </w:rPr>
              <w:t>SGLT</w:t>
            </w:r>
            <w:r w:rsidRPr="001802EE">
              <w:rPr>
                <w:rStyle w:val="TableText"/>
                <w:rFonts w:asciiTheme="majorHAnsi" w:hAnsiTheme="majorHAnsi"/>
                <w:i/>
                <w:sz w:val="18"/>
                <w:szCs w:val="18"/>
              </w:rPr>
              <w:t>2 inhibitors</w:t>
            </w:r>
          </w:p>
        </w:tc>
      </w:tr>
      <w:tr w:rsidR="00B31B16" w:rsidRPr="00082421" w:rsidTr="001802EE">
        <w:trPr>
          <w:trHeight w:val="20"/>
        </w:trPr>
        <w:tc>
          <w:tcPr>
            <w:tcW w:w="694" w:type="pct"/>
            <w:shd w:val="clear" w:color="auto" w:fill="auto"/>
            <w:noWrap/>
            <w:vAlign w:val="center"/>
            <w:hideMark/>
          </w:tcPr>
          <w:p w:rsidR="00B31B16" w:rsidRPr="001802EE" w:rsidRDefault="00D44972"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Nauck</w:t>
            </w:r>
            <w:proofErr w:type="spellEnd"/>
            <w:r>
              <w:rPr>
                <w:rStyle w:val="TableText"/>
                <w:rFonts w:asciiTheme="majorHAnsi" w:hAnsiTheme="majorHAnsi"/>
                <w:sz w:val="18"/>
                <w:szCs w:val="18"/>
              </w:rPr>
              <w:t>, 2011</w:t>
            </w:r>
            <w:r w:rsidR="0093455B" w:rsidRPr="00DF4210">
              <w:rPr>
                <w:rStyle w:val="TableText"/>
                <w:rFonts w:asciiTheme="majorHAnsi" w:hAnsiTheme="majorHAnsi"/>
                <w:noProof/>
                <w:sz w:val="18"/>
                <w:szCs w:val="18"/>
                <w:vertAlign w:val="superscript"/>
              </w:rPr>
              <w:t>131</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52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814</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GLIP</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DAP</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59"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80" w:type="pct"/>
            <w:gridSpan w:val="8"/>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1"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2"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jc w:val="left"/>
              <w:rPr>
                <w:rStyle w:val="TableText"/>
                <w:rFonts w:asciiTheme="majorHAnsi" w:hAnsiTheme="majorHAnsi"/>
                <w:sz w:val="18"/>
                <w:szCs w:val="18"/>
              </w:rPr>
            </w:pPr>
            <w:r w:rsidRPr="001802EE">
              <w:rPr>
                <w:rStyle w:val="TableText"/>
                <w:rFonts w:asciiTheme="majorHAnsi" w:hAnsiTheme="majorHAnsi"/>
                <w:i/>
                <w:sz w:val="18"/>
                <w:szCs w:val="18"/>
              </w:rPr>
              <w:t>MET + DPP-4 inhibitors</w:t>
            </w:r>
          </w:p>
        </w:tc>
      </w:tr>
      <w:tr w:rsidR="00B31B16" w:rsidRPr="00082421" w:rsidTr="001802EE">
        <w:trPr>
          <w:trHeight w:val="20"/>
        </w:trPr>
        <w:tc>
          <w:tcPr>
            <w:tcW w:w="694" w:type="pct"/>
            <w:shd w:val="clear" w:color="auto" w:fill="auto"/>
            <w:noWrap/>
            <w:vAlign w:val="center"/>
            <w:hideMark/>
          </w:tcPr>
          <w:p w:rsidR="00B31B16" w:rsidRPr="001802EE" w:rsidRDefault="00D44972"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Arechavaleta</w:t>
            </w:r>
            <w:proofErr w:type="spellEnd"/>
            <w:r>
              <w:rPr>
                <w:rStyle w:val="TableText"/>
                <w:rFonts w:asciiTheme="majorHAnsi" w:hAnsiTheme="majorHAnsi"/>
                <w:sz w:val="18"/>
                <w:szCs w:val="18"/>
              </w:rPr>
              <w:t>, 2011</w:t>
            </w:r>
            <w:r w:rsidR="0093455B" w:rsidRPr="00DF4210">
              <w:rPr>
                <w:rStyle w:val="TableText"/>
                <w:rFonts w:asciiTheme="majorHAnsi" w:hAnsiTheme="majorHAnsi"/>
                <w:noProof/>
                <w:sz w:val="18"/>
                <w:szCs w:val="18"/>
                <w:vertAlign w:val="superscript"/>
              </w:rPr>
              <w:t>132</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30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936</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GMP</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SIT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6"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0"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3" w:type="pct"/>
            <w:gridSpan w:val="7"/>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62"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694" w:type="pct"/>
            <w:shd w:val="clear" w:color="auto" w:fill="auto"/>
            <w:noWrap/>
            <w:vAlign w:val="center"/>
            <w:hideMark/>
          </w:tcPr>
          <w:p w:rsidR="00B31B16" w:rsidRPr="001802EE" w:rsidRDefault="00AB3081"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lastRenderedPageBreak/>
              <w:t>Ferrannini</w:t>
            </w:r>
            <w:proofErr w:type="spellEnd"/>
            <w:r>
              <w:rPr>
                <w:rStyle w:val="TableText"/>
                <w:rFonts w:asciiTheme="majorHAnsi" w:hAnsiTheme="majorHAnsi"/>
                <w:sz w:val="18"/>
                <w:szCs w:val="18"/>
              </w:rPr>
              <w:t>, 2009</w:t>
            </w:r>
            <w:r w:rsidR="0093455B" w:rsidRPr="00DF4210">
              <w:rPr>
                <w:rStyle w:val="TableText"/>
                <w:rFonts w:asciiTheme="majorHAnsi" w:hAnsiTheme="majorHAnsi"/>
                <w:noProof/>
                <w:sz w:val="18"/>
                <w:szCs w:val="18"/>
                <w:vertAlign w:val="superscript"/>
              </w:rPr>
              <w:t>133</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52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2,789</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GMP</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VIL</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6"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0"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3" w:type="pct"/>
            <w:gridSpan w:val="7"/>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62"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694" w:type="pct"/>
            <w:shd w:val="clear" w:color="auto" w:fill="auto"/>
            <w:noWrap/>
            <w:vAlign w:val="center"/>
            <w:hideMark/>
          </w:tcPr>
          <w:p w:rsidR="00B31B16" w:rsidRPr="001802EE" w:rsidRDefault="00AB3081"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Filozof</w:t>
            </w:r>
            <w:proofErr w:type="spellEnd"/>
            <w:r>
              <w:rPr>
                <w:rStyle w:val="TableText"/>
                <w:rFonts w:asciiTheme="majorHAnsi" w:hAnsiTheme="majorHAnsi"/>
                <w:sz w:val="18"/>
                <w:szCs w:val="18"/>
              </w:rPr>
              <w:t>, 2010</w:t>
            </w:r>
            <w:r w:rsidR="0093455B" w:rsidRPr="00DF4210">
              <w:rPr>
                <w:rStyle w:val="TableText"/>
                <w:rFonts w:asciiTheme="majorHAnsi" w:hAnsiTheme="majorHAnsi"/>
                <w:noProof/>
                <w:sz w:val="18"/>
                <w:szCs w:val="18"/>
                <w:vertAlign w:val="superscript"/>
              </w:rPr>
              <w:t>134</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52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1,007</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GLZ</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VIL</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66"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0"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3" w:type="pct"/>
            <w:gridSpan w:val="7"/>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2"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694" w:type="pct"/>
            <w:shd w:val="clear" w:color="auto" w:fill="auto"/>
            <w:noWrap/>
            <w:vAlign w:val="center"/>
            <w:hideMark/>
          </w:tcPr>
          <w:p w:rsidR="00B31B16" w:rsidRPr="001802EE" w:rsidRDefault="00AB3081"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Gallwitz</w:t>
            </w:r>
            <w:proofErr w:type="spellEnd"/>
            <w:r>
              <w:rPr>
                <w:rStyle w:val="TableText"/>
                <w:rFonts w:asciiTheme="majorHAnsi" w:hAnsiTheme="majorHAnsi"/>
                <w:sz w:val="18"/>
                <w:szCs w:val="18"/>
              </w:rPr>
              <w:t>, 2012</w:t>
            </w:r>
            <w:r w:rsidR="0093455B" w:rsidRPr="00DF4210">
              <w:rPr>
                <w:rStyle w:val="TableText"/>
                <w:rFonts w:asciiTheme="majorHAnsi" w:hAnsiTheme="majorHAnsi"/>
                <w:noProof/>
                <w:sz w:val="18"/>
                <w:szCs w:val="18"/>
                <w:vertAlign w:val="superscript"/>
              </w:rPr>
              <w:t>135</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 years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1,552</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GMP</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LIN</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6"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0"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3" w:type="pct"/>
            <w:gridSpan w:val="7"/>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2"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694" w:type="pct"/>
            <w:shd w:val="clear" w:color="auto" w:fill="auto"/>
            <w:noWrap/>
            <w:vAlign w:val="center"/>
            <w:hideMark/>
          </w:tcPr>
          <w:p w:rsidR="00B31B16" w:rsidRPr="001802EE" w:rsidRDefault="008D2338" w:rsidP="001802EE">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Nauck</w:t>
            </w:r>
            <w:proofErr w:type="spellEnd"/>
            <w:r>
              <w:rPr>
                <w:rStyle w:val="TableText"/>
                <w:rFonts w:asciiTheme="majorHAnsi" w:hAnsiTheme="majorHAnsi"/>
                <w:sz w:val="18"/>
                <w:szCs w:val="18"/>
              </w:rPr>
              <w:t>, 2007</w:t>
            </w:r>
            <w:r w:rsidR="0093455B" w:rsidRPr="00DF4210">
              <w:rPr>
                <w:rStyle w:val="TableText"/>
                <w:rFonts w:asciiTheme="majorHAnsi" w:hAnsiTheme="majorHAnsi"/>
                <w:noProof/>
                <w:sz w:val="18"/>
                <w:szCs w:val="18"/>
                <w:vertAlign w:val="superscript"/>
              </w:rPr>
              <w:t>83</w:t>
            </w:r>
          </w:p>
          <w:p w:rsidR="00B31B16" w:rsidRPr="001802EE" w:rsidRDefault="008D2338" w:rsidP="001802EE">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Krobot</w:t>
            </w:r>
            <w:proofErr w:type="spellEnd"/>
            <w:r>
              <w:rPr>
                <w:rStyle w:val="TableText"/>
                <w:rFonts w:asciiTheme="majorHAnsi" w:hAnsiTheme="majorHAnsi"/>
                <w:sz w:val="18"/>
                <w:szCs w:val="18"/>
              </w:rPr>
              <w:t>, 2012</w:t>
            </w:r>
            <w:r w:rsidR="0093455B" w:rsidRPr="00DF4210">
              <w:rPr>
                <w:rStyle w:val="TableText"/>
                <w:rFonts w:asciiTheme="majorHAnsi" w:hAnsiTheme="majorHAnsi"/>
                <w:noProof/>
                <w:sz w:val="18"/>
                <w:szCs w:val="18"/>
                <w:vertAlign w:val="superscript"/>
              </w:rPr>
              <w:t>136</w:t>
            </w:r>
          </w:p>
          <w:p w:rsidR="00B31B16" w:rsidRPr="001802EE" w:rsidRDefault="008D2338"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Seck</w:t>
            </w:r>
            <w:proofErr w:type="spellEnd"/>
            <w:r>
              <w:rPr>
                <w:rStyle w:val="TableText"/>
                <w:rFonts w:asciiTheme="majorHAnsi" w:hAnsiTheme="majorHAnsi"/>
                <w:sz w:val="18"/>
                <w:szCs w:val="18"/>
              </w:rPr>
              <w:t>, 2010</w:t>
            </w:r>
            <w:r w:rsidR="0093455B" w:rsidRPr="00DF4210">
              <w:rPr>
                <w:rStyle w:val="TableText"/>
                <w:rFonts w:asciiTheme="majorHAnsi" w:hAnsiTheme="majorHAnsi"/>
                <w:noProof/>
                <w:sz w:val="18"/>
                <w:szCs w:val="18"/>
                <w:vertAlign w:val="superscript"/>
              </w:rPr>
              <w:t>137</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52 weeks</w:t>
            </w:r>
          </w:p>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52 weeks</w:t>
            </w:r>
          </w:p>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 years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1,172</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GLIP</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SIT</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6"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0"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3" w:type="pct"/>
            <w:gridSpan w:val="7"/>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2"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694" w:type="pct"/>
            <w:shd w:val="clear" w:color="auto" w:fill="auto"/>
            <w:noWrap/>
            <w:vAlign w:val="center"/>
            <w:hideMark/>
          </w:tcPr>
          <w:p w:rsidR="00B31B16" w:rsidRPr="001802EE" w:rsidRDefault="008D2338" w:rsidP="001802EE">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Goke</w:t>
            </w:r>
            <w:proofErr w:type="spellEnd"/>
            <w:r>
              <w:rPr>
                <w:rStyle w:val="TableText"/>
                <w:rFonts w:asciiTheme="majorHAnsi" w:hAnsiTheme="majorHAnsi"/>
                <w:sz w:val="18"/>
                <w:szCs w:val="18"/>
              </w:rPr>
              <w:t>, 2010</w:t>
            </w:r>
            <w:r w:rsidR="0093455B" w:rsidRPr="00DF4210">
              <w:rPr>
                <w:rStyle w:val="TableText"/>
                <w:rFonts w:asciiTheme="majorHAnsi" w:hAnsiTheme="majorHAnsi"/>
                <w:noProof/>
                <w:sz w:val="18"/>
                <w:szCs w:val="18"/>
                <w:vertAlign w:val="superscript"/>
              </w:rPr>
              <w:t>138</w:t>
            </w:r>
          </w:p>
          <w:p w:rsidR="00B31B16" w:rsidRPr="001802EE" w:rsidRDefault="008D2338"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Goke</w:t>
            </w:r>
            <w:proofErr w:type="spellEnd"/>
            <w:r>
              <w:rPr>
                <w:rStyle w:val="TableText"/>
                <w:rFonts w:asciiTheme="majorHAnsi" w:hAnsiTheme="majorHAnsi"/>
                <w:sz w:val="18"/>
                <w:szCs w:val="18"/>
              </w:rPr>
              <w:t>, 2013</w:t>
            </w:r>
            <w:r w:rsidR="0093455B" w:rsidRPr="00DF4210">
              <w:rPr>
                <w:rStyle w:val="TableText"/>
                <w:rFonts w:asciiTheme="majorHAnsi" w:hAnsiTheme="majorHAnsi"/>
                <w:noProof/>
                <w:sz w:val="18"/>
                <w:szCs w:val="18"/>
                <w:vertAlign w:val="superscript"/>
              </w:rPr>
              <w:t>139</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52 weeks</w:t>
            </w:r>
          </w:p>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104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858</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 xml:space="preserve">MET + GLIP </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SAX</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6"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0"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3" w:type="pct"/>
            <w:gridSpan w:val="7"/>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62"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r w:rsidR="00B31B16" w:rsidRPr="00082421" w:rsidTr="001802EE">
        <w:trPr>
          <w:trHeight w:val="20"/>
        </w:trPr>
        <w:tc>
          <w:tcPr>
            <w:tcW w:w="694" w:type="pct"/>
            <w:shd w:val="clear" w:color="auto" w:fill="auto"/>
            <w:noWrap/>
            <w:vAlign w:val="center"/>
            <w:hideMark/>
          </w:tcPr>
          <w:p w:rsidR="00B31B16" w:rsidRPr="001802EE" w:rsidRDefault="008D2338" w:rsidP="0093455B">
            <w:pPr>
              <w:pStyle w:val="TableFooter"/>
              <w:spacing w:before="20" w:after="20"/>
              <w:ind w:firstLine="142"/>
              <w:rPr>
                <w:rStyle w:val="TableText"/>
                <w:rFonts w:asciiTheme="majorHAnsi" w:hAnsiTheme="majorHAnsi"/>
                <w:sz w:val="18"/>
                <w:szCs w:val="18"/>
              </w:rPr>
            </w:pPr>
            <w:r>
              <w:rPr>
                <w:rStyle w:val="TableText"/>
                <w:rFonts w:asciiTheme="majorHAnsi" w:hAnsiTheme="majorHAnsi"/>
                <w:sz w:val="18"/>
                <w:szCs w:val="18"/>
              </w:rPr>
              <w:t>Matthews, 2010</w:t>
            </w:r>
            <w:r w:rsidR="0093455B" w:rsidRPr="00DF4210">
              <w:rPr>
                <w:rStyle w:val="TableText"/>
                <w:rFonts w:asciiTheme="majorHAnsi" w:hAnsiTheme="majorHAnsi"/>
                <w:noProof/>
                <w:sz w:val="18"/>
                <w:szCs w:val="18"/>
                <w:vertAlign w:val="superscript"/>
              </w:rPr>
              <w:t>140</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 years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3,118</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GMP</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VIL</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6"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0"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53" w:type="pct"/>
            <w:gridSpan w:val="7"/>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62"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jc w:val="left"/>
              <w:rPr>
                <w:rStyle w:val="TableText"/>
                <w:rFonts w:asciiTheme="majorHAnsi" w:hAnsiTheme="majorHAnsi"/>
                <w:sz w:val="18"/>
                <w:szCs w:val="18"/>
              </w:rPr>
            </w:pPr>
            <w:r w:rsidRPr="001802EE">
              <w:rPr>
                <w:rStyle w:val="TableText"/>
                <w:rFonts w:asciiTheme="majorHAnsi" w:hAnsiTheme="majorHAnsi"/>
                <w:i/>
                <w:sz w:val="18"/>
                <w:szCs w:val="18"/>
              </w:rPr>
              <w:t>MET + GLP-1 receptor agonists</w:t>
            </w:r>
          </w:p>
        </w:tc>
      </w:tr>
      <w:tr w:rsidR="00B31B16" w:rsidRPr="00082421" w:rsidTr="001802EE">
        <w:trPr>
          <w:trHeight w:val="20"/>
        </w:trPr>
        <w:tc>
          <w:tcPr>
            <w:tcW w:w="694" w:type="pct"/>
            <w:shd w:val="clear" w:color="auto" w:fill="auto"/>
            <w:noWrap/>
            <w:vAlign w:val="center"/>
            <w:hideMark/>
          </w:tcPr>
          <w:p w:rsidR="00B31B16" w:rsidRPr="001802EE" w:rsidRDefault="008D2338"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Gallwitz</w:t>
            </w:r>
            <w:proofErr w:type="spellEnd"/>
            <w:r>
              <w:rPr>
                <w:rStyle w:val="TableText"/>
                <w:rFonts w:asciiTheme="majorHAnsi" w:hAnsiTheme="majorHAnsi"/>
                <w:sz w:val="18"/>
                <w:szCs w:val="18"/>
              </w:rPr>
              <w:t>, 2012</w:t>
            </w:r>
            <w:r w:rsidR="0093455B" w:rsidRPr="00DF4210">
              <w:rPr>
                <w:rStyle w:val="TableText"/>
                <w:rFonts w:asciiTheme="majorHAnsi" w:hAnsiTheme="majorHAnsi"/>
                <w:noProof/>
                <w:sz w:val="18"/>
                <w:szCs w:val="18"/>
                <w:vertAlign w:val="superscript"/>
              </w:rPr>
              <w:t>141</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2-3 years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1,029</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GMP</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EXN</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6"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67" w:type="pct"/>
            <w:gridSpan w:val="4"/>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4" w:type="pct"/>
            <w:gridSpan w:val="7"/>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3" w:type="pct"/>
            <w:gridSpan w:val="4"/>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4465" w:type="pct"/>
            <w:gridSpan w:val="32"/>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i/>
                <w:sz w:val="18"/>
                <w:szCs w:val="18"/>
              </w:rPr>
            </w:pPr>
            <w:r w:rsidRPr="001802EE">
              <w:rPr>
                <w:rStyle w:val="TableText"/>
                <w:rFonts w:asciiTheme="majorHAnsi" w:hAnsiTheme="majorHAnsi"/>
                <w:i/>
                <w:sz w:val="18"/>
                <w:szCs w:val="18"/>
              </w:rPr>
              <w:t>MET + SGLT 2 inhibitors</w:t>
            </w: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i/>
                <w:sz w:val="18"/>
                <w:szCs w:val="18"/>
              </w:rPr>
            </w:pPr>
          </w:p>
        </w:tc>
      </w:tr>
      <w:tr w:rsidR="00B31B16" w:rsidRPr="00082421" w:rsidTr="001802EE">
        <w:trPr>
          <w:trHeight w:val="20"/>
        </w:trPr>
        <w:tc>
          <w:tcPr>
            <w:tcW w:w="694" w:type="pct"/>
            <w:shd w:val="clear" w:color="auto" w:fill="auto"/>
            <w:noWrap/>
            <w:vAlign w:val="center"/>
            <w:hideMark/>
          </w:tcPr>
          <w:p w:rsidR="00B31B16" w:rsidRPr="001802EE" w:rsidRDefault="00D325FF"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Cefalu</w:t>
            </w:r>
            <w:proofErr w:type="spellEnd"/>
            <w:r>
              <w:rPr>
                <w:rStyle w:val="TableText"/>
                <w:rFonts w:asciiTheme="majorHAnsi" w:hAnsiTheme="majorHAnsi"/>
                <w:sz w:val="18"/>
                <w:szCs w:val="18"/>
              </w:rPr>
              <w:t>, 2013</w:t>
            </w:r>
            <w:r w:rsidR="0093455B" w:rsidRPr="00DF4210">
              <w:rPr>
                <w:rStyle w:val="TableText"/>
                <w:rFonts w:asciiTheme="majorHAnsi" w:hAnsiTheme="majorHAnsi"/>
                <w:noProof/>
                <w:sz w:val="18"/>
                <w:szCs w:val="18"/>
                <w:vertAlign w:val="superscript"/>
              </w:rPr>
              <w:t>142</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52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1,450</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GMP</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CAN</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CAN</w:t>
            </w:r>
          </w:p>
        </w:tc>
        <w:tc>
          <w:tcPr>
            <w:tcW w:w="342"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6" w:type="pct"/>
            <w:gridSpan w:val="3"/>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89" w:type="pct"/>
            <w:gridSpan w:val="9"/>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7"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9"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Yes</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jc w:val="left"/>
              <w:rPr>
                <w:rStyle w:val="TableText"/>
                <w:rFonts w:asciiTheme="majorHAnsi" w:hAnsiTheme="majorHAnsi"/>
                <w:sz w:val="18"/>
                <w:szCs w:val="18"/>
              </w:rPr>
            </w:pPr>
            <w:r w:rsidRPr="001802EE">
              <w:rPr>
                <w:rStyle w:val="TableText"/>
                <w:rFonts w:asciiTheme="majorHAnsi" w:hAnsiTheme="majorHAnsi"/>
                <w:b/>
                <w:sz w:val="18"/>
                <w:szCs w:val="18"/>
              </w:rPr>
              <w:t>MET + TZDs vs.</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jc w:val="left"/>
              <w:rPr>
                <w:rStyle w:val="TableText"/>
                <w:rFonts w:asciiTheme="majorHAnsi" w:hAnsiTheme="majorHAnsi"/>
                <w:sz w:val="18"/>
                <w:szCs w:val="18"/>
              </w:rPr>
            </w:pPr>
            <w:r w:rsidRPr="001802EE">
              <w:rPr>
                <w:rStyle w:val="TableText"/>
                <w:rFonts w:asciiTheme="majorHAnsi" w:hAnsiTheme="majorHAnsi"/>
                <w:i/>
                <w:sz w:val="18"/>
                <w:szCs w:val="18"/>
              </w:rPr>
              <w:t>MET + TZDs</w:t>
            </w:r>
          </w:p>
        </w:tc>
      </w:tr>
      <w:tr w:rsidR="00B31B16" w:rsidRPr="00082421" w:rsidTr="001802EE">
        <w:trPr>
          <w:trHeight w:val="20"/>
        </w:trPr>
        <w:tc>
          <w:tcPr>
            <w:tcW w:w="694" w:type="pct"/>
            <w:shd w:val="clear" w:color="auto" w:fill="auto"/>
            <w:noWrap/>
            <w:vAlign w:val="center"/>
            <w:hideMark/>
          </w:tcPr>
          <w:p w:rsidR="00B31B16" w:rsidRPr="001802EE" w:rsidRDefault="00B31B16" w:rsidP="0093455B">
            <w:pPr>
              <w:pStyle w:val="TableFooter"/>
              <w:spacing w:before="20" w:after="20"/>
              <w:ind w:firstLine="142"/>
              <w:rPr>
                <w:rStyle w:val="TableText"/>
                <w:rFonts w:asciiTheme="majorHAnsi" w:hAnsiTheme="majorHAnsi"/>
                <w:sz w:val="18"/>
                <w:szCs w:val="18"/>
              </w:rPr>
            </w:pPr>
            <w:r w:rsidRPr="001802EE">
              <w:rPr>
                <w:rStyle w:val="TableText"/>
                <w:rFonts w:asciiTheme="majorHAnsi" w:hAnsiTheme="majorHAnsi"/>
                <w:sz w:val="18"/>
                <w:szCs w:val="18"/>
              </w:rPr>
              <w:t>Pere</w:t>
            </w:r>
            <w:r w:rsidR="00D325FF">
              <w:rPr>
                <w:rStyle w:val="TableText"/>
                <w:rFonts w:asciiTheme="majorHAnsi" w:hAnsiTheme="majorHAnsi"/>
                <w:sz w:val="18"/>
                <w:szCs w:val="18"/>
              </w:rPr>
              <w:t>z, 2009</w:t>
            </w:r>
            <w:r w:rsidR="0093455B" w:rsidRPr="00DF4210">
              <w:rPr>
                <w:rStyle w:val="TableText"/>
                <w:rFonts w:asciiTheme="majorHAnsi" w:hAnsiTheme="majorHAnsi"/>
                <w:noProof/>
                <w:sz w:val="18"/>
                <w:szCs w:val="18"/>
                <w:vertAlign w:val="superscript"/>
              </w:rPr>
              <w:t>143</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24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600</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PIO</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MET/PIO</w:t>
            </w:r>
          </w:p>
        </w:tc>
        <w:tc>
          <w:tcPr>
            <w:tcW w:w="353"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3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63"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gridSpan w:val="11"/>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4" w:type="pct"/>
            <w:gridSpan w:val="4"/>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9"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i/>
                <w:sz w:val="18"/>
                <w:szCs w:val="18"/>
              </w:rPr>
              <w:t>MET + DPP-4 inhibitors</w:t>
            </w:r>
          </w:p>
        </w:tc>
      </w:tr>
      <w:tr w:rsidR="00B31B16" w:rsidRPr="00082421" w:rsidTr="001802EE">
        <w:trPr>
          <w:trHeight w:val="20"/>
        </w:trPr>
        <w:tc>
          <w:tcPr>
            <w:tcW w:w="694" w:type="pct"/>
            <w:shd w:val="clear" w:color="auto" w:fill="auto"/>
            <w:noWrap/>
            <w:vAlign w:val="center"/>
            <w:hideMark/>
          </w:tcPr>
          <w:p w:rsidR="00B31B16" w:rsidRPr="001802EE" w:rsidRDefault="00D325FF" w:rsidP="001802EE">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Bolli</w:t>
            </w:r>
            <w:proofErr w:type="spellEnd"/>
            <w:r>
              <w:rPr>
                <w:rStyle w:val="TableText"/>
                <w:rFonts w:asciiTheme="majorHAnsi" w:hAnsiTheme="majorHAnsi"/>
                <w:sz w:val="18"/>
                <w:szCs w:val="18"/>
              </w:rPr>
              <w:t>, 2007</w:t>
            </w:r>
            <w:r w:rsidR="0093455B" w:rsidRPr="00DF4210">
              <w:rPr>
                <w:rStyle w:val="TableText"/>
                <w:rFonts w:asciiTheme="majorHAnsi" w:hAnsiTheme="majorHAnsi"/>
                <w:noProof/>
                <w:sz w:val="18"/>
                <w:szCs w:val="18"/>
                <w:vertAlign w:val="superscript"/>
              </w:rPr>
              <w:t>144</w:t>
            </w:r>
          </w:p>
          <w:p w:rsidR="00B31B16" w:rsidRPr="001802EE" w:rsidRDefault="004B3BCF"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Bolli</w:t>
            </w:r>
            <w:proofErr w:type="spellEnd"/>
            <w:r>
              <w:rPr>
                <w:rStyle w:val="TableText"/>
                <w:rFonts w:asciiTheme="majorHAnsi" w:hAnsiTheme="majorHAnsi"/>
                <w:sz w:val="18"/>
                <w:szCs w:val="18"/>
              </w:rPr>
              <w:t>, 2009</w:t>
            </w:r>
            <w:r w:rsidR="0093455B" w:rsidRPr="00DF4210">
              <w:rPr>
                <w:rStyle w:val="TableText"/>
                <w:rFonts w:asciiTheme="majorHAnsi" w:hAnsiTheme="majorHAnsi"/>
                <w:noProof/>
                <w:sz w:val="18"/>
                <w:szCs w:val="18"/>
                <w:vertAlign w:val="superscript"/>
              </w:rPr>
              <w:t>145</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24 weeks</w:t>
            </w:r>
          </w:p>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52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576</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PIO</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VIL</w:t>
            </w:r>
          </w:p>
        </w:tc>
        <w:tc>
          <w:tcPr>
            <w:tcW w:w="353"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3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75"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some</w:t>
            </w:r>
          </w:p>
        </w:tc>
        <w:tc>
          <w:tcPr>
            <w:tcW w:w="180"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7" w:type="pct"/>
            <w:gridSpan w:val="5"/>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jc w:val="left"/>
              <w:rPr>
                <w:rStyle w:val="TableText"/>
                <w:rFonts w:asciiTheme="majorHAnsi" w:hAnsiTheme="majorHAnsi"/>
                <w:sz w:val="18"/>
                <w:szCs w:val="18"/>
              </w:rPr>
            </w:pPr>
            <w:r w:rsidRPr="001802EE">
              <w:rPr>
                <w:rStyle w:val="TableText"/>
                <w:rFonts w:asciiTheme="majorHAnsi" w:hAnsiTheme="majorHAnsi"/>
                <w:b/>
                <w:sz w:val="18"/>
                <w:szCs w:val="18"/>
              </w:rPr>
              <w:t>MET + INS vs.</w:t>
            </w:r>
          </w:p>
        </w:tc>
      </w:tr>
      <w:tr w:rsidR="00B31B16" w:rsidRPr="00082421" w:rsidTr="001802EE">
        <w:trPr>
          <w:trHeight w:val="20"/>
        </w:trPr>
        <w:tc>
          <w:tcPr>
            <w:tcW w:w="5000" w:type="pct"/>
            <w:gridSpan w:val="33"/>
            <w:shd w:val="clear" w:color="auto" w:fill="auto"/>
            <w:noWrap/>
            <w:vAlign w:val="center"/>
            <w:hideMark/>
          </w:tcPr>
          <w:p w:rsidR="00B31B16" w:rsidRPr="001802EE" w:rsidRDefault="00B31B16" w:rsidP="001802EE">
            <w:pPr>
              <w:pStyle w:val="TableFooter"/>
              <w:spacing w:before="20" w:after="20"/>
              <w:jc w:val="left"/>
              <w:rPr>
                <w:rStyle w:val="TableText"/>
                <w:rFonts w:asciiTheme="majorHAnsi" w:hAnsiTheme="majorHAnsi"/>
                <w:sz w:val="18"/>
                <w:szCs w:val="18"/>
              </w:rPr>
            </w:pPr>
            <w:r w:rsidRPr="001802EE">
              <w:rPr>
                <w:rStyle w:val="TableText"/>
                <w:rFonts w:asciiTheme="majorHAnsi" w:hAnsiTheme="majorHAnsi"/>
                <w:i/>
                <w:sz w:val="18"/>
                <w:szCs w:val="18"/>
              </w:rPr>
              <w:t>MET + DPP-4 inhibitors</w:t>
            </w:r>
          </w:p>
        </w:tc>
      </w:tr>
      <w:tr w:rsidR="00B31B16" w:rsidRPr="00082421" w:rsidTr="001802EE">
        <w:trPr>
          <w:trHeight w:val="20"/>
        </w:trPr>
        <w:tc>
          <w:tcPr>
            <w:tcW w:w="694" w:type="pct"/>
            <w:shd w:val="clear" w:color="auto" w:fill="auto"/>
            <w:noWrap/>
            <w:vAlign w:val="center"/>
            <w:hideMark/>
          </w:tcPr>
          <w:p w:rsidR="00B31B16" w:rsidRPr="001802EE" w:rsidRDefault="004754E5" w:rsidP="0093455B">
            <w:pPr>
              <w:pStyle w:val="TableFooter"/>
              <w:spacing w:before="20" w:after="20"/>
              <w:ind w:firstLine="142"/>
              <w:rPr>
                <w:rStyle w:val="TableText"/>
                <w:rFonts w:asciiTheme="majorHAnsi" w:hAnsiTheme="majorHAnsi"/>
                <w:sz w:val="18"/>
                <w:szCs w:val="18"/>
              </w:rPr>
            </w:pPr>
            <w:proofErr w:type="spellStart"/>
            <w:r>
              <w:rPr>
                <w:rStyle w:val="TableText"/>
                <w:rFonts w:asciiTheme="majorHAnsi" w:hAnsiTheme="majorHAnsi"/>
                <w:sz w:val="18"/>
                <w:szCs w:val="18"/>
              </w:rPr>
              <w:t>Aschner</w:t>
            </w:r>
            <w:proofErr w:type="spellEnd"/>
            <w:r>
              <w:rPr>
                <w:rStyle w:val="TableText"/>
                <w:rFonts w:asciiTheme="majorHAnsi" w:hAnsiTheme="majorHAnsi"/>
                <w:sz w:val="18"/>
                <w:szCs w:val="18"/>
              </w:rPr>
              <w:t>, 2012</w:t>
            </w:r>
            <w:r w:rsidR="0093455B" w:rsidRPr="00DF4210">
              <w:rPr>
                <w:rStyle w:val="TableText"/>
                <w:rFonts w:asciiTheme="majorHAnsi" w:hAnsiTheme="majorHAnsi"/>
                <w:noProof/>
                <w:sz w:val="18"/>
                <w:szCs w:val="18"/>
                <w:vertAlign w:val="superscript"/>
              </w:rPr>
              <w:t>146</w:t>
            </w:r>
          </w:p>
        </w:tc>
        <w:tc>
          <w:tcPr>
            <w:tcW w:w="392" w:type="pct"/>
            <w:shd w:val="clear" w:color="auto" w:fill="auto"/>
            <w:noWrap/>
            <w:vAlign w:val="center"/>
            <w:hideMark/>
          </w:tcPr>
          <w:p w:rsidR="00B31B16" w:rsidRPr="001802EE" w:rsidRDefault="00B31B16" w:rsidP="001802EE">
            <w:pPr>
              <w:pStyle w:val="TableFooter"/>
              <w:spacing w:before="20" w:after="20"/>
              <w:rPr>
                <w:rStyle w:val="TableText"/>
                <w:rFonts w:asciiTheme="majorHAnsi" w:hAnsiTheme="majorHAnsi"/>
                <w:sz w:val="18"/>
                <w:szCs w:val="18"/>
              </w:rPr>
            </w:pPr>
            <w:r w:rsidRPr="001802EE">
              <w:rPr>
                <w:rStyle w:val="TableText"/>
                <w:rFonts w:asciiTheme="majorHAnsi" w:hAnsiTheme="majorHAnsi"/>
                <w:sz w:val="18"/>
                <w:szCs w:val="18"/>
              </w:rPr>
              <w:t>24 weeks</w:t>
            </w:r>
          </w:p>
        </w:tc>
        <w:tc>
          <w:tcPr>
            <w:tcW w:w="234"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515</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GLA</w:t>
            </w:r>
          </w:p>
        </w:tc>
        <w:tc>
          <w:tcPr>
            <w:tcW w:w="34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MET + SIT</w:t>
            </w:r>
          </w:p>
        </w:tc>
        <w:tc>
          <w:tcPr>
            <w:tcW w:w="353" w:type="pct"/>
            <w:gridSpan w:val="2"/>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332"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47"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24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95"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75" w:type="pct"/>
            <w:gridSpan w:val="6"/>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x</w:t>
            </w:r>
          </w:p>
        </w:tc>
        <w:tc>
          <w:tcPr>
            <w:tcW w:w="183" w:type="pct"/>
            <w:gridSpan w:val="7"/>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4" w:type="pct"/>
            <w:gridSpan w:val="4"/>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149" w:type="pct"/>
            <w:shd w:val="clear" w:color="auto" w:fill="auto"/>
            <w:noWrap/>
            <w:vAlign w:val="center"/>
            <w:hideMark/>
          </w:tcPr>
          <w:p w:rsidR="00B31B16" w:rsidRPr="001802EE" w:rsidRDefault="00B31B16" w:rsidP="001802EE">
            <w:pPr>
              <w:pStyle w:val="TableFooter"/>
              <w:spacing w:before="20" w:after="20"/>
              <w:jc w:val="center"/>
              <w:rPr>
                <w:rStyle w:val="TableText"/>
                <w:rFonts w:asciiTheme="majorHAnsi" w:hAnsiTheme="majorHAnsi"/>
                <w:sz w:val="18"/>
                <w:szCs w:val="18"/>
              </w:rPr>
            </w:pPr>
          </w:p>
        </w:tc>
        <w:tc>
          <w:tcPr>
            <w:tcW w:w="535" w:type="pct"/>
            <w:vAlign w:val="center"/>
          </w:tcPr>
          <w:p w:rsidR="00B31B16" w:rsidRPr="001802EE" w:rsidRDefault="00B31B16" w:rsidP="001802EE">
            <w:pPr>
              <w:pStyle w:val="TableFooter"/>
              <w:spacing w:before="20" w:after="20"/>
              <w:jc w:val="center"/>
              <w:rPr>
                <w:rStyle w:val="TableText"/>
                <w:rFonts w:asciiTheme="majorHAnsi" w:hAnsiTheme="majorHAnsi"/>
                <w:sz w:val="18"/>
                <w:szCs w:val="18"/>
              </w:rPr>
            </w:pPr>
            <w:r w:rsidRPr="001802EE">
              <w:rPr>
                <w:rStyle w:val="TableText"/>
                <w:rFonts w:asciiTheme="majorHAnsi" w:hAnsiTheme="majorHAnsi"/>
                <w:sz w:val="18"/>
                <w:szCs w:val="18"/>
              </w:rPr>
              <w:t>No</w:t>
            </w:r>
          </w:p>
        </w:tc>
      </w:tr>
    </w:tbl>
    <w:p w:rsidR="00B31B16" w:rsidRDefault="001802EE" w:rsidP="001802EE">
      <w:pPr>
        <w:pStyle w:val="Notes"/>
      </w:pPr>
      <w:r w:rsidRPr="0027611E">
        <w:rPr>
          <w:u w:val="single"/>
        </w:rPr>
        <w:t>Abbreviations</w:t>
      </w:r>
      <w:r>
        <w:t xml:space="preserve">: </w:t>
      </w:r>
      <w:r w:rsidR="00B31B16" w:rsidRPr="00082421">
        <w:t xml:space="preserve">AE = adverse event; BW = body weight; CAN = canagliflozin; CVD = cardiovascular disease; DAP = dapagliflozin; EXN = exenatide; </w:t>
      </w:r>
      <w:r w:rsidR="00B31B16">
        <w:t>GLA</w:t>
      </w:r>
      <w:r w:rsidR="00B31B16" w:rsidRPr="00082421">
        <w:t xml:space="preserve"> = glargine; GLIB = glibenclamide; GLIP = glipizide; GLP-1 = </w:t>
      </w:r>
      <w:r>
        <w:t>GLP</w:t>
      </w:r>
      <w:r w:rsidR="00B31B16" w:rsidRPr="00082421">
        <w:t>-1</w:t>
      </w:r>
      <w:r>
        <w:t xml:space="preserve"> receptor agonist</w:t>
      </w:r>
      <w:r w:rsidR="00B31B16" w:rsidRPr="00082421">
        <w:t xml:space="preserve">; GLZ </w:t>
      </w:r>
      <w:r>
        <w:t>= gliclazide; GMP = glimepiride</w:t>
      </w:r>
      <w:r w:rsidR="00B31B16" w:rsidRPr="00082421">
        <w:t>; Hypo-G = hypoglycaemia; INS = insulin; MET = metformin; Mor = mortality; MVD = microvascular disease; Pan = pancreatitis; PBAC = Pharmaceutical Benefits Advisory Committee; PBO = placebo; PIO = pioglitazone; ROS = rosiglitazone; SAE = serious adverse event; SAX = saxagliptin; SGLT 2 = sodium glucose co-transporter 2; SIT =</w:t>
      </w:r>
      <w:r>
        <w:t xml:space="preserve"> sitagliptin; SU = sulfonylurea</w:t>
      </w:r>
      <w:r w:rsidR="00B31B16" w:rsidRPr="00082421">
        <w:t xml:space="preserve">; UTI = urinary tract infection; VIL = vildagliptin; </w:t>
      </w:r>
      <w:r>
        <w:t xml:space="preserve">and </w:t>
      </w:r>
      <w:r w:rsidR="00B31B16" w:rsidRPr="00082421">
        <w:t>LIN = linagliptin</w:t>
      </w:r>
      <w:r>
        <w:t>.</w:t>
      </w:r>
      <w:r w:rsidR="00B31B16">
        <w:t xml:space="preserve"> </w:t>
      </w:r>
    </w:p>
    <w:p w:rsidR="001802EE" w:rsidRPr="0027611E" w:rsidRDefault="001802EE" w:rsidP="001802EE">
      <w:pPr>
        <w:pStyle w:val="Notes"/>
      </w:pPr>
      <w:r w:rsidRPr="0027611E">
        <w:rPr>
          <w:u w:val="single"/>
        </w:rPr>
        <w:t>Notes</w:t>
      </w:r>
      <w:r w:rsidRPr="0027611E">
        <w:t xml:space="preserve">: </w:t>
      </w:r>
      <w:r w:rsidR="00B31B16" w:rsidRPr="0027611E">
        <w:t xml:space="preserve">Row highlighted in grey was identified as a trial of interest for the PBAC. </w:t>
      </w:r>
    </w:p>
    <w:p w:rsidR="001E19C8" w:rsidRDefault="0027611E" w:rsidP="001E19C8">
      <w:r w:rsidRPr="0027611E">
        <w:rPr>
          <w:rFonts w:asciiTheme="majorHAnsi" w:hAnsiTheme="majorHAnsi"/>
          <w:sz w:val="20"/>
          <w:szCs w:val="20"/>
          <w:vertAlign w:val="superscript"/>
        </w:rPr>
        <w:t>a</w:t>
      </w:r>
      <w:r w:rsidRPr="0027611E">
        <w:rPr>
          <w:rFonts w:asciiTheme="majorHAnsi" w:hAnsiTheme="majorHAnsi"/>
          <w:sz w:val="20"/>
          <w:szCs w:val="20"/>
        </w:rPr>
        <w:t xml:space="preserve"> Trials included in submissions from 2002 to November 2013; </w:t>
      </w:r>
      <w:r w:rsidRPr="0027611E">
        <w:rPr>
          <w:rFonts w:asciiTheme="majorHAnsi" w:hAnsiTheme="majorHAnsi"/>
          <w:sz w:val="20"/>
          <w:szCs w:val="20"/>
          <w:vertAlign w:val="superscript"/>
        </w:rPr>
        <w:t>b</w:t>
      </w:r>
      <w:r w:rsidRPr="0027611E">
        <w:rPr>
          <w:rFonts w:asciiTheme="majorHAnsi" w:hAnsiTheme="majorHAnsi"/>
          <w:sz w:val="20"/>
          <w:szCs w:val="20"/>
        </w:rPr>
        <w:t xml:space="preserve"> </w:t>
      </w:r>
      <w:r w:rsidR="00B31B16" w:rsidRPr="0027611E">
        <w:rPr>
          <w:sz w:val="20"/>
          <w:szCs w:val="20"/>
        </w:rPr>
        <w:t>Trial is also included for monotherapy comparisons.</w:t>
      </w:r>
    </w:p>
    <w:p w:rsidR="00E20472" w:rsidRDefault="00E20472" w:rsidP="001E19C8"/>
    <w:p w:rsidR="00E20472" w:rsidRDefault="00E20472" w:rsidP="001E19C8">
      <w:pPr>
        <w:sectPr w:rsidR="00E20472" w:rsidSect="00E20472">
          <w:pgSz w:w="16838" w:h="11906" w:orient="landscape"/>
          <w:pgMar w:top="1440" w:right="1440" w:bottom="1440" w:left="1440" w:header="708" w:footer="708" w:gutter="0"/>
          <w:cols w:space="708"/>
          <w:docGrid w:linePitch="360"/>
        </w:sectPr>
      </w:pPr>
    </w:p>
    <w:p w:rsidR="00E20472" w:rsidRPr="00082421" w:rsidRDefault="00E20472" w:rsidP="001E19C8"/>
    <w:p w:rsidR="001E19C8" w:rsidRPr="001E19C8" w:rsidRDefault="001E19C8" w:rsidP="001E19C8">
      <w:pPr>
        <w:rPr>
          <w:b/>
        </w:rPr>
      </w:pPr>
      <w:bookmarkStart w:id="494" w:name="_Ref390351367"/>
      <w:proofErr w:type="gramStart"/>
      <w:r w:rsidRPr="001E19C8">
        <w:rPr>
          <w:b/>
        </w:rPr>
        <w:t>Table</w:t>
      </w:r>
      <w:bookmarkEnd w:id="494"/>
      <w:r w:rsidRPr="001E19C8">
        <w:rPr>
          <w:b/>
          <w:noProof w:val="0"/>
        </w:rPr>
        <w:t xml:space="preserve"> 3</w:t>
      </w:r>
      <w:r w:rsidR="004446DE">
        <w:rPr>
          <w:b/>
        </w:rPr>
        <w:t>.</w:t>
      </w:r>
      <w:proofErr w:type="gramEnd"/>
      <w:r w:rsidRPr="001E19C8">
        <w:rPr>
          <w:b/>
        </w:rPr>
        <w:t xml:space="preserve"> Results</w:t>
      </w:r>
      <w:r w:rsidR="009432D9">
        <w:rPr>
          <w:b/>
        </w:rPr>
        <w:t xml:space="preserve"> of trials with duration &gt;1 year – therapies added to exisiting medication</w:t>
      </w:r>
      <w:r>
        <w:rPr>
          <w:b/>
        </w:rPr>
        <w:t>.</w:t>
      </w:r>
    </w:p>
    <w:tbl>
      <w:tblPr>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870"/>
        <w:gridCol w:w="993"/>
        <w:gridCol w:w="837"/>
        <w:gridCol w:w="865"/>
        <w:gridCol w:w="852"/>
        <w:gridCol w:w="848"/>
        <w:gridCol w:w="919"/>
        <w:gridCol w:w="1067"/>
        <w:gridCol w:w="991"/>
      </w:tblGrid>
      <w:tr w:rsidR="001E19C8" w:rsidRPr="00082421" w:rsidTr="00351ADE">
        <w:trPr>
          <w:cantSplit/>
          <w:trHeight w:val="288"/>
          <w:tblHeader/>
        </w:trPr>
        <w:tc>
          <w:tcPr>
            <w:tcW w:w="1012" w:type="pct"/>
            <w:vMerge w:val="restart"/>
            <w:shd w:val="clear" w:color="auto" w:fill="auto"/>
            <w:noWrap/>
            <w:vAlign w:val="center"/>
          </w:tcPr>
          <w:p w:rsidR="001E19C8" w:rsidRPr="00351ADE" w:rsidRDefault="001E19C8" w:rsidP="00351ADE">
            <w:pPr>
              <w:spacing w:before="60" w:after="60" w:line="240" w:lineRule="auto"/>
              <w:rPr>
                <w:rStyle w:val="TableText"/>
                <w:rFonts w:asciiTheme="majorHAnsi" w:hAnsiTheme="majorHAnsi"/>
                <w:szCs w:val="20"/>
              </w:rPr>
            </w:pPr>
          </w:p>
        </w:tc>
        <w:tc>
          <w:tcPr>
            <w:tcW w:w="990" w:type="pct"/>
            <w:gridSpan w:val="2"/>
            <w:shd w:val="clear" w:color="auto" w:fill="D9D9D9" w:themeFill="background1" w:themeFillShade="D9"/>
            <w:noWrap/>
            <w:vAlign w:val="center"/>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EM vs. EM + SU</w:t>
            </w:r>
          </w:p>
        </w:tc>
        <w:tc>
          <w:tcPr>
            <w:tcW w:w="929" w:type="pct"/>
            <w:gridSpan w:val="2"/>
            <w:shd w:val="clear" w:color="auto" w:fill="D9D9D9" w:themeFill="background1" w:themeFillShade="D9"/>
            <w:noWrap/>
            <w:vAlign w:val="center"/>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EM vs. EM + TZD</w:t>
            </w:r>
          </w:p>
        </w:tc>
        <w:tc>
          <w:tcPr>
            <w:tcW w:w="2069" w:type="pct"/>
            <w:gridSpan w:val="4"/>
            <w:shd w:val="clear" w:color="auto" w:fill="D9D9D9" w:themeFill="background1" w:themeFillShade="D9"/>
            <w:noWrap/>
            <w:vAlign w:val="center"/>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EM vs. EM + DPP-4 inhibitors</w:t>
            </w:r>
          </w:p>
        </w:tc>
      </w:tr>
      <w:tr w:rsidR="001E19C8" w:rsidRPr="00082421" w:rsidTr="00351ADE">
        <w:trPr>
          <w:cantSplit/>
          <w:trHeight w:val="288"/>
          <w:tblHeader/>
        </w:trPr>
        <w:tc>
          <w:tcPr>
            <w:tcW w:w="1012" w:type="pct"/>
            <w:vMerge/>
            <w:shd w:val="clear" w:color="auto" w:fill="auto"/>
            <w:noWrap/>
            <w:vAlign w:val="center"/>
            <w:hideMark/>
          </w:tcPr>
          <w:p w:rsidR="001E19C8" w:rsidRPr="00351ADE" w:rsidRDefault="001E19C8" w:rsidP="00351ADE">
            <w:pPr>
              <w:spacing w:before="60" w:after="60" w:line="240" w:lineRule="auto"/>
              <w:rPr>
                <w:rStyle w:val="TableText"/>
                <w:rFonts w:asciiTheme="majorHAnsi" w:hAnsiTheme="majorHAnsi"/>
                <w:szCs w:val="20"/>
              </w:rPr>
            </w:pPr>
          </w:p>
        </w:tc>
        <w:tc>
          <w:tcPr>
            <w:tcW w:w="990" w:type="pct"/>
            <w:gridSpan w:val="2"/>
            <w:shd w:val="clear" w:color="auto" w:fill="D9D9D9" w:themeFill="background1" w:themeFillShade="D9"/>
            <w:noWrap/>
            <w:vAlign w:val="center"/>
            <w:hideMark/>
          </w:tcPr>
          <w:p w:rsidR="001E19C8" w:rsidRPr="00351ADE" w:rsidRDefault="001E19C8" w:rsidP="0093455B">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Advance 2008</w:t>
            </w:r>
            <w:r w:rsidR="0093455B" w:rsidRPr="00835E73">
              <w:rPr>
                <w:rStyle w:val="TableText"/>
                <w:rFonts w:asciiTheme="majorHAnsi" w:hAnsiTheme="majorHAnsi"/>
                <w:b/>
                <w:szCs w:val="20"/>
                <w:vertAlign w:val="superscript"/>
              </w:rPr>
              <w:t>2</w:t>
            </w:r>
          </w:p>
        </w:tc>
        <w:tc>
          <w:tcPr>
            <w:tcW w:w="929" w:type="pct"/>
            <w:gridSpan w:val="2"/>
            <w:shd w:val="clear" w:color="auto" w:fill="D9D9D9" w:themeFill="background1" w:themeFillShade="D9"/>
            <w:noWrap/>
            <w:vAlign w:val="center"/>
            <w:hideMark/>
          </w:tcPr>
          <w:p w:rsidR="001E19C8" w:rsidRPr="00351ADE" w:rsidRDefault="001E19C8" w:rsidP="0093455B">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Dormandy 2005</w:t>
            </w:r>
            <w:r w:rsidR="0093455B" w:rsidRPr="00835E73">
              <w:rPr>
                <w:rStyle w:val="TableText"/>
                <w:rFonts w:asciiTheme="majorHAnsi" w:hAnsiTheme="majorHAnsi"/>
                <w:b/>
                <w:szCs w:val="20"/>
                <w:vertAlign w:val="superscript"/>
              </w:rPr>
              <w:t>3</w:t>
            </w:r>
          </w:p>
        </w:tc>
        <w:tc>
          <w:tcPr>
            <w:tcW w:w="956" w:type="pct"/>
            <w:gridSpan w:val="2"/>
            <w:shd w:val="clear" w:color="auto" w:fill="D9D9D9" w:themeFill="background1" w:themeFillShade="D9"/>
            <w:noWrap/>
            <w:vAlign w:val="center"/>
            <w:hideMark/>
          </w:tcPr>
          <w:p w:rsidR="001E19C8" w:rsidRPr="00351ADE" w:rsidRDefault="001E19C8" w:rsidP="0093455B">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Scirica 2013</w:t>
            </w:r>
            <w:r w:rsidR="0093455B" w:rsidRPr="00835E73">
              <w:rPr>
                <w:rStyle w:val="TableText"/>
                <w:rFonts w:asciiTheme="majorHAnsi" w:hAnsiTheme="majorHAnsi"/>
                <w:b/>
                <w:szCs w:val="20"/>
                <w:vertAlign w:val="superscript"/>
              </w:rPr>
              <w:t>4</w:t>
            </w:r>
          </w:p>
        </w:tc>
        <w:tc>
          <w:tcPr>
            <w:tcW w:w="1113" w:type="pct"/>
            <w:gridSpan w:val="2"/>
            <w:shd w:val="clear" w:color="auto" w:fill="D9D9D9" w:themeFill="background1" w:themeFillShade="D9"/>
            <w:noWrap/>
            <w:vAlign w:val="center"/>
            <w:hideMark/>
          </w:tcPr>
          <w:p w:rsidR="001E19C8" w:rsidRPr="00351ADE" w:rsidRDefault="001E19C8" w:rsidP="0093455B">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White 2013</w:t>
            </w:r>
            <w:r w:rsidR="0093455B" w:rsidRPr="00835E73">
              <w:rPr>
                <w:rStyle w:val="TableText"/>
                <w:rFonts w:asciiTheme="majorHAnsi" w:hAnsiTheme="majorHAnsi"/>
                <w:b/>
                <w:szCs w:val="20"/>
                <w:vertAlign w:val="superscript"/>
              </w:rPr>
              <w:t>5</w:t>
            </w:r>
          </w:p>
        </w:tc>
      </w:tr>
      <w:tr w:rsidR="001E19C8" w:rsidRPr="00082421" w:rsidTr="00351ADE">
        <w:trPr>
          <w:cantSplit/>
          <w:trHeight w:val="288"/>
          <w:tblHeader/>
        </w:trPr>
        <w:tc>
          <w:tcPr>
            <w:tcW w:w="1012" w:type="pct"/>
            <w:vMerge/>
            <w:shd w:val="clear" w:color="auto" w:fill="auto"/>
            <w:noWrap/>
            <w:vAlign w:val="center"/>
            <w:hideMark/>
          </w:tcPr>
          <w:p w:rsidR="001E19C8" w:rsidRPr="00351ADE" w:rsidRDefault="001E19C8" w:rsidP="00351ADE">
            <w:pPr>
              <w:spacing w:before="60" w:after="60" w:line="240" w:lineRule="auto"/>
              <w:rPr>
                <w:rStyle w:val="TableText"/>
                <w:rFonts w:asciiTheme="majorHAnsi" w:hAnsiTheme="majorHAnsi"/>
                <w:szCs w:val="20"/>
              </w:rPr>
            </w:pPr>
          </w:p>
        </w:tc>
        <w:tc>
          <w:tcPr>
            <w:tcW w:w="537" w:type="pct"/>
            <w:shd w:val="clear" w:color="auto" w:fill="D9D9D9" w:themeFill="background1" w:themeFillShade="D9"/>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EM + GLZ</w:t>
            </w:r>
          </w:p>
        </w:tc>
        <w:tc>
          <w:tcPr>
            <w:tcW w:w="453" w:type="pct"/>
            <w:shd w:val="clear" w:color="auto" w:fill="D9D9D9" w:themeFill="background1" w:themeFillShade="D9"/>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EM</w:t>
            </w:r>
          </w:p>
        </w:tc>
        <w:tc>
          <w:tcPr>
            <w:tcW w:w="468" w:type="pct"/>
            <w:shd w:val="clear" w:color="auto" w:fill="D9D9D9" w:themeFill="background1" w:themeFillShade="D9"/>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EM + PIO</w:t>
            </w:r>
          </w:p>
        </w:tc>
        <w:tc>
          <w:tcPr>
            <w:tcW w:w="461" w:type="pct"/>
            <w:shd w:val="clear" w:color="auto" w:fill="D9D9D9" w:themeFill="background1" w:themeFillShade="D9"/>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EM + PBO</w:t>
            </w:r>
          </w:p>
        </w:tc>
        <w:tc>
          <w:tcPr>
            <w:tcW w:w="459" w:type="pct"/>
            <w:shd w:val="clear" w:color="auto" w:fill="D9D9D9" w:themeFill="background1" w:themeFillShade="D9"/>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EM + SAX</w:t>
            </w:r>
          </w:p>
        </w:tc>
        <w:tc>
          <w:tcPr>
            <w:tcW w:w="497" w:type="pct"/>
            <w:shd w:val="clear" w:color="auto" w:fill="D9D9D9" w:themeFill="background1" w:themeFillShade="D9"/>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EM + PBO</w:t>
            </w:r>
          </w:p>
        </w:tc>
        <w:tc>
          <w:tcPr>
            <w:tcW w:w="576" w:type="pct"/>
            <w:shd w:val="clear" w:color="auto" w:fill="D9D9D9" w:themeFill="background1" w:themeFillShade="D9"/>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EM + ALO</w:t>
            </w:r>
          </w:p>
        </w:tc>
        <w:tc>
          <w:tcPr>
            <w:tcW w:w="537" w:type="pct"/>
            <w:shd w:val="clear" w:color="auto" w:fill="D9D9D9" w:themeFill="background1" w:themeFillShade="D9"/>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EM + PBO</w:t>
            </w:r>
          </w:p>
        </w:tc>
      </w:tr>
      <w:tr w:rsidR="001E19C8" w:rsidRPr="00082421" w:rsidTr="00351ADE">
        <w:trPr>
          <w:trHeight w:val="239"/>
        </w:trPr>
        <w:tc>
          <w:tcPr>
            <w:tcW w:w="1012" w:type="pct"/>
            <w:shd w:val="clear" w:color="auto" w:fill="auto"/>
            <w:vAlign w:val="center"/>
            <w:hideMark/>
          </w:tcPr>
          <w:p w:rsidR="001E19C8" w:rsidRPr="00351ADE" w:rsidRDefault="001E19C8" w:rsidP="00351ADE">
            <w:pPr>
              <w:spacing w:before="60" w:after="60" w:line="240" w:lineRule="auto"/>
              <w:rPr>
                <w:rStyle w:val="TableText"/>
                <w:rFonts w:asciiTheme="majorHAnsi" w:hAnsiTheme="majorHAnsi"/>
                <w:szCs w:val="20"/>
              </w:rPr>
            </w:pPr>
            <w:r w:rsidRPr="00351ADE">
              <w:rPr>
                <w:rStyle w:val="TableText"/>
                <w:rFonts w:asciiTheme="majorHAnsi" w:hAnsiTheme="majorHAnsi"/>
                <w:szCs w:val="20"/>
              </w:rPr>
              <w:t>Trial duration</w:t>
            </w:r>
          </w:p>
        </w:tc>
        <w:tc>
          <w:tcPr>
            <w:tcW w:w="990" w:type="pct"/>
            <w:gridSpan w:val="2"/>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5 years (median)</w:t>
            </w:r>
          </w:p>
        </w:tc>
        <w:tc>
          <w:tcPr>
            <w:tcW w:w="929" w:type="pct"/>
            <w:gridSpan w:val="2"/>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34.5 months</w:t>
            </w:r>
          </w:p>
        </w:tc>
        <w:tc>
          <w:tcPr>
            <w:tcW w:w="956" w:type="pct"/>
            <w:gridSpan w:val="2"/>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2.1 year</w:t>
            </w:r>
          </w:p>
        </w:tc>
        <w:tc>
          <w:tcPr>
            <w:tcW w:w="1113" w:type="pct"/>
            <w:gridSpan w:val="2"/>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18 months</w:t>
            </w:r>
          </w:p>
        </w:tc>
      </w:tr>
      <w:tr w:rsidR="001E19C8" w:rsidRPr="00082421" w:rsidTr="00351ADE">
        <w:trPr>
          <w:trHeight w:val="129"/>
        </w:trPr>
        <w:tc>
          <w:tcPr>
            <w:tcW w:w="1012" w:type="pct"/>
            <w:shd w:val="clear" w:color="auto" w:fill="auto"/>
            <w:noWrap/>
            <w:vAlign w:val="center"/>
            <w:hideMark/>
          </w:tcPr>
          <w:p w:rsidR="001E19C8" w:rsidRPr="00351ADE" w:rsidRDefault="00351ADE" w:rsidP="00351ADE">
            <w:pPr>
              <w:spacing w:before="60" w:after="60" w:line="240" w:lineRule="auto"/>
              <w:rPr>
                <w:rStyle w:val="TableText"/>
                <w:rFonts w:asciiTheme="majorHAnsi" w:hAnsiTheme="majorHAnsi"/>
                <w:szCs w:val="20"/>
              </w:rPr>
            </w:pPr>
            <w:r w:rsidRPr="00351ADE">
              <w:rPr>
                <w:rStyle w:val="TableText"/>
                <w:rFonts w:asciiTheme="majorHAnsi" w:hAnsiTheme="majorHAnsi"/>
                <w:szCs w:val="20"/>
              </w:rPr>
              <w:t>N</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5,571</w:t>
            </w:r>
          </w:p>
        </w:tc>
        <w:tc>
          <w:tcPr>
            <w:tcW w:w="453"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5,569</w:t>
            </w:r>
          </w:p>
        </w:tc>
        <w:tc>
          <w:tcPr>
            <w:tcW w:w="468"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2,605</w:t>
            </w:r>
          </w:p>
        </w:tc>
        <w:tc>
          <w:tcPr>
            <w:tcW w:w="461"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2,633</w:t>
            </w:r>
          </w:p>
        </w:tc>
        <w:tc>
          <w:tcPr>
            <w:tcW w:w="459"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8,280</w:t>
            </w:r>
          </w:p>
        </w:tc>
        <w:tc>
          <w:tcPr>
            <w:tcW w:w="49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8,212</w:t>
            </w:r>
          </w:p>
        </w:tc>
        <w:tc>
          <w:tcPr>
            <w:tcW w:w="57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2,701</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2,679</w:t>
            </w:r>
          </w:p>
        </w:tc>
      </w:tr>
      <w:tr w:rsidR="001E19C8" w:rsidRPr="00082421" w:rsidTr="00351ADE">
        <w:trPr>
          <w:trHeight w:val="288"/>
        </w:trPr>
        <w:tc>
          <w:tcPr>
            <w:tcW w:w="1012" w:type="pct"/>
            <w:shd w:val="clear" w:color="auto" w:fill="auto"/>
            <w:vAlign w:val="center"/>
            <w:hideMark/>
          </w:tcPr>
          <w:p w:rsidR="001E19C8" w:rsidRPr="00351ADE" w:rsidRDefault="001E19C8" w:rsidP="00351ADE">
            <w:pPr>
              <w:spacing w:before="60" w:after="60" w:line="240" w:lineRule="auto"/>
              <w:rPr>
                <w:rStyle w:val="TableText"/>
                <w:rFonts w:asciiTheme="majorHAnsi" w:hAnsiTheme="majorHAnsi"/>
                <w:szCs w:val="20"/>
              </w:rPr>
            </w:pPr>
            <w:r w:rsidRPr="00351ADE">
              <w:rPr>
                <w:rStyle w:val="TableText"/>
                <w:rFonts w:asciiTheme="majorHAnsi" w:hAnsiTheme="majorHAnsi"/>
                <w:szCs w:val="20"/>
              </w:rPr>
              <w:t>HbA</w:t>
            </w:r>
            <w:r w:rsidRPr="00351ADE">
              <w:rPr>
                <w:rStyle w:val="TableText"/>
                <w:rFonts w:asciiTheme="majorHAnsi" w:hAnsiTheme="majorHAnsi"/>
                <w:szCs w:val="20"/>
                <w:vertAlign w:val="subscript"/>
              </w:rPr>
              <w:t>1c</w:t>
            </w:r>
            <w:r w:rsidRPr="00351ADE">
              <w:rPr>
                <w:rStyle w:val="TableText"/>
                <w:rFonts w:asciiTheme="majorHAnsi" w:hAnsiTheme="majorHAnsi"/>
                <w:szCs w:val="20"/>
              </w:rPr>
              <w:t>; % (IQR) mean change from baseline</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-0.99</w:t>
            </w:r>
          </w:p>
        </w:tc>
        <w:tc>
          <w:tcPr>
            <w:tcW w:w="453"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-0.24</w:t>
            </w:r>
          </w:p>
        </w:tc>
        <w:tc>
          <w:tcPr>
            <w:tcW w:w="468"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-0.8</w:t>
            </w:r>
          </w:p>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(-1.6, -0.1)</w:t>
            </w:r>
          </w:p>
        </w:tc>
        <w:tc>
          <w:tcPr>
            <w:tcW w:w="461"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-0.3</w:t>
            </w:r>
          </w:p>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(-1.1, 0.4)</w:t>
            </w:r>
          </w:p>
        </w:tc>
        <w:tc>
          <w:tcPr>
            <w:tcW w:w="459" w:type="pct"/>
            <w:shd w:val="clear" w:color="auto" w:fill="auto"/>
            <w:vAlign w:val="center"/>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9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57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-0.33</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-0.03</w:t>
            </w:r>
          </w:p>
        </w:tc>
      </w:tr>
      <w:tr w:rsidR="001E19C8" w:rsidRPr="00082421" w:rsidTr="00351ADE">
        <w:trPr>
          <w:trHeight w:val="288"/>
        </w:trPr>
        <w:tc>
          <w:tcPr>
            <w:tcW w:w="1012" w:type="pct"/>
            <w:shd w:val="clear" w:color="auto" w:fill="auto"/>
            <w:noWrap/>
            <w:vAlign w:val="center"/>
            <w:hideMark/>
          </w:tcPr>
          <w:p w:rsidR="001E19C8" w:rsidRPr="00351ADE" w:rsidRDefault="001E19C8" w:rsidP="00351ADE">
            <w:pPr>
              <w:spacing w:before="60" w:after="60" w:line="240" w:lineRule="auto"/>
              <w:rPr>
                <w:rStyle w:val="TableText"/>
                <w:rFonts w:asciiTheme="majorHAnsi" w:hAnsiTheme="majorHAnsi"/>
                <w:szCs w:val="20"/>
              </w:rPr>
            </w:pPr>
            <w:r w:rsidRPr="00351ADE">
              <w:rPr>
                <w:rStyle w:val="TableText"/>
                <w:rFonts w:asciiTheme="majorHAnsi" w:hAnsiTheme="majorHAnsi"/>
                <w:szCs w:val="20"/>
              </w:rPr>
              <w:t>BW; kg mean change from baseline</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-0.1</w:t>
            </w:r>
          </w:p>
        </w:tc>
        <w:tc>
          <w:tcPr>
            <w:tcW w:w="453"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-1.0</w:t>
            </w:r>
          </w:p>
        </w:tc>
        <w:tc>
          <w:tcPr>
            <w:tcW w:w="468"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3.6</w:t>
            </w:r>
          </w:p>
        </w:tc>
        <w:tc>
          <w:tcPr>
            <w:tcW w:w="461"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Style w:val="TableText"/>
                <w:rFonts w:asciiTheme="majorHAnsi" w:hAnsiTheme="majorHAnsi"/>
                <w:b/>
                <w:szCs w:val="20"/>
              </w:rPr>
              <w:t>-0.4</w:t>
            </w:r>
          </w:p>
        </w:tc>
        <w:tc>
          <w:tcPr>
            <w:tcW w:w="459" w:type="pct"/>
            <w:shd w:val="clear" w:color="auto" w:fill="auto"/>
            <w:vAlign w:val="center"/>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9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57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1.09</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1.04</w:t>
            </w:r>
          </w:p>
        </w:tc>
      </w:tr>
      <w:tr w:rsidR="001E19C8" w:rsidRPr="00082421" w:rsidTr="00351ADE">
        <w:trPr>
          <w:trHeight w:val="288"/>
        </w:trPr>
        <w:tc>
          <w:tcPr>
            <w:tcW w:w="1012" w:type="pct"/>
            <w:shd w:val="clear" w:color="auto" w:fill="auto"/>
            <w:noWrap/>
            <w:vAlign w:val="center"/>
            <w:hideMark/>
          </w:tcPr>
          <w:p w:rsidR="001E19C8" w:rsidRPr="00351ADE" w:rsidRDefault="001E19C8" w:rsidP="00351ADE">
            <w:pPr>
              <w:spacing w:before="60" w:after="60" w:line="240" w:lineRule="auto"/>
              <w:rPr>
                <w:rStyle w:val="TableText"/>
                <w:rFonts w:asciiTheme="majorHAnsi" w:hAnsiTheme="majorHAnsi"/>
                <w:szCs w:val="20"/>
              </w:rPr>
            </w:pPr>
            <w:r w:rsidRPr="00351ADE">
              <w:rPr>
                <w:rStyle w:val="TableText"/>
                <w:rFonts w:asciiTheme="majorHAnsi" w:hAnsiTheme="majorHAnsi"/>
                <w:szCs w:val="20"/>
              </w:rPr>
              <w:t>Any AE; %</w:t>
            </w:r>
          </w:p>
        </w:tc>
        <w:tc>
          <w:tcPr>
            <w:tcW w:w="537" w:type="pct"/>
            <w:shd w:val="clear" w:color="auto" w:fill="auto"/>
            <w:vAlign w:val="center"/>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53"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68"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61"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59"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9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57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80.0%</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78.8%</w:t>
            </w:r>
          </w:p>
        </w:tc>
      </w:tr>
      <w:tr w:rsidR="001E19C8" w:rsidRPr="00082421" w:rsidTr="00351ADE">
        <w:trPr>
          <w:trHeight w:val="288"/>
        </w:trPr>
        <w:tc>
          <w:tcPr>
            <w:tcW w:w="1012" w:type="pct"/>
            <w:shd w:val="clear" w:color="auto" w:fill="auto"/>
            <w:noWrap/>
            <w:vAlign w:val="center"/>
            <w:hideMark/>
          </w:tcPr>
          <w:p w:rsidR="001E19C8" w:rsidRPr="00351ADE" w:rsidRDefault="001E19C8" w:rsidP="00351ADE">
            <w:pPr>
              <w:spacing w:before="60" w:after="60" w:line="240" w:lineRule="auto"/>
              <w:rPr>
                <w:rStyle w:val="TableText"/>
                <w:rFonts w:asciiTheme="majorHAnsi" w:hAnsiTheme="majorHAnsi"/>
                <w:szCs w:val="20"/>
              </w:rPr>
            </w:pPr>
            <w:r w:rsidRPr="00351ADE">
              <w:rPr>
                <w:rStyle w:val="TableText"/>
                <w:rFonts w:asciiTheme="majorHAnsi" w:hAnsiTheme="majorHAnsi"/>
                <w:szCs w:val="20"/>
              </w:rPr>
              <w:t>SAE; %</w:t>
            </w:r>
          </w:p>
        </w:tc>
        <w:tc>
          <w:tcPr>
            <w:tcW w:w="537" w:type="pct"/>
            <w:shd w:val="clear" w:color="auto" w:fill="auto"/>
            <w:vAlign w:val="center"/>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53" w:type="pct"/>
            <w:shd w:val="clear" w:color="auto" w:fill="auto"/>
            <w:vAlign w:val="center"/>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68"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46.2%</w:t>
            </w:r>
          </w:p>
        </w:tc>
        <w:tc>
          <w:tcPr>
            <w:tcW w:w="461"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48.4%</w:t>
            </w:r>
          </w:p>
        </w:tc>
        <w:tc>
          <w:tcPr>
            <w:tcW w:w="459"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9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57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33.6%</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35.5%</w:t>
            </w:r>
          </w:p>
        </w:tc>
      </w:tr>
      <w:tr w:rsidR="001E19C8" w:rsidRPr="00082421" w:rsidTr="00351ADE">
        <w:trPr>
          <w:trHeight w:val="288"/>
        </w:trPr>
        <w:tc>
          <w:tcPr>
            <w:tcW w:w="1012" w:type="pct"/>
            <w:shd w:val="clear" w:color="auto" w:fill="auto"/>
            <w:noWrap/>
            <w:vAlign w:val="center"/>
            <w:hideMark/>
          </w:tcPr>
          <w:p w:rsidR="001E19C8" w:rsidRPr="00351ADE" w:rsidRDefault="001E19C8" w:rsidP="00351ADE">
            <w:pPr>
              <w:spacing w:before="60" w:after="60" w:line="240" w:lineRule="auto"/>
              <w:rPr>
                <w:rStyle w:val="TableText"/>
                <w:rFonts w:asciiTheme="majorHAnsi" w:hAnsiTheme="majorHAnsi"/>
                <w:szCs w:val="20"/>
              </w:rPr>
            </w:pPr>
            <w:r w:rsidRPr="00351ADE">
              <w:rPr>
                <w:rStyle w:val="TableText"/>
                <w:rFonts w:asciiTheme="majorHAnsi" w:hAnsiTheme="majorHAnsi"/>
                <w:szCs w:val="20"/>
              </w:rPr>
              <w:t>Hypo-G; %</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Fonts w:asciiTheme="majorHAnsi" w:hAnsiTheme="majorHAnsi"/>
                <w:b/>
                <w:color w:val="000000"/>
                <w:sz w:val="20"/>
                <w:szCs w:val="20"/>
              </w:rPr>
              <w:t>53.0%</w:t>
            </w:r>
          </w:p>
        </w:tc>
        <w:tc>
          <w:tcPr>
            <w:tcW w:w="453"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Fonts w:asciiTheme="majorHAnsi" w:hAnsiTheme="majorHAnsi"/>
                <w:b/>
                <w:color w:val="000000"/>
                <w:sz w:val="20"/>
                <w:szCs w:val="20"/>
              </w:rPr>
              <w:t>38.0%</w:t>
            </w:r>
          </w:p>
        </w:tc>
        <w:tc>
          <w:tcPr>
            <w:tcW w:w="468"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Fonts w:asciiTheme="majorHAnsi" w:hAnsiTheme="majorHAnsi"/>
                <w:b/>
                <w:color w:val="000000"/>
                <w:sz w:val="20"/>
                <w:szCs w:val="20"/>
              </w:rPr>
              <w:t>27.9%</w:t>
            </w:r>
          </w:p>
        </w:tc>
        <w:tc>
          <w:tcPr>
            <w:tcW w:w="461"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Fonts w:asciiTheme="majorHAnsi" w:hAnsiTheme="majorHAnsi"/>
                <w:b/>
                <w:color w:val="000000"/>
                <w:sz w:val="20"/>
                <w:szCs w:val="20"/>
              </w:rPr>
              <w:t>20.1%</w:t>
            </w:r>
          </w:p>
        </w:tc>
        <w:tc>
          <w:tcPr>
            <w:tcW w:w="459"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Fonts w:asciiTheme="majorHAnsi" w:hAnsiTheme="majorHAnsi"/>
                <w:b/>
                <w:color w:val="000000"/>
                <w:sz w:val="20"/>
                <w:szCs w:val="20"/>
              </w:rPr>
              <w:t>15.3%</w:t>
            </w:r>
          </w:p>
        </w:tc>
        <w:tc>
          <w:tcPr>
            <w:tcW w:w="49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Fonts w:asciiTheme="majorHAnsi" w:hAnsiTheme="majorHAnsi"/>
                <w:b/>
                <w:color w:val="000000"/>
                <w:sz w:val="20"/>
                <w:szCs w:val="20"/>
              </w:rPr>
              <w:t>13.4%</w:t>
            </w:r>
          </w:p>
        </w:tc>
        <w:tc>
          <w:tcPr>
            <w:tcW w:w="57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6.7%</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6.5%</w:t>
            </w:r>
          </w:p>
        </w:tc>
      </w:tr>
      <w:tr w:rsidR="001E19C8" w:rsidRPr="00082421" w:rsidTr="00351ADE">
        <w:trPr>
          <w:trHeight w:val="288"/>
        </w:trPr>
        <w:tc>
          <w:tcPr>
            <w:tcW w:w="1012" w:type="pct"/>
            <w:shd w:val="clear" w:color="auto" w:fill="auto"/>
            <w:noWrap/>
            <w:vAlign w:val="center"/>
            <w:hideMark/>
          </w:tcPr>
          <w:p w:rsidR="001E19C8" w:rsidRPr="00351ADE" w:rsidRDefault="001E19C8" w:rsidP="00351ADE">
            <w:pPr>
              <w:spacing w:before="60" w:after="60" w:line="240" w:lineRule="auto"/>
              <w:rPr>
                <w:rStyle w:val="TableText"/>
                <w:rFonts w:asciiTheme="majorHAnsi" w:hAnsiTheme="majorHAnsi"/>
                <w:szCs w:val="20"/>
              </w:rPr>
            </w:pPr>
            <w:r w:rsidRPr="00351ADE">
              <w:rPr>
                <w:rStyle w:val="TableText"/>
                <w:rFonts w:asciiTheme="majorHAnsi" w:hAnsiTheme="majorHAnsi"/>
                <w:szCs w:val="20"/>
              </w:rPr>
              <w:t xml:space="preserve">Severe  hypo-G; % </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Fonts w:asciiTheme="majorHAnsi" w:hAnsiTheme="majorHAnsi"/>
                <w:b/>
                <w:color w:val="000000"/>
                <w:sz w:val="20"/>
                <w:szCs w:val="20"/>
              </w:rPr>
              <w:t>2.7%</w:t>
            </w:r>
          </w:p>
        </w:tc>
        <w:tc>
          <w:tcPr>
            <w:tcW w:w="453"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Fonts w:asciiTheme="majorHAnsi" w:hAnsiTheme="majorHAnsi"/>
                <w:b/>
                <w:color w:val="000000"/>
                <w:sz w:val="20"/>
                <w:szCs w:val="20"/>
              </w:rPr>
              <w:t>1.5%</w:t>
            </w:r>
          </w:p>
        </w:tc>
        <w:tc>
          <w:tcPr>
            <w:tcW w:w="468"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0.7%</w:t>
            </w:r>
          </w:p>
        </w:tc>
        <w:tc>
          <w:tcPr>
            <w:tcW w:w="461"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0.4%</w:t>
            </w:r>
          </w:p>
        </w:tc>
        <w:tc>
          <w:tcPr>
            <w:tcW w:w="459"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Fonts w:asciiTheme="majorHAnsi" w:hAnsiTheme="majorHAnsi"/>
                <w:b/>
                <w:color w:val="000000"/>
                <w:sz w:val="20"/>
                <w:szCs w:val="20"/>
              </w:rPr>
              <w:t>2.1%</w:t>
            </w:r>
          </w:p>
        </w:tc>
        <w:tc>
          <w:tcPr>
            <w:tcW w:w="49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b/>
                <w:szCs w:val="20"/>
              </w:rPr>
            </w:pPr>
            <w:r w:rsidRPr="00351ADE">
              <w:rPr>
                <w:rFonts w:asciiTheme="majorHAnsi" w:hAnsiTheme="majorHAnsi"/>
                <w:b/>
                <w:color w:val="000000"/>
                <w:sz w:val="20"/>
                <w:szCs w:val="20"/>
              </w:rPr>
              <w:t>1.7%</w:t>
            </w:r>
          </w:p>
        </w:tc>
        <w:tc>
          <w:tcPr>
            <w:tcW w:w="57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0.7%</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0.6%</w:t>
            </w:r>
          </w:p>
        </w:tc>
      </w:tr>
      <w:tr w:rsidR="001E19C8" w:rsidRPr="00082421" w:rsidTr="00351ADE">
        <w:trPr>
          <w:trHeight w:val="288"/>
        </w:trPr>
        <w:tc>
          <w:tcPr>
            <w:tcW w:w="1012" w:type="pct"/>
            <w:shd w:val="clear" w:color="auto" w:fill="auto"/>
            <w:noWrap/>
            <w:vAlign w:val="center"/>
            <w:hideMark/>
          </w:tcPr>
          <w:p w:rsidR="001E19C8" w:rsidRPr="00351ADE" w:rsidRDefault="001E19C8" w:rsidP="00351ADE">
            <w:pPr>
              <w:spacing w:before="60" w:after="60" w:line="240" w:lineRule="auto"/>
              <w:rPr>
                <w:rStyle w:val="TableText"/>
                <w:rFonts w:asciiTheme="majorHAnsi" w:hAnsiTheme="majorHAnsi"/>
                <w:szCs w:val="20"/>
              </w:rPr>
            </w:pPr>
            <w:r w:rsidRPr="00351ADE">
              <w:rPr>
                <w:rStyle w:val="TableText"/>
                <w:rFonts w:asciiTheme="majorHAnsi" w:hAnsiTheme="majorHAnsi"/>
                <w:szCs w:val="20"/>
              </w:rPr>
              <w:t>UTI; %</w:t>
            </w:r>
          </w:p>
        </w:tc>
        <w:tc>
          <w:tcPr>
            <w:tcW w:w="537" w:type="pct"/>
            <w:shd w:val="clear" w:color="auto" w:fill="auto"/>
            <w:vAlign w:val="center"/>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53" w:type="pct"/>
            <w:shd w:val="clear" w:color="auto" w:fill="auto"/>
            <w:vAlign w:val="center"/>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68"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61"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59"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9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57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r>
      <w:tr w:rsidR="001E19C8" w:rsidRPr="00082421" w:rsidTr="00351ADE">
        <w:trPr>
          <w:trHeight w:val="288"/>
        </w:trPr>
        <w:tc>
          <w:tcPr>
            <w:tcW w:w="1012" w:type="pct"/>
            <w:shd w:val="clear" w:color="auto" w:fill="auto"/>
            <w:noWrap/>
            <w:vAlign w:val="center"/>
            <w:hideMark/>
          </w:tcPr>
          <w:p w:rsidR="001E19C8" w:rsidRPr="00351ADE" w:rsidRDefault="001E19C8" w:rsidP="00351ADE">
            <w:pPr>
              <w:spacing w:before="60" w:after="60" w:line="240" w:lineRule="auto"/>
              <w:rPr>
                <w:rStyle w:val="TableText"/>
                <w:rFonts w:asciiTheme="majorHAnsi" w:hAnsiTheme="majorHAnsi"/>
                <w:szCs w:val="20"/>
              </w:rPr>
            </w:pPr>
            <w:r w:rsidRPr="00351ADE">
              <w:rPr>
                <w:rStyle w:val="TableText"/>
                <w:rFonts w:asciiTheme="majorHAnsi" w:hAnsiTheme="majorHAnsi"/>
                <w:szCs w:val="20"/>
              </w:rPr>
              <w:t>Pancreatitis; %</w:t>
            </w:r>
          </w:p>
        </w:tc>
        <w:tc>
          <w:tcPr>
            <w:tcW w:w="537" w:type="pct"/>
            <w:shd w:val="clear" w:color="auto" w:fill="auto"/>
            <w:vAlign w:val="center"/>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53"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68"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61"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Style w:val="TableText"/>
                <w:rFonts w:asciiTheme="majorHAnsi" w:hAnsiTheme="majorHAnsi"/>
                <w:szCs w:val="20"/>
              </w:rPr>
              <w:t>-</w:t>
            </w:r>
          </w:p>
        </w:tc>
        <w:tc>
          <w:tcPr>
            <w:tcW w:w="459"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0.3%</w:t>
            </w:r>
          </w:p>
        </w:tc>
        <w:tc>
          <w:tcPr>
            <w:tcW w:w="49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0.3%</w:t>
            </w:r>
          </w:p>
        </w:tc>
        <w:tc>
          <w:tcPr>
            <w:tcW w:w="57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0.6%</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0.4%</w:t>
            </w:r>
          </w:p>
        </w:tc>
      </w:tr>
      <w:tr w:rsidR="001E19C8" w:rsidRPr="00082421" w:rsidTr="00351ADE">
        <w:trPr>
          <w:trHeight w:val="288"/>
        </w:trPr>
        <w:tc>
          <w:tcPr>
            <w:tcW w:w="1012" w:type="pct"/>
            <w:shd w:val="clear" w:color="auto" w:fill="auto"/>
            <w:noWrap/>
            <w:vAlign w:val="center"/>
            <w:hideMark/>
          </w:tcPr>
          <w:p w:rsidR="001E19C8" w:rsidRPr="00351ADE" w:rsidRDefault="001E19C8" w:rsidP="00351ADE">
            <w:pPr>
              <w:spacing w:before="60" w:after="60" w:line="240" w:lineRule="auto"/>
              <w:rPr>
                <w:rStyle w:val="TableText"/>
                <w:rFonts w:asciiTheme="majorHAnsi" w:hAnsiTheme="majorHAnsi"/>
                <w:szCs w:val="20"/>
              </w:rPr>
            </w:pPr>
            <w:r w:rsidRPr="00351ADE">
              <w:rPr>
                <w:rStyle w:val="TableText"/>
                <w:rFonts w:asciiTheme="majorHAnsi" w:hAnsiTheme="majorHAnsi"/>
                <w:szCs w:val="20"/>
              </w:rPr>
              <w:t>Mortality; %</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8.9%</w:t>
            </w:r>
          </w:p>
        </w:tc>
        <w:tc>
          <w:tcPr>
            <w:tcW w:w="453"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9.6%</w:t>
            </w:r>
          </w:p>
        </w:tc>
        <w:tc>
          <w:tcPr>
            <w:tcW w:w="468"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6.8%</w:t>
            </w:r>
          </w:p>
        </w:tc>
        <w:tc>
          <w:tcPr>
            <w:tcW w:w="461"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7.1%</w:t>
            </w:r>
          </w:p>
        </w:tc>
        <w:tc>
          <w:tcPr>
            <w:tcW w:w="459"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5.1%</w:t>
            </w:r>
          </w:p>
        </w:tc>
        <w:tc>
          <w:tcPr>
            <w:tcW w:w="49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4.6%</w:t>
            </w:r>
          </w:p>
        </w:tc>
        <w:tc>
          <w:tcPr>
            <w:tcW w:w="57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5.7%</w:t>
            </w:r>
          </w:p>
        </w:tc>
        <w:tc>
          <w:tcPr>
            <w:tcW w:w="537" w:type="pct"/>
            <w:shd w:val="clear" w:color="auto" w:fill="auto"/>
            <w:noWrap/>
            <w:vAlign w:val="center"/>
            <w:hideMark/>
          </w:tcPr>
          <w:p w:rsidR="001E19C8" w:rsidRPr="00351ADE" w:rsidRDefault="001E19C8" w:rsidP="00351ADE">
            <w:pPr>
              <w:spacing w:before="60" w:after="60" w:line="240" w:lineRule="auto"/>
              <w:jc w:val="center"/>
              <w:rPr>
                <w:rStyle w:val="TableText"/>
                <w:rFonts w:asciiTheme="majorHAnsi" w:hAnsiTheme="majorHAnsi"/>
                <w:szCs w:val="20"/>
              </w:rPr>
            </w:pPr>
            <w:r w:rsidRPr="00351ADE">
              <w:rPr>
                <w:rFonts w:asciiTheme="majorHAnsi" w:hAnsiTheme="majorHAnsi"/>
                <w:color w:val="000000"/>
                <w:sz w:val="20"/>
                <w:szCs w:val="20"/>
              </w:rPr>
              <w:t>6.5%</w:t>
            </w:r>
          </w:p>
        </w:tc>
      </w:tr>
    </w:tbl>
    <w:p w:rsidR="001E19C8" w:rsidRPr="00082421" w:rsidRDefault="001E19C8" w:rsidP="00351ADE">
      <w:pPr>
        <w:pStyle w:val="Notes"/>
      </w:pPr>
      <w:r w:rsidRPr="00082421">
        <w:t xml:space="preserve">Statistically significant difference are marked in </w:t>
      </w:r>
      <w:r w:rsidRPr="00082421">
        <w:rPr>
          <w:b/>
        </w:rPr>
        <w:t>bold</w:t>
      </w:r>
      <w:r w:rsidRPr="00082421">
        <w:t>.</w:t>
      </w:r>
    </w:p>
    <w:p w:rsidR="001E19C8" w:rsidRPr="00351ADE" w:rsidRDefault="00351ADE" w:rsidP="00351ADE">
      <w:pPr>
        <w:pStyle w:val="Notes"/>
      </w:pPr>
      <w:r w:rsidRPr="0027611E">
        <w:rPr>
          <w:u w:val="single"/>
        </w:rPr>
        <w:t>Abbreviations</w:t>
      </w:r>
      <w:r w:rsidRPr="00351ADE">
        <w:t xml:space="preserve">: </w:t>
      </w:r>
      <w:r w:rsidR="001E19C8" w:rsidRPr="00351ADE">
        <w:t xml:space="preserve">AE = adverse event; ALO = alogliptin; BW = body weight; </w:t>
      </w:r>
      <w:r>
        <w:t>IQR = inter-qaurtile range</w:t>
      </w:r>
      <w:r w:rsidR="001E19C8" w:rsidRPr="00351ADE">
        <w:t xml:space="preserve">; EM = existing medication; GLZ = gliclazide; Hypo-G = hypoglycaemia; PBO = placebo; PIO = pioglitazone; SAE = serious adverse event; SAX = saxagliptin; SU = sulfonylurea; </w:t>
      </w:r>
      <w:r>
        <w:t xml:space="preserve">and </w:t>
      </w:r>
      <w:r w:rsidR="001E19C8" w:rsidRPr="00351ADE">
        <w:t>UTI = urinary tract infection</w:t>
      </w:r>
      <w:r w:rsidRPr="00351ADE">
        <w:t>.</w:t>
      </w:r>
    </w:p>
    <w:p w:rsidR="00217038" w:rsidRDefault="00217038" w:rsidP="00217038"/>
    <w:p w:rsidR="00657CDE" w:rsidRPr="004446DE" w:rsidRDefault="00657CDE" w:rsidP="004446DE">
      <w:pPr>
        <w:rPr>
          <w:rStyle w:val="TablenotesChar"/>
          <w:b/>
        </w:rPr>
      </w:pPr>
      <w:proofErr w:type="gramStart"/>
      <w:r w:rsidRPr="004446DE">
        <w:rPr>
          <w:b/>
        </w:rPr>
        <w:t>Table</w:t>
      </w:r>
      <w:r w:rsidR="004446DE">
        <w:rPr>
          <w:b/>
        </w:rPr>
        <w:t xml:space="preserve"> </w:t>
      </w:r>
      <w:r w:rsidR="004446DE">
        <w:rPr>
          <w:b/>
          <w:noProof w:val="0"/>
        </w:rPr>
        <w:t>4</w:t>
      </w:r>
      <w:r w:rsidR="004446DE">
        <w:rPr>
          <w:b/>
        </w:rPr>
        <w:t>.</w:t>
      </w:r>
      <w:proofErr w:type="gramEnd"/>
      <w:r w:rsidRPr="004446DE">
        <w:rPr>
          <w:b/>
        </w:rPr>
        <w:t xml:space="preserve"> Results of the short-term trials – therapies added to existing medication</w:t>
      </w:r>
      <w:r w:rsidR="009432D9">
        <w:rPr>
          <w: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75"/>
        <w:gridCol w:w="1134"/>
        <w:gridCol w:w="776"/>
        <w:gridCol w:w="750"/>
        <w:gridCol w:w="748"/>
        <w:gridCol w:w="836"/>
        <w:gridCol w:w="869"/>
        <w:gridCol w:w="930"/>
        <w:gridCol w:w="964"/>
      </w:tblGrid>
      <w:tr w:rsidR="004446DE" w:rsidRPr="00DF45A0" w:rsidTr="00657CDE">
        <w:trPr>
          <w:trHeight w:val="20"/>
        </w:trPr>
        <w:tc>
          <w:tcPr>
            <w:tcW w:w="994" w:type="pct"/>
            <w:vMerge w:val="restart"/>
            <w:shd w:val="clear" w:color="auto" w:fill="auto"/>
            <w:noWrap/>
            <w:vAlign w:val="center"/>
          </w:tcPr>
          <w:p w:rsidR="00657CDE" w:rsidRPr="00657CDE" w:rsidRDefault="00657CDE" w:rsidP="004446DE">
            <w:pPr>
              <w:rPr>
                <w:rStyle w:val="TableText"/>
                <w:rFonts w:asciiTheme="majorHAnsi" w:hAnsiTheme="majorHAnsi"/>
                <w:szCs w:val="20"/>
              </w:rPr>
            </w:pPr>
          </w:p>
        </w:tc>
        <w:tc>
          <w:tcPr>
            <w:tcW w:w="1987" w:type="pct"/>
            <w:gridSpan w:val="4"/>
            <w:shd w:val="clear" w:color="auto" w:fill="D9D9D9" w:themeFill="background1" w:themeFillShade="D9"/>
            <w:noWrap/>
            <w:vAlign w:val="center"/>
          </w:tcPr>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EM vs. EM + GLP-1-RA</w:t>
            </w:r>
          </w:p>
        </w:tc>
        <w:tc>
          <w:tcPr>
            <w:tcW w:w="931" w:type="pct"/>
            <w:gridSpan w:val="2"/>
            <w:shd w:val="clear" w:color="auto" w:fill="D9D9D9" w:themeFill="background1" w:themeFillShade="D9"/>
            <w:noWrap/>
            <w:vAlign w:val="center"/>
          </w:tcPr>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EM vs. EM + INS</w:t>
            </w:r>
          </w:p>
        </w:tc>
        <w:tc>
          <w:tcPr>
            <w:tcW w:w="1088" w:type="pct"/>
            <w:gridSpan w:val="2"/>
            <w:shd w:val="clear" w:color="auto" w:fill="D9D9D9" w:themeFill="background1" w:themeFillShade="D9"/>
            <w:noWrap/>
            <w:vAlign w:val="center"/>
          </w:tcPr>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EM vs.</w:t>
            </w:r>
          </w:p>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MET + INS + DPP-4-i</w:t>
            </w:r>
          </w:p>
        </w:tc>
      </w:tr>
      <w:tr w:rsidR="004446DE" w:rsidRPr="00DF45A0" w:rsidTr="00657CDE">
        <w:trPr>
          <w:trHeight w:val="20"/>
        </w:trPr>
        <w:tc>
          <w:tcPr>
            <w:tcW w:w="994" w:type="pct"/>
            <w:vMerge/>
            <w:shd w:val="clear" w:color="auto" w:fill="auto"/>
            <w:noWrap/>
            <w:vAlign w:val="center"/>
            <w:hideMark/>
          </w:tcPr>
          <w:p w:rsidR="00657CDE" w:rsidRPr="00657CDE" w:rsidRDefault="00657CDE" w:rsidP="004446DE">
            <w:pPr>
              <w:rPr>
                <w:rStyle w:val="TableText"/>
                <w:rFonts w:asciiTheme="majorHAnsi" w:hAnsiTheme="majorHAnsi"/>
                <w:szCs w:val="20"/>
              </w:rPr>
            </w:pPr>
          </w:p>
        </w:tc>
        <w:tc>
          <w:tcPr>
            <w:tcW w:w="1049" w:type="pct"/>
            <w:gridSpan w:val="2"/>
            <w:shd w:val="clear" w:color="auto" w:fill="D9D9D9" w:themeFill="background1" w:themeFillShade="D9"/>
            <w:noWrap/>
            <w:vAlign w:val="center"/>
            <w:hideMark/>
          </w:tcPr>
          <w:p w:rsidR="00657CDE" w:rsidRPr="00657CDE" w:rsidRDefault="00657CDE" w:rsidP="0093455B">
            <w:pPr>
              <w:jc w:val="center"/>
              <w:rPr>
                <w:rStyle w:val="TableText"/>
                <w:rFonts w:asciiTheme="majorHAnsi" w:hAnsiTheme="majorHAnsi"/>
                <w:b/>
                <w:szCs w:val="20"/>
              </w:rPr>
            </w:pPr>
            <w:r w:rsidRPr="00657CDE">
              <w:rPr>
                <w:rStyle w:val="TableText"/>
                <w:rFonts w:asciiTheme="majorHAnsi" w:hAnsiTheme="majorHAnsi"/>
                <w:b/>
                <w:szCs w:val="20"/>
              </w:rPr>
              <w:t>Ji 2013</w:t>
            </w:r>
            <w:r w:rsidR="0093455B" w:rsidRPr="00DF4210">
              <w:rPr>
                <w:rStyle w:val="TableText"/>
                <w:rFonts w:asciiTheme="majorHAnsi" w:hAnsiTheme="majorHAnsi"/>
                <w:b/>
                <w:szCs w:val="20"/>
                <w:vertAlign w:val="superscript"/>
              </w:rPr>
              <w:t>89</w:t>
            </w:r>
          </w:p>
        </w:tc>
        <w:tc>
          <w:tcPr>
            <w:tcW w:w="938" w:type="pct"/>
            <w:gridSpan w:val="2"/>
            <w:shd w:val="clear" w:color="auto" w:fill="D9D9D9" w:themeFill="background1" w:themeFillShade="D9"/>
            <w:noWrap/>
            <w:vAlign w:val="center"/>
            <w:hideMark/>
          </w:tcPr>
          <w:p w:rsidR="00657CDE" w:rsidRPr="00657CDE" w:rsidRDefault="00657CDE" w:rsidP="0093455B">
            <w:pPr>
              <w:jc w:val="center"/>
              <w:rPr>
                <w:rStyle w:val="TableText"/>
                <w:rFonts w:asciiTheme="majorHAnsi" w:hAnsiTheme="majorHAnsi"/>
                <w:b/>
                <w:szCs w:val="20"/>
              </w:rPr>
            </w:pPr>
            <w:r w:rsidRPr="00657CDE">
              <w:rPr>
                <w:rStyle w:val="TableText"/>
                <w:rFonts w:asciiTheme="majorHAnsi" w:hAnsiTheme="majorHAnsi"/>
                <w:b/>
                <w:szCs w:val="20"/>
              </w:rPr>
              <w:t>Buse 2013</w:t>
            </w:r>
            <w:r w:rsidR="0093455B" w:rsidRPr="00DF4210">
              <w:rPr>
                <w:rStyle w:val="TableText"/>
                <w:rFonts w:asciiTheme="majorHAnsi" w:hAnsiTheme="majorHAnsi"/>
                <w:b/>
                <w:szCs w:val="20"/>
                <w:vertAlign w:val="superscript"/>
              </w:rPr>
              <w:t>90</w:t>
            </w:r>
          </w:p>
        </w:tc>
        <w:tc>
          <w:tcPr>
            <w:tcW w:w="931" w:type="pct"/>
            <w:gridSpan w:val="2"/>
            <w:shd w:val="clear" w:color="auto" w:fill="D9D9D9" w:themeFill="background1" w:themeFillShade="D9"/>
            <w:noWrap/>
            <w:vAlign w:val="center"/>
            <w:hideMark/>
          </w:tcPr>
          <w:p w:rsidR="00657CDE" w:rsidRPr="00657CDE" w:rsidRDefault="00657CDE" w:rsidP="0093455B">
            <w:pPr>
              <w:jc w:val="center"/>
              <w:rPr>
                <w:rStyle w:val="TableText"/>
                <w:rFonts w:asciiTheme="majorHAnsi" w:hAnsiTheme="majorHAnsi"/>
                <w:b/>
                <w:szCs w:val="20"/>
              </w:rPr>
            </w:pPr>
            <w:r w:rsidRPr="00657CDE">
              <w:rPr>
                <w:rStyle w:val="TableText"/>
                <w:rFonts w:asciiTheme="majorHAnsi" w:hAnsiTheme="majorHAnsi"/>
                <w:b/>
                <w:szCs w:val="20"/>
              </w:rPr>
              <w:t>Buse 2009</w:t>
            </w:r>
            <w:r w:rsidR="0093455B" w:rsidRPr="00DF4210">
              <w:rPr>
                <w:rStyle w:val="TableText"/>
                <w:rFonts w:asciiTheme="majorHAnsi" w:hAnsiTheme="majorHAnsi"/>
                <w:b/>
                <w:szCs w:val="20"/>
                <w:vertAlign w:val="superscript"/>
              </w:rPr>
              <w:t>92</w:t>
            </w:r>
          </w:p>
        </w:tc>
        <w:tc>
          <w:tcPr>
            <w:tcW w:w="1088" w:type="pct"/>
            <w:gridSpan w:val="2"/>
            <w:shd w:val="clear" w:color="auto" w:fill="D9D9D9" w:themeFill="background1" w:themeFillShade="D9"/>
            <w:noWrap/>
            <w:vAlign w:val="center"/>
            <w:hideMark/>
          </w:tcPr>
          <w:p w:rsidR="00657CDE" w:rsidRPr="00657CDE" w:rsidRDefault="00657CDE" w:rsidP="0093455B">
            <w:pPr>
              <w:jc w:val="center"/>
              <w:rPr>
                <w:rStyle w:val="TableText"/>
                <w:rFonts w:asciiTheme="majorHAnsi" w:hAnsiTheme="majorHAnsi"/>
                <w:b/>
                <w:szCs w:val="20"/>
              </w:rPr>
            </w:pPr>
            <w:r w:rsidRPr="00657CDE">
              <w:rPr>
                <w:rStyle w:val="TableText"/>
                <w:rFonts w:asciiTheme="majorHAnsi" w:hAnsiTheme="majorHAnsi"/>
                <w:b/>
                <w:szCs w:val="20"/>
              </w:rPr>
              <w:t>Vilsboll 2010</w:t>
            </w:r>
            <w:r w:rsidR="0093455B" w:rsidRPr="00DF4210">
              <w:rPr>
                <w:rStyle w:val="TableText"/>
                <w:rFonts w:asciiTheme="majorHAnsi" w:hAnsiTheme="majorHAnsi"/>
                <w:b/>
                <w:szCs w:val="20"/>
                <w:vertAlign w:val="superscript"/>
              </w:rPr>
              <w:t>91</w:t>
            </w:r>
          </w:p>
        </w:tc>
      </w:tr>
      <w:tr w:rsidR="004446DE" w:rsidRPr="00DF45A0" w:rsidTr="00657CDE">
        <w:trPr>
          <w:trHeight w:val="20"/>
        </w:trPr>
        <w:tc>
          <w:tcPr>
            <w:tcW w:w="994" w:type="pct"/>
            <w:vMerge/>
            <w:shd w:val="clear" w:color="auto" w:fill="auto"/>
            <w:noWrap/>
            <w:vAlign w:val="center"/>
            <w:hideMark/>
          </w:tcPr>
          <w:p w:rsidR="00657CDE" w:rsidRPr="00657CDE" w:rsidRDefault="00657CDE" w:rsidP="004446DE">
            <w:pPr>
              <w:rPr>
                <w:rStyle w:val="TableText"/>
                <w:rFonts w:asciiTheme="majorHAnsi" w:hAnsiTheme="majorHAnsi"/>
                <w:szCs w:val="20"/>
              </w:rPr>
            </w:pPr>
          </w:p>
        </w:tc>
        <w:tc>
          <w:tcPr>
            <w:tcW w:w="580" w:type="pct"/>
            <w:shd w:val="clear" w:color="auto" w:fill="D9D9D9" w:themeFill="background1" w:themeFillShade="D9"/>
            <w:noWrap/>
            <w:vAlign w:val="center"/>
            <w:hideMark/>
          </w:tcPr>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EM +</w:t>
            </w:r>
          </w:p>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EXN weekly</w:t>
            </w:r>
          </w:p>
        </w:tc>
        <w:tc>
          <w:tcPr>
            <w:tcW w:w="469" w:type="pct"/>
            <w:shd w:val="clear" w:color="auto" w:fill="D9D9D9" w:themeFill="background1" w:themeFillShade="D9"/>
            <w:noWrap/>
            <w:vAlign w:val="center"/>
            <w:hideMark/>
          </w:tcPr>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EM +</w:t>
            </w:r>
          </w:p>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EXN bid</w:t>
            </w:r>
          </w:p>
        </w:tc>
        <w:tc>
          <w:tcPr>
            <w:tcW w:w="470" w:type="pct"/>
            <w:shd w:val="clear" w:color="auto" w:fill="D9D9D9" w:themeFill="background1" w:themeFillShade="D9"/>
            <w:noWrap/>
            <w:vAlign w:val="center"/>
            <w:hideMark/>
          </w:tcPr>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EM</w:t>
            </w:r>
          </w:p>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 EXN</w:t>
            </w:r>
          </w:p>
        </w:tc>
        <w:tc>
          <w:tcPr>
            <w:tcW w:w="468" w:type="pct"/>
            <w:shd w:val="clear" w:color="auto" w:fill="D9D9D9" w:themeFill="background1" w:themeFillShade="D9"/>
            <w:noWrap/>
            <w:vAlign w:val="center"/>
            <w:hideMark/>
          </w:tcPr>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EM</w:t>
            </w:r>
          </w:p>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 LIR</w:t>
            </w:r>
          </w:p>
        </w:tc>
        <w:tc>
          <w:tcPr>
            <w:tcW w:w="468" w:type="pct"/>
            <w:shd w:val="clear" w:color="auto" w:fill="D9D9D9" w:themeFill="background1" w:themeFillShade="D9"/>
            <w:noWrap/>
            <w:vAlign w:val="center"/>
            <w:hideMark/>
          </w:tcPr>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EM</w:t>
            </w:r>
          </w:p>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 INS Lis</w:t>
            </w:r>
          </w:p>
        </w:tc>
        <w:tc>
          <w:tcPr>
            <w:tcW w:w="463" w:type="pct"/>
            <w:shd w:val="clear" w:color="auto" w:fill="D9D9D9" w:themeFill="background1" w:themeFillShade="D9"/>
            <w:noWrap/>
            <w:vAlign w:val="center"/>
            <w:hideMark/>
          </w:tcPr>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EM</w:t>
            </w:r>
          </w:p>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 INS Gla</w:t>
            </w:r>
          </w:p>
        </w:tc>
        <w:tc>
          <w:tcPr>
            <w:tcW w:w="559" w:type="pct"/>
            <w:shd w:val="clear" w:color="auto" w:fill="D9D9D9" w:themeFill="background1" w:themeFillShade="D9"/>
            <w:noWrap/>
            <w:vAlign w:val="center"/>
            <w:hideMark/>
          </w:tcPr>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SIT + INS</w:t>
            </w:r>
          </w:p>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 MET</w:t>
            </w:r>
          </w:p>
        </w:tc>
        <w:tc>
          <w:tcPr>
            <w:tcW w:w="529" w:type="pct"/>
            <w:shd w:val="clear" w:color="auto" w:fill="D9D9D9" w:themeFill="background1" w:themeFillShade="D9"/>
            <w:noWrap/>
            <w:vAlign w:val="center"/>
            <w:hideMark/>
          </w:tcPr>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PBO + INS</w:t>
            </w:r>
          </w:p>
          <w:p w:rsidR="00657CDE" w:rsidRPr="00657CDE" w:rsidRDefault="00657CDE" w:rsidP="004446DE">
            <w:pPr>
              <w:jc w:val="center"/>
              <w:rPr>
                <w:rStyle w:val="TableText"/>
                <w:rFonts w:asciiTheme="majorHAnsi" w:hAnsiTheme="majorHAnsi"/>
                <w:b/>
                <w:szCs w:val="20"/>
              </w:rPr>
            </w:pPr>
            <w:r w:rsidRPr="00657CDE">
              <w:rPr>
                <w:rStyle w:val="TableText"/>
                <w:rFonts w:asciiTheme="majorHAnsi" w:hAnsiTheme="majorHAnsi"/>
                <w:b/>
                <w:szCs w:val="20"/>
              </w:rPr>
              <w:t>± MET</w:t>
            </w:r>
          </w:p>
        </w:tc>
      </w:tr>
      <w:tr w:rsidR="004446DE" w:rsidRPr="00E37035" w:rsidTr="004446DE">
        <w:trPr>
          <w:trHeight w:val="20"/>
        </w:trPr>
        <w:tc>
          <w:tcPr>
            <w:tcW w:w="994" w:type="pct"/>
            <w:shd w:val="clear" w:color="auto" w:fill="auto"/>
            <w:vAlign w:val="center"/>
            <w:hideMark/>
          </w:tcPr>
          <w:p w:rsidR="00657CDE" w:rsidRPr="00657CDE" w:rsidRDefault="00657CDE" w:rsidP="004446DE">
            <w:pPr>
              <w:rPr>
                <w:rStyle w:val="TableText"/>
                <w:rFonts w:asciiTheme="majorHAnsi" w:hAnsiTheme="majorHAnsi"/>
                <w:szCs w:val="20"/>
              </w:rPr>
            </w:pPr>
            <w:r w:rsidRPr="00657CDE">
              <w:rPr>
                <w:rStyle w:val="TableText"/>
                <w:rFonts w:asciiTheme="majorHAnsi" w:hAnsiTheme="majorHAnsi"/>
                <w:szCs w:val="20"/>
              </w:rPr>
              <w:t xml:space="preserve">Trial duration </w:t>
            </w:r>
          </w:p>
        </w:tc>
        <w:tc>
          <w:tcPr>
            <w:tcW w:w="1049" w:type="pct"/>
            <w:gridSpan w:val="2"/>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26 weeks</w:t>
            </w:r>
          </w:p>
        </w:tc>
        <w:tc>
          <w:tcPr>
            <w:tcW w:w="938" w:type="pct"/>
            <w:gridSpan w:val="2"/>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26 weeks</w:t>
            </w:r>
          </w:p>
        </w:tc>
        <w:tc>
          <w:tcPr>
            <w:tcW w:w="931" w:type="pct"/>
            <w:gridSpan w:val="2"/>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24 weeks</w:t>
            </w:r>
          </w:p>
        </w:tc>
        <w:tc>
          <w:tcPr>
            <w:tcW w:w="1088" w:type="pct"/>
            <w:gridSpan w:val="2"/>
            <w:shd w:val="clear" w:color="000000" w:fill="FFFFFF"/>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24 weeks</w:t>
            </w:r>
          </w:p>
        </w:tc>
      </w:tr>
      <w:tr w:rsidR="004446DE" w:rsidRPr="00E37035" w:rsidTr="004446DE">
        <w:trPr>
          <w:trHeight w:val="20"/>
        </w:trPr>
        <w:tc>
          <w:tcPr>
            <w:tcW w:w="994" w:type="pct"/>
            <w:shd w:val="clear" w:color="auto" w:fill="auto"/>
            <w:noWrap/>
            <w:vAlign w:val="center"/>
            <w:hideMark/>
          </w:tcPr>
          <w:p w:rsidR="00657CDE" w:rsidRPr="00657CDE" w:rsidRDefault="00657CDE" w:rsidP="004446DE">
            <w:pPr>
              <w:rPr>
                <w:rStyle w:val="TableText"/>
                <w:rFonts w:asciiTheme="majorHAnsi" w:hAnsiTheme="majorHAnsi"/>
                <w:szCs w:val="20"/>
              </w:rPr>
            </w:pPr>
            <w:r w:rsidRPr="00657CDE">
              <w:rPr>
                <w:rStyle w:val="TableText"/>
                <w:rFonts w:asciiTheme="majorHAnsi" w:hAnsiTheme="majorHAnsi"/>
                <w:szCs w:val="20"/>
              </w:rPr>
              <w:t>n</w:t>
            </w:r>
          </w:p>
        </w:tc>
        <w:tc>
          <w:tcPr>
            <w:tcW w:w="580"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340</w:t>
            </w:r>
          </w:p>
        </w:tc>
        <w:tc>
          <w:tcPr>
            <w:tcW w:w="469"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338</w:t>
            </w:r>
          </w:p>
        </w:tc>
        <w:tc>
          <w:tcPr>
            <w:tcW w:w="470"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461</w:t>
            </w:r>
          </w:p>
        </w:tc>
        <w:tc>
          <w:tcPr>
            <w:tcW w:w="468"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450</w:t>
            </w:r>
          </w:p>
        </w:tc>
        <w:tc>
          <w:tcPr>
            <w:tcW w:w="468"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1,045</w:t>
            </w:r>
          </w:p>
        </w:tc>
        <w:tc>
          <w:tcPr>
            <w:tcW w:w="463"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1,046</w:t>
            </w:r>
          </w:p>
        </w:tc>
        <w:tc>
          <w:tcPr>
            <w:tcW w:w="559"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322</w:t>
            </w:r>
          </w:p>
        </w:tc>
        <w:tc>
          <w:tcPr>
            <w:tcW w:w="529"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319</w:t>
            </w:r>
          </w:p>
        </w:tc>
      </w:tr>
      <w:tr w:rsidR="004446DE" w:rsidRPr="00DF45A0" w:rsidTr="004446DE">
        <w:trPr>
          <w:trHeight w:val="20"/>
        </w:trPr>
        <w:tc>
          <w:tcPr>
            <w:tcW w:w="994" w:type="pct"/>
            <w:shd w:val="clear" w:color="auto" w:fill="auto"/>
            <w:vAlign w:val="center"/>
            <w:hideMark/>
          </w:tcPr>
          <w:p w:rsidR="00657CDE" w:rsidRPr="00657CDE" w:rsidRDefault="00657CDE" w:rsidP="004446DE">
            <w:pPr>
              <w:rPr>
                <w:rStyle w:val="TableText"/>
                <w:rFonts w:asciiTheme="majorHAnsi" w:hAnsiTheme="majorHAnsi"/>
                <w:szCs w:val="20"/>
              </w:rPr>
            </w:pPr>
            <w:r w:rsidRPr="00657CDE">
              <w:rPr>
                <w:rStyle w:val="TableText"/>
                <w:rFonts w:asciiTheme="majorHAnsi" w:hAnsiTheme="majorHAnsi"/>
                <w:szCs w:val="20"/>
              </w:rPr>
              <w:t>HbA</w:t>
            </w:r>
            <w:r w:rsidRPr="00657CDE">
              <w:rPr>
                <w:rStyle w:val="TableText"/>
                <w:rFonts w:asciiTheme="majorHAnsi" w:hAnsiTheme="majorHAnsi"/>
                <w:szCs w:val="20"/>
                <w:vertAlign w:val="subscript"/>
              </w:rPr>
              <w:t>1c</w:t>
            </w:r>
            <w:r w:rsidRPr="00657CDE">
              <w:rPr>
                <w:rStyle w:val="TableText"/>
                <w:rFonts w:asciiTheme="majorHAnsi" w:hAnsiTheme="majorHAnsi"/>
                <w:szCs w:val="20"/>
              </w:rPr>
              <w:t>*, % (SD)</w:t>
            </w:r>
          </w:p>
        </w:tc>
        <w:tc>
          <w:tcPr>
            <w:tcW w:w="580"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-1.43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(0.07)</w:t>
            </w:r>
          </w:p>
        </w:tc>
        <w:tc>
          <w:tcPr>
            <w:tcW w:w="469"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-1.12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(0.07)</w:t>
            </w:r>
          </w:p>
        </w:tc>
        <w:tc>
          <w:tcPr>
            <w:tcW w:w="470"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-1.28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(0.05)</w:t>
            </w:r>
          </w:p>
        </w:tc>
        <w:tc>
          <w:tcPr>
            <w:tcW w:w="468"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-1.48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(0.05)</w:t>
            </w:r>
          </w:p>
        </w:tc>
        <w:tc>
          <w:tcPr>
            <w:tcW w:w="468"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-1.8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(1.3)</w:t>
            </w:r>
          </w:p>
        </w:tc>
        <w:tc>
          <w:tcPr>
            <w:tcW w:w="463"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-1.7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(1.3)</w:t>
            </w:r>
          </w:p>
        </w:tc>
        <w:tc>
          <w:tcPr>
            <w:tcW w:w="559"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-0.6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(0.1)</w:t>
            </w:r>
          </w:p>
        </w:tc>
        <w:tc>
          <w:tcPr>
            <w:tcW w:w="529"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0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(0.1)</w:t>
            </w:r>
          </w:p>
        </w:tc>
      </w:tr>
      <w:tr w:rsidR="004446DE" w:rsidRPr="00DF45A0" w:rsidTr="004446DE">
        <w:trPr>
          <w:trHeight w:val="20"/>
        </w:trPr>
        <w:tc>
          <w:tcPr>
            <w:tcW w:w="994" w:type="pct"/>
            <w:shd w:val="clear" w:color="auto" w:fill="auto"/>
            <w:noWrap/>
            <w:vAlign w:val="center"/>
            <w:hideMark/>
          </w:tcPr>
          <w:p w:rsidR="00657CDE" w:rsidRPr="00657CDE" w:rsidRDefault="00657CDE" w:rsidP="004446DE">
            <w:pPr>
              <w:rPr>
                <w:rStyle w:val="TableText"/>
                <w:rFonts w:asciiTheme="majorHAnsi" w:hAnsiTheme="majorHAnsi"/>
                <w:szCs w:val="20"/>
              </w:rPr>
            </w:pPr>
            <w:r w:rsidRPr="00657CDE">
              <w:rPr>
                <w:rStyle w:val="TableText"/>
                <w:rFonts w:asciiTheme="majorHAnsi" w:hAnsiTheme="majorHAnsi"/>
                <w:szCs w:val="20"/>
              </w:rPr>
              <w:t>BW*; kg (95% CI or SD)</w:t>
            </w:r>
          </w:p>
        </w:tc>
        <w:tc>
          <w:tcPr>
            <w:tcW w:w="580"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-1.63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(0.16)</w:t>
            </w:r>
          </w:p>
        </w:tc>
        <w:tc>
          <w:tcPr>
            <w:tcW w:w="469"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-2.45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(0.16)</w:t>
            </w:r>
          </w:p>
        </w:tc>
        <w:tc>
          <w:tcPr>
            <w:tcW w:w="470"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-2.68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(0.18)</w:t>
            </w:r>
          </w:p>
        </w:tc>
        <w:tc>
          <w:tcPr>
            <w:tcW w:w="468"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-3.57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(0.18)</w:t>
            </w:r>
          </w:p>
        </w:tc>
        <w:tc>
          <w:tcPr>
            <w:tcW w:w="468"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3.6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(4.0)</w:t>
            </w:r>
          </w:p>
        </w:tc>
        <w:tc>
          <w:tcPr>
            <w:tcW w:w="463"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 xml:space="preserve">2.5 </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(4.0 )</w:t>
            </w:r>
          </w:p>
        </w:tc>
        <w:tc>
          <w:tcPr>
            <w:tcW w:w="559"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0.1</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(−0.2, 0.4)</w:t>
            </w:r>
          </w:p>
        </w:tc>
        <w:tc>
          <w:tcPr>
            <w:tcW w:w="529" w:type="pct"/>
            <w:shd w:val="clear" w:color="auto" w:fill="auto"/>
            <w:noWrap/>
            <w:vAlign w:val="center"/>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0.1</w:t>
            </w:r>
          </w:p>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(−0.3, 0.4)</w:t>
            </w:r>
          </w:p>
        </w:tc>
      </w:tr>
      <w:tr w:rsidR="004446DE" w:rsidRPr="00DF45A0" w:rsidTr="004446DE">
        <w:trPr>
          <w:trHeight w:val="20"/>
        </w:trPr>
        <w:tc>
          <w:tcPr>
            <w:tcW w:w="994" w:type="pct"/>
            <w:shd w:val="clear" w:color="auto" w:fill="auto"/>
            <w:noWrap/>
            <w:vAlign w:val="center"/>
            <w:hideMark/>
          </w:tcPr>
          <w:p w:rsidR="00657CDE" w:rsidRPr="00657CDE" w:rsidRDefault="00657CDE" w:rsidP="004446DE">
            <w:pPr>
              <w:rPr>
                <w:rStyle w:val="TableText"/>
                <w:rFonts w:asciiTheme="majorHAnsi" w:hAnsiTheme="majorHAnsi"/>
                <w:szCs w:val="20"/>
              </w:rPr>
            </w:pPr>
            <w:r w:rsidRPr="00657CDE">
              <w:rPr>
                <w:rStyle w:val="TableText"/>
                <w:rFonts w:asciiTheme="majorHAnsi" w:hAnsiTheme="majorHAnsi"/>
                <w:szCs w:val="20"/>
              </w:rPr>
              <w:lastRenderedPageBreak/>
              <w:t>Any AE; %</w:t>
            </w:r>
          </w:p>
        </w:tc>
        <w:tc>
          <w:tcPr>
            <w:tcW w:w="58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67.4%</w:t>
            </w:r>
          </w:p>
        </w:tc>
        <w:tc>
          <w:tcPr>
            <w:tcW w:w="46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74.0%</w:t>
            </w:r>
          </w:p>
        </w:tc>
        <w:tc>
          <w:tcPr>
            <w:tcW w:w="47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61.4%</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68.2%</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463"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55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52.2%</w:t>
            </w:r>
          </w:p>
        </w:tc>
        <w:tc>
          <w:tcPr>
            <w:tcW w:w="52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42.9%</w:t>
            </w:r>
          </w:p>
        </w:tc>
      </w:tr>
      <w:tr w:rsidR="004446DE" w:rsidRPr="00DF45A0" w:rsidTr="004446DE">
        <w:trPr>
          <w:trHeight w:val="20"/>
        </w:trPr>
        <w:tc>
          <w:tcPr>
            <w:tcW w:w="994" w:type="pct"/>
            <w:shd w:val="clear" w:color="auto" w:fill="auto"/>
            <w:noWrap/>
            <w:vAlign w:val="center"/>
            <w:hideMark/>
          </w:tcPr>
          <w:p w:rsidR="00657CDE" w:rsidRPr="00657CDE" w:rsidRDefault="00657CDE" w:rsidP="004446DE">
            <w:pPr>
              <w:rPr>
                <w:rStyle w:val="TableText"/>
                <w:rFonts w:asciiTheme="majorHAnsi" w:hAnsiTheme="majorHAnsi"/>
                <w:szCs w:val="20"/>
              </w:rPr>
            </w:pPr>
            <w:r w:rsidRPr="00657CDE">
              <w:rPr>
                <w:rStyle w:val="TableText"/>
                <w:rFonts w:asciiTheme="majorHAnsi" w:hAnsiTheme="majorHAnsi"/>
                <w:szCs w:val="20"/>
              </w:rPr>
              <w:t>SAE; %</w:t>
            </w:r>
          </w:p>
        </w:tc>
        <w:tc>
          <w:tcPr>
            <w:tcW w:w="58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3.8%</w:t>
            </w:r>
          </w:p>
        </w:tc>
        <w:tc>
          <w:tcPr>
            <w:tcW w:w="46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2.7%</w:t>
            </w:r>
          </w:p>
        </w:tc>
        <w:tc>
          <w:tcPr>
            <w:tcW w:w="47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2.8%</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1.6%</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6.2%</w:t>
            </w:r>
          </w:p>
        </w:tc>
        <w:tc>
          <w:tcPr>
            <w:tcW w:w="463"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4.3%</w:t>
            </w:r>
          </w:p>
        </w:tc>
        <w:tc>
          <w:tcPr>
            <w:tcW w:w="55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6.2%</w:t>
            </w:r>
          </w:p>
        </w:tc>
        <w:tc>
          <w:tcPr>
            <w:tcW w:w="52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3.4%</w:t>
            </w:r>
          </w:p>
        </w:tc>
      </w:tr>
      <w:tr w:rsidR="004446DE" w:rsidRPr="00DF45A0" w:rsidTr="004446DE">
        <w:trPr>
          <w:trHeight w:val="20"/>
        </w:trPr>
        <w:tc>
          <w:tcPr>
            <w:tcW w:w="994" w:type="pct"/>
            <w:shd w:val="clear" w:color="auto" w:fill="auto"/>
            <w:noWrap/>
            <w:vAlign w:val="center"/>
            <w:hideMark/>
          </w:tcPr>
          <w:p w:rsidR="00657CDE" w:rsidRPr="00657CDE" w:rsidRDefault="00657CDE" w:rsidP="004446DE">
            <w:pPr>
              <w:rPr>
                <w:rStyle w:val="TableText"/>
                <w:rFonts w:asciiTheme="majorHAnsi" w:hAnsiTheme="majorHAnsi"/>
                <w:szCs w:val="20"/>
              </w:rPr>
            </w:pPr>
            <w:r w:rsidRPr="00657CDE">
              <w:rPr>
                <w:rStyle w:val="TableText"/>
                <w:rFonts w:asciiTheme="majorHAnsi" w:hAnsiTheme="majorHAnsi"/>
                <w:szCs w:val="20"/>
              </w:rPr>
              <w:t>Hypo-G; %</w:t>
            </w:r>
          </w:p>
        </w:tc>
        <w:tc>
          <w:tcPr>
            <w:tcW w:w="58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19.7%</w:t>
            </w:r>
          </w:p>
        </w:tc>
        <w:tc>
          <w:tcPr>
            <w:tcW w:w="46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26.3%</w:t>
            </w:r>
          </w:p>
        </w:tc>
        <w:tc>
          <w:tcPr>
            <w:tcW w:w="47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8.7%</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11.3%</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463"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55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52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r>
      <w:tr w:rsidR="004446DE" w:rsidRPr="00DF45A0" w:rsidTr="004446DE">
        <w:trPr>
          <w:trHeight w:val="20"/>
        </w:trPr>
        <w:tc>
          <w:tcPr>
            <w:tcW w:w="994" w:type="pct"/>
            <w:shd w:val="clear" w:color="auto" w:fill="auto"/>
            <w:noWrap/>
            <w:vAlign w:val="center"/>
            <w:hideMark/>
          </w:tcPr>
          <w:p w:rsidR="00657CDE" w:rsidRPr="00657CDE" w:rsidRDefault="00657CDE" w:rsidP="004446DE">
            <w:pPr>
              <w:rPr>
                <w:rStyle w:val="TableText"/>
                <w:rFonts w:asciiTheme="majorHAnsi" w:hAnsiTheme="majorHAnsi"/>
                <w:szCs w:val="20"/>
              </w:rPr>
            </w:pPr>
            <w:r w:rsidRPr="00657CDE">
              <w:rPr>
                <w:rStyle w:val="TableText"/>
                <w:rFonts w:asciiTheme="majorHAnsi" w:hAnsiTheme="majorHAnsi"/>
                <w:szCs w:val="20"/>
              </w:rPr>
              <w:t>Severe  hypo-G; %</w:t>
            </w:r>
          </w:p>
        </w:tc>
        <w:tc>
          <w:tcPr>
            <w:tcW w:w="58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0.0%</w:t>
            </w:r>
          </w:p>
        </w:tc>
        <w:tc>
          <w:tcPr>
            <w:tcW w:w="46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0.3%</w:t>
            </w:r>
          </w:p>
        </w:tc>
        <w:tc>
          <w:tcPr>
            <w:tcW w:w="47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0.0%</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0.0%</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0.0%</w:t>
            </w:r>
          </w:p>
        </w:tc>
        <w:tc>
          <w:tcPr>
            <w:tcW w:w="463"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0.0%</w:t>
            </w:r>
          </w:p>
        </w:tc>
        <w:tc>
          <w:tcPr>
            <w:tcW w:w="55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0.6%</w:t>
            </w:r>
          </w:p>
        </w:tc>
        <w:tc>
          <w:tcPr>
            <w:tcW w:w="52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0.3%</w:t>
            </w:r>
          </w:p>
        </w:tc>
      </w:tr>
      <w:tr w:rsidR="004446DE" w:rsidRPr="00DF45A0" w:rsidTr="004446DE">
        <w:trPr>
          <w:trHeight w:val="20"/>
        </w:trPr>
        <w:tc>
          <w:tcPr>
            <w:tcW w:w="994" w:type="pct"/>
            <w:shd w:val="clear" w:color="auto" w:fill="auto"/>
            <w:noWrap/>
            <w:vAlign w:val="center"/>
            <w:hideMark/>
          </w:tcPr>
          <w:p w:rsidR="00657CDE" w:rsidRPr="00657CDE" w:rsidRDefault="00657CDE" w:rsidP="004446DE">
            <w:pPr>
              <w:rPr>
                <w:rStyle w:val="TableText"/>
                <w:rFonts w:asciiTheme="majorHAnsi" w:hAnsiTheme="majorHAnsi"/>
                <w:szCs w:val="20"/>
              </w:rPr>
            </w:pPr>
            <w:r w:rsidRPr="00657CDE">
              <w:rPr>
                <w:rStyle w:val="TableText"/>
                <w:rFonts w:asciiTheme="majorHAnsi" w:hAnsiTheme="majorHAnsi"/>
                <w:szCs w:val="20"/>
              </w:rPr>
              <w:t>UTI; %</w:t>
            </w:r>
          </w:p>
        </w:tc>
        <w:tc>
          <w:tcPr>
            <w:tcW w:w="58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46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47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463"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55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2.8%</w:t>
            </w:r>
          </w:p>
        </w:tc>
        <w:tc>
          <w:tcPr>
            <w:tcW w:w="52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1.9%</w:t>
            </w:r>
          </w:p>
        </w:tc>
      </w:tr>
      <w:tr w:rsidR="004446DE" w:rsidRPr="00DF45A0" w:rsidTr="004446DE">
        <w:trPr>
          <w:trHeight w:val="20"/>
        </w:trPr>
        <w:tc>
          <w:tcPr>
            <w:tcW w:w="994" w:type="pct"/>
            <w:shd w:val="clear" w:color="auto" w:fill="auto"/>
            <w:noWrap/>
            <w:vAlign w:val="center"/>
            <w:hideMark/>
          </w:tcPr>
          <w:p w:rsidR="00657CDE" w:rsidRPr="00657CDE" w:rsidRDefault="00657CDE" w:rsidP="004446DE">
            <w:pPr>
              <w:rPr>
                <w:rStyle w:val="TableText"/>
                <w:rFonts w:asciiTheme="majorHAnsi" w:hAnsiTheme="majorHAnsi"/>
                <w:szCs w:val="20"/>
              </w:rPr>
            </w:pPr>
            <w:r w:rsidRPr="00657CDE">
              <w:rPr>
                <w:rStyle w:val="TableText"/>
                <w:rFonts w:asciiTheme="majorHAnsi" w:hAnsiTheme="majorHAnsi"/>
                <w:szCs w:val="20"/>
              </w:rPr>
              <w:t>CVD; %</w:t>
            </w:r>
          </w:p>
        </w:tc>
        <w:tc>
          <w:tcPr>
            <w:tcW w:w="58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46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47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29.0%</w:t>
            </w:r>
          </w:p>
        </w:tc>
        <w:tc>
          <w:tcPr>
            <w:tcW w:w="463"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26.0%</w:t>
            </w:r>
          </w:p>
        </w:tc>
        <w:tc>
          <w:tcPr>
            <w:tcW w:w="55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c>
          <w:tcPr>
            <w:tcW w:w="52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Style w:val="TableText"/>
                <w:rFonts w:asciiTheme="majorHAnsi" w:hAnsiTheme="majorHAnsi"/>
                <w:szCs w:val="20"/>
              </w:rPr>
              <w:t>-</w:t>
            </w:r>
          </w:p>
        </w:tc>
      </w:tr>
      <w:tr w:rsidR="004446DE" w:rsidRPr="00DF45A0" w:rsidTr="004446DE">
        <w:trPr>
          <w:trHeight w:val="20"/>
        </w:trPr>
        <w:tc>
          <w:tcPr>
            <w:tcW w:w="994" w:type="pct"/>
            <w:shd w:val="clear" w:color="auto" w:fill="auto"/>
            <w:noWrap/>
            <w:vAlign w:val="center"/>
            <w:hideMark/>
          </w:tcPr>
          <w:p w:rsidR="00657CDE" w:rsidRPr="00657CDE" w:rsidRDefault="00657CDE" w:rsidP="004446DE">
            <w:pPr>
              <w:rPr>
                <w:rStyle w:val="TableText"/>
                <w:rFonts w:asciiTheme="majorHAnsi" w:hAnsiTheme="majorHAnsi"/>
                <w:szCs w:val="20"/>
              </w:rPr>
            </w:pPr>
            <w:r w:rsidRPr="00657CDE">
              <w:rPr>
                <w:rStyle w:val="TableText"/>
                <w:rFonts w:asciiTheme="majorHAnsi" w:hAnsiTheme="majorHAnsi"/>
                <w:szCs w:val="20"/>
              </w:rPr>
              <w:t>Mortality; %</w:t>
            </w:r>
          </w:p>
        </w:tc>
        <w:tc>
          <w:tcPr>
            <w:tcW w:w="58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0.0%</w:t>
            </w:r>
          </w:p>
        </w:tc>
        <w:tc>
          <w:tcPr>
            <w:tcW w:w="46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0.0%</w:t>
            </w:r>
          </w:p>
        </w:tc>
        <w:tc>
          <w:tcPr>
            <w:tcW w:w="470"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0.4%</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0.4%</w:t>
            </w:r>
          </w:p>
        </w:tc>
        <w:tc>
          <w:tcPr>
            <w:tcW w:w="468"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0.5%</w:t>
            </w:r>
          </w:p>
        </w:tc>
        <w:tc>
          <w:tcPr>
            <w:tcW w:w="463"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0.2%</w:t>
            </w:r>
          </w:p>
        </w:tc>
        <w:tc>
          <w:tcPr>
            <w:tcW w:w="55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0.0%</w:t>
            </w:r>
          </w:p>
        </w:tc>
        <w:tc>
          <w:tcPr>
            <w:tcW w:w="529" w:type="pct"/>
            <w:shd w:val="clear" w:color="auto" w:fill="auto"/>
            <w:noWrap/>
            <w:vAlign w:val="bottom"/>
            <w:hideMark/>
          </w:tcPr>
          <w:p w:rsidR="00657CDE" w:rsidRPr="00657CDE" w:rsidRDefault="00657CDE" w:rsidP="004446DE">
            <w:pPr>
              <w:jc w:val="center"/>
              <w:rPr>
                <w:rStyle w:val="TableText"/>
                <w:rFonts w:asciiTheme="majorHAnsi" w:hAnsiTheme="majorHAnsi"/>
                <w:szCs w:val="20"/>
              </w:rPr>
            </w:pPr>
            <w:r w:rsidRPr="00657CDE">
              <w:rPr>
                <w:rFonts w:asciiTheme="majorHAnsi" w:hAnsiTheme="majorHAnsi"/>
                <w:color w:val="000000"/>
                <w:sz w:val="20"/>
                <w:szCs w:val="20"/>
              </w:rPr>
              <w:t>0.0%</w:t>
            </w:r>
          </w:p>
        </w:tc>
      </w:tr>
    </w:tbl>
    <w:p w:rsidR="00657CDE" w:rsidRPr="00082421" w:rsidRDefault="00657CDE" w:rsidP="00657CDE">
      <w:pPr>
        <w:pStyle w:val="Notes"/>
        <w:rPr>
          <w:rStyle w:val="TablenotesChar"/>
        </w:rPr>
      </w:pPr>
      <w:r w:rsidRPr="0027611E">
        <w:rPr>
          <w:rStyle w:val="TablenotesChar"/>
          <w:rFonts w:ascii="Cambria" w:hAnsi="Cambria" w:cs="Baskerville"/>
          <w:snapToGrid/>
          <w:sz w:val="20"/>
          <w:szCs w:val="20"/>
          <w:u w:val="single"/>
          <w:lang w:eastAsia="en-AU"/>
        </w:rPr>
        <w:t>Abbreviations</w:t>
      </w:r>
      <w:r>
        <w:rPr>
          <w:rStyle w:val="TablenotesChar"/>
          <w:rFonts w:ascii="Cambria" w:hAnsi="Cambria" w:cs="Baskerville"/>
          <w:snapToGrid/>
          <w:sz w:val="20"/>
          <w:szCs w:val="20"/>
          <w:lang w:eastAsia="en-AU"/>
        </w:rPr>
        <w:t xml:space="preserve">: </w:t>
      </w:r>
      <w:r w:rsidRPr="00657CDE">
        <w:rPr>
          <w:rStyle w:val="TablenotesChar"/>
          <w:rFonts w:ascii="Cambria" w:hAnsi="Cambria" w:cs="Baskerville"/>
          <w:snapToGrid/>
          <w:sz w:val="20"/>
          <w:szCs w:val="20"/>
          <w:lang w:eastAsia="en-AU"/>
        </w:rPr>
        <w:t xml:space="preserve">AE = adverse event; bid = twice daily; BW = body weight; CI = confidence interval; CVD = cardiovascular disease; DPP-4-i = </w:t>
      </w:r>
      <w:r>
        <w:rPr>
          <w:rStyle w:val="TablenotesChar"/>
          <w:rFonts w:ascii="Cambria" w:hAnsi="Cambria" w:cs="Baskerville"/>
          <w:snapToGrid/>
          <w:sz w:val="20"/>
          <w:szCs w:val="20"/>
          <w:lang w:eastAsia="en-AU"/>
        </w:rPr>
        <w:t>DPP</w:t>
      </w:r>
      <w:r w:rsidRPr="00657CDE">
        <w:rPr>
          <w:rStyle w:val="TablenotesChar"/>
          <w:rFonts w:ascii="Cambria" w:hAnsi="Cambria" w:cs="Baskerville"/>
          <w:snapToGrid/>
          <w:sz w:val="20"/>
          <w:szCs w:val="20"/>
          <w:lang w:eastAsia="en-AU"/>
        </w:rPr>
        <w:t xml:space="preserve">-4 inhibitor; EM = existing medication; EXN = exenatide; Gla = glargine; GLP-1-RA = </w:t>
      </w:r>
      <w:r>
        <w:rPr>
          <w:rStyle w:val="TablenotesChar"/>
          <w:rFonts w:ascii="Cambria" w:hAnsi="Cambria" w:cs="Baskerville"/>
          <w:snapToGrid/>
          <w:sz w:val="20"/>
          <w:szCs w:val="20"/>
          <w:lang w:eastAsia="en-AU"/>
        </w:rPr>
        <w:t>GLP-1 receptor agonist</w:t>
      </w:r>
      <w:r w:rsidRPr="00657CDE">
        <w:rPr>
          <w:rStyle w:val="TablenotesChar"/>
          <w:rFonts w:ascii="Cambria" w:hAnsi="Cambria" w:cs="Baskerville"/>
          <w:snapToGrid/>
          <w:sz w:val="20"/>
          <w:szCs w:val="20"/>
          <w:lang w:eastAsia="en-AU"/>
        </w:rPr>
        <w:t>; Hypo-G = hypoglycaemia; INS = insulin; LIR = liraglutide; Lis = lispro mix 75/25; MET = metformin; PBO = placebo; SAE = serious adverse event; SD = standard deviation; SIT = sitagliptin; UTI = urinary tract infection</w:t>
      </w:r>
      <w:r>
        <w:rPr>
          <w:rStyle w:val="TablenotesChar"/>
        </w:rPr>
        <w:t xml:space="preserve"> </w:t>
      </w:r>
    </w:p>
    <w:p w:rsidR="00657CDE" w:rsidRPr="00657CDE" w:rsidRDefault="00657CDE" w:rsidP="00657CDE">
      <w:pPr>
        <w:pStyle w:val="Notes"/>
        <w:rPr>
          <w:rStyle w:val="TablenotesChar"/>
          <w:rFonts w:ascii="Cambria" w:hAnsi="Cambria" w:cs="Baskerville"/>
          <w:snapToGrid/>
          <w:sz w:val="20"/>
          <w:szCs w:val="20"/>
          <w:lang w:eastAsia="en-AU"/>
        </w:rPr>
      </w:pPr>
      <w:r w:rsidRPr="0027611E">
        <w:rPr>
          <w:rStyle w:val="TablenotesChar"/>
          <w:rFonts w:ascii="Cambria" w:hAnsi="Cambria" w:cs="Baskerville"/>
          <w:snapToGrid/>
          <w:sz w:val="20"/>
          <w:szCs w:val="20"/>
          <w:u w:val="single"/>
          <w:lang w:eastAsia="en-AU"/>
        </w:rPr>
        <w:t>Notes</w:t>
      </w:r>
      <w:r>
        <w:rPr>
          <w:rStyle w:val="TablenotesChar"/>
          <w:rFonts w:ascii="Cambria" w:hAnsi="Cambria" w:cs="Baskerville"/>
          <w:snapToGrid/>
          <w:sz w:val="20"/>
          <w:szCs w:val="20"/>
          <w:lang w:eastAsia="en-AU"/>
        </w:rPr>
        <w:t xml:space="preserve">: </w:t>
      </w:r>
      <w:r w:rsidRPr="00657CDE">
        <w:rPr>
          <w:rStyle w:val="TablenotesChar"/>
          <w:rFonts w:ascii="Cambria" w:hAnsi="Cambria" w:cs="Baskerville"/>
          <w:snapToGrid/>
          <w:sz w:val="20"/>
          <w:szCs w:val="20"/>
          <w:lang w:eastAsia="en-AU"/>
        </w:rPr>
        <w:t>* mean change from baseline</w:t>
      </w:r>
      <w:r>
        <w:rPr>
          <w:rStyle w:val="TablenotesChar"/>
          <w:rFonts w:ascii="Cambria" w:hAnsi="Cambria" w:cs="Baskerville"/>
          <w:snapToGrid/>
          <w:sz w:val="20"/>
          <w:szCs w:val="20"/>
          <w:lang w:eastAsia="en-AU"/>
        </w:rPr>
        <w:t>.</w:t>
      </w:r>
    </w:p>
    <w:p w:rsidR="00657CDE" w:rsidRDefault="00657CDE" w:rsidP="00657CDE"/>
    <w:p w:rsidR="00657CDE" w:rsidRPr="00217038" w:rsidRDefault="00657CDE" w:rsidP="00217038"/>
    <w:sectPr w:rsidR="00657CDE" w:rsidRPr="00217038" w:rsidSect="006926F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03FC" w:rsidRDefault="003403FC" w:rsidP="00492694">
      <w:r>
        <w:separator/>
      </w:r>
    </w:p>
    <w:p w:rsidR="003403FC" w:rsidRDefault="003403FC" w:rsidP="00492694"/>
  </w:endnote>
  <w:endnote w:type="continuationSeparator" w:id="0">
    <w:p w:rsidR="003403FC" w:rsidRDefault="003403FC" w:rsidP="00492694">
      <w:r>
        <w:continuationSeparator/>
      </w:r>
    </w:p>
    <w:p w:rsidR="003403FC" w:rsidRDefault="003403FC" w:rsidP="004926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E1000AEF" w:usb1="5000A1FF" w:usb2="00000000" w:usb3="00000000" w:csb0="000001B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Baskerville">
    <w:altName w:val="Times New Roman"/>
    <w:charset w:val="00"/>
    <w:family w:val="auto"/>
    <w:pitch w:val="variable"/>
    <w:sig w:usb0="00000001" w:usb1="00000000"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êP˛øL“">
    <w:altName w:val="Cambria"/>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noProof w:val="0"/>
      </w:rPr>
      <w:id w:val="1730258068"/>
      <w:docPartObj>
        <w:docPartGallery w:val="Page Numbers (Bottom of Page)"/>
        <w:docPartUnique/>
      </w:docPartObj>
    </w:sdtPr>
    <w:sdtEndPr>
      <w:rPr>
        <w:noProof/>
      </w:rPr>
    </w:sdtEndPr>
    <w:sdtContent>
      <w:p w:rsidR="00342547" w:rsidRDefault="00342547">
        <w:pPr>
          <w:pStyle w:val="Footer"/>
          <w:jc w:val="center"/>
        </w:pPr>
        <w:r>
          <w:rPr>
            <w:noProof w:val="0"/>
          </w:rPr>
          <w:fldChar w:fldCharType="begin"/>
        </w:r>
        <w:r>
          <w:instrText xml:space="preserve"> PAGE   \* MERGEFORMAT </w:instrText>
        </w:r>
        <w:r>
          <w:rPr>
            <w:noProof w:val="0"/>
          </w:rPr>
          <w:fldChar w:fldCharType="separate"/>
        </w:r>
        <w:r w:rsidR="00142480">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03FC" w:rsidRDefault="003403FC" w:rsidP="00492694">
      <w:r>
        <w:separator/>
      </w:r>
    </w:p>
    <w:p w:rsidR="003403FC" w:rsidRDefault="003403FC" w:rsidP="00492694"/>
  </w:footnote>
  <w:footnote w:type="continuationSeparator" w:id="0">
    <w:p w:rsidR="003403FC" w:rsidRDefault="003403FC" w:rsidP="00492694">
      <w:r>
        <w:continuationSeparator/>
      </w:r>
    </w:p>
    <w:p w:rsidR="003403FC" w:rsidRDefault="003403FC" w:rsidP="0049269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2547" w:rsidRPr="00531355" w:rsidRDefault="00342547" w:rsidP="00492694">
    <w:pPr>
      <w:pStyle w:val="Header"/>
    </w:pPr>
  </w:p>
  <w:p w:rsidR="00342547" w:rsidRPr="00087E8A" w:rsidRDefault="00342547" w:rsidP="0049269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D78AF"/>
    <w:multiLevelType w:val="hybridMultilevel"/>
    <w:tmpl w:val="31AAB0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7C41BF6"/>
    <w:multiLevelType w:val="hybridMultilevel"/>
    <w:tmpl w:val="9FD2E5F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7D80E1C"/>
    <w:multiLevelType w:val="hybridMultilevel"/>
    <w:tmpl w:val="B85C37DC"/>
    <w:lvl w:ilvl="0" w:tplc="876823AA">
      <w:start w:val="1"/>
      <w:numFmt w:val="bullet"/>
      <w:pStyle w:val="CIBBullet"/>
      <w:lvlText w:val=""/>
      <w:lvlJc w:val="left"/>
      <w:pPr>
        <w:tabs>
          <w:tab w:val="num" w:pos="425"/>
        </w:tabs>
        <w:ind w:left="425" w:hanging="425"/>
      </w:pPr>
      <w:rPr>
        <w:rFonts w:ascii="Symbol" w:hAnsi="Symbol" w:hint="default"/>
        <w:b w:val="0"/>
        <w:i w:val="0"/>
        <w:caps w:val="0"/>
        <w:strike w:val="0"/>
        <w:dstrike w:val="0"/>
        <w:outline w:val="0"/>
        <w:shadow w:val="0"/>
        <w:emboss w:val="0"/>
        <w:imprint w:val="0"/>
        <w:vanish w:val="0"/>
        <w:color w:val="auto"/>
        <w:sz w:val="23"/>
        <w:vertAlign w:val="baseline"/>
      </w:rPr>
    </w:lvl>
    <w:lvl w:ilvl="1" w:tplc="0C090003">
      <w:start w:val="1"/>
      <w:numFmt w:val="bullet"/>
      <w:lvlText w:val="o"/>
      <w:lvlJc w:val="left"/>
      <w:pPr>
        <w:tabs>
          <w:tab w:val="num" w:pos="1440"/>
        </w:tabs>
        <w:ind w:left="1440" w:hanging="360"/>
      </w:pPr>
      <w:rPr>
        <w:rFonts w:ascii="Courier New" w:hAnsi="Courier New" w:hint="default"/>
        <w:b w:val="0"/>
        <w:i w:val="0"/>
        <w:caps w:val="0"/>
        <w:strike w:val="0"/>
        <w:dstrike w:val="0"/>
        <w:outline w:val="0"/>
        <w:shadow w:val="0"/>
        <w:emboss w:val="0"/>
        <w:imprint w:val="0"/>
        <w:vanish w:val="0"/>
        <w:color w:val="auto"/>
        <w:sz w:val="23"/>
        <w:vertAlign w:val="baseline"/>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
    <w:nsid w:val="0848568B"/>
    <w:multiLevelType w:val="hybridMultilevel"/>
    <w:tmpl w:val="B15CAFBE"/>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4">
    <w:nsid w:val="088F0919"/>
    <w:multiLevelType w:val="multilevel"/>
    <w:tmpl w:val="CD6403E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2160" w:hanging="180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5">
    <w:nsid w:val="0DA51916"/>
    <w:multiLevelType w:val="hybridMultilevel"/>
    <w:tmpl w:val="32C07CA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0EDC3590"/>
    <w:multiLevelType w:val="hybridMultilevel"/>
    <w:tmpl w:val="4B627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125D2491"/>
    <w:multiLevelType w:val="hybridMultilevel"/>
    <w:tmpl w:val="F2462A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7FE24FA"/>
    <w:multiLevelType w:val="hybridMultilevel"/>
    <w:tmpl w:val="9774C1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8966E73"/>
    <w:multiLevelType w:val="hybridMultilevel"/>
    <w:tmpl w:val="FFD2AF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19D66090"/>
    <w:multiLevelType w:val="hybridMultilevel"/>
    <w:tmpl w:val="8C02C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1A741439"/>
    <w:multiLevelType w:val="hybridMultilevel"/>
    <w:tmpl w:val="4F96ABBA"/>
    <w:lvl w:ilvl="0" w:tplc="0C090017">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nsid w:val="1BED1BAC"/>
    <w:multiLevelType w:val="hybridMultilevel"/>
    <w:tmpl w:val="BCB059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1D9055D1"/>
    <w:multiLevelType w:val="hybridMultilevel"/>
    <w:tmpl w:val="D83E4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1DE51803"/>
    <w:multiLevelType w:val="hybridMultilevel"/>
    <w:tmpl w:val="DCB2476C"/>
    <w:lvl w:ilvl="0" w:tplc="0C090017">
      <w:start w:val="1"/>
      <w:numFmt w:val="lowerLetter"/>
      <w:lvlText w:val="%1)"/>
      <w:lvlJc w:val="left"/>
      <w:pPr>
        <w:ind w:left="720" w:hanging="360"/>
      </w:pPr>
      <w:rPr>
        <w:rFonts w:hint="default"/>
      </w:rPr>
    </w:lvl>
    <w:lvl w:ilvl="1" w:tplc="0C090001">
      <w:start w:val="1"/>
      <w:numFmt w:val="bullet"/>
      <w:lvlText w:val=""/>
      <w:lvlJc w:val="left"/>
      <w:pPr>
        <w:ind w:left="1440" w:hanging="360"/>
      </w:pPr>
      <w:rPr>
        <w:rFonts w:ascii="Symbol" w:hAnsi="Symbol"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nsid w:val="20B204C0"/>
    <w:multiLevelType w:val="hybridMultilevel"/>
    <w:tmpl w:val="C076F3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22CC1CDC"/>
    <w:multiLevelType w:val="hybridMultilevel"/>
    <w:tmpl w:val="D7CE77DA"/>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17">
    <w:nsid w:val="24AB7842"/>
    <w:multiLevelType w:val="hybridMultilevel"/>
    <w:tmpl w:val="9B3234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25491D8C"/>
    <w:multiLevelType w:val="hybridMultilevel"/>
    <w:tmpl w:val="6E226E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nsid w:val="26AB1ED5"/>
    <w:multiLevelType w:val="hybridMultilevel"/>
    <w:tmpl w:val="358CC8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2D6529E0"/>
    <w:multiLevelType w:val="multilevel"/>
    <w:tmpl w:val="80A6F2AC"/>
    <w:lvl w:ilvl="0">
      <w:start w:val="6"/>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nsid w:val="2EEC5841"/>
    <w:multiLevelType w:val="hybridMultilevel"/>
    <w:tmpl w:val="12F6EB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nsid w:val="2F94744F"/>
    <w:multiLevelType w:val="hybridMultilevel"/>
    <w:tmpl w:val="BDBEAB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nsid w:val="340C6C28"/>
    <w:multiLevelType w:val="hybridMultilevel"/>
    <w:tmpl w:val="009CA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34DB7310"/>
    <w:multiLevelType w:val="multilevel"/>
    <w:tmpl w:val="F1224B2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355B2780"/>
    <w:multiLevelType w:val="hybridMultilevel"/>
    <w:tmpl w:val="3F1695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386F3341"/>
    <w:multiLevelType w:val="hybridMultilevel"/>
    <w:tmpl w:val="001479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38F83C5D"/>
    <w:multiLevelType w:val="multilevel"/>
    <w:tmpl w:val="AB54405E"/>
    <w:lvl w:ilvl="0">
      <w:start w:val="1"/>
      <w:numFmt w:val="bullet"/>
      <w:pStyle w:val="ListBullet1"/>
      <w:lvlText w:val=""/>
      <w:lvlJc w:val="left"/>
      <w:pPr>
        <w:ind w:left="360" w:hanging="360"/>
      </w:pPr>
      <w:rPr>
        <w:rFonts w:ascii="Wingdings 3" w:hAnsi="Wingdings 3" w:hint="default"/>
        <w:b/>
        <w:i w:val="0"/>
        <w:color w:val="401E6C"/>
        <w:spacing w:val="0"/>
        <w:w w:val="100"/>
        <w:position w:val="3"/>
        <w:sz w:val="16"/>
      </w:rPr>
    </w:lvl>
    <w:lvl w:ilvl="1">
      <w:start w:val="1"/>
      <w:numFmt w:val="bullet"/>
      <w:lvlText w:val="–"/>
      <w:lvlJc w:val="left"/>
      <w:pPr>
        <w:tabs>
          <w:tab w:val="num" w:pos="714"/>
        </w:tabs>
        <w:ind w:left="714" w:hanging="357"/>
      </w:pPr>
      <w:rPr>
        <w:rFonts w:ascii="Times New Roman" w:hAnsi="Times New Roman" w:cs="Times New Roman" w:hint="default"/>
        <w:b w:val="0"/>
        <w:i w:val="0"/>
        <w:color w:val="00326C"/>
        <w:position w:val="2"/>
        <w:sz w:val="19"/>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3C2A5F0A"/>
    <w:multiLevelType w:val="hybridMultilevel"/>
    <w:tmpl w:val="A32EA0D6"/>
    <w:lvl w:ilvl="0" w:tplc="0C090001">
      <w:start w:val="1"/>
      <w:numFmt w:val="bullet"/>
      <w:lvlText w:val=""/>
      <w:lvlJc w:val="left"/>
      <w:pPr>
        <w:ind w:left="766" w:hanging="360"/>
      </w:pPr>
      <w:rPr>
        <w:rFonts w:ascii="Symbol" w:hAnsi="Symbol" w:hint="default"/>
      </w:rPr>
    </w:lvl>
    <w:lvl w:ilvl="1" w:tplc="0C090003" w:tentative="1">
      <w:start w:val="1"/>
      <w:numFmt w:val="bullet"/>
      <w:lvlText w:val="o"/>
      <w:lvlJc w:val="left"/>
      <w:pPr>
        <w:ind w:left="1486" w:hanging="360"/>
      </w:pPr>
      <w:rPr>
        <w:rFonts w:ascii="Courier New" w:hAnsi="Courier New" w:cs="Courier New" w:hint="default"/>
      </w:rPr>
    </w:lvl>
    <w:lvl w:ilvl="2" w:tplc="0C090005" w:tentative="1">
      <w:start w:val="1"/>
      <w:numFmt w:val="bullet"/>
      <w:lvlText w:val=""/>
      <w:lvlJc w:val="left"/>
      <w:pPr>
        <w:ind w:left="2206" w:hanging="360"/>
      </w:pPr>
      <w:rPr>
        <w:rFonts w:ascii="Wingdings" w:hAnsi="Wingdings" w:hint="default"/>
      </w:rPr>
    </w:lvl>
    <w:lvl w:ilvl="3" w:tplc="0C090001" w:tentative="1">
      <w:start w:val="1"/>
      <w:numFmt w:val="bullet"/>
      <w:lvlText w:val=""/>
      <w:lvlJc w:val="left"/>
      <w:pPr>
        <w:ind w:left="2926" w:hanging="360"/>
      </w:pPr>
      <w:rPr>
        <w:rFonts w:ascii="Symbol" w:hAnsi="Symbol" w:hint="default"/>
      </w:rPr>
    </w:lvl>
    <w:lvl w:ilvl="4" w:tplc="0C090003" w:tentative="1">
      <w:start w:val="1"/>
      <w:numFmt w:val="bullet"/>
      <w:lvlText w:val="o"/>
      <w:lvlJc w:val="left"/>
      <w:pPr>
        <w:ind w:left="3646" w:hanging="360"/>
      </w:pPr>
      <w:rPr>
        <w:rFonts w:ascii="Courier New" w:hAnsi="Courier New" w:cs="Courier New" w:hint="default"/>
      </w:rPr>
    </w:lvl>
    <w:lvl w:ilvl="5" w:tplc="0C090005" w:tentative="1">
      <w:start w:val="1"/>
      <w:numFmt w:val="bullet"/>
      <w:lvlText w:val=""/>
      <w:lvlJc w:val="left"/>
      <w:pPr>
        <w:ind w:left="4366" w:hanging="360"/>
      </w:pPr>
      <w:rPr>
        <w:rFonts w:ascii="Wingdings" w:hAnsi="Wingdings" w:hint="default"/>
      </w:rPr>
    </w:lvl>
    <w:lvl w:ilvl="6" w:tplc="0C090001" w:tentative="1">
      <w:start w:val="1"/>
      <w:numFmt w:val="bullet"/>
      <w:lvlText w:val=""/>
      <w:lvlJc w:val="left"/>
      <w:pPr>
        <w:ind w:left="5086" w:hanging="360"/>
      </w:pPr>
      <w:rPr>
        <w:rFonts w:ascii="Symbol" w:hAnsi="Symbol" w:hint="default"/>
      </w:rPr>
    </w:lvl>
    <w:lvl w:ilvl="7" w:tplc="0C090003" w:tentative="1">
      <w:start w:val="1"/>
      <w:numFmt w:val="bullet"/>
      <w:lvlText w:val="o"/>
      <w:lvlJc w:val="left"/>
      <w:pPr>
        <w:ind w:left="5806" w:hanging="360"/>
      </w:pPr>
      <w:rPr>
        <w:rFonts w:ascii="Courier New" w:hAnsi="Courier New" w:cs="Courier New" w:hint="default"/>
      </w:rPr>
    </w:lvl>
    <w:lvl w:ilvl="8" w:tplc="0C090005" w:tentative="1">
      <w:start w:val="1"/>
      <w:numFmt w:val="bullet"/>
      <w:lvlText w:val=""/>
      <w:lvlJc w:val="left"/>
      <w:pPr>
        <w:ind w:left="6526" w:hanging="360"/>
      </w:pPr>
      <w:rPr>
        <w:rFonts w:ascii="Wingdings" w:hAnsi="Wingdings" w:hint="default"/>
      </w:rPr>
    </w:lvl>
  </w:abstractNum>
  <w:abstractNum w:abstractNumId="29">
    <w:nsid w:val="3FBA0BD4"/>
    <w:multiLevelType w:val="hybridMultilevel"/>
    <w:tmpl w:val="FAEA9B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nsid w:val="45080F04"/>
    <w:multiLevelType w:val="hybridMultilevel"/>
    <w:tmpl w:val="9CA024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71362F5"/>
    <w:multiLevelType w:val="hybridMultilevel"/>
    <w:tmpl w:val="305EE2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4B831757"/>
    <w:multiLevelType w:val="hybridMultilevel"/>
    <w:tmpl w:val="B5864FD6"/>
    <w:lvl w:ilvl="0" w:tplc="0C090001">
      <w:start w:val="1"/>
      <w:numFmt w:val="bullet"/>
      <w:lvlText w:val=""/>
      <w:lvlJc w:val="left"/>
      <w:pPr>
        <w:ind w:left="720" w:hanging="360"/>
      </w:pPr>
      <w:rPr>
        <w:rFonts w:ascii="Symbol" w:hAnsi="Symbol" w:hint="default"/>
      </w:rPr>
    </w:lvl>
    <w:lvl w:ilvl="1" w:tplc="0C09000F">
      <w:start w:val="1"/>
      <w:numFmt w:val="decimal"/>
      <w:lvlText w:val="%2."/>
      <w:lvlJc w:val="left"/>
      <w:pPr>
        <w:ind w:left="1440" w:hanging="360"/>
      </w:pPr>
      <w:rPr>
        <w:rFonts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nsid w:val="4BAB2068"/>
    <w:multiLevelType w:val="hybridMultilevel"/>
    <w:tmpl w:val="C526C7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nsid w:val="4CD30D71"/>
    <w:multiLevelType w:val="hybridMultilevel"/>
    <w:tmpl w:val="AEA0B1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nsid w:val="4E1C42CD"/>
    <w:multiLevelType w:val="hybridMultilevel"/>
    <w:tmpl w:val="F0E0730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4EE16424"/>
    <w:multiLevelType w:val="hybridMultilevel"/>
    <w:tmpl w:val="1EE48D9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nsid w:val="51921EA2"/>
    <w:multiLevelType w:val="hybridMultilevel"/>
    <w:tmpl w:val="D64EF5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nsid w:val="5241470D"/>
    <w:multiLevelType w:val="hybridMultilevel"/>
    <w:tmpl w:val="A85438F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9">
    <w:nsid w:val="52710529"/>
    <w:multiLevelType w:val="hybridMultilevel"/>
    <w:tmpl w:val="3B14E9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54C552D2"/>
    <w:multiLevelType w:val="hybridMultilevel"/>
    <w:tmpl w:val="23E672F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171A8DE2">
      <w:start w:val="3"/>
      <w:numFmt w:val="bullet"/>
      <w:lvlText w:val="-"/>
      <w:lvlJc w:val="left"/>
      <w:pPr>
        <w:ind w:left="2160" w:hanging="360"/>
      </w:pPr>
      <w:rPr>
        <w:rFonts w:ascii="Cambria" w:eastAsia="Times New Roman" w:hAnsi="Cambria" w:cs="Calibri"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nsid w:val="55E213A3"/>
    <w:multiLevelType w:val="hybridMultilevel"/>
    <w:tmpl w:val="5E0A06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nsid w:val="56AB2205"/>
    <w:multiLevelType w:val="hybridMultilevel"/>
    <w:tmpl w:val="B4583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nsid w:val="574B32D6"/>
    <w:multiLevelType w:val="hybridMultilevel"/>
    <w:tmpl w:val="E9BA0E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nsid w:val="57F64B9D"/>
    <w:multiLevelType w:val="multilevel"/>
    <w:tmpl w:val="F1224B2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5A3909E9"/>
    <w:multiLevelType w:val="hybridMultilevel"/>
    <w:tmpl w:val="FB1AC6CA"/>
    <w:lvl w:ilvl="0" w:tplc="0C09000F">
      <w:start w:val="1"/>
      <w:numFmt w:val="decimal"/>
      <w:lvlText w:val="%1."/>
      <w:lvlJc w:val="left"/>
      <w:pPr>
        <w:ind w:left="1495" w:hanging="360"/>
      </w:pPr>
    </w:lvl>
    <w:lvl w:ilvl="1" w:tplc="0C090001">
      <w:start w:val="1"/>
      <w:numFmt w:val="bullet"/>
      <w:lvlText w:val=""/>
      <w:lvlJc w:val="left"/>
      <w:pPr>
        <w:ind w:left="2215" w:hanging="360"/>
      </w:pPr>
      <w:rPr>
        <w:rFonts w:ascii="Symbol" w:hAnsi="Symbol" w:hint="default"/>
      </w:rPr>
    </w:lvl>
    <w:lvl w:ilvl="2" w:tplc="0C09001B" w:tentative="1">
      <w:start w:val="1"/>
      <w:numFmt w:val="lowerRoman"/>
      <w:lvlText w:val="%3."/>
      <w:lvlJc w:val="right"/>
      <w:pPr>
        <w:ind w:left="2935" w:hanging="180"/>
      </w:pPr>
    </w:lvl>
    <w:lvl w:ilvl="3" w:tplc="0C09000F" w:tentative="1">
      <w:start w:val="1"/>
      <w:numFmt w:val="decimal"/>
      <w:lvlText w:val="%4."/>
      <w:lvlJc w:val="left"/>
      <w:pPr>
        <w:ind w:left="3655" w:hanging="360"/>
      </w:pPr>
    </w:lvl>
    <w:lvl w:ilvl="4" w:tplc="0C090019" w:tentative="1">
      <w:start w:val="1"/>
      <w:numFmt w:val="lowerLetter"/>
      <w:lvlText w:val="%5."/>
      <w:lvlJc w:val="left"/>
      <w:pPr>
        <w:ind w:left="4375" w:hanging="360"/>
      </w:pPr>
    </w:lvl>
    <w:lvl w:ilvl="5" w:tplc="0C09001B" w:tentative="1">
      <w:start w:val="1"/>
      <w:numFmt w:val="lowerRoman"/>
      <w:lvlText w:val="%6."/>
      <w:lvlJc w:val="right"/>
      <w:pPr>
        <w:ind w:left="5095" w:hanging="180"/>
      </w:pPr>
    </w:lvl>
    <w:lvl w:ilvl="6" w:tplc="0C09000F" w:tentative="1">
      <w:start w:val="1"/>
      <w:numFmt w:val="decimal"/>
      <w:lvlText w:val="%7."/>
      <w:lvlJc w:val="left"/>
      <w:pPr>
        <w:ind w:left="5815" w:hanging="360"/>
      </w:pPr>
    </w:lvl>
    <w:lvl w:ilvl="7" w:tplc="0C090019" w:tentative="1">
      <w:start w:val="1"/>
      <w:numFmt w:val="lowerLetter"/>
      <w:lvlText w:val="%8."/>
      <w:lvlJc w:val="left"/>
      <w:pPr>
        <w:ind w:left="6535" w:hanging="360"/>
      </w:pPr>
    </w:lvl>
    <w:lvl w:ilvl="8" w:tplc="0C09001B" w:tentative="1">
      <w:start w:val="1"/>
      <w:numFmt w:val="lowerRoman"/>
      <w:lvlText w:val="%9."/>
      <w:lvlJc w:val="right"/>
      <w:pPr>
        <w:ind w:left="7255" w:hanging="180"/>
      </w:pPr>
    </w:lvl>
  </w:abstractNum>
  <w:abstractNum w:abstractNumId="46">
    <w:nsid w:val="5A4E2AE1"/>
    <w:multiLevelType w:val="hybridMultilevel"/>
    <w:tmpl w:val="4572731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nsid w:val="5AF7071E"/>
    <w:multiLevelType w:val="hybridMultilevel"/>
    <w:tmpl w:val="6EC889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nsid w:val="5CCF30F5"/>
    <w:multiLevelType w:val="hybridMultilevel"/>
    <w:tmpl w:val="3E9AE5F8"/>
    <w:lvl w:ilvl="0" w:tplc="F54641F6">
      <w:start w:val="1"/>
      <w:numFmt w:val="bullet"/>
      <w:pStyle w:val="Bullets"/>
      <w:lvlText w:val=""/>
      <w:lvlJc w:val="left"/>
      <w:pPr>
        <w:ind w:left="-36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1080" w:hanging="360"/>
      </w:pPr>
      <w:rPr>
        <w:rFonts w:ascii="Wingdings" w:hAnsi="Wingdings" w:hint="default"/>
      </w:rPr>
    </w:lvl>
    <w:lvl w:ilvl="3" w:tplc="0C090001" w:tentative="1">
      <w:start w:val="1"/>
      <w:numFmt w:val="bullet"/>
      <w:lvlText w:val=""/>
      <w:lvlJc w:val="left"/>
      <w:pPr>
        <w:ind w:left="1800" w:hanging="360"/>
      </w:pPr>
      <w:rPr>
        <w:rFonts w:ascii="Symbol" w:hAnsi="Symbol"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49">
    <w:nsid w:val="5E467F27"/>
    <w:multiLevelType w:val="hybridMultilevel"/>
    <w:tmpl w:val="306636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nsid w:val="5E6756BD"/>
    <w:multiLevelType w:val="hybridMultilevel"/>
    <w:tmpl w:val="BC7A47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nsid w:val="61346179"/>
    <w:multiLevelType w:val="hybridMultilevel"/>
    <w:tmpl w:val="54DAB7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nsid w:val="61F4256C"/>
    <w:multiLevelType w:val="hybridMultilevel"/>
    <w:tmpl w:val="A0C2D1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nsid w:val="63557B23"/>
    <w:multiLevelType w:val="hybridMultilevel"/>
    <w:tmpl w:val="6C3232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nsid w:val="64765D69"/>
    <w:multiLevelType w:val="hybridMultilevel"/>
    <w:tmpl w:val="A72A76BA"/>
    <w:lvl w:ilvl="0" w:tplc="AF3C3A04">
      <w:start w:val="1"/>
      <w:numFmt w:val="decimal"/>
      <w:pStyle w:val="Numberedlist-nor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nsid w:val="64F84CDF"/>
    <w:multiLevelType w:val="hybridMultilevel"/>
    <w:tmpl w:val="8D2A21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nsid w:val="66575B24"/>
    <w:multiLevelType w:val="hybridMultilevel"/>
    <w:tmpl w:val="FBCC4C64"/>
    <w:lvl w:ilvl="0" w:tplc="0C090001">
      <w:start w:val="1"/>
      <w:numFmt w:val="bullet"/>
      <w:lvlText w:val=""/>
      <w:lvlJc w:val="left"/>
      <w:pPr>
        <w:ind w:left="720" w:hanging="360"/>
      </w:pPr>
      <w:rPr>
        <w:rFonts w:ascii="Symbol" w:hAnsi="Symbol" w:hint="default"/>
      </w:rPr>
    </w:lvl>
    <w:lvl w:ilvl="1" w:tplc="DDA8FCAC">
      <w:start w:val="3"/>
      <w:numFmt w:val="bullet"/>
      <w:lvlText w:val="-"/>
      <w:lvlJc w:val="left"/>
      <w:pPr>
        <w:ind w:left="1440" w:hanging="360"/>
      </w:pPr>
      <w:rPr>
        <w:rFonts w:ascii="Cambria" w:eastAsia="Times New Roman" w:hAnsi="Cambria"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nsid w:val="67BD033B"/>
    <w:multiLevelType w:val="hybridMultilevel"/>
    <w:tmpl w:val="4E78D9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nsid w:val="69B77279"/>
    <w:multiLevelType w:val="hybridMultilevel"/>
    <w:tmpl w:val="BA70F88E"/>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9">
    <w:nsid w:val="69CD2B2D"/>
    <w:multiLevelType w:val="hybridMultilevel"/>
    <w:tmpl w:val="4E3256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0">
    <w:nsid w:val="6AFC1757"/>
    <w:multiLevelType w:val="hybridMultilevel"/>
    <w:tmpl w:val="A9A83A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nsid w:val="6E9A6953"/>
    <w:multiLevelType w:val="hybridMultilevel"/>
    <w:tmpl w:val="D772F2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nsid w:val="734E554D"/>
    <w:multiLevelType w:val="hybridMultilevel"/>
    <w:tmpl w:val="6A26C5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nsid w:val="73C775BD"/>
    <w:multiLevelType w:val="hybridMultilevel"/>
    <w:tmpl w:val="6F207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nsid w:val="7518621D"/>
    <w:multiLevelType w:val="hybridMultilevel"/>
    <w:tmpl w:val="59C088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5">
    <w:nsid w:val="77501A7E"/>
    <w:multiLevelType w:val="hybridMultilevel"/>
    <w:tmpl w:val="EDD21E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6">
    <w:nsid w:val="7E0E44B6"/>
    <w:multiLevelType w:val="hybridMultilevel"/>
    <w:tmpl w:val="731A4F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nsid w:val="7EAC4F6A"/>
    <w:multiLevelType w:val="hybridMultilevel"/>
    <w:tmpl w:val="F1224B2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0"/>
  </w:num>
  <w:num w:numId="2">
    <w:abstractNumId w:val="27"/>
  </w:num>
  <w:num w:numId="3">
    <w:abstractNumId w:val="17"/>
  </w:num>
  <w:num w:numId="4">
    <w:abstractNumId w:val="31"/>
  </w:num>
  <w:num w:numId="5">
    <w:abstractNumId w:val="5"/>
  </w:num>
  <w:num w:numId="6">
    <w:abstractNumId w:val="25"/>
  </w:num>
  <w:num w:numId="7">
    <w:abstractNumId w:val="1"/>
  </w:num>
  <w:num w:numId="8">
    <w:abstractNumId w:val="10"/>
  </w:num>
  <w:num w:numId="9">
    <w:abstractNumId w:val="46"/>
  </w:num>
  <w:num w:numId="10">
    <w:abstractNumId w:val="57"/>
  </w:num>
  <w:num w:numId="11">
    <w:abstractNumId w:val="37"/>
  </w:num>
  <w:num w:numId="12">
    <w:abstractNumId w:val="34"/>
  </w:num>
  <w:num w:numId="13">
    <w:abstractNumId w:val="64"/>
  </w:num>
  <w:num w:numId="14">
    <w:abstractNumId w:val="48"/>
  </w:num>
  <w:num w:numId="15">
    <w:abstractNumId w:val="54"/>
  </w:num>
  <w:num w:numId="16">
    <w:abstractNumId w:val="56"/>
  </w:num>
  <w:num w:numId="17">
    <w:abstractNumId w:val="66"/>
  </w:num>
  <w:num w:numId="18">
    <w:abstractNumId w:val="42"/>
  </w:num>
  <w:num w:numId="19">
    <w:abstractNumId w:val="9"/>
  </w:num>
  <w:num w:numId="20">
    <w:abstractNumId w:val="33"/>
  </w:num>
  <w:num w:numId="21">
    <w:abstractNumId w:val="39"/>
  </w:num>
  <w:num w:numId="22">
    <w:abstractNumId w:val="47"/>
  </w:num>
  <w:num w:numId="23">
    <w:abstractNumId w:val="61"/>
  </w:num>
  <w:num w:numId="24">
    <w:abstractNumId w:val="55"/>
  </w:num>
  <w:num w:numId="25">
    <w:abstractNumId w:val="18"/>
  </w:num>
  <w:num w:numId="26">
    <w:abstractNumId w:val="19"/>
  </w:num>
  <w:num w:numId="27">
    <w:abstractNumId w:val="52"/>
  </w:num>
  <w:num w:numId="28">
    <w:abstractNumId w:val="49"/>
  </w:num>
  <w:num w:numId="29">
    <w:abstractNumId w:val="53"/>
  </w:num>
  <w:num w:numId="30">
    <w:abstractNumId w:val="35"/>
  </w:num>
  <w:num w:numId="31">
    <w:abstractNumId w:val="36"/>
  </w:num>
  <w:num w:numId="32">
    <w:abstractNumId w:val="65"/>
  </w:num>
  <w:num w:numId="33">
    <w:abstractNumId w:val="30"/>
  </w:num>
  <w:num w:numId="34">
    <w:abstractNumId w:val="0"/>
  </w:num>
  <w:num w:numId="35">
    <w:abstractNumId w:val="13"/>
  </w:num>
  <w:num w:numId="36">
    <w:abstractNumId w:val="21"/>
  </w:num>
  <w:num w:numId="37">
    <w:abstractNumId w:val="3"/>
  </w:num>
  <w:num w:numId="38">
    <w:abstractNumId w:val="51"/>
  </w:num>
  <w:num w:numId="39">
    <w:abstractNumId w:val="59"/>
  </w:num>
  <w:num w:numId="40">
    <w:abstractNumId w:val="50"/>
  </w:num>
  <w:num w:numId="41">
    <w:abstractNumId w:val="6"/>
  </w:num>
  <w:num w:numId="42">
    <w:abstractNumId w:val="58"/>
  </w:num>
  <w:num w:numId="43">
    <w:abstractNumId w:val="2"/>
  </w:num>
  <w:num w:numId="44">
    <w:abstractNumId w:val="43"/>
  </w:num>
  <w:num w:numId="45">
    <w:abstractNumId w:val="67"/>
  </w:num>
  <w:num w:numId="46">
    <w:abstractNumId w:val="24"/>
  </w:num>
  <w:num w:numId="47">
    <w:abstractNumId w:val="44"/>
  </w:num>
  <w:num w:numId="48">
    <w:abstractNumId w:val="62"/>
  </w:num>
  <w:num w:numId="49">
    <w:abstractNumId w:val="29"/>
  </w:num>
  <w:num w:numId="50">
    <w:abstractNumId w:val="63"/>
  </w:num>
  <w:num w:numId="51">
    <w:abstractNumId w:val="7"/>
  </w:num>
  <w:num w:numId="52">
    <w:abstractNumId w:val="38"/>
  </w:num>
  <w:num w:numId="53">
    <w:abstractNumId w:val="12"/>
  </w:num>
  <w:num w:numId="54">
    <w:abstractNumId w:val="8"/>
  </w:num>
  <w:num w:numId="55">
    <w:abstractNumId w:val="20"/>
  </w:num>
  <w:num w:numId="56">
    <w:abstractNumId w:val="40"/>
  </w:num>
  <w:num w:numId="57">
    <w:abstractNumId w:val="15"/>
  </w:num>
  <w:num w:numId="58">
    <w:abstractNumId w:val="45"/>
  </w:num>
  <w:num w:numId="59">
    <w:abstractNumId w:val="11"/>
  </w:num>
  <w:num w:numId="60">
    <w:abstractNumId w:val="14"/>
  </w:num>
  <w:num w:numId="61">
    <w:abstractNumId w:val="23"/>
  </w:num>
  <w:num w:numId="62">
    <w:abstractNumId w:val="4"/>
  </w:num>
  <w:num w:numId="63">
    <w:abstractNumId w:val="22"/>
  </w:num>
  <w:num w:numId="64">
    <w:abstractNumId w:val="26"/>
  </w:num>
  <w:num w:numId="65">
    <w:abstractNumId w:val="16"/>
  </w:num>
  <w:num w:numId="66">
    <w:abstractNumId w:val="32"/>
  </w:num>
  <w:num w:numId="67">
    <w:abstractNumId w:val="41"/>
  </w:num>
  <w:num w:numId="68">
    <w:abstractNumId w:val="2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052s5s9xu2x0d2e2rpapzprdeapfp0tt5z5r&quot;&gt;ToR4 Report&lt;record-ids&gt;&lt;item&gt;1&lt;/item&gt;&lt;item&gt;6&lt;/item&gt;&lt;item&gt;7&lt;/item&gt;&lt;item&gt;8&lt;/item&gt;&lt;item&gt;9&lt;/item&gt;&lt;item&gt;10&lt;/item&gt;&lt;item&gt;12&lt;/item&gt;&lt;item&gt;13&lt;/item&gt;&lt;item&gt;14&lt;/item&gt;&lt;item&gt;15&lt;/item&gt;&lt;item&gt;16&lt;/item&gt;&lt;item&gt;17&lt;/item&gt;&lt;item&gt;18&lt;/item&gt;&lt;item&gt;19&lt;/item&gt;&lt;item&gt;21&lt;/item&gt;&lt;item&gt;22&lt;/item&gt;&lt;item&gt;23&lt;/item&gt;&lt;item&gt;24&lt;/item&gt;&lt;item&gt;25&lt;/item&gt;&lt;item&gt;26&lt;/item&gt;&lt;item&gt;28&lt;/item&gt;&lt;item&gt;30&lt;/item&gt;&lt;item&gt;31&lt;/item&gt;&lt;item&gt;32&lt;/item&gt;&lt;item&gt;36&lt;/item&gt;&lt;item&gt;37&lt;/item&gt;&lt;item&gt;38&lt;/item&gt;&lt;item&gt;39&lt;/item&gt;&lt;item&gt;44&lt;/item&gt;&lt;item&gt;48&lt;/item&gt;&lt;item&gt;51&lt;/item&gt;&lt;item&gt;52&lt;/item&gt;&lt;item&gt;53&lt;/item&gt;&lt;item&gt;54&lt;/item&gt;&lt;item&gt;55&lt;/item&gt;&lt;item&gt;56&lt;/item&gt;&lt;item&gt;58&lt;/item&gt;&lt;item&gt;59&lt;/item&gt;&lt;item&gt;60&lt;/item&gt;&lt;item&gt;61&lt;/item&gt;&lt;item&gt;62&lt;/item&gt;&lt;item&gt;63&lt;/item&gt;&lt;item&gt;64&lt;/item&gt;&lt;item&gt;65&lt;/item&gt;&lt;item&gt;66&lt;/item&gt;&lt;item&gt;68&lt;/item&gt;&lt;item&gt;69&lt;/item&gt;&lt;item&gt;70&lt;/item&gt;&lt;item&gt;71&lt;/item&gt;&lt;item&gt;72&lt;/item&gt;&lt;item&gt;74&lt;/item&gt;&lt;item&gt;75&lt;/item&gt;&lt;item&gt;76&lt;/item&gt;&lt;item&gt;77&lt;/item&gt;&lt;item&gt;78&lt;/item&gt;&lt;item&gt;79&lt;/item&gt;&lt;item&gt;80&lt;/item&gt;&lt;item&gt;81&lt;/item&gt;&lt;item&gt;82&lt;/item&gt;&lt;item&gt;83&lt;/item&gt;&lt;item&gt;84&lt;/item&gt;&lt;item&gt;85&lt;/item&gt;&lt;item&gt;87&lt;/item&gt;&lt;item&gt;89&lt;/item&gt;&lt;item&gt;91&lt;/item&gt;&lt;item&gt;92&lt;/item&gt;&lt;item&gt;93&lt;/item&gt;&lt;item&gt;94&lt;/item&gt;&lt;item&gt;95&lt;/item&gt;&lt;item&gt;96&lt;/item&gt;&lt;item&gt;97&lt;/item&gt;&lt;item&gt;98&lt;/item&gt;&lt;item&gt;99&lt;/item&gt;&lt;item&gt;101&lt;/item&gt;&lt;/record-ids&gt;&lt;/item&gt;&lt;/Libraries&gt;"/>
  </w:docVars>
  <w:rsids>
    <w:rsidRoot w:val="000E65B5"/>
    <w:rsid w:val="00000235"/>
    <w:rsid w:val="00000278"/>
    <w:rsid w:val="000002D1"/>
    <w:rsid w:val="000002EE"/>
    <w:rsid w:val="00000795"/>
    <w:rsid w:val="0000094E"/>
    <w:rsid w:val="00000E94"/>
    <w:rsid w:val="00001510"/>
    <w:rsid w:val="000018A7"/>
    <w:rsid w:val="00001B79"/>
    <w:rsid w:val="00003139"/>
    <w:rsid w:val="00004773"/>
    <w:rsid w:val="00006325"/>
    <w:rsid w:val="00007385"/>
    <w:rsid w:val="000076AF"/>
    <w:rsid w:val="0001060A"/>
    <w:rsid w:val="00010A58"/>
    <w:rsid w:val="00010CE6"/>
    <w:rsid w:val="00010E56"/>
    <w:rsid w:val="00011121"/>
    <w:rsid w:val="000118D7"/>
    <w:rsid w:val="00012B5C"/>
    <w:rsid w:val="000134B5"/>
    <w:rsid w:val="00013769"/>
    <w:rsid w:val="00014B02"/>
    <w:rsid w:val="00014B88"/>
    <w:rsid w:val="0001665F"/>
    <w:rsid w:val="0001674E"/>
    <w:rsid w:val="00016AC8"/>
    <w:rsid w:val="000174A8"/>
    <w:rsid w:val="00022BD1"/>
    <w:rsid w:val="0002321F"/>
    <w:rsid w:val="00023A43"/>
    <w:rsid w:val="00023A54"/>
    <w:rsid w:val="00024704"/>
    <w:rsid w:val="0002522E"/>
    <w:rsid w:val="0002590C"/>
    <w:rsid w:val="00026CCF"/>
    <w:rsid w:val="000272F5"/>
    <w:rsid w:val="000302E2"/>
    <w:rsid w:val="00031B83"/>
    <w:rsid w:val="0003239C"/>
    <w:rsid w:val="0003493C"/>
    <w:rsid w:val="00034B5B"/>
    <w:rsid w:val="00034DB1"/>
    <w:rsid w:val="0003567A"/>
    <w:rsid w:val="00040275"/>
    <w:rsid w:val="0004093E"/>
    <w:rsid w:val="00042736"/>
    <w:rsid w:val="00043534"/>
    <w:rsid w:val="000437D6"/>
    <w:rsid w:val="00044D3D"/>
    <w:rsid w:val="000463D1"/>
    <w:rsid w:val="00046C56"/>
    <w:rsid w:val="0004766F"/>
    <w:rsid w:val="00050194"/>
    <w:rsid w:val="000516FE"/>
    <w:rsid w:val="00054AF4"/>
    <w:rsid w:val="00055410"/>
    <w:rsid w:val="000556CB"/>
    <w:rsid w:val="00055DB9"/>
    <w:rsid w:val="00056474"/>
    <w:rsid w:val="00060162"/>
    <w:rsid w:val="00060DFE"/>
    <w:rsid w:val="00063072"/>
    <w:rsid w:val="0006346D"/>
    <w:rsid w:val="00064DB9"/>
    <w:rsid w:val="00066010"/>
    <w:rsid w:val="00070797"/>
    <w:rsid w:val="000711F6"/>
    <w:rsid w:val="00071FDE"/>
    <w:rsid w:val="00072A39"/>
    <w:rsid w:val="00072B02"/>
    <w:rsid w:val="0007382C"/>
    <w:rsid w:val="00073EC7"/>
    <w:rsid w:val="000743A9"/>
    <w:rsid w:val="0007479B"/>
    <w:rsid w:val="00075815"/>
    <w:rsid w:val="000766F3"/>
    <w:rsid w:val="0007731B"/>
    <w:rsid w:val="0007789A"/>
    <w:rsid w:val="00077A48"/>
    <w:rsid w:val="00077CFE"/>
    <w:rsid w:val="00080217"/>
    <w:rsid w:val="00080E66"/>
    <w:rsid w:val="00081E18"/>
    <w:rsid w:val="00082050"/>
    <w:rsid w:val="000824CA"/>
    <w:rsid w:val="00083149"/>
    <w:rsid w:val="000832E9"/>
    <w:rsid w:val="00083337"/>
    <w:rsid w:val="00083AA4"/>
    <w:rsid w:val="00085549"/>
    <w:rsid w:val="00085621"/>
    <w:rsid w:val="00085821"/>
    <w:rsid w:val="00086B99"/>
    <w:rsid w:val="000872E3"/>
    <w:rsid w:val="0008752F"/>
    <w:rsid w:val="00087E8A"/>
    <w:rsid w:val="0009024D"/>
    <w:rsid w:val="0009073F"/>
    <w:rsid w:val="000916BE"/>
    <w:rsid w:val="00092598"/>
    <w:rsid w:val="000960DE"/>
    <w:rsid w:val="000961D6"/>
    <w:rsid w:val="000967A6"/>
    <w:rsid w:val="00097BE3"/>
    <w:rsid w:val="00097C9D"/>
    <w:rsid w:val="00097DCC"/>
    <w:rsid w:val="000A01EB"/>
    <w:rsid w:val="000A128B"/>
    <w:rsid w:val="000A134A"/>
    <w:rsid w:val="000A29A6"/>
    <w:rsid w:val="000A4C18"/>
    <w:rsid w:val="000A53AC"/>
    <w:rsid w:val="000A613C"/>
    <w:rsid w:val="000A65F0"/>
    <w:rsid w:val="000A6AEE"/>
    <w:rsid w:val="000B23F7"/>
    <w:rsid w:val="000B24FA"/>
    <w:rsid w:val="000B26CB"/>
    <w:rsid w:val="000B28F5"/>
    <w:rsid w:val="000B314B"/>
    <w:rsid w:val="000B5B9E"/>
    <w:rsid w:val="000B65F6"/>
    <w:rsid w:val="000B662A"/>
    <w:rsid w:val="000B6B41"/>
    <w:rsid w:val="000B6C2D"/>
    <w:rsid w:val="000B79BF"/>
    <w:rsid w:val="000B7A14"/>
    <w:rsid w:val="000C04CA"/>
    <w:rsid w:val="000C11CF"/>
    <w:rsid w:val="000C15BC"/>
    <w:rsid w:val="000C253F"/>
    <w:rsid w:val="000C37CA"/>
    <w:rsid w:val="000C3D50"/>
    <w:rsid w:val="000C442B"/>
    <w:rsid w:val="000C44B0"/>
    <w:rsid w:val="000C563C"/>
    <w:rsid w:val="000C5C5C"/>
    <w:rsid w:val="000C69D3"/>
    <w:rsid w:val="000C6D91"/>
    <w:rsid w:val="000C6FFF"/>
    <w:rsid w:val="000C7365"/>
    <w:rsid w:val="000D069A"/>
    <w:rsid w:val="000D0CE3"/>
    <w:rsid w:val="000D105F"/>
    <w:rsid w:val="000D1169"/>
    <w:rsid w:val="000D1659"/>
    <w:rsid w:val="000D1D79"/>
    <w:rsid w:val="000D3CA0"/>
    <w:rsid w:val="000D6F6E"/>
    <w:rsid w:val="000D74C7"/>
    <w:rsid w:val="000D772C"/>
    <w:rsid w:val="000D7938"/>
    <w:rsid w:val="000E0704"/>
    <w:rsid w:val="000E2B7C"/>
    <w:rsid w:val="000E2F91"/>
    <w:rsid w:val="000E40E3"/>
    <w:rsid w:val="000E492C"/>
    <w:rsid w:val="000E4DF5"/>
    <w:rsid w:val="000E5260"/>
    <w:rsid w:val="000E54CE"/>
    <w:rsid w:val="000E65B5"/>
    <w:rsid w:val="000E6B60"/>
    <w:rsid w:val="000E6B94"/>
    <w:rsid w:val="000E7AB7"/>
    <w:rsid w:val="000F02F6"/>
    <w:rsid w:val="000F2453"/>
    <w:rsid w:val="000F280D"/>
    <w:rsid w:val="000F2D96"/>
    <w:rsid w:val="000F3309"/>
    <w:rsid w:val="000F4388"/>
    <w:rsid w:val="000F4CD5"/>
    <w:rsid w:val="000F567F"/>
    <w:rsid w:val="000F6AD2"/>
    <w:rsid w:val="000F71AE"/>
    <w:rsid w:val="000F78BB"/>
    <w:rsid w:val="000F795E"/>
    <w:rsid w:val="001007D0"/>
    <w:rsid w:val="00100BB2"/>
    <w:rsid w:val="00101507"/>
    <w:rsid w:val="00101FC3"/>
    <w:rsid w:val="00103981"/>
    <w:rsid w:val="0010414F"/>
    <w:rsid w:val="001041E4"/>
    <w:rsid w:val="00106553"/>
    <w:rsid w:val="00106D01"/>
    <w:rsid w:val="0010723F"/>
    <w:rsid w:val="0010737F"/>
    <w:rsid w:val="00107B60"/>
    <w:rsid w:val="00110292"/>
    <w:rsid w:val="00111DD9"/>
    <w:rsid w:val="00114085"/>
    <w:rsid w:val="00114097"/>
    <w:rsid w:val="00114145"/>
    <w:rsid w:val="00117344"/>
    <w:rsid w:val="0012098B"/>
    <w:rsid w:val="00120D61"/>
    <w:rsid w:val="0012155F"/>
    <w:rsid w:val="00121EE0"/>
    <w:rsid w:val="00123220"/>
    <w:rsid w:val="001234DD"/>
    <w:rsid w:val="00123759"/>
    <w:rsid w:val="00124A79"/>
    <w:rsid w:val="00124EE5"/>
    <w:rsid w:val="00125BCD"/>
    <w:rsid w:val="0013003D"/>
    <w:rsid w:val="00130410"/>
    <w:rsid w:val="0013155E"/>
    <w:rsid w:val="00131616"/>
    <w:rsid w:val="00131620"/>
    <w:rsid w:val="0013322B"/>
    <w:rsid w:val="00134808"/>
    <w:rsid w:val="001358AC"/>
    <w:rsid w:val="00135C7F"/>
    <w:rsid w:val="0013747B"/>
    <w:rsid w:val="00141AD4"/>
    <w:rsid w:val="00142480"/>
    <w:rsid w:val="00143B2D"/>
    <w:rsid w:val="001442BD"/>
    <w:rsid w:val="00146163"/>
    <w:rsid w:val="001479FA"/>
    <w:rsid w:val="00147DCC"/>
    <w:rsid w:val="00147F6A"/>
    <w:rsid w:val="0015132A"/>
    <w:rsid w:val="0015135F"/>
    <w:rsid w:val="0015274D"/>
    <w:rsid w:val="00155BC2"/>
    <w:rsid w:val="00155D52"/>
    <w:rsid w:val="0016010E"/>
    <w:rsid w:val="00161762"/>
    <w:rsid w:val="00161B1B"/>
    <w:rsid w:val="00163589"/>
    <w:rsid w:val="00165120"/>
    <w:rsid w:val="00166E60"/>
    <w:rsid w:val="0016710B"/>
    <w:rsid w:val="0016784F"/>
    <w:rsid w:val="00167C6E"/>
    <w:rsid w:val="00172597"/>
    <w:rsid w:val="00173167"/>
    <w:rsid w:val="00173B04"/>
    <w:rsid w:val="00173D40"/>
    <w:rsid w:val="00173FC2"/>
    <w:rsid w:val="00176169"/>
    <w:rsid w:val="00177DD4"/>
    <w:rsid w:val="001802EE"/>
    <w:rsid w:val="0018034F"/>
    <w:rsid w:val="0018054A"/>
    <w:rsid w:val="001808F7"/>
    <w:rsid w:val="00181F91"/>
    <w:rsid w:val="00181FEF"/>
    <w:rsid w:val="00182264"/>
    <w:rsid w:val="00182855"/>
    <w:rsid w:val="0018357B"/>
    <w:rsid w:val="00183EC5"/>
    <w:rsid w:val="00186563"/>
    <w:rsid w:val="00187429"/>
    <w:rsid w:val="00190798"/>
    <w:rsid w:val="00190A77"/>
    <w:rsid w:val="00194AD5"/>
    <w:rsid w:val="00195426"/>
    <w:rsid w:val="001955CC"/>
    <w:rsid w:val="00197914"/>
    <w:rsid w:val="00197C34"/>
    <w:rsid w:val="001A2D1F"/>
    <w:rsid w:val="001A3B99"/>
    <w:rsid w:val="001A3D42"/>
    <w:rsid w:val="001A45A4"/>
    <w:rsid w:val="001A5DFD"/>
    <w:rsid w:val="001A6A4B"/>
    <w:rsid w:val="001A6C8B"/>
    <w:rsid w:val="001A6FDE"/>
    <w:rsid w:val="001B16A5"/>
    <w:rsid w:val="001B1CEA"/>
    <w:rsid w:val="001B23C2"/>
    <w:rsid w:val="001B3C6D"/>
    <w:rsid w:val="001B44E0"/>
    <w:rsid w:val="001B5357"/>
    <w:rsid w:val="001B6C39"/>
    <w:rsid w:val="001B6DD9"/>
    <w:rsid w:val="001B7FC6"/>
    <w:rsid w:val="001C1FD1"/>
    <w:rsid w:val="001C2498"/>
    <w:rsid w:val="001C5FF8"/>
    <w:rsid w:val="001C6E20"/>
    <w:rsid w:val="001C74B1"/>
    <w:rsid w:val="001D0261"/>
    <w:rsid w:val="001D0316"/>
    <w:rsid w:val="001D061B"/>
    <w:rsid w:val="001D0A48"/>
    <w:rsid w:val="001D14A0"/>
    <w:rsid w:val="001D22A8"/>
    <w:rsid w:val="001D49D3"/>
    <w:rsid w:val="001D5199"/>
    <w:rsid w:val="001D621D"/>
    <w:rsid w:val="001D7947"/>
    <w:rsid w:val="001D7D6B"/>
    <w:rsid w:val="001D7E6A"/>
    <w:rsid w:val="001E08F5"/>
    <w:rsid w:val="001E0A07"/>
    <w:rsid w:val="001E0AF0"/>
    <w:rsid w:val="001E0DCC"/>
    <w:rsid w:val="001E19C8"/>
    <w:rsid w:val="001E25FB"/>
    <w:rsid w:val="001E3FF8"/>
    <w:rsid w:val="001E4575"/>
    <w:rsid w:val="001E67D4"/>
    <w:rsid w:val="001F2D00"/>
    <w:rsid w:val="001F33AF"/>
    <w:rsid w:val="001F3A98"/>
    <w:rsid w:val="001F45E9"/>
    <w:rsid w:val="001F4C82"/>
    <w:rsid w:val="001F4D57"/>
    <w:rsid w:val="001F5EF5"/>
    <w:rsid w:val="001F5FF8"/>
    <w:rsid w:val="001F6C65"/>
    <w:rsid w:val="001F7205"/>
    <w:rsid w:val="00200BFE"/>
    <w:rsid w:val="00200EAB"/>
    <w:rsid w:val="00201D44"/>
    <w:rsid w:val="00202278"/>
    <w:rsid w:val="00202E41"/>
    <w:rsid w:val="00203175"/>
    <w:rsid w:val="00203290"/>
    <w:rsid w:val="00203980"/>
    <w:rsid w:val="00203D90"/>
    <w:rsid w:val="002052FD"/>
    <w:rsid w:val="00205503"/>
    <w:rsid w:val="00205FD7"/>
    <w:rsid w:val="002060FA"/>
    <w:rsid w:val="00206B9A"/>
    <w:rsid w:val="00207077"/>
    <w:rsid w:val="00207AD4"/>
    <w:rsid w:val="00207E0B"/>
    <w:rsid w:val="002117B3"/>
    <w:rsid w:val="00212326"/>
    <w:rsid w:val="002126B8"/>
    <w:rsid w:val="00212703"/>
    <w:rsid w:val="00212DEB"/>
    <w:rsid w:val="00213076"/>
    <w:rsid w:val="00213637"/>
    <w:rsid w:val="00213A81"/>
    <w:rsid w:val="00213BBC"/>
    <w:rsid w:val="002142CB"/>
    <w:rsid w:val="002143E6"/>
    <w:rsid w:val="00214AD4"/>
    <w:rsid w:val="00215138"/>
    <w:rsid w:val="00216BE5"/>
    <w:rsid w:val="00216D67"/>
    <w:rsid w:val="00217038"/>
    <w:rsid w:val="002174E2"/>
    <w:rsid w:val="0022002C"/>
    <w:rsid w:val="002206CC"/>
    <w:rsid w:val="002213D7"/>
    <w:rsid w:val="00221827"/>
    <w:rsid w:val="0022195D"/>
    <w:rsid w:val="002221A6"/>
    <w:rsid w:val="00222E22"/>
    <w:rsid w:val="00223257"/>
    <w:rsid w:val="002244AF"/>
    <w:rsid w:val="00230B1E"/>
    <w:rsid w:val="00230D12"/>
    <w:rsid w:val="00232871"/>
    <w:rsid w:val="00232874"/>
    <w:rsid w:val="00232E41"/>
    <w:rsid w:val="00233695"/>
    <w:rsid w:val="00234112"/>
    <w:rsid w:val="00234590"/>
    <w:rsid w:val="002347BA"/>
    <w:rsid w:val="0023562D"/>
    <w:rsid w:val="00237155"/>
    <w:rsid w:val="002424D6"/>
    <w:rsid w:val="00243DC4"/>
    <w:rsid w:val="0024786B"/>
    <w:rsid w:val="00247CF9"/>
    <w:rsid w:val="0025077D"/>
    <w:rsid w:val="00252929"/>
    <w:rsid w:val="00252D1A"/>
    <w:rsid w:val="002537F4"/>
    <w:rsid w:val="002553D9"/>
    <w:rsid w:val="00256BEE"/>
    <w:rsid w:val="00260EE0"/>
    <w:rsid w:val="00260F91"/>
    <w:rsid w:val="00260FB7"/>
    <w:rsid w:val="00261672"/>
    <w:rsid w:val="00262251"/>
    <w:rsid w:val="002631A7"/>
    <w:rsid w:val="00265381"/>
    <w:rsid w:val="002660D4"/>
    <w:rsid w:val="00267AE2"/>
    <w:rsid w:val="002701CE"/>
    <w:rsid w:val="00270481"/>
    <w:rsid w:val="002709CC"/>
    <w:rsid w:val="00271C94"/>
    <w:rsid w:val="00271EB4"/>
    <w:rsid w:val="0027210D"/>
    <w:rsid w:val="00274FE1"/>
    <w:rsid w:val="00275C04"/>
    <w:rsid w:val="0027611E"/>
    <w:rsid w:val="002764CE"/>
    <w:rsid w:val="002765DE"/>
    <w:rsid w:val="002772EC"/>
    <w:rsid w:val="0028026D"/>
    <w:rsid w:val="00280413"/>
    <w:rsid w:val="00280439"/>
    <w:rsid w:val="00280440"/>
    <w:rsid w:val="002821B4"/>
    <w:rsid w:val="002846D4"/>
    <w:rsid w:val="002848F8"/>
    <w:rsid w:val="00285BFF"/>
    <w:rsid w:val="00285E5F"/>
    <w:rsid w:val="0028696A"/>
    <w:rsid w:val="00287007"/>
    <w:rsid w:val="0029087D"/>
    <w:rsid w:val="0029088C"/>
    <w:rsid w:val="00292F82"/>
    <w:rsid w:val="002936E1"/>
    <w:rsid w:val="002939BB"/>
    <w:rsid w:val="00296E99"/>
    <w:rsid w:val="0029754C"/>
    <w:rsid w:val="002976A1"/>
    <w:rsid w:val="00297A09"/>
    <w:rsid w:val="002A0012"/>
    <w:rsid w:val="002A12D2"/>
    <w:rsid w:val="002A2142"/>
    <w:rsid w:val="002A232A"/>
    <w:rsid w:val="002A4D15"/>
    <w:rsid w:val="002A57CB"/>
    <w:rsid w:val="002A58ED"/>
    <w:rsid w:val="002A7233"/>
    <w:rsid w:val="002A7411"/>
    <w:rsid w:val="002A7526"/>
    <w:rsid w:val="002A792E"/>
    <w:rsid w:val="002A7C8F"/>
    <w:rsid w:val="002B0304"/>
    <w:rsid w:val="002B158E"/>
    <w:rsid w:val="002B2160"/>
    <w:rsid w:val="002B2C10"/>
    <w:rsid w:val="002B2F9F"/>
    <w:rsid w:val="002B45C3"/>
    <w:rsid w:val="002B55B2"/>
    <w:rsid w:val="002B6D52"/>
    <w:rsid w:val="002B7790"/>
    <w:rsid w:val="002B78B5"/>
    <w:rsid w:val="002C013F"/>
    <w:rsid w:val="002C0C6C"/>
    <w:rsid w:val="002C0F98"/>
    <w:rsid w:val="002C14F1"/>
    <w:rsid w:val="002C5C83"/>
    <w:rsid w:val="002C63C2"/>
    <w:rsid w:val="002C663F"/>
    <w:rsid w:val="002D47A9"/>
    <w:rsid w:val="002D5DC3"/>
    <w:rsid w:val="002D6213"/>
    <w:rsid w:val="002D7179"/>
    <w:rsid w:val="002D74ED"/>
    <w:rsid w:val="002D7524"/>
    <w:rsid w:val="002E0272"/>
    <w:rsid w:val="002E048B"/>
    <w:rsid w:val="002E07FF"/>
    <w:rsid w:val="002E0C22"/>
    <w:rsid w:val="002E152B"/>
    <w:rsid w:val="002E2392"/>
    <w:rsid w:val="002E2D98"/>
    <w:rsid w:val="002E5BA9"/>
    <w:rsid w:val="002E65DA"/>
    <w:rsid w:val="002E71E3"/>
    <w:rsid w:val="002E7359"/>
    <w:rsid w:val="002F24D2"/>
    <w:rsid w:val="002F2C8E"/>
    <w:rsid w:val="002F2FBF"/>
    <w:rsid w:val="002F35A4"/>
    <w:rsid w:val="002F44EA"/>
    <w:rsid w:val="002F476C"/>
    <w:rsid w:val="002F6302"/>
    <w:rsid w:val="003022A1"/>
    <w:rsid w:val="0030296C"/>
    <w:rsid w:val="00303237"/>
    <w:rsid w:val="003044DD"/>
    <w:rsid w:val="003055F9"/>
    <w:rsid w:val="0030639F"/>
    <w:rsid w:val="00306746"/>
    <w:rsid w:val="00307262"/>
    <w:rsid w:val="00307C55"/>
    <w:rsid w:val="00310AA1"/>
    <w:rsid w:val="00312355"/>
    <w:rsid w:val="00312F95"/>
    <w:rsid w:val="00313789"/>
    <w:rsid w:val="00313D86"/>
    <w:rsid w:val="00314706"/>
    <w:rsid w:val="00316BD9"/>
    <w:rsid w:val="00316E40"/>
    <w:rsid w:val="00317393"/>
    <w:rsid w:val="00320252"/>
    <w:rsid w:val="00322397"/>
    <w:rsid w:val="00322760"/>
    <w:rsid w:val="0032289C"/>
    <w:rsid w:val="00322C5A"/>
    <w:rsid w:val="00322EF4"/>
    <w:rsid w:val="0032334A"/>
    <w:rsid w:val="00323CC5"/>
    <w:rsid w:val="00323FEB"/>
    <w:rsid w:val="00324098"/>
    <w:rsid w:val="003251C8"/>
    <w:rsid w:val="00327537"/>
    <w:rsid w:val="00330A49"/>
    <w:rsid w:val="00330BCD"/>
    <w:rsid w:val="003318FE"/>
    <w:rsid w:val="00331BF5"/>
    <w:rsid w:val="0033315E"/>
    <w:rsid w:val="003336B9"/>
    <w:rsid w:val="00335376"/>
    <w:rsid w:val="00336FE8"/>
    <w:rsid w:val="0034018A"/>
    <w:rsid w:val="003403FC"/>
    <w:rsid w:val="00340864"/>
    <w:rsid w:val="00342547"/>
    <w:rsid w:val="00343D98"/>
    <w:rsid w:val="003444A9"/>
    <w:rsid w:val="00344CEC"/>
    <w:rsid w:val="00345053"/>
    <w:rsid w:val="00345793"/>
    <w:rsid w:val="00346C2C"/>
    <w:rsid w:val="0034796C"/>
    <w:rsid w:val="003510A1"/>
    <w:rsid w:val="00351683"/>
    <w:rsid w:val="00351ADE"/>
    <w:rsid w:val="00354EF5"/>
    <w:rsid w:val="003555A0"/>
    <w:rsid w:val="00355E20"/>
    <w:rsid w:val="00356AEE"/>
    <w:rsid w:val="00357873"/>
    <w:rsid w:val="00357ADA"/>
    <w:rsid w:val="00357B21"/>
    <w:rsid w:val="003605A0"/>
    <w:rsid w:val="003605FA"/>
    <w:rsid w:val="00364240"/>
    <w:rsid w:val="0036494D"/>
    <w:rsid w:val="0036519B"/>
    <w:rsid w:val="003652E9"/>
    <w:rsid w:val="0036563F"/>
    <w:rsid w:val="003658C9"/>
    <w:rsid w:val="00365983"/>
    <w:rsid w:val="00367192"/>
    <w:rsid w:val="00370921"/>
    <w:rsid w:val="00370F85"/>
    <w:rsid w:val="0037187C"/>
    <w:rsid w:val="00372AB9"/>
    <w:rsid w:val="00373563"/>
    <w:rsid w:val="00373C95"/>
    <w:rsid w:val="003742D5"/>
    <w:rsid w:val="00375101"/>
    <w:rsid w:val="00375D4D"/>
    <w:rsid w:val="003776A5"/>
    <w:rsid w:val="003821A9"/>
    <w:rsid w:val="00382378"/>
    <w:rsid w:val="00382C99"/>
    <w:rsid w:val="00383971"/>
    <w:rsid w:val="00384428"/>
    <w:rsid w:val="0038489A"/>
    <w:rsid w:val="00384CAD"/>
    <w:rsid w:val="003867DE"/>
    <w:rsid w:val="00390503"/>
    <w:rsid w:val="00390CF5"/>
    <w:rsid w:val="00390FDA"/>
    <w:rsid w:val="00391231"/>
    <w:rsid w:val="00391403"/>
    <w:rsid w:val="003928EA"/>
    <w:rsid w:val="00394FAD"/>
    <w:rsid w:val="003A0A74"/>
    <w:rsid w:val="003A15C1"/>
    <w:rsid w:val="003A1A21"/>
    <w:rsid w:val="003A2049"/>
    <w:rsid w:val="003A2394"/>
    <w:rsid w:val="003A2F38"/>
    <w:rsid w:val="003A3F3B"/>
    <w:rsid w:val="003A4596"/>
    <w:rsid w:val="003A61A6"/>
    <w:rsid w:val="003A729B"/>
    <w:rsid w:val="003A7AC2"/>
    <w:rsid w:val="003B07FB"/>
    <w:rsid w:val="003B25D8"/>
    <w:rsid w:val="003B3043"/>
    <w:rsid w:val="003B324A"/>
    <w:rsid w:val="003B4E88"/>
    <w:rsid w:val="003B4FA2"/>
    <w:rsid w:val="003B5E09"/>
    <w:rsid w:val="003B6546"/>
    <w:rsid w:val="003B65D7"/>
    <w:rsid w:val="003B6D95"/>
    <w:rsid w:val="003B76A1"/>
    <w:rsid w:val="003C002E"/>
    <w:rsid w:val="003C0461"/>
    <w:rsid w:val="003C0B95"/>
    <w:rsid w:val="003C0D20"/>
    <w:rsid w:val="003C1E8D"/>
    <w:rsid w:val="003C32D0"/>
    <w:rsid w:val="003C53D3"/>
    <w:rsid w:val="003C5889"/>
    <w:rsid w:val="003C5A6E"/>
    <w:rsid w:val="003C5BBD"/>
    <w:rsid w:val="003C64DD"/>
    <w:rsid w:val="003C6D04"/>
    <w:rsid w:val="003C747E"/>
    <w:rsid w:val="003C7B6F"/>
    <w:rsid w:val="003D090F"/>
    <w:rsid w:val="003D0AD6"/>
    <w:rsid w:val="003D10BE"/>
    <w:rsid w:val="003D1834"/>
    <w:rsid w:val="003D35F2"/>
    <w:rsid w:val="003D363E"/>
    <w:rsid w:val="003D3E47"/>
    <w:rsid w:val="003D461C"/>
    <w:rsid w:val="003D5BBD"/>
    <w:rsid w:val="003D7D2E"/>
    <w:rsid w:val="003D7D8D"/>
    <w:rsid w:val="003D7FA7"/>
    <w:rsid w:val="003E0246"/>
    <w:rsid w:val="003E0256"/>
    <w:rsid w:val="003E2647"/>
    <w:rsid w:val="003E3983"/>
    <w:rsid w:val="003E3BEE"/>
    <w:rsid w:val="003E3F1C"/>
    <w:rsid w:val="003E45A6"/>
    <w:rsid w:val="003E51DE"/>
    <w:rsid w:val="003E6823"/>
    <w:rsid w:val="003E6A84"/>
    <w:rsid w:val="003E6E54"/>
    <w:rsid w:val="003E72DF"/>
    <w:rsid w:val="003E7981"/>
    <w:rsid w:val="003E7D9D"/>
    <w:rsid w:val="003F0078"/>
    <w:rsid w:val="003F047A"/>
    <w:rsid w:val="003F2713"/>
    <w:rsid w:val="003F285C"/>
    <w:rsid w:val="003F3065"/>
    <w:rsid w:val="003F32A4"/>
    <w:rsid w:val="003F3BB1"/>
    <w:rsid w:val="003F4304"/>
    <w:rsid w:val="003F4837"/>
    <w:rsid w:val="003F585A"/>
    <w:rsid w:val="003F7401"/>
    <w:rsid w:val="003F7478"/>
    <w:rsid w:val="003F79BB"/>
    <w:rsid w:val="004009D3"/>
    <w:rsid w:val="00400E16"/>
    <w:rsid w:val="00400E66"/>
    <w:rsid w:val="00403C64"/>
    <w:rsid w:val="0040498D"/>
    <w:rsid w:val="00404A6D"/>
    <w:rsid w:val="00404CD5"/>
    <w:rsid w:val="00407AB1"/>
    <w:rsid w:val="00407DB7"/>
    <w:rsid w:val="00410925"/>
    <w:rsid w:val="00410D9C"/>
    <w:rsid w:val="0041111E"/>
    <w:rsid w:val="00412A61"/>
    <w:rsid w:val="004132C6"/>
    <w:rsid w:val="00413AE0"/>
    <w:rsid w:val="00414D51"/>
    <w:rsid w:val="00414FD9"/>
    <w:rsid w:val="004170DF"/>
    <w:rsid w:val="0041719B"/>
    <w:rsid w:val="00417B3F"/>
    <w:rsid w:val="004205A9"/>
    <w:rsid w:val="00420CE5"/>
    <w:rsid w:val="00421F67"/>
    <w:rsid w:val="00422CF5"/>
    <w:rsid w:val="004244EA"/>
    <w:rsid w:val="00424CEC"/>
    <w:rsid w:val="00424D15"/>
    <w:rsid w:val="0042530C"/>
    <w:rsid w:val="00425315"/>
    <w:rsid w:val="00425509"/>
    <w:rsid w:val="004263D1"/>
    <w:rsid w:val="00430760"/>
    <w:rsid w:val="00430801"/>
    <w:rsid w:val="004315E9"/>
    <w:rsid w:val="00432532"/>
    <w:rsid w:val="00432554"/>
    <w:rsid w:val="00433398"/>
    <w:rsid w:val="00433E15"/>
    <w:rsid w:val="00433F2F"/>
    <w:rsid w:val="004342DC"/>
    <w:rsid w:val="00434A11"/>
    <w:rsid w:val="00434DA1"/>
    <w:rsid w:val="00435965"/>
    <w:rsid w:val="00436509"/>
    <w:rsid w:val="00437FDD"/>
    <w:rsid w:val="0044045A"/>
    <w:rsid w:val="00441C73"/>
    <w:rsid w:val="00443B64"/>
    <w:rsid w:val="004446DE"/>
    <w:rsid w:val="004462C9"/>
    <w:rsid w:val="0044644F"/>
    <w:rsid w:val="0045051E"/>
    <w:rsid w:val="00451F00"/>
    <w:rsid w:val="004530B7"/>
    <w:rsid w:val="0045348C"/>
    <w:rsid w:val="004536C1"/>
    <w:rsid w:val="004537F7"/>
    <w:rsid w:val="00453CAA"/>
    <w:rsid w:val="004546EE"/>
    <w:rsid w:val="00454D31"/>
    <w:rsid w:val="004608A1"/>
    <w:rsid w:val="00460CF3"/>
    <w:rsid w:val="00462847"/>
    <w:rsid w:val="00462C55"/>
    <w:rsid w:val="004638A9"/>
    <w:rsid w:val="00463A23"/>
    <w:rsid w:val="00463F1A"/>
    <w:rsid w:val="004644A0"/>
    <w:rsid w:val="0046462B"/>
    <w:rsid w:val="00464951"/>
    <w:rsid w:val="00465FF2"/>
    <w:rsid w:val="00466D81"/>
    <w:rsid w:val="00466F42"/>
    <w:rsid w:val="00466FC5"/>
    <w:rsid w:val="00467A5C"/>
    <w:rsid w:val="00467DA9"/>
    <w:rsid w:val="00467FAB"/>
    <w:rsid w:val="00470430"/>
    <w:rsid w:val="00471159"/>
    <w:rsid w:val="004711D6"/>
    <w:rsid w:val="00471B97"/>
    <w:rsid w:val="004723E8"/>
    <w:rsid w:val="004733AB"/>
    <w:rsid w:val="0047342E"/>
    <w:rsid w:val="004741DE"/>
    <w:rsid w:val="004754E5"/>
    <w:rsid w:val="004754EF"/>
    <w:rsid w:val="00475EEB"/>
    <w:rsid w:val="004764E6"/>
    <w:rsid w:val="004776A8"/>
    <w:rsid w:val="00477A22"/>
    <w:rsid w:val="0048003B"/>
    <w:rsid w:val="0048053A"/>
    <w:rsid w:val="00480790"/>
    <w:rsid w:val="00480B39"/>
    <w:rsid w:val="0048184A"/>
    <w:rsid w:val="004833C6"/>
    <w:rsid w:val="0048341E"/>
    <w:rsid w:val="00483ACE"/>
    <w:rsid w:val="00483D15"/>
    <w:rsid w:val="0048526A"/>
    <w:rsid w:val="00485883"/>
    <w:rsid w:val="00486362"/>
    <w:rsid w:val="00486717"/>
    <w:rsid w:val="0048780D"/>
    <w:rsid w:val="0049071E"/>
    <w:rsid w:val="00490C88"/>
    <w:rsid w:val="00492694"/>
    <w:rsid w:val="00492C08"/>
    <w:rsid w:val="00492C38"/>
    <w:rsid w:val="00494279"/>
    <w:rsid w:val="00494341"/>
    <w:rsid w:val="00494946"/>
    <w:rsid w:val="00495A1E"/>
    <w:rsid w:val="004967BB"/>
    <w:rsid w:val="00496C6E"/>
    <w:rsid w:val="00496DC3"/>
    <w:rsid w:val="00497721"/>
    <w:rsid w:val="0049778E"/>
    <w:rsid w:val="00497A14"/>
    <w:rsid w:val="00497AD1"/>
    <w:rsid w:val="004A0861"/>
    <w:rsid w:val="004A0ABB"/>
    <w:rsid w:val="004A18A7"/>
    <w:rsid w:val="004A1E22"/>
    <w:rsid w:val="004A375B"/>
    <w:rsid w:val="004A7B34"/>
    <w:rsid w:val="004B0210"/>
    <w:rsid w:val="004B1C83"/>
    <w:rsid w:val="004B3BCF"/>
    <w:rsid w:val="004B3EAE"/>
    <w:rsid w:val="004B5B8A"/>
    <w:rsid w:val="004B5C85"/>
    <w:rsid w:val="004B74F7"/>
    <w:rsid w:val="004B791A"/>
    <w:rsid w:val="004C032A"/>
    <w:rsid w:val="004C207F"/>
    <w:rsid w:val="004C20ED"/>
    <w:rsid w:val="004C3162"/>
    <w:rsid w:val="004C49E0"/>
    <w:rsid w:val="004C4F2C"/>
    <w:rsid w:val="004C5399"/>
    <w:rsid w:val="004C53BC"/>
    <w:rsid w:val="004C5F27"/>
    <w:rsid w:val="004C72F1"/>
    <w:rsid w:val="004C7507"/>
    <w:rsid w:val="004C7985"/>
    <w:rsid w:val="004D0BFC"/>
    <w:rsid w:val="004D1246"/>
    <w:rsid w:val="004D258D"/>
    <w:rsid w:val="004D5252"/>
    <w:rsid w:val="004D633D"/>
    <w:rsid w:val="004D66E4"/>
    <w:rsid w:val="004D7C8E"/>
    <w:rsid w:val="004E151E"/>
    <w:rsid w:val="004E1E5D"/>
    <w:rsid w:val="004E2D01"/>
    <w:rsid w:val="004E5451"/>
    <w:rsid w:val="004F0039"/>
    <w:rsid w:val="004F0921"/>
    <w:rsid w:val="004F0E39"/>
    <w:rsid w:val="004F0EB5"/>
    <w:rsid w:val="004F1129"/>
    <w:rsid w:val="004F27D3"/>
    <w:rsid w:val="004F319F"/>
    <w:rsid w:val="004F3501"/>
    <w:rsid w:val="004F366E"/>
    <w:rsid w:val="004F4091"/>
    <w:rsid w:val="004F49D9"/>
    <w:rsid w:val="004F4C23"/>
    <w:rsid w:val="004F4CCF"/>
    <w:rsid w:val="004F7335"/>
    <w:rsid w:val="00500316"/>
    <w:rsid w:val="005008F3"/>
    <w:rsid w:val="00500942"/>
    <w:rsid w:val="00501D67"/>
    <w:rsid w:val="00502899"/>
    <w:rsid w:val="0050380E"/>
    <w:rsid w:val="005041B3"/>
    <w:rsid w:val="005045ED"/>
    <w:rsid w:val="00504EDA"/>
    <w:rsid w:val="005051E9"/>
    <w:rsid w:val="00505E45"/>
    <w:rsid w:val="00506982"/>
    <w:rsid w:val="00506B30"/>
    <w:rsid w:val="005078B1"/>
    <w:rsid w:val="00510576"/>
    <w:rsid w:val="00511BD5"/>
    <w:rsid w:val="00511C28"/>
    <w:rsid w:val="0051284E"/>
    <w:rsid w:val="005130A4"/>
    <w:rsid w:val="0051318B"/>
    <w:rsid w:val="00513F13"/>
    <w:rsid w:val="00514122"/>
    <w:rsid w:val="00514127"/>
    <w:rsid w:val="00514482"/>
    <w:rsid w:val="00514822"/>
    <w:rsid w:val="00515BF4"/>
    <w:rsid w:val="005161F8"/>
    <w:rsid w:val="00520162"/>
    <w:rsid w:val="0052029A"/>
    <w:rsid w:val="00520DC7"/>
    <w:rsid w:val="00520ECF"/>
    <w:rsid w:val="00523879"/>
    <w:rsid w:val="00523921"/>
    <w:rsid w:val="00524E50"/>
    <w:rsid w:val="0052575B"/>
    <w:rsid w:val="005264D3"/>
    <w:rsid w:val="0052703B"/>
    <w:rsid w:val="00530397"/>
    <w:rsid w:val="00530714"/>
    <w:rsid w:val="00531355"/>
    <w:rsid w:val="00531A86"/>
    <w:rsid w:val="00532795"/>
    <w:rsid w:val="00532CB0"/>
    <w:rsid w:val="00532DD2"/>
    <w:rsid w:val="00533A15"/>
    <w:rsid w:val="00533FAB"/>
    <w:rsid w:val="00534686"/>
    <w:rsid w:val="00535CC1"/>
    <w:rsid w:val="0053631B"/>
    <w:rsid w:val="00536454"/>
    <w:rsid w:val="00541668"/>
    <w:rsid w:val="0054197B"/>
    <w:rsid w:val="00543081"/>
    <w:rsid w:val="00544169"/>
    <w:rsid w:val="00544538"/>
    <w:rsid w:val="005446B9"/>
    <w:rsid w:val="005449AC"/>
    <w:rsid w:val="005452CF"/>
    <w:rsid w:val="00545833"/>
    <w:rsid w:val="005464BE"/>
    <w:rsid w:val="00552645"/>
    <w:rsid w:val="005566B9"/>
    <w:rsid w:val="00556F08"/>
    <w:rsid w:val="005572FF"/>
    <w:rsid w:val="0056092E"/>
    <w:rsid w:val="00561648"/>
    <w:rsid w:val="005629E8"/>
    <w:rsid w:val="00562AA8"/>
    <w:rsid w:val="0056328C"/>
    <w:rsid w:val="00564860"/>
    <w:rsid w:val="00565210"/>
    <w:rsid w:val="005657A4"/>
    <w:rsid w:val="0056731B"/>
    <w:rsid w:val="00567BF4"/>
    <w:rsid w:val="005705B1"/>
    <w:rsid w:val="0057257B"/>
    <w:rsid w:val="00572EAA"/>
    <w:rsid w:val="005739AE"/>
    <w:rsid w:val="00574B8F"/>
    <w:rsid w:val="0057515B"/>
    <w:rsid w:val="00575ECC"/>
    <w:rsid w:val="00576A9B"/>
    <w:rsid w:val="005804E4"/>
    <w:rsid w:val="005828F7"/>
    <w:rsid w:val="00582ED6"/>
    <w:rsid w:val="00583F31"/>
    <w:rsid w:val="00584FC5"/>
    <w:rsid w:val="00585172"/>
    <w:rsid w:val="00585CDA"/>
    <w:rsid w:val="00586AD8"/>
    <w:rsid w:val="00586C61"/>
    <w:rsid w:val="005879DC"/>
    <w:rsid w:val="00587CA8"/>
    <w:rsid w:val="00591F54"/>
    <w:rsid w:val="00592546"/>
    <w:rsid w:val="00592807"/>
    <w:rsid w:val="00592AE8"/>
    <w:rsid w:val="00593641"/>
    <w:rsid w:val="00593736"/>
    <w:rsid w:val="0059379A"/>
    <w:rsid w:val="00595065"/>
    <w:rsid w:val="005957F5"/>
    <w:rsid w:val="00596E1F"/>
    <w:rsid w:val="005A00D3"/>
    <w:rsid w:val="005A091D"/>
    <w:rsid w:val="005A1A51"/>
    <w:rsid w:val="005A2DF9"/>
    <w:rsid w:val="005A38D7"/>
    <w:rsid w:val="005A3D7A"/>
    <w:rsid w:val="005A4825"/>
    <w:rsid w:val="005A562E"/>
    <w:rsid w:val="005A59ED"/>
    <w:rsid w:val="005A6431"/>
    <w:rsid w:val="005A6586"/>
    <w:rsid w:val="005A66AE"/>
    <w:rsid w:val="005A67E6"/>
    <w:rsid w:val="005A7029"/>
    <w:rsid w:val="005B0CDE"/>
    <w:rsid w:val="005B1544"/>
    <w:rsid w:val="005B21B9"/>
    <w:rsid w:val="005B26D5"/>
    <w:rsid w:val="005B2F41"/>
    <w:rsid w:val="005B3EE4"/>
    <w:rsid w:val="005B400F"/>
    <w:rsid w:val="005B52AB"/>
    <w:rsid w:val="005B54B5"/>
    <w:rsid w:val="005B5A10"/>
    <w:rsid w:val="005B664B"/>
    <w:rsid w:val="005B7D49"/>
    <w:rsid w:val="005C0287"/>
    <w:rsid w:val="005C063C"/>
    <w:rsid w:val="005C0AF8"/>
    <w:rsid w:val="005C281E"/>
    <w:rsid w:val="005C3715"/>
    <w:rsid w:val="005C38EF"/>
    <w:rsid w:val="005C3D52"/>
    <w:rsid w:val="005C40F8"/>
    <w:rsid w:val="005C4A00"/>
    <w:rsid w:val="005C4C51"/>
    <w:rsid w:val="005C5073"/>
    <w:rsid w:val="005C5601"/>
    <w:rsid w:val="005C65D0"/>
    <w:rsid w:val="005C67EC"/>
    <w:rsid w:val="005C6A85"/>
    <w:rsid w:val="005C7467"/>
    <w:rsid w:val="005C7FB0"/>
    <w:rsid w:val="005D1A5F"/>
    <w:rsid w:val="005D1DF3"/>
    <w:rsid w:val="005D25AC"/>
    <w:rsid w:val="005D44EA"/>
    <w:rsid w:val="005D4A64"/>
    <w:rsid w:val="005D4B28"/>
    <w:rsid w:val="005D58B3"/>
    <w:rsid w:val="005D5C49"/>
    <w:rsid w:val="005D613B"/>
    <w:rsid w:val="005D6522"/>
    <w:rsid w:val="005D667E"/>
    <w:rsid w:val="005D6E8E"/>
    <w:rsid w:val="005D7640"/>
    <w:rsid w:val="005E051F"/>
    <w:rsid w:val="005E1D04"/>
    <w:rsid w:val="005E1F07"/>
    <w:rsid w:val="005E2E86"/>
    <w:rsid w:val="005E2EDF"/>
    <w:rsid w:val="005E3CD2"/>
    <w:rsid w:val="005E6319"/>
    <w:rsid w:val="005E6BF7"/>
    <w:rsid w:val="005E759A"/>
    <w:rsid w:val="005E7973"/>
    <w:rsid w:val="005E7F9E"/>
    <w:rsid w:val="005F1476"/>
    <w:rsid w:val="005F255D"/>
    <w:rsid w:val="005F25CA"/>
    <w:rsid w:val="005F300F"/>
    <w:rsid w:val="005F3661"/>
    <w:rsid w:val="005F3CB5"/>
    <w:rsid w:val="005F41A8"/>
    <w:rsid w:val="005F61B9"/>
    <w:rsid w:val="005F70AC"/>
    <w:rsid w:val="005F7BA4"/>
    <w:rsid w:val="00600415"/>
    <w:rsid w:val="00601ACC"/>
    <w:rsid w:val="00602F92"/>
    <w:rsid w:val="00603F97"/>
    <w:rsid w:val="00605560"/>
    <w:rsid w:val="00605CC2"/>
    <w:rsid w:val="00606DE5"/>
    <w:rsid w:val="006072FE"/>
    <w:rsid w:val="00607CF9"/>
    <w:rsid w:val="00607D5F"/>
    <w:rsid w:val="00610C50"/>
    <w:rsid w:val="006110F5"/>
    <w:rsid w:val="00611199"/>
    <w:rsid w:val="006116C4"/>
    <w:rsid w:val="00612497"/>
    <w:rsid w:val="006135C1"/>
    <w:rsid w:val="00613AC8"/>
    <w:rsid w:val="006155D5"/>
    <w:rsid w:val="00615918"/>
    <w:rsid w:val="00620649"/>
    <w:rsid w:val="00620716"/>
    <w:rsid w:val="00620786"/>
    <w:rsid w:val="00620C5C"/>
    <w:rsid w:val="00621246"/>
    <w:rsid w:val="00622458"/>
    <w:rsid w:val="00622559"/>
    <w:rsid w:val="006226D7"/>
    <w:rsid w:val="00623216"/>
    <w:rsid w:val="00623F19"/>
    <w:rsid w:val="006244CF"/>
    <w:rsid w:val="0062464A"/>
    <w:rsid w:val="006252F7"/>
    <w:rsid w:val="00625770"/>
    <w:rsid w:val="00626281"/>
    <w:rsid w:val="006270A7"/>
    <w:rsid w:val="0063142C"/>
    <w:rsid w:val="0063185E"/>
    <w:rsid w:val="00631FA7"/>
    <w:rsid w:val="006323DC"/>
    <w:rsid w:val="0063336D"/>
    <w:rsid w:val="006339C6"/>
    <w:rsid w:val="00634342"/>
    <w:rsid w:val="00637B06"/>
    <w:rsid w:val="0064025C"/>
    <w:rsid w:val="00640662"/>
    <w:rsid w:val="00640871"/>
    <w:rsid w:val="00646887"/>
    <w:rsid w:val="00646F9A"/>
    <w:rsid w:val="00647288"/>
    <w:rsid w:val="006477A2"/>
    <w:rsid w:val="0065020A"/>
    <w:rsid w:val="00650FE6"/>
    <w:rsid w:val="00652979"/>
    <w:rsid w:val="006529D8"/>
    <w:rsid w:val="00653123"/>
    <w:rsid w:val="006538C5"/>
    <w:rsid w:val="00653D7E"/>
    <w:rsid w:val="00655AE6"/>
    <w:rsid w:val="00655E33"/>
    <w:rsid w:val="00656EF9"/>
    <w:rsid w:val="0065763F"/>
    <w:rsid w:val="00657CDE"/>
    <w:rsid w:val="00660584"/>
    <w:rsid w:val="00661F8C"/>
    <w:rsid w:val="00663248"/>
    <w:rsid w:val="0066335D"/>
    <w:rsid w:val="00665403"/>
    <w:rsid w:val="00665B9C"/>
    <w:rsid w:val="00666327"/>
    <w:rsid w:val="00666DF8"/>
    <w:rsid w:val="00671118"/>
    <w:rsid w:val="00672365"/>
    <w:rsid w:val="00672C85"/>
    <w:rsid w:val="00673039"/>
    <w:rsid w:val="00673364"/>
    <w:rsid w:val="00673365"/>
    <w:rsid w:val="00675C79"/>
    <w:rsid w:val="00676609"/>
    <w:rsid w:val="0067712F"/>
    <w:rsid w:val="0068048B"/>
    <w:rsid w:val="0068098F"/>
    <w:rsid w:val="00680B09"/>
    <w:rsid w:val="00681A62"/>
    <w:rsid w:val="00681C77"/>
    <w:rsid w:val="006820B1"/>
    <w:rsid w:val="006827CA"/>
    <w:rsid w:val="00686244"/>
    <w:rsid w:val="00686695"/>
    <w:rsid w:val="00686891"/>
    <w:rsid w:val="00687F34"/>
    <w:rsid w:val="006903DA"/>
    <w:rsid w:val="00690442"/>
    <w:rsid w:val="00690633"/>
    <w:rsid w:val="00690854"/>
    <w:rsid w:val="00690B34"/>
    <w:rsid w:val="00690CD2"/>
    <w:rsid w:val="00690DBC"/>
    <w:rsid w:val="006926F4"/>
    <w:rsid w:val="006933DD"/>
    <w:rsid w:val="00693D23"/>
    <w:rsid w:val="00693F65"/>
    <w:rsid w:val="00694E0D"/>
    <w:rsid w:val="006964CE"/>
    <w:rsid w:val="00696BB0"/>
    <w:rsid w:val="006A0126"/>
    <w:rsid w:val="006A0AA3"/>
    <w:rsid w:val="006A0B29"/>
    <w:rsid w:val="006A2DE5"/>
    <w:rsid w:val="006A33A0"/>
    <w:rsid w:val="006A3CCC"/>
    <w:rsid w:val="006A41A2"/>
    <w:rsid w:val="006A4D71"/>
    <w:rsid w:val="006B1E1D"/>
    <w:rsid w:val="006B2BD0"/>
    <w:rsid w:val="006B35E8"/>
    <w:rsid w:val="006B38BA"/>
    <w:rsid w:val="006B3BE4"/>
    <w:rsid w:val="006B4025"/>
    <w:rsid w:val="006B4704"/>
    <w:rsid w:val="006B51E1"/>
    <w:rsid w:val="006B55D4"/>
    <w:rsid w:val="006B5DD2"/>
    <w:rsid w:val="006B6C55"/>
    <w:rsid w:val="006B6F9A"/>
    <w:rsid w:val="006C06FA"/>
    <w:rsid w:val="006C0906"/>
    <w:rsid w:val="006C0BB5"/>
    <w:rsid w:val="006C2127"/>
    <w:rsid w:val="006C2340"/>
    <w:rsid w:val="006C33E6"/>
    <w:rsid w:val="006C3D3B"/>
    <w:rsid w:val="006C5F60"/>
    <w:rsid w:val="006C66CF"/>
    <w:rsid w:val="006C7A71"/>
    <w:rsid w:val="006D0AD6"/>
    <w:rsid w:val="006D2448"/>
    <w:rsid w:val="006D3A17"/>
    <w:rsid w:val="006D540E"/>
    <w:rsid w:val="006D5F3C"/>
    <w:rsid w:val="006D6496"/>
    <w:rsid w:val="006D7DA6"/>
    <w:rsid w:val="006E04B0"/>
    <w:rsid w:val="006E09A2"/>
    <w:rsid w:val="006E0AE0"/>
    <w:rsid w:val="006E1080"/>
    <w:rsid w:val="006E1E80"/>
    <w:rsid w:val="006E1FA2"/>
    <w:rsid w:val="006E3D39"/>
    <w:rsid w:val="006E44C9"/>
    <w:rsid w:val="006E711D"/>
    <w:rsid w:val="006F022C"/>
    <w:rsid w:val="006F292B"/>
    <w:rsid w:val="006F2A38"/>
    <w:rsid w:val="006F4305"/>
    <w:rsid w:val="006F465C"/>
    <w:rsid w:val="006F5D0A"/>
    <w:rsid w:val="006F5E91"/>
    <w:rsid w:val="006F75CC"/>
    <w:rsid w:val="006F7932"/>
    <w:rsid w:val="0070192D"/>
    <w:rsid w:val="00702084"/>
    <w:rsid w:val="00702235"/>
    <w:rsid w:val="007046DA"/>
    <w:rsid w:val="00705110"/>
    <w:rsid w:val="00705220"/>
    <w:rsid w:val="007059EF"/>
    <w:rsid w:val="007068DA"/>
    <w:rsid w:val="007071DB"/>
    <w:rsid w:val="0070768B"/>
    <w:rsid w:val="007079DC"/>
    <w:rsid w:val="007103AC"/>
    <w:rsid w:val="007112A3"/>
    <w:rsid w:val="00712603"/>
    <w:rsid w:val="007144EB"/>
    <w:rsid w:val="007156EB"/>
    <w:rsid w:val="00715AE3"/>
    <w:rsid w:val="00716A1A"/>
    <w:rsid w:val="00717147"/>
    <w:rsid w:val="00717357"/>
    <w:rsid w:val="00720548"/>
    <w:rsid w:val="00720B54"/>
    <w:rsid w:val="00720B67"/>
    <w:rsid w:val="00720CC2"/>
    <w:rsid w:val="00721028"/>
    <w:rsid w:val="00722226"/>
    <w:rsid w:val="00722B3E"/>
    <w:rsid w:val="00722B74"/>
    <w:rsid w:val="00722C23"/>
    <w:rsid w:val="00723187"/>
    <w:rsid w:val="00725B8B"/>
    <w:rsid w:val="0072756B"/>
    <w:rsid w:val="007307B4"/>
    <w:rsid w:val="0073396C"/>
    <w:rsid w:val="00734BDA"/>
    <w:rsid w:val="00734CDC"/>
    <w:rsid w:val="00737192"/>
    <w:rsid w:val="0073784B"/>
    <w:rsid w:val="00737BD5"/>
    <w:rsid w:val="00740024"/>
    <w:rsid w:val="00742658"/>
    <w:rsid w:val="007433E0"/>
    <w:rsid w:val="00743FD0"/>
    <w:rsid w:val="00745E6F"/>
    <w:rsid w:val="00746ADB"/>
    <w:rsid w:val="007470EC"/>
    <w:rsid w:val="00750C08"/>
    <w:rsid w:val="007514DB"/>
    <w:rsid w:val="007533E2"/>
    <w:rsid w:val="00754150"/>
    <w:rsid w:val="0075422F"/>
    <w:rsid w:val="007543BF"/>
    <w:rsid w:val="0075497D"/>
    <w:rsid w:val="00755340"/>
    <w:rsid w:val="007564AA"/>
    <w:rsid w:val="00761229"/>
    <w:rsid w:val="007618FC"/>
    <w:rsid w:val="00761EDA"/>
    <w:rsid w:val="00761F76"/>
    <w:rsid w:val="00762AA8"/>
    <w:rsid w:val="007641E6"/>
    <w:rsid w:val="00766558"/>
    <w:rsid w:val="0076655C"/>
    <w:rsid w:val="00766F1C"/>
    <w:rsid w:val="0076735D"/>
    <w:rsid w:val="0077138E"/>
    <w:rsid w:val="007716CA"/>
    <w:rsid w:val="0077367B"/>
    <w:rsid w:val="007748D6"/>
    <w:rsid w:val="007770BF"/>
    <w:rsid w:val="007808D8"/>
    <w:rsid w:val="00780C3E"/>
    <w:rsid w:val="00780DA3"/>
    <w:rsid w:val="00780E3C"/>
    <w:rsid w:val="00780F9E"/>
    <w:rsid w:val="00781C28"/>
    <w:rsid w:val="00782393"/>
    <w:rsid w:val="00783D92"/>
    <w:rsid w:val="00784863"/>
    <w:rsid w:val="00785A68"/>
    <w:rsid w:val="00785D53"/>
    <w:rsid w:val="00785FD6"/>
    <w:rsid w:val="007861F1"/>
    <w:rsid w:val="0078645D"/>
    <w:rsid w:val="00786555"/>
    <w:rsid w:val="00786E87"/>
    <w:rsid w:val="00790C0A"/>
    <w:rsid w:val="00790C72"/>
    <w:rsid w:val="0079235E"/>
    <w:rsid w:val="00793854"/>
    <w:rsid w:val="00793D02"/>
    <w:rsid w:val="007940CF"/>
    <w:rsid w:val="007962E3"/>
    <w:rsid w:val="00796571"/>
    <w:rsid w:val="0079664B"/>
    <w:rsid w:val="007966F9"/>
    <w:rsid w:val="00797256"/>
    <w:rsid w:val="00797D8D"/>
    <w:rsid w:val="007A0567"/>
    <w:rsid w:val="007A0710"/>
    <w:rsid w:val="007A1199"/>
    <w:rsid w:val="007A1743"/>
    <w:rsid w:val="007A2079"/>
    <w:rsid w:val="007A2968"/>
    <w:rsid w:val="007A2AA9"/>
    <w:rsid w:val="007A4046"/>
    <w:rsid w:val="007A42DF"/>
    <w:rsid w:val="007A4497"/>
    <w:rsid w:val="007A4D33"/>
    <w:rsid w:val="007A55A2"/>
    <w:rsid w:val="007A55C7"/>
    <w:rsid w:val="007A5C2B"/>
    <w:rsid w:val="007A785B"/>
    <w:rsid w:val="007B00B9"/>
    <w:rsid w:val="007B25B8"/>
    <w:rsid w:val="007B27D1"/>
    <w:rsid w:val="007B28E7"/>
    <w:rsid w:val="007B2B4B"/>
    <w:rsid w:val="007B31FF"/>
    <w:rsid w:val="007B3A28"/>
    <w:rsid w:val="007B3F15"/>
    <w:rsid w:val="007B510E"/>
    <w:rsid w:val="007B53A9"/>
    <w:rsid w:val="007B6A1C"/>
    <w:rsid w:val="007C0E1B"/>
    <w:rsid w:val="007C2577"/>
    <w:rsid w:val="007C25C7"/>
    <w:rsid w:val="007C273B"/>
    <w:rsid w:val="007C2A2E"/>
    <w:rsid w:val="007C39ED"/>
    <w:rsid w:val="007C40AE"/>
    <w:rsid w:val="007C42B5"/>
    <w:rsid w:val="007C564B"/>
    <w:rsid w:val="007C58CB"/>
    <w:rsid w:val="007C6CEF"/>
    <w:rsid w:val="007C7B22"/>
    <w:rsid w:val="007D0DCD"/>
    <w:rsid w:val="007D17EE"/>
    <w:rsid w:val="007D300A"/>
    <w:rsid w:val="007D3308"/>
    <w:rsid w:val="007D429E"/>
    <w:rsid w:val="007D46E4"/>
    <w:rsid w:val="007D4ED5"/>
    <w:rsid w:val="007D6284"/>
    <w:rsid w:val="007D6969"/>
    <w:rsid w:val="007D74A6"/>
    <w:rsid w:val="007D78B0"/>
    <w:rsid w:val="007D7F52"/>
    <w:rsid w:val="007E051B"/>
    <w:rsid w:val="007E0A03"/>
    <w:rsid w:val="007E1C6C"/>
    <w:rsid w:val="007E1F3B"/>
    <w:rsid w:val="007E27DE"/>
    <w:rsid w:val="007E4461"/>
    <w:rsid w:val="007E4597"/>
    <w:rsid w:val="007E52B1"/>
    <w:rsid w:val="007E547D"/>
    <w:rsid w:val="007E587F"/>
    <w:rsid w:val="007E66FA"/>
    <w:rsid w:val="007E6A3E"/>
    <w:rsid w:val="007F0792"/>
    <w:rsid w:val="007F23B5"/>
    <w:rsid w:val="007F3DDC"/>
    <w:rsid w:val="007F4E20"/>
    <w:rsid w:val="007F64FB"/>
    <w:rsid w:val="007F6691"/>
    <w:rsid w:val="007F672A"/>
    <w:rsid w:val="007F6CE5"/>
    <w:rsid w:val="007F7321"/>
    <w:rsid w:val="00800C27"/>
    <w:rsid w:val="00800FD1"/>
    <w:rsid w:val="00802586"/>
    <w:rsid w:val="008027B3"/>
    <w:rsid w:val="00803C15"/>
    <w:rsid w:val="00804EF0"/>
    <w:rsid w:val="008057EB"/>
    <w:rsid w:val="00806890"/>
    <w:rsid w:val="00806BFC"/>
    <w:rsid w:val="00806F98"/>
    <w:rsid w:val="008077DC"/>
    <w:rsid w:val="00810B07"/>
    <w:rsid w:val="008111FA"/>
    <w:rsid w:val="00812293"/>
    <w:rsid w:val="00813D3D"/>
    <w:rsid w:val="00815727"/>
    <w:rsid w:val="008179A5"/>
    <w:rsid w:val="00817FF4"/>
    <w:rsid w:val="0082118F"/>
    <w:rsid w:val="00821F3E"/>
    <w:rsid w:val="00821FAC"/>
    <w:rsid w:val="00822EBD"/>
    <w:rsid w:val="00823C46"/>
    <w:rsid w:val="0082407C"/>
    <w:rsid w:val="008243F0"/>
    <w:rsid w:val="0082533A"/>
    <w:rsid w:val="008277DE"/>
    <w:rsid w:val="00827AE1"/>
    <w:rsid w:val="0083119D"/>
    <w:rsid w:val="00831485"/>
    <w:rsid w:val="00831EBB"/>
    <w:rsid w:val="00833ACF"/>
    <w:rsid w:val="00834496"/>
    <w:rsid w:val="00834D68"/>
    <w:rsid w:val="008352A6"/>
    <w:rsid w:val="00835E73"/>
    <w:rsid w:val="008364E6"/>
    <w:rsid w:val="00836FD5"/>
    <w:rsid w:val="00837397"/>
    <w:rsid w:val="008375CC"/>
    <w:rsid w:val="008402FB"/>
    <w:rsid w:val="008406DE"/>
    <w:rsid w:val="00840C82"/>
    <w:rsid w:val="00841224"/>
    <w:rsid w:val="0084164D"/>
    <w:rsid w:val="00842217"/>
    <w:rsid w:val="0084236E"/>
    <w:rsid w:val="008426B7"/>
    <w:rsid w:val="00843325"/>
    <w:rsid w:val="008468F6"/>
    <w:rsid w:val="00847179"/>
    <w:rsid w:val="0084790E"/>
    <w:rsid w:val="008501EF"/>
    <w:rsid w:val="0085069E"/>
    <w:rsid w:val="00851823"/>
    <w:rsid w:val="008518B9"/>
    <w:rsid w:val="00852ACD"/>
    <w:rsid w:val="00853AF0"/>
    <w:rsid w:val="00854AE3"/>
    <w:rsid w:val="00855537"/>
    <w:rsid w:val="0085743A"/>
    <w:rsid w:val="008574DA"/>
    <w:rsid w:val="00857C4C"/>
    <w:rsid w:val="00861291"/>
    <w:rsid w:val="00861B82"/>
    <w:rsid w:val="00861BF0"/>
    <w:rsid w:val="00861E68"/>
    <w:rsid w:val="00862137"/>
    <w:rsid w:val="0086290B"/>
    <w:rsid w:val="00865DAA"/>
    <w:rsid w:val="00866182"/>
    <w:rsid w:val="0086636B"/>
    <w:rsid w:val="00866E07"/>
    <w:rsid w:val="008718EB"/>
    <w:rsid w:val="00872131"/>
    <w:rsid w:val="00872F9A"/>
    <w:rsid w:val="008743DD"/>
    <w:rsid w:val="008747AA"/>
    <w:rsid w:val="00874A98"/>
    <w:rsid w:val="00874FF8"/>
    <w:rsid w:val="0087563E"/>
    <w:rsid w:val="008761A8"/>
    <w:rsid w:val="00876626"/>
    <w:rsid w:val="0087709E"/>
    <w:rsid w:val="00877AEE"/>
    <w:rsid w:val="00877D2F"/>
    <w:rsid w:val="00880FEE"/>
    <w:rsid w:val="008812CE"/>
    <w:rsid w:val="00883100"/>
    <w:rsid w:val="00883731"/>
    <w:rsid w:val="00883A3B"/>
    <w:rsid w:val="00883ED1"/>
    <w:rsid w:val="00884BFA"/>
    <w:rsid w:val="00884D10"/>
    <w:rsid w:val="008855A3"/>
    <w:rsid w:val="00886B4F"/>
    <w:rsid w:val="00886D49"/>
    <w:rsid w:val="00887D5D"/>
    <w:rsid w:val="008904D3"/>
    <w:rsid w:val="0089116F"/>
    <w:rsid w:val="0089282B"/>
    <w:rsid w:val="00892966"/>
    <w:rsid w:val="00892AE5"/>
    <w:rsid w:val="00892D31"/>
    <w:rsid w:val="00892D36"/>
    <w:rsid w:val="00892D96"/>
    <w:rsid w:val="00893BE7"/>
    <w:rsid w:val="00894354"/>
    <w:rsid w:val="00894941"/>
    <w:rsid w:val="00894B60"/>
    <w:rsid w:val="00895D93"/>
    <w:rsid w:val="00895F07"/>
    <w:rsid w:val="00895F35"/>
    <w:rsid w:val="008961F4"/>
    <w:rsid w:val="00897C38"/>
    <w:rsid w:val="008A0757"/>
    <w:rsid w:val="008A0D5F"/>
    <w:rsid w:val="008A23F4"/>
    <w:rsid w:val="008A311E"/>
    <w:rsid w:val="008A4B57"/>
    <w:rsid w:val="008A50C2"/>
    <w:rsid w:val="008A5220"/>
    <w:rsid w:val="008A660D"/>
    <w:rsid w:val="008A68A5"/>
    <w:rsid w:val="008B1B29"/>
    <w:rsid w:val="008B2EE2"/>
    <w:rsid w:val="008B48E8"/>
    <w:rsid w:val="008B7A23"/>
    <w:rsid w:val="008B7A52"/>
    <w:rsid w:val="008C00BA"/>
    <w:rsid w:val="008C0588"/>
    <w:rsid w:val="008C21AD"/>
    <w:rsid w:val="008C22A0"/>
    <w:rsid w:val="008C2867"/>
    <w:rsid w:val="008C3263"/>
    <w:rsid w:val="008C3AF4"/>
    <w:rsid w:val="008C641B"/>
    <w:rsid w:val="008C6A3B"/>
    <w:rsid w:val="008C6F57"/>
    <w:rsid w:val="008C788E"/>
    <w:rsid w:val="008D0640"/>
    <w:rsid w:val="008D2338"/>
    <w:rsid w:val="008D2482"/>
    <w:rsid w:val="008D2C03"/>
    <w:rsid w:val="008D2FA3"/>
    <w:rsid w:val="008D3BDA"/>
    <w:rsid w:val="008D43AB"/>
    <w:rsid w:val="008D457C"/>
    <w:rsid w:val="008D6ECD"/>
    <w:rsid w:val="008D7D90"/>
    <w:rsid w:val="008E029A"/>
    <w:rsid w:val="008E2080"/>
    <w:rsid w:val="008E244C"/>
    <w:rsid w:val="008E3621"/>
    <w:rsid w:val="008E3928"/>
    <w:rsid w:val="008E4D2D"/>
    <w:rsid w:val="008E4F10"/>
    <w:rsid w:val="008E50AA"/>
    <w:rsid w:val="008E6026"/>
    <w:rsid w:val="008E65EA"/>
    <w:rsid w:val="008E6835"/>
    <w:rsid w:val="008E6A21"/>
    <w:rsid w:val="008E7298"/>
    <w:rsid w:val="008E79EA"/>
    <w:rsid w:val="008F102E"/>
    <w:rsid w:val="008F2406"/>
    <w:rsid w:val="008F3B2B"/>
    <w:rsid w:val="008F3F32"/>
    <w:rsid w:val="008F52C5"/>
    <w:rsid w:val="008F532F"/>
    <w:rsid w:val="008F6C0D"/>
    <w:rsid w:val="008F7691"/>
    <w:rsid w:val="008F79F7"/>
    <w:rsid w:val="009000A8"/>
    <w:rsid w:val="00900271"/>
    <w:rsid w:val="0090116F"/>
    <w:rsid w:val="00902061"/>
    <w:rsid w:val="00903393"/>
    <w:rsid w:val="0090440B"/>
    <w:rsid w:val="00905C71"/>
    <w:rsid w:val="009062BF"/>
    <w:rsid w:val="0090659A"/>
    <w:rsid w:val="00907BEA"/>
    <w:rsid w:val="00910360"/>
    <w:rsid w:val="00910CFC"/>
    <w:rsid w:val="00912CB4"/>
    <w:rsid w:val="00914518"/>
    <w:rsid w:val="009155A1"/>
    <w:rsid w:val="00915739"/>
    <w:rsid w:val="00915AB9"/>
    <w:rsid w:val="00916BAC"/>
    <w:rsid w:val="00917639"/>
    <w:rsid w:val="009176B7"/>
    <w:rsid w:val="009179A0"/>
    <w:rsid w:val="009206D3"/>
    <w:rsid w:val="00920DD3"/>
    <w:rsid w:val="009212D4"/>
    <w:rsid w:val="00921696"/>
    <w:rsid w:val="00921910"/>
    <w:rsid w:val="00922264"/>
    <w:rsid w:val="00922DA0"/>
    <w:rsid w:val="0092363C"/>
    <w:rsid w:val="0092369C"/>
    <w:rsid w:val="0092384C"/>
    <w:rsid w:val="00923EE3"/>
    <w:rsid w:val="009241E7"/>
    <w:rsid w:val="00926C6C"/>
    <w:rsid w:val="00926FC3"/>
    <w:rsid w:val="009274D1"/>
    <w:rsid w:val="00930215"/>
    <w:rsid w:val="0093120F"/>
    <w:rsid w:val="0093424D"/>
    <w:rsid w:val="0093455B"/>
    <w:rsid w:val="009361BE"/>
    <w:rsid w:val="00936372"/>
    <w:rsid w:val="00936B74"/>
    <w:rsid w:val="009378A3"/>
    <w:rsid w:val="00942408"/>
    <w:rsid w:val="00942667"/>
    <w:rsid w:val="00943253"/>
    <w:rsid w:val="009432D9"/>
    <w:rsid w:val="00943ABE"/>
    <w:rsid w:val="00944D51"/>
    <w:rsid w:val="00944D68"/>
    <w:rsid w:val="0094715E"/>
    <w:rsid w:val="00947CC4"/>
    <w:rsid w:val="00950358"/>
    <w:rsid w:val="00950C77"/>
    <w:rsid w:val="00950E61"/>
    <w:rsid w:val="009511C6"/>
    <w:rsid w:val="00951702"/>
    <w:rsid w:val="00951750"/>
    <w:rsid w:val="009520A2"/>
    <w:rsid w:val="00953589"/>
    <w:rsid w:val="0095472B"/>
    <w:rsid w:val="00954C7B"/>
    <w:rsid w:val="009555C8"/>
    <w:rsid w:val="0095723C"/>
    <w:rsid w:val="00957ED2"/>
    <w:rsid w:val="00960A58"/>
    <w:rsid w:val="00960FAA"/>
    <w:rsid w:val="00962C68"/>
    <w:rsid w:val="009641E0"/>
    <w:rsid w:val="0096436F"/>
    <w:rsid w:val="00964410"/>
    <w:rsid w:val="0096682A"/>
    <w:rsid w:val="009670E2"/>
    <w:rsid w:val="00970EAA"/>
    <w:rsid w:val="0097210E"/>
    <w:rsid w:val="0097373D"/>
    <w:rsid w:val="00977781"/>
    <w:rsid w:val="009808C8"/>
    <w:rsid w:val="0098117A"/>
    <w:rsid w:val="009842A8"/>
    <w:rsid w:val="009849A3"/>
    <w:rsid w:val="00984FBB"/>
    <w:rsid w:val="00985960"/>
    <w:rsid w:val="009862EA"/>
    <w:rsid w:val="00986CC6"/>
    <w:rsid w:val="00990315"/>
    <w:rsid w:val="00990568"/>
    <w:rsid w:val="00991414"/>
    <w:rsid w:val="00991C57"/>
    <w:rsid w:val="00991FD2"/>
    <w:rsid w:val="0099225E"/>
    <w:rsid w:val="00993852"/>
    <w:rsid w:val="00994072"/>
    <w:rsid w:val="00994485"/>
    <w:rsid w:val="0099487E"/>
    <w:rsid w:val="00996118"/>
    <w:rsid w:val="009967E7"/>
    <w:rsid w:val="00996D37"/>
    <w:rsid w:val="0099710B"/>
    <w:rsid w:val="009978CF"/>
    <w:rsid w:val="00997A41"/>
    <w:rsid w:val="009A13AF"/>
    <w:rsid w:val="009A20E7"/>
    <w:rsid w:val="009A235E"/>
    <w:rsid w:val="009A3BDE"/>
    <w:rsid w:val="009A45DB"/>
    <w:rsid w:val="009A52D3"/>
    <w:rsid w:val="009A60CE"/>
    <w:rsid w:val="009B045E"/>
    <w:rsid w:val="009B07ED"/>
    <w:rsid w:val="009B1F27"/>
    <w:rsid w:val="009B2859"/>
    <w:rsid w:val="009B422C"/>
    <w:rsid w:val="009B49E2"/>
    <w:rsid w:val="009B5217"/>
    <w:rsid w:val="009B572F"/>
    <w:rsid w:val="009B62EE"/>
    <w:rsid w:val="009B64E5"/>
    <w:rsid w:val="009B6A8E"/>
    <w:rsid w:val="009B7A58"/>
    <w:rsid w:val="009C1193"/>
    <w:rsid w:val="009C3B45"/>
    <w:rsid w:val="009C48C3"/>
    <w:rsid w:val="009C50B9"/>
    <w:rsid w:val="009C6838"/>
    <w:rsid w:val="009C6BE7"/>
    <w:rsid w:val="009C7C58"/>
    <w:rsid w:val="009D03D0"/>
    <w:rsid w:val="009D424C"/>
    <w:rsid w:val="009D4621"/>
    <w:rsid w:val="009D5150"/>
    <w:rsid w:val="009D57F9"/>
    <w:rsid w:val="009D7542"/>
    <w:rsid w:val="009D7E91"/>
    <w:rsid w:val="009D7F3C"/>
    <w:rsid w:val="009E02D9"/>
    <w:rsid w:val="009E148F"/>
    <w:rsid w:val="009E1772"/>
    <w:rsid w:val="009E2816"/>
    <w:rsid w:val="009E36D7"/>
    <w:rsid w:val="009E3CAC"/>
    <w:rsid w:val="009E48EC"/>
    <w:rsid w:val="009E4E8D"/>
    <w:rsid w:val="009E5B4A"/>
    <w:rsid w:val="009E61CC"/>
    <w:rsid w:val="009E7019"/>
    <w:rsid w:val="009E71FD"/>
    <w:rsid w:val="009E7F7C"/>
    <w:rsid w:val="009F0FA2"/>
    <w:rsid w:val="009F1C79"/>
    <w:rsid w:val="009F2D2D"/>
    <w:rsid w:val="009F3296"/>
    <w:rsid w:val="009F3362"/>
    <w:rsid w:val="009F3469"/>
    <w:rsid w:val="009F368B"/>
    <w:rsid w:val="009F45BB"/>
    <w:rsid w:val="009F606C"/>
    <w:rsid w:val="009F757C"/>
    <w:rsid w:val="009F7CFA"/>
    <w:rsid w:val="009F7D10"/>
    <w:rsid w:val="00A00488"/>
    <w:rsid w:val="00A0189C"/>
    <w:rsid w:val="00A01DF2"/>
    <w:rsid w:val="00A02028"/>
    <w:rsid w:val="00A040E5"/>
    <w:rsid w:val="00A0465E"/>
    <w:rsid w:val="00A0558E"/>
    <w:rsid w:val="00A056E2"/>
    <w:rsid w:val="00A05772"/>
    <w:rsid w:val="00A05846"/>
    <w:rsid w:val="00A0697F"/>
    <w:rsid w:val="00A117BB"/>
    <w:rsid w:val="00A11A73"/>
    <w:rsid w:val="00A13270"/>
    <w:rsid w:val="00A13625"/>
    <w:rsid w:val="00A136BE"/>
    <w:rsid w:val="00A14409"/>
    <w:rsid w:val="00A15216"/>
    <w:rsid w:val="00A15863"/>
    <w:rsid w:val="00A15867"/>
    <w:rsid w:val="00A1690C"/>
    <w:rsid w:val="00A17B8D"/>
    <w:rsid w:val="00A17E73"/>
    <w:rsid w:val="00A205F7"/>
    <w:rsid w:val="00A2066B"/>
    <w:rsid w:val="00A20C34"/>
    <w:rsid w:val="00A20EA9"/>
    <w:rsid w:val="00A221F8"/>
    <w:rsid w:val="00A22274"/>
    <w:rsid w:val="00A22ADA"/>
    <w:rsid w:val="00A22C96"/>
    <w:rsid w:val="00A237AA"/>
    <w:rsid w:val="00A25289"/>
    <w:rsid w:val="00A2567C"/>
    <w:rsid w:val="00A2603C"/>
    <w:rsid w:val="00A26D2D"/>
    <w:rsid w:val="00A27D64"/>
    <w:rsid w:val="00A3020E"/>
    <w:rsid w:val="00A304F0"/>
    <w:rsid w:val="00A30B8B"/>
    <w:rsid w:val="00A322D0"/>
    <w:rsid w:val="00A35179"/>
    <w:rsid w:val="00A36FA4"/>
    <w:rsid w:val="00A37A93"/>
    <w:rsid w:val="00A4096D"/>
    <w:rsid w:val="00A41AAE"/>
    <w:rsid w:val="00A42462"/>
    <w:rsid w:val="00A428DE"/>
    <w:rsid w:val="00A4328E"/>
    <w:rsid w:val="00A43BA3"/>
    <w:rsid w:val="00A449D8"/>
    <w:rsid w:val="00A44F6C"/>
    <w:rsid w:val="00A457C3"/>
    <w:rsid w:val="00A45FA9"/>
    <w:rsid w:val="00A46789"/>
    <w:rsid w:val="00A46FD2"/>
    <w:rsid w:val="00A47730"/>
    <w:rsid w:val="00A479FD"/>
    <w:rsid w:val="00A51013"/>
    <w:rsid w:val="00A51256"/>
    <w:rsid w:val="00A5197A"/>
    <w:rsid w:val="00A526B4"/>
    <w:rsid w:val="00A52777"/>
    <w:rsid w:val="00A52C51"/>
    <w:rsid w:val="00A5385D"/>
    <w:rsid w:val="00A53A82"/>
    <w:rsid w:val="00A53E3C"/>
    <w:rsid w:val="00A54A16"/>
    <w:rsid w:val="00A554AC"/>
    <w:rsid w:val="00A556C4"/>
    <w:rsid w:val="00A557F7"/>
    <w:rsid w:val="00A5626E"/>
    <w:rsid w:val="00A562CD"/>
    <w:rsid w:val="00A565D6"/>
    <w:rsid w:val="00A5718B"/>
    <w:rsid w:val="00A57426"/>
    <w:rsid w:val="00A57CE9"/>
    <w:rsid w:val="00A600B7"/>
    <w:rsid w:val="00A60FA8"/>
    <w:rsid w:val="00A6107D"/>
    <w:rsid w:val="00A61EE7"/>
    <w:rsid w:val="00A627BF"/>
    <w:rsid w:val="00A6407D"/>
    <w:rsid w:val="00A6503F"/>
    <w:rsid w:val="00A65746"/>
    <w:rsid w:val="00A65F2C"/>
    <w:rsid w:val="00A664AC"/>
    <w:rsid w:val="00A66C0A"/>
    <w:rsid w:val="00A67FEE"/>
    <w:rsid w:val="00A713FE"/>
    <w:rsid w:val="00A71CE6"/>
    <w:rsid w:val="00A723FB"/>
    <w:rsid w:val="00A72499"/>
    <w:rsid w:val="00A72CE0"/>
    <w:rsid w:val="00A7449C"/>
    <w:rsid w:val="00A7678B"/>
    <w:rsid w:val="00A76CC8"/>
    <w:rsid w:val="00A77338"/>
    <w:rsid w:val="00A77856"/>
    <w:rsid w:val="00A803A6"/>
    <w:rsid w:val="00A81B23"/>
    <w:rsid w:val="00A824A9"/>
    <w:rsid w:val="00A826E0"/>
    <w:rsid w:val="00A82B0B"/>
    <w:rsid w:val="00A839DB"/>
    <w:rsid w:val="00A8465F"/>
    <w:rsid w:val="00A85A06"/>
    <w:rsid w:val="00A85C7D"/>
    <w:rsid w:val="00A863C6"/>
    <w:rsid w:val="00A87685"/>
    <w:rsid w:val="00A90C08"/>
    <w:rsid w:val="00A91DEA"/>
    <w:rsid w:val="00A91E72"/>
    <w:rsid w:val="00A92396"/>
    <w:rsid w:val="00A92ACB"/>
    <w:rsid w:val="00A92C8B"/>
    <w:rsid w:val="00A939B0"/>
    <w:rsid w:val="00A93B4D"/>
    <w:rsid w:val="00A9451B"/>
    <w:rsid w:val="00A964EE"/>
    <w:rsid w:val="00A9697C"/>
    <w:rsid w:val="00A97428"/>
    <w:rsid w:val="00AA0947"/>
    <w:rsid w:val="00AA3074"/>
    <w:rsid w:val="00AA426B"/>
    <w:rsid w:val="00AA435C"/>
    <w:rsid w:val="00AA4B6F"/>
    <w:rsid w:val="00AA4DFB"/>
    <w:rsid w:val="00AA69B4"/>
    <w:rsid w:val="00AA7F64"/>
    <w:rsid w:val="00AB0E83"/>
    <w:rsid w:val="00AB130B"/>
    <w:rsid w:val="00AB2F8B"/>
    <w:rsid w:val="00AB3081"/>
    <w:rsid w:val="00AB3222"/>
    <w:rsid w:val="00AB4077"/>
    <w:rsid w:val="00AB46A9"/>
    <w:rsid w:val="00AB4960"/>
    <w:rsid w:val="00AB4AC3"/>
    <w:rsid w:val="00AB4BEE"/>
    <w:rsid w:val="00AB5263"/>
    <w:rsid w:val="00AB6930"/>
    <w:rsid w:val="00AB6AFA"/>
    <w:rsid w:val="00AB6DFC"/>
    <w:rsid w:val="00AB78F8"/>
    <w:rsid w:val="00AB799C"/>
    <w:rsid w:val="00AC022D"/>
    <w:rsid w:val="00AC2C5F"/>
    <w:rsid w:val="00AC403A"/>
    <w:rsid w:val="00AC4304"/>
    <w:rsid w:val="00AC4F35"/>
    <w:rsid w:val="00AC56AC"/>
    <w:rsid w:val="00AC5CBC"/>
    <w:rsid w:val="00AC6AB0"/>
    <w:rsid w:val="00AC6F13"/>
    <w:rsid w:val="00AC7026"/>
    <w:rsid w:val="00AC7B3D"/>
    <w:rsid w:val="00AD1BDD"/>
    <w:rsid w:val="00AD2198"/>
    <w:rsid w:val="00AD2DA9"/>
    <w:rsid w:val="00AD2F8A"/>
    <w:rsid w:val="00AD4025"/>
    <w:rsid w:val="00AD500D"/>
    <w:rsid w:val="00AD5BD0"/>
    <w:rsid w:val="00AD5EA8"/>
    <w:rsid w:val="00AD6A5E"/>
    <w:rsid w:val="00AD71DC"/>
    <w:rsid w:val="00AD7411"/>
    <w:rsid w:val="00AE0531"/>
    <w:rsid w:val="00AE14CB"/>
    <w:rsid w:val="00AE201D"/>
    <w:rsid w:val="00AE2565"/>
    <w:rsid w:val="00AE2A53"/>
    <w:rsid w:val="00AE4150"/>
    <w:rsid w:val="00AE42B8"/>
    <w:rsid w:val="00AE4D3A"/>
    <w:rsid w:val="00AE54C1"/>
    <w:rsid w:val="00AE563A"/>
    <w:rsid w:val="00AE6594"/>
    <w:rsid w:val="00AE69E2"/>
    <w:rsid w:val="00AE7826"/>
    <w:rsid w:val="00AF0C76"/>
    <w:rsid w:val="00AF1410"/>
    <w:rsid w:val="00AF1C56"/>
    <w:rsid w:val="00AF2255"/>
    <w:rsid w:val="00AF3711"/>
    <w:rsid w:val="00AF3858"/>
    <w:rsid w:val="00AF6EB1"/>
    <w:rsid w:val="00AF74E9"/>
    <w:rsid w:val="00B003E4"/>
    <w:rsid w:val="00B009D0"/>
    <w:rsid w:val="00B01CC1"/>
    <w:rsid w:val="00B01D67"/>
    <w:rsid w:val="00B02648"/>
    <w:rsid w:val="00B028BB"/>
    <w:rsid w:val="00B0333C"/>
    <w:rsid w:val="00B061B3"/>
    <w:rsid w:val="00B068DE"/>
    <w:rsid w:val="00B07838"/>
    <w:rsid w:val="00B07F08"/>
    <w:rsid w:val="00B07FB8"/>
    <w:rsid w:val="00B11192"/>
    <w:rsid w:val="00B11D2E"/>
    <w:rsid w:val="00B12627"/>
    <w:rsid w:val="00B1324D"/>
    <w:rsid w:val="00B134DB"/>
    <w:rsid w:val="00B1403F"/>
    <w:rsid w:val="00B16C0B"/>
    <w:rsid w:val="00B2034D"/>
    <w:rsid w:val="00B20E0F"/>
    <w:rsid w:val="00B20F6F"/>
    <w:rsid w:val="00B219DD"/>
    <w:rsid w:val="00B21E6D"/>
    <w:rsid w:val="00B2209B"/>
    <w:rsid w:val="00B22AFA"/>
    <w:rsid w:val="00B23E51"/>
    <w:rsid w:val="00B2594C"/>
    <w:rsid w:val="00B25A7B"/>
    <w:rsid w:val="00B309AB"/>
    <w:rsid w:val="00B31901"/>
    <w:rsid w:val="00B31B16"/>
    <w:rsid w:val="00B33B8E"/>
    <w:rsid w:val="00B34C30"/>
    <w:rsid w:val="00B369D7"/>
    <w:rsid w:val="00B36F8D"/>
    <w:rsid w:val="00B411F8"/>
    <w:rsid w:val="00B42E42"/>
    <w:rsid w:val="00B42F08"/>
    <w:rsid w:val="00B43644"/>
    <w:rsid w:val="00B43834"/>
    <w:rsid w:val="00B442F3"/>
    <w:rsid w:val="00B44537"/>
    <w:rsid w:val="00B46C45"/>
    <w:rsid w:val="00B46F97"/>
    <w:rsid w:val="00B4799D"/>
    <w:rsid w:val="00B47F39"/>
    <w:rsid w:val="00B51684"/>
    <w:rsid w:val="00B54057"/>
    <w:rsid w:val="00B5467E"/>
    <w:rsid w:val="00B55240"/>
    <w:rsid w:val="00B55337"/>
    <w:rsid w:val="00B57689"/>
    <w:rsid w:val="00B6042F"/>
    <w:rsid w:val="00B61049"/>
    <w:rsid w:val="00B61378"/>
    <w:rsid w:val="00B622C7"/>
    <w:rsid w:val="00B6310C"/>
    <w:rsid w:val="00B63DCB"/>
    <w:rsid w:val="00B648A6"/>
    <w:rsid w:val="00B650E6"/>
    <w:rsid w:val="00B65E44"/>
    <w:rsid w:val="00B66F5E"/>
    <w:rsid w:val="00B670A9"/>
    <w:rsid w:val="00B707C7"/>
    <w:rsid w:val="00B723D9"/>
    <w:rsid w:val="00B729D7"/>
    <w:rsid w:val="00B73D35"/>
    <w:rsid w:val="00B76CD6"/>
    <w:rsid w:val="00B77614"/>
    <w:rsid w:val="00B77999"/>
    <w:rsid w:val="00B800F5"/>
    <w:rsid w:val="00B81299"/>
    <w:rsid w:val="00B81422"/>
    <w:rsid w:val="00B831A6"/>
    <w:rsid w:val="00B831AF"/>
    <w:rsid w:val="00B838AB"/>
    <w:rsid w:val="00B84A5E"/>
    <w:rsid w:val="00B857CB"/>
    <w:rsid w:val="00B85C48"/>
    <w:rsid w:val="00B873A8"/>
    <w:rsid w:val="00B87F22"/>
    <w:rsid w:val="00B90DE9"/>
    <w:rsid w:val="00B916CB"/>
    <w:rsid w:val="00B91880"/>
    <w:rsid w:val="00B930EB"/>
    <w:rsid w:val="00B93158"/>
    <w:rsid w:val="00B94506"/>
    <w:rsid w:val="00B94930"/>
    <w:rsid w:val="00B95921"/>
    <w:rsid w:val="00B96450"/>
    <w:rsid w:val="00B966C4"/>
    <w:rsid w:val="00B96E80"/>
    <w:rsid w:val="00B978CF"/>
    <w:rsid w:val="00BA005B"/>
    <w:rsid w:val="00BA0DF1"/>
    <w:rsid w:val="00BA1E42"/>
    <w:rsid w:val="00BA20C8"/>
    <w:rsid w:val="00BA303F"/>
    <w:rsid w:val="00BA33A1"/>
    <w:rsid w:val="00BA3616"/>
    <w:rsid w:val="00BA4D2C"/>
    <w:rsid w:val="00BA5731"/>
    <w:rsid w:val="00BA673A"/>
    <w:rsid w:val="00BA7CB4"/>
    <w:rsid w:val="00BA7F0F"/>
    <w:rsid w:val="00BB0C22"/>
    <w:rsid w:val="00BB16F0"/>
    <w:rsid w:val="00BB2ABB"/>
    <w:rsid w:val="00BB485A"/>
    <w:rsid w:val="00BB5338"/>
    <w:rsid w:val="00BB54D4"/>
    <w:rsid w:val="00BB566A"/>
    <w:rsid w:val="00BB5908"/>
    <w:rsid w:val="00BB633D"/>
    <w:rsid w:val="00BB6446"/>
    <w:rsid w:val="00BB6472"/>
    <w:rsid w:val="00BB6AE3"/>
    <w:rsid w:val="00BB6FCE"/>
    <w:rsid w:val="00BC0DE6"/>
    <w:rsid w:val="00BC2561"/>
    <w:rsid w:val="00BC476F"/>
    <w:rsid w:val="00BC54EC"/>
    <w:rsid w:val="00BC6868"/>
    <w:rsid w:val="00BC7999"/>
    <w:rsid w:val="00BD0916"/>
    <w:rsid w:val="00BD0B64"/>
    <w:rsid w:val="00BD1DF0"/>
    <w:rsid w:val="00BD203E"/>
    <w:rsid w:val="00BD2DBC"/>
    <w:rsid w:val="00BD3640"/>
    <w:rsid w:val="00BD5588"/>
    <w:rsid w:val="00BD7A8C"/>
    <w:rsid w:val="00BE02EA"/>
    <w:rsid w:val="00BE0B49"/>
    <w:rsid w:val="00BE0C1B"/>
    <w:rsid w:val="00BE0E6A"/>
    <w:rsid w:val="00BE0FD7"/>
    <w:rsid w:val="00BE3B3C"/>
    <w:rsid w:val="00BE3EEC"/>
    <w:rsid w:val="00BE52F1"/>
    <w:rsid w:val="00BE5DAC"/>
    <w:rsid w:val="00BE6FFB"/>
    <w:rsid w:val="00BE7456"/>
    <w:rsid w:val="00BF06DC"/>
    <w:rsid w:val="00BF1001"/>
    <w:rsid w:val="00BF14BC"/>
    <w:rsid w:val="00BF18A3"/>
    <w:rsid w:val="00BF1A54"/>
    <w:rsid w:val="00BF249D"/>
    <w:rsid w:val="00BF361A"/>
    <w:rsid w:val="00BF4822"/>
    <w:rsid w:val="00BF5100"/>
    <w:rsid w:val="00BF55FD"/>
    <w:rsid w:val="00BF5846"/>
    <w:rsid w:val="00BF5A5F"/>
    <w:rsid w:val="00BF5A9D"/>
    <w:rsid w:val="00BF605C"/>
    <w:rsid w:val="00BF67BE"/>
    <w:rsid w:val="00BF6B77"/>
    <w:rsid w:val="00BF72BE"/>
    <w:rsid w:val="00BF7858"/>
    <w:rsid w:val="00BF7CF0"/>
    <w:rsid w:val="00C0088D"/>
    <w:rsid w:val="00C011AB"/>
    <w:rsid w:val="00C01539"/>
    <w:rsid w:val="00C01ACC"/>
    <w:rsid w:val="00C0305F"/>
    <w:rsid w:val="00C03C3B"/>
    <w:rsid w:val="00C03C91"/>
    <w:rsid w:val="00C03D18"/>
    <w:rsid w:val="00C0412D"/>
    <w:rsid w:val="00C04456"/>
    <w:rsid w:val="00C05C41"/>
    <w:rsid w:val="00C06CF5"/>
    <w:rsid w:val="00C07078"/>
    <w:rsid w:val="00C07092"/>
    <w:rsid w:val="00C113DC"/>
    <w:rsid w:val="00C125AD"/>
    <w:rsid w:val="00C12E26"/>
    <w:rsid w:val="00C13620"/>
    <w:rsid w:val="00C13C8C"/>
    <w:rsid w:val="00C141D7"/>
    <w:rsid w:val="00C15997"/>
    <w:rsid w:val="00C20121"/>
    <w:rsid w:val="00C20A37"/>
    <w:rsid w:val="00C20C0D"/>
    <w:rsid w:val="00C20CBD"/>
    <w:rsid w:val="00C21C2A"/>
    <w:rsid w:val="00C21D5B"/>
    <w:rsid w:val="00C21D5D"/>
    <w:rsid w:val="00C22246"/>
    <w:rsid w:val="00C22324"/>
    <w:rsid w:val="00C22970"/>
    <w:rsid w:val="00C23657"/>
    <w:rsid w:val="00C244BD"/>
    <w:rsid w:val="00C24755"/>
    <w:rsid w:val="00C25461"/>
    <w:rsid w:val="00C264A3"/>
    <w:rsid w:val="00C27E90"/>
    <w:rsid w:val="00C3147E"/>
    <w:rsid w:val="00C31652"/>
    <w:rsid w:val="00C3199D"/>
    <w:rsid w:val="00C31FDB"/>
    <w:rsid w:val="00C32623"/>
    <w:rsid w:val="00C330EC"/>
    <w:rsid w:val="00C34381"/>
    <w:rsid w:val="00C348C4"/>
    <w:rsid w:val="00C34DA0"/>
    <w:rsid w:val="00C35CEA"/>
    <w:rsid w:val="00C35F65"/>
    <w:rsid w:val="00C41070"/>
    <w:rsid w:val="00C41FE5"/>
    <w:rsid w:val="00C42826"/>
    <w:rsid w:val="00C42A63"/>
    <w:rsid w:val="00C431CE"/>
    <w:rsid w:val="00C438CE"/>
    <w:rsid w:val="00C4394F"/>
    <w:rsid w:val="00C43FBC"/>
    <w:rsid w:val="00C44ECA"/>
    <w:rsid w:val="00C45556"/>
    <w:rsid w:val="00C45AD6"/>
    <w:rsid w:val="00C46038"/>
    <w:rsid w:val="00C462AA"/>
    <w:rsid w:val="00C510D6"/>
    <w:rsid w:val="00C514CE"/>
    <w:rsid w:val="00C519F0"/>
    <w:rsid w:val="00C539A8"/>
    <w:rsid w:val="00C541B6"/>
    <w:rsid w:val="00C54914"/>
    <w:rsid w:val="00C54E9C"/>
    <w:rsid w:val="00C55E24"/>
    <w:rsid w:val="00C56AD5"/>
    <w:rsid w:val="00C56CDF"/>
    <w:rsid w:val="00C5788B"/>
    <w:rsid w:val="00C57E47"/>
    <w:rsid w:val="00C60477"/>
    <w:rsid w:val="00C605E9"/>
    <w:rsid w:val="00C60BA6"/>
    <w:rsid w:val="00C60CC9"/>
    <w:rsid w:val="00C62248"/>
    <w:rsid w:val="00C63A72"/>
    <w:rsid w:val="00C664F8"/>
    <w:rsid w:val="00C67115"/>
    <w:rsid w:val="00C67AE9"/>
    <w:rsid w:val="00C67BDC"/>
    <w:rsid w:val="00C700AB"/>
    <w:rsid w:val="00C70B0E"/>
    <w:rsid w:val="00C71107"/>
    <w:rsid w:val="00C71B62"/>
    <w:rsid w:val="00C739A7"/>
    <w:rsid w:val="00C73EAD"/>
    <w:rsid w:val="00C74740"/>
    <w:rsid w:val="00C74959"/>
    <w:rsid w:val="00C74A48"/>
    <w:rsid w:val="00C74EB2"/>
    <w:rsid w:val="00C76983"/>
    <w:rsid w:val="00C77036"/>
    <w:rsid w:val="00C77C70"/>
    <w:rsid w:val="00C8013C"/>
    <w:rsid w:val="00C809C6"/>
    <w:rsid w:val="00C80ADB"/>
    <w:rsid w:val="00C82935"/>
    <w:rsid w:val="00C85CF0"/>
    <w:rsid w:val="00C85DA9"/>
    <w:rsid w:val="00C86037"/>
    <w:rsid w:val="00C86450"/>
    <w:rsid w:val="00C87875"/>
    <w:rsid w:val="00C8797D"/>
    <w:rsid w:val="00C90364"/>
    <w:rsid w:val="00C91F98"/>
    <w:rsid w:val="00C9210F"/>
    <w:rsid w:val="00C923F3"/>
    <w:rsid w:val="00C924AE"/>
    <w:rsid w:val="00C92E13"/>
    <w:rsid w:val="00C94B92"/>
    <w:rsid w:val="00C9538C"/>
    <w:rsid w:val="00C9588E"/>
    <w:rsid w:val="00C95C9E"/>
    <w:rsid w:val="00C961DD"/>
    <w:rsid w:val="00C96EA2"/>
    <w:rsid w:val="00C96FAF"/>
    <w:rsid w:val="00C97FE1"/>
    <w:rsid w:val="00CA031B"/>
    <w:rsid w:val="00CA0B89"/>
    <w:rsid w:val="00CA14C6"/>
    <w:rsid w:val="00CA1AC0"/>
    <w:rsid w:val="00CA2842"/>
    <w:rsid w:val="00CA37C0"/>
    <w:rsid w:val="00CA3C8E"/>
    <w:rsid w:val="00CA47BF"/>
    <w:rsid w:val="00CA4CCD"/>
    <w:rsid w:val="00CA4D2C"/>
    <w:rsid w:val="00CA5283"/>
    <w:rsid w:val="00CA789D"/>
    <w:rsid w:val="00CB00DC"/>
    <w:rsid w:val="00CB14F7"/>
    <w:rsid w:val="00CB1BF4"/>
    <w:rsid w:val="00CB3F74"/>
    <w:rsid w:val="00CB499F"/>
    <w:rsid w:val="00CB4B7E"/>
    <w:rsid w:val="00CB544C"/>
    <w:rsid w:val="00CB54F8"/>
    <w:rsid w:val="00CB5510"/>
    <w:rsid w:val="00CB7608"/>
    <w:rsid w:val="00CB7629"/>
    <w:rsid w:val="00CC21B4"/>
    <w:rsid w:val="00CC23A0"/>
    <w:rsid w:val="00CC342F"/>
    <w:rsid w:val="00CC3609"/>
    <w:rsid w:val="00CC3B41"/>
    <w:rsid w:val="00CC4297"/>
    <w:rsid w:val="00CC4910"/>
    <w:rsid w:val="00CC4F19"/>
    <w:rsid w:val="00CC5494"/>
    <w:rsid w:val="00CC7CC2"/>
    <w:rsid w:val="00CD024C"/>
    <w:rsid w:val="00CD1DE6"/>
    <w:rsid w:val="00CD23F7"/>
    <w:rsid w:val="00CD5752"/>
    <w:rsid w:val="00CD6FD3"/>
    <w:rsid w:val="00CD7786"/>
    <w:rsid w:val="00CD7815"/>
    <w:rsid w:val="00CE2077"/>
    <w:rsid w:val="00CE2DDA"/>
    <w:rsid w:val="00CE338F"/>
    <w:rsid w:val="00CE3465"/>
    <w:rsid w:val="00CE4F96"/>
    <w:rsid w:val="00CE61F5"/>
    <w:rsid w:val="00CE6BCE"/>
    <w:rsid w:val="00CE6D96"/>
    <w:rsid w:val="00CF0021"/>
    <w:rsid w:val="00CF0CC2"/>
    <w:rsid w:val="00CF0FF1"/>
    <w:rsid w:val="00CF139C"/>
    <w:rsid w:val="00CF37A0"/>
    <w:rsid w:val="00CF3A05"/>
    <w:rsid w:val="00CF3D00"/>
    <w:rsid w:val="00CF45B5"/>
    <w:rsid w:val="00CF71BD"/>
    <w:rsid w:val="00CF7278"/>
    <w:rsid w:val="00D00E63"/>
    <w:rsid w:val="00D02E86"/>
    <w:rsid w:val="00D03CB5"/>
    <w:rsid w:val="00D045D0"/>
    <w:rsid w:val="00D048F6"/>
    <w:rsid w:val="00D04A80"/>
    <w:rsid w:val="00D052C9"/>
    <w:rsid w:val="00D10A6C"/>
    <w:rsid w:val="00D11358"/>
    <w:rsid w:val="00D117BC"/>
    <w:rsid w:val="00D1266D"/>
    <w:rsid w:val="00D13F53"/>
    <w:rsid w:val="00D14216"/>
    <w:rsid w:val="00D15389"/>
    <w:rsid w:val="00D15979"/>
    <w:rsid w:val="00D169D5"/>
    <w:rsid w:val="00D16A95"/>
    <w:rsid w:val="00D1795B"/>
    <w:rsid w:val="00D21241"/>
    <w:rsid w:val="00D23762"/>
    <w:rsid w:val="00D2401F"/>
    <w:rsid w:val="00D24295"/>
    <w:rsid w:val="00D2508D"/>
    <w:rsid w:val="00D262AA"/>
    <w:rsid w:val="00D26743"/>
    <w:rsid w:val="00D26F04"/>
    <w:rsid w:val="00D27008"/>
    <w:rsid w:val="00D273B5"/>
    <w:rsid w:val="00D27D9D"/>
    <w:rsid w:val="00D30368"/>
    <w:rsid w:val="00D304ED"/>
    <w:rsid w:val="00D3069E"/>
    <w:rsid w:val="00D311BB"/>
    <w:rsid w:val="00D3214D"/>
    <w:rsid w:val="00D321D6"/>
    <w:rsid w:val="00D325FF"/>
    <w:rsid w:val="00D32C1A"/>
    <w:rsid w:val="00D32FC4"/>
    <w:rsid w:val="00D34FF1"/>
    <w:rsid w:val="00D363DD"/>
    <w:rsid w:val="00D3642C"/>
    <w:rsid w:val="00D36E39"/>
    <w:rsid w:val="00D40531"/>
    <w:rsid w:val="00D413D3"/>
    <w:rsid w:val="00D41EFF"/>
    <w:rsid w:val="00D4209F"/>
    <w:rsid w:val="00D42590"/>
    <w:rsid w:val="00D427E2"/>
    <w:rsid w:val="00D43827"/>
    <w:rsid w:val="00D4451E"/>
    <w:rsid w:val="00D44972"/>
    <w:rsid w:val="00D45834"/>
    <w:rsid w:val="00D4596E"/>
    <w:rsid w:val="00D4655A"/>
    <w:rsid w:val="00D47F4C"/>
    <w:rsid w:val="00D51DDD"/>
    <w:rsid w:val="00D5280F"/>
    <w:rsid w:val="00D52EED"/>
    <w:rsid w:val="00D53D2B"/>
    <w:rsid w:val="00D55941"/>
    <w:rsid w:val="00D55C83"/>
    <w:rsid w:val="00D57ED4"/>
    <w:rsid w:val="00D6011F"/>
    <w:rsid w:val="00D611FB"/>
    <w:rsid w:val="00D6187D"/>
    <w:rsid w:val="00D630C5"/>
    <w:rsid w:val="00D63FBD"/>
    <w:rsid w:val="00D65576"/>
    <w:rsid w:val="00D657D9"/>
    <w:rsid w:val="00D65AE3"/>
    <w:rsid w:val="00D6615F"/>
    <w:rsid w:val="00D67086"/>
    <w:rsid w:val="00D674B2"/>
    <w:rsid w:val="00D70AE4"/>
    <w:rsid w:val="00D717BD"/>
    <w:rsid w:val="00D726A1"/>
    <w:rsid w:val="00D73DB1"/>
    <w:rsid w:val="00D742D7"/>
    <w:rsid w:val="00D74AB1"/>
    <w:rsid w:val="00D74C69"/>
    <w:rsid w:val="00D74EE5"/>
    <w:rsid w:val="00D75A29"/>
    <w:rsid w:val="00D7643B"/>
    <w:rsid w:val="00D76A1D"/>
    <w:rsid w:val="00D76A4C"/>
    <w:rsid w:val="00D76CE6"/>
    <w:rsid w:val="00D76F06"/>
    <w:rsid w:val="00D7796C"/>
    <w:rsid w:val="00D800E6"/>
    <w:rsid w:val="00D810C8"/>
    <w:rsid w:val="00D83341"/>
    <w:rsid w:val="00D8399D"/>
    <w:rsid w:val="00D842DF"/>
    <w:rsid w:val="00D85F35"/>
    <w:rsid w:val="00D86460"/>
    <w:rsid w:val="00D86CBF"/>
    <w:rsid w:val="00D87214"/>
    <w:rsid w:val="00D87C1D"/>
    <w:rsid w:val="00D90427"/>
    <w:rsid w:val="00D9094C"/>
    <w:rsid w:val="00D91152"/>
    <w:rsid w:val="00D919FB"/>
    <w:rsid w:val="00D91D1B"/>
    <w:rsid w:val="00D92398"/>
    <w:rsid w:val="00D927F4"/>
    <w:rsid w:val="00D932DB"/>
    <w:rsid w:val="00D9544A"/>
    <w:rsid w:val="00D9737D"/>
    <w:rsid w:val="00D974D8"/>
    <w:rsid w:val="00DA1333"/>
    <w:rsid w:val="00DA151D"/>
    <w:rsid w:val="00DA1802"/>
    <w:rsid w:val="00DA2A7F"/>
    <w:rsid w:val="00DA2B0E"/>
    <w:rsid w:val="00DA2D2A"/>
    <w:rsid w:val="00DA4407"/>
    <w:rsid w:val="00DA4984"/>
    <w:rsid w:val="00DA4E9D"/>
    <w:rsid w:val="00DA5F7E"/>
    <w:rsid w:val="00DA6906"/>
    <w:rsid w:val="00DA6E09"/>
    <w:rsid w:val="00DA76FD"/>
    <w:rsid w:val="00DB1667"/>
    <w:rsid w:val="00DB1E9A"/>
    <w:rsid w:val="00DB3A45"/>
    <w:rsid w:val="00DB3EB2"/>
    <w:rsid w:val="00DB40F2"/>
    <w:rsid w:val="00DB59CA"/>
    <w:rsid w:val="00DB5E6A"/>
    <w:rsid w:val="00DB64B4"/>
    <w:rsid w:val="00DB6A4A"/>
    <w:rsid w:val="00DB7035"/>
    <w:rsid w:val="00DB7C02"/>
    <w:rsid w:val="00DC0A34"/>
    <w:rsid w:val="00DC0FF1"/>
    <w:rsid w:val="00DC1663"/>
    <w:rsid w:val="00DC2063"/>
    <w:rsid w:val="00DC2BD3"/>
    <w:rsid w:val="00DC3069"/>
    <w:rsid w:val="00DC4C50"/>
    <w:rsid w:val="00DC5A34"/>
    <w:rsid w:val="00DC6352"/>
    <w:rsid w:val="00DC654F"/>
    <w:rsid w:val="00DC7551"/>
    <w:rsid w:val="00DD0CC5"/>
    <w:rsid w:val="00DD2BDF"/>
    <w:rsid w:val="00DD2CEB"/>
    <w:rsid w:val="00DD3843"/>
    <w:rsid w:val="00DD4628"/>
    <w:rsid w:val="00DD5F8A"/>
    <w:rsid w:val="00DD68C3"/>
    <w:rsid w:val="00DD695F"/>
    <w:rsid w:val="00DD6E14"/>
    <w:rsid w:val="00DE0923"/>
    <w:rsid w:val="00DE0E88"/>
    <w:rsid w:val="00DE249D"/>
    <w:rsid w:val="00DE4BAB"/>
    <w:rsid w:val="00DE4C92"/>
    <w:rsid w:val="00DF0569"/>
    <w:rsid w:val="00DF231A"/>
    <w:rsid w:val="00DF2AF3"/>
    <w:rsid w:val="00DF2BA1"/>
    <w:rsid w:val="00DF2FEE"/>
    <w:rsid w:val="00DF300E"/>
    <w:rsid w:val="00DF3E9E"/>
    <w:rsid w:val="00DF4210"/>
    <w:rsid w:val="00DF47C1"/>
    <w:rsid w:val="00DF4FF5"/>
    <w:rsid w:val="00DF50CA"/>
    <w:rsid w:val="00DF54F5"/>
    <w:rsid w:val="00DF5782"/>
    <w:rsid w:val="00DF5874"/>
    <w:rsid w:val="00DF5A0B"/>
    <w:rsid w:val="00DF5DF8"/>
    <w:rsid w:val="00DF739A"/>
    <w:rsid w:val="00DF7652"/>
    <w:rsid w:val="00DF7EB6"/>
    <w:rsid w:val="00DF7F2B"/>
    <w:rsid w:val="00E00B2D"/>
    <w:rsid w:val="00E017BA"/>
    <w:rsid w:val="00E028E2"/>
    <w:rsid w:val="00E02B63"/>
    <w:rsid w:val="00E02F61"/>
    <w:rsid w:val="00E03485"/>
    <w:rsid w:val="00E04CF0"/>
    <w:rsid w:val="00E050B7"/>
    <w:rsid w:val="00E0515C"/>
    <w:rsid w:val="00E053E3"/>
    <w:rsid w:val="00E056E0"/>
    <w:rsid w:val="00E07D59"/>
    <w:rsid w:val="00E07D7B"/>
    <w:rsid w:val="00E10597"/>
    <w:rsid w:val="00E116E0"/>
    <w:rsid w:val="00E12DA9"/>
    <w:rsid w:val="00E13394"/>
    <w:rsid w:val="00E136CC"/>
    <w:rsid w:val="00E13A8E"/>
    <w:rsid w:val="00E144F2"/>
    <w:rsid w:val="00E1456B"/>
    <w:rsid w:val="00E148D7"/>
    <w:rsid w:val="00E14A63"/>
    <w:rsid w:val="00E1550C"/>
    <w:rsid w:val="00E15734"/>
    <w:rsid w:val="00E15AF7"/>
    <w:rsid w:val="00E16B12"/>
    <w:rsid w:val="00E17A4C"/>
    <w:rsid w:val="00E202EE"/>
    <w:rsid w:val="00E20472"/>
    <w:rsid w:val="00E219D4"/>
    <w:rsid w:val="00E22CFC"/>
    <w:rsid w:val="00E23947"/>
    <w:rsid w:val="00E24370"/>
    <w:rsid w:val="00E24A4D"/>
    <w:rsid w:val="00E27861"/>
    <w:rsid w:val="00E3016F"/>
    <w:rsid w:val="00E30B45"/>
    <w:rsid w:val="00E312CA"/>
    <w:rsid w:val="00E313BB"/>
    <w:rsid w:val="00E31917"/>
    <w:rsid w:val="00E32238"/>
    <w:rsid w:val="00E32A8C"/>
    <w:rsid w:val="00E32B36"/>
    <w:rsid w:val="00E33031"/>
    <w:rsid w:val="00E338D3"/>
    <w:rsid w:val="00E33DC2"/>
    <w:rsid w:val="00E353F2"/>
    <w:rsid w:val="00E354C5"/>
    <w:rsid w:val="00E35672"/>
    <w:rsid w:val="00E359DF"/>
    <w:rsid w:val="00E35E43"/>
    <w:rsid w:val="00E3632B"/>
    <w:rsid w:val="00E4150D"/>
    <w:rsid w:val="00E4243F"/>
    <w:rsid w:val="00E4249D"/>
    <w:rsid w:val="00E42C5F"/>
    <w:rsid w:val="00E44B09"/>
    <w:rsid w:val="00E463F6"/>
    <w:rsid w:val="00E46C82"/>
    <w:rsid w:val="00E46EF0"/>
    <w:rsid w:val="00E47298"/>
    <w:rsid w:val="00E508BF"/>
    <w:rsid w:val="00E50BD5"/>
    <w:rsid w:val="00E50D94"/>
    <w:rsid w:val="00E51AB4"/>
    <w:rsid w:val="00E53AAF"/>
    <w:rsid w:val="00E53B45"/>
    <w:rsid w:val="00E54145"/>
    <w:rsid w:val="00E54AC8"/>
    <w:rsid w:val="00E55FB7"/>
    <w:rsid w:val="00E566C4"/>
    <w:rsid w:val="00E569E1"/>
    <w:rsid w:val="00E62895"/>
    <w:rsid w:val="00E629F9"/>
    <w:rsid w:val="00E63155"/>
    <w:rsid w:val="00E6325A"/>
    <w:rsid w:val="00E636FB"/>
    <w:rsid w:val="00E65012"/>
    <w:rsid w:val="00E6720D"/>
    <w:rsid w:val="00E71BDA"/>
    <w:rsid w:val="00E7296B"/>
    <w:rsid w:val="00E735FB"/>
    <w:rsid w:val="00E740AD"/>
    <w:rsid w:val="00E7447E"/>
    <w:rsid w:val="00E74B7E"/>
    <w:rsid w:val="00E74DBF"/>
    <w:rsid w:val="00E764DA"/>
    <w:rsid w:val="00E77E5D"/>
    <w:rsid w:val="00E812F9"/>
    <w:rsid w:val="00E819F9"/>
    <w:rsid w:val="00E82A87"/>
    <w:rsid w:val="00E83E0C"/>
    <w:rsid w:val="00E84476"/>
    <w:rsid w:val="00E844BB"/>
    <w:rsid w:val="00E85F71"/>
    <w:rsid w:val="00E90201"/>
    <w:rsid w:val="00E9148B"/>
    <w:rsid w:val="00E920F5"/>
    <w:rsid w:val="00E927C5"/>
    <w:rsid w:val="00E929A8"/>
    <w:rsid w:val="00E92E06"/>
    <w:rsid w:val="00E932F3"/>
    <w:rsid w:val="00E94085"/>
    <w:rsid w:val="00E941F1"/>
    <w:rsid w:val="00E950CC"/>
    <w:rsid w:val="00E96245"/>
    <w:rsid w:val="00E9663F"/>
    <w:rsid w:val="00E97012"/>
    <w:rsid w:val="00E974BE"/>
    <w:rsid w:val="00E977FD"/>
    <w:rsid w:val="00E97B20"/>
    <w:rsid w:val="00E97B3C"/>
    <w:rsid w:val="00EA0ABD"/>
    <w:rsid w:val="00EA0CFC"/>
    <w:rsid w:val="00EA33E3"/>
    <w:rsid w:val="00EA4F40"/>
    <w:rsid w:val="00EA6915"/>
    <w:rsid w:val="00EB1F7E"/>
    <w:rsid w:val="00EB2B55"/>
    <w:rsid w:val="00EB2F97"/>
    <w:rsid w:val="00EB3597"/>
    <w:rsid w:val="00EB49D9"/>
    <w:rsid w:val="00EB59D4"/>
    <w:rsid w:val="00EB75B6"/>
    <w:rsid w:val="00EB7E09"/>
    <w:rsid w:val="00EC0F99"/>
    <w:rsid w:val="00EC2E8F"/>
    <w:rsid w:val="00EC36F8"/>
    <w:rsid w:val="00EC3FBF"/>
    <w:rsid w:val="00EC4857"/>
    <w:rsid w:val="00EC4E29"/>
    <w:rsid w:val="00EC4F81"/>
    <w:rsid w:val="00EC5375"/>
    <w:rsid w:val="00EC73F8"/>
    <w:rsid w:val="00EC7DF9"/>
    <w:rsid w:val="00EC7EB1"/>
    <w:rsid w:val="00EC7F92"/>
    <w:rsid w:val="00EC7FAE"/>
    <w:rsid w:val="00ED063A"/>
    <w:rsid w:val="00ED074B"/>
    <w:rsid w:val="00ED1394"/>
    <w:rsid w:val="00ED4887"/>
    <w:rsid w:val="00ED58EF"/>
    <w:rsid w:val="00ED6228"/>
    <w:rsid w:val="00ED75EB"/>
    <w:rsid w:val="00ED78DE"/>
    <w:rsid w:val="00EE0472"/>
    <w:rsid w:val="00EE0DF4"/>
    <w:rsid w:val="00EE2398"/>
    <w:rsid w:val="00EE2ADA"/>
    <w:rsid w:val="00EE2E0A"/>
    <w:rsid w:val="00EE321F"/>
    <w:rsid w:val="00EE37E9"/>
    <w:rsid w:val="00EE68F1"/>
    <w:rsid w:val="00EE6EC9"/>
    <w:rsid w:val="00EE78DA"/>
    <w:rsid w:val="00EE79B5"/>
    <w:rsid w:val="00EE7A59"/>
    <w:rsid w:val="00EF0559"/>
    <w:rsid w:val="00EF059C"/>
    <w:rsid w:val="00EF075B"/>
    <w:rsid w:val="00EF0C8F"/>
    <w:rsid w:val="00EF0D35"/>
    <w:rsid w:val="00EF11CC"/>
    <w:rsid w:val="00EF15DD"/>
    <w:rsid w:val="00EF17A9"/>
    <w:rsid w:val="00EF29F7"/>
    <w:rsid w:val="00EF47D8"/>
    <w:rsid w:val="00EF4E60"/>
    <w:rsid w:val="00EF4F3A"/>
    <w:rsid w:val="00EF5885"/>
    <w:rsid w:val="00EF76CA"/>
    <w:rsid w:val="00F016A9"/>
    <w:rsid w:val="00F016CE"/>
    <w:rsid w:val="00F01FFD"/>
    <w:rsid w:val="00F02921"/>
    <w:rsid w:val="00F02EF7"/>
    <w:rsid w:val="00F0399D"/>
    <w:rsid w:val="00F04E54"/>
    <w:rsid w:val="00F059DA"/>
    <w:rsid w:val="00F1115D"/>
    <w:rsid w:val="00F12DCF"/>
    <w:rsid w:val="00F15681"/>
    <w:rsid w:val="00F16848"/>
    <w:rsid w:val="00F16A73"/>
    <w:rsid w:val="00F177D0"/>
    <w:rsid w:val="00F23CC2"/>
    <w:rsid w:val="00F244DE"/>
    <w:rsid w:val="00F24DDB"/>
    <w:rsid w:val="00F24F2C"/>
    <w:rsid w:val="00F251B7"/>
    <w:rsid w:val="00F30D99"/>
    <w:rsid w:val="00F31523"/>
    <w:rsid w:val="00F31C5C"/>
    <w:rsid w:val="00F32E28"/>
    <w:rsid w:val="00F333D1"/>
    <w:rsid w:val="00F33CEF"/>
    <w:rsid w:val="00F33F80"/>
    <w:rsid w:val="00F352F3"/>
    <w:rsid w:val="00F35545"/>
    <w:rsid w:val="00F35D70"/>
    <w:rsid w:val="00F36A55"/>
    <w:rsid w:val="00F37364"/>
    <w:rsid w:val="00F378A5"/>
    <w:rsid w:val="00F37C84"/>
    <w:rsid w:val="00F37DAD"/>
    <w:rsid w:val="00F40D24"/>
    <w:rsid w:val="00F4115E"/>
    <w:rsid w:val="00F41995"/>
    <w:rsid w:val="00F41EFE"/>
    <w:rsid w:val="00F42011"/>
    <w:rsid w:val="00F431AD"/>
    <w:rsid w:val="00F45C6B"/>
    <w:rsid w:val="00F467F0"/>
    <w:rsid w:val="00F47085"/>
    <w:rsid w:val="00F4708D"/>
    <w:rsid w:val="00F47A85"/>
    <w:rsid w:val="00F50050"/>
    <w:rsid w:val="00F5031D"/>
    <w:rsid w:val="00F50F6F"/>
    <w:rsid w:val="00F52CD7"/>
    <w:rsid w:val="00F53E68"/>
    <w:rsid w:val="00F54D61"/>
    <w:rsid w:val="00F56AE8"/>
    <w:rsid w:val="00F56E2B"/>
    <w:rsid w:val="00F60224"/>
    <w:rsid w:val="00F61DAF"/>
    <w:rsid w:val="00F6396D"/>
    <w:rsid w:val="00F64EAC"/>
    <w:rsid w:val="00F65C6A"/>
    <w:rsid w:val="00F65F5D"/>
    <w:rsid w:val="00F70DBF"/>
    <w:rsid w:val="00F71172"/>
    <w:rsid w:val="00F713A1"/>
    <w:rsid w:val="00F719E3"/>
    <w:rsid w:val="00F71A69"/>
    <w:rsid w:val="00F71ED5"/>
    <w:rsid w:val="00F7225B"/>
    <w:rsid w:val="00F72CD1"/>
    <w:rsid w:val="00F72E90"/>
    <w:rsid w:val="00F73128"/>
    <w:rsid w:val="00F74C84"/>
    <w:rsid w:val="00F75D7C"/>
    <w:rsid w:val="00F761E3"/>
    <w:rsid w:val="00F763F2"/>
    <w:rsid w:val="00F776B5"/>
    <w:rsid w:val="00F80A39"/>
    <w:rsid w:val="00F80FEC"/>
    <w:rsid w:val="00F83CA1"/>
    <w:rsid w:val="00F83D02"/>
    <w:rsid w:val="00F8429B"/>
    <w:rsid w:val="00F86E56"/>
    <w:rsid w:val="00F86FD0"/>
    <w:rsid w:val="00F87509"/>
    <w:rsid w:val="00F8775A"/>
    <w:rsid w:val="00F87D1A"/>
    <w:rsid w:val="00F905B4"/>
    <w:rsid w:val="00F906A8"/>
    <w:rsid w:val="00F92261"/>
    <w:rsid w:val="00F92449"/>
    <w:rsid w:val="00F92CA1"/>
    <w:rsid w:val="00F9387B"/>
    <w:rsid w:val="00F93960"/>
    <w:rsid w:val="00F93A32"/>
    <w:rsid w:val="00F945B4"/>
    <w:rsid w:val="00F950F6"/>
    <w:rsid w:val="00F95249"/>
    <w:rsid w:val="00F967B2"/>
    <w:rsid w:val="00F971B5"/>
    <w:rsid w:val="00F97375"/>
    <w:rsid w:val="00F97D9C"/>
    <w:rsid w:val="00F97EAC"/>
    <w:rsid w:val="00FA06EB"/>
    <w:rsid w:val="00FA102D"/>
    <w:rsid w:val="00FA244D"/>
    <w:rsid w:val="00FA438F"/>
    <w:rsid w:val="00FA53EE"/>
    <w:rsid w:val="00FA5B7D"/>
    <w:rsid w:val="00FB1542"/>
    <w:rsid w:val="00FB3117"/>
    <w:rsid w:val="00FB324E"/>
    <w:rsid w:val="00FB3588"/>
    <w:rsid w:val="00FB39B4"/>
    <w:rsid w:val="00FB496A"/>
    <w:rsid w:val="00FB64B6"/>
    <w:rsid w:val="00FB6D8B"/>
    <w:rsid w:val="00FB6DEE"/>
    <w:rsid w:val="00FB6E74"/>
    <w:rsid w:val="00FB6E7C"/>
    <w:rsid w:val="00FB6E96"/>
    <w:rsid w:val="00FB7B22"/>
    <w:rsid w:val="00FC0BBC"/>
    <w:rsid w:val="00FC13B3"/>
    <w:rsid w:val="00FC1FF2"/>
    <w:rsid w:val="00FC2E9C"/>
    <w:rsid w:val="00FC3DC4"/>
    <w:rsid w:val="00FC498A"/>
    <w:rsid w:val="00FC4D3F"/>
    <w:rsid w:val="00FC4EDC"/>
    <w:rsid w:val="00FC59F0"/>
    <w:rsid w:val="00FC6D86"/>
    <w:rsid w:val="00FC7A78"/>
    <w:rsid w:val="00FC7AC6"/>
    <w:rsid w:val="00FD0121"/>
    <w:rsid w:val="00FD03D7"/>
    <w:rsid w:val="00FD0DD7"/>
    <w:rsid w:val="00FD1BEF"/>
    <w:rsid w:val="00FD1EA3"/>
    <w:rsid w:val="00FD1F42"/>
    <w:rsid w:val="00FD3FE0"/>
    <w:rsid w:val="00FD40A3"/>
    <w:rsid w:val="00FD4BB1"/>
    <w:rsid w:val="00FD54C2"/>
    <w:rsid w:val="00FD66F8"/>
    <w:rsid w:val="00FD6EBA"/>
    <w:rsid w:val="00FE0E91"/>
    <w:rsid w:val="00FE24B4"/>
    <w:rsid w:val="00FE3101"/>
    <w:rsid w:val="00FE41DA"/>
    <w:rsid w:val="00FE4778"/>
    <w:rsid w:val="00FE4CFB"/>
    <w:rsid w:val="00FE5D27"/>
    <w:rsid w:val="00FE5EB3"/>
    <w:rsid w:val="00FE67EB"/>
    <w:rsid w:val="00FE6CFB"/>
    <w:rsid w:val="00FE74DA"/>
    <w:rsid w:val="00FE7BB3"/>
    <w:rsid w:val="00FF3078"/>
    <w:rsid w:val="00FF3782"/>
    <w:rsid w:val="00FF44B0"/>
    <w:rsid w:val="00FF59CA"/>
    <w:rsid w:val="00FF5BCD"/>
    <w:rsid w:val="00FF647C"/>
    <w:rsid w:val="00FF6951"/>
    <w:rsid w:val="00FF69F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694"/>
    <w:pPr>
      <w:spacing w:after="120" w:line="276" w:lineRule="auto"/>
    </w:pPr>
    <w:rPr>
      <w:rFonts w:ascii="Cambria" w:eastAsia="Times New Roman" w:hAnsi="Cambria" w:cs="Calibri"/>
      <w:noProof/>
      <w:sz w:val="24"/>
      <w:szCs w:val="24"/>
      <w:lang w:eastAsia="en-US"/>
    </w:rPr>
  </w:style>
  <w:style w:type="paragraph" w:styleId="Heading1">
    <w:name w:val="heading 1"/>
    <w:basedOn w:val="BodyText1"/>
    <w:next w:val="Normal"/>
    <w:link w:val="Heading1Char"/>
    <w:uiPriority w:val="9"/>
    <w:qFormat/>
    <w:rsid w:val="00F244DE"/>
    <w:pPr>
      <w:jc w:val="center"/>
      <w:outlineLvl w:val="0"/>
    </w:pPr>
    <w:rPr>
      <w:b/>
      <w:smallCaps/>
      <w:sz w:val="36"/>
      <w:szCs w:val="32"/>
    </w:rPr>
  </w:style>
  <w:style w:type="paragraph" w:styleId="Heading2">
    <w:name w:val="heading 2"/>
    <w:basedOn w:val="Normal"/>
    <w:next w:val="Normal"/>
    <w:link w:val="Heading2Char"/>
    <w:autoRedefine/>
    <w:uiPriority w:val="9"/>
    <w:unhideWhenUsed/>
    <w:qFormat/>
    <w:rsid w:val="002701CE"/>
    <w:pPr>
      <w:keepNext/>
      <w:keepLines/>
      <w:spacing w:before="240"/>
      <w:outlineLvl w:val="1"/>
    </w:pPr>
    <w:rPr>
      <w:b/>
      <w:bCs/>
      <w:sz w:val="28"/>
      <w:szCs w:val="28"/>
    </w:rPr>
  </w:style>
  <w:style w:type="paragraph" w:styleId="Heading3">
    <w:name w:val="heading 3"/>
    <w:basedOn w:val="Normal"/>
    <w:next w:val="Normal"/>
    <w:link w:val="Heading3Char"/>
    <w:uiPriority w:val="9"/>
    <w:unhideWhenUsed/>
    <w:qFormat/>
    <w:rsid w:val="00DF5874"/>
    <w:pPr>
      <w:keepNext/>
      <w:spacing w:before="240"/>
      <w:outlineLvl w:val="2"/>
    </w:pPr>
    <w:rPr>
      <w:b/>
      <w:bCs/>
    </w:rPr>
  </w:style>
  <w:style w:type="paragraph" w:styleId="Heading4">
    <w:name w:val="heading 4"/>
    <w:basedOn w:val="Normal"/>
    <w:next w:val="Normal"/>
    <w:link w:val="Heading4Char"/>
    <w:uiPriority w:val="9"/>
    <w:unhideWhenUsed/>
    <w:qFormat/>
    <w:rsid w:val="009F7D10"/>
    <w:pPr>
      <w:keepNext/>
      <w:spacing w:before="240" w:after="60"/>
      <w:outlineLvl w:val="3"/>
    </w:pPr>
    <w:rPr>
      <w:b/>
      <w:bCs/>
      <w:i/>
      <w:szCs w:val="28"/>
    </w:rPr>
  </w:style>
  <w:style w:type="paragraph" w:styleId="Heading5">
    <w:name w:val="heading 5"/>
    <w:basedOn w:val="Normal"/>
    <w:next w:val="Normal"/>
    <w:link w:val="Heading5Char"/>
    <w:uiPriority w:val="9"/>
    <w:unhideWhenUsed/>
    <w:qFormat/>
    <w:rsid w:val="00610C50"/>
    <w:pPr>
      <w:spacing w:before="240" w:after="60"/>
      <w:outlineLvl w:val="4"/>
    </w:pPr>
    <w:rPr>
      <w:b/>
      <w:bCs/>
      <w:i/>
      <w:iCs/>
    </w:rPr>
  </w:style>
  <w:style w:type="paragraph" w:styleId="Heading6">
    <w:name w:val="heading 6"/>
    <w:aliases w:val="Normal to dots"/>
    <w:basedOn w:val="Normal"/>
    <w:next w:val="Normal"/>
    <w:link w:val="Heading6Char"/>
    <w:uiPriority w:val="9"/>
    <w:unhideWhenUsed/>
    <w:qFormat/>
    <w:rsid w:val="00C67115"/>
    <w:pPr>
      <w:spacing w:line="240" w:lineRule="auto"/>
      <w:outlineLvl w:val="5"/>
    </w:pPr>
    <w:rPr>
      <w:lang w:val="en-US" w:eastAsia="en-AU"/>
    </w:rPr>
  </w:style>
  <w:style w:type="paragraph" w:styleId="Heading7">
    <w:name w:val="heading 7"/>
    <w:basedOn w:val="Normal"/>
    <w:next w:val="Normal"/>
    <w:link w:val="Heading7Char"/>
    <w:uiPriority w:val="9"/>
    <w:unhideWhenUsed/>
    <w:qFormat/>
    <w:rsid w:val="00C67115"/>
    <w:pPr>
      <w:keepNext/>
      <w:keepLines/>
      <w:spacing w:before="200" w:after="0" w:line="240" w:lineRule="auto"/>
      <w:outlineLvl w:val="6"/>
    </w:pPr>
    <w:rPr>
      <w:i/>
      <w:iCs/>
      <w:color w:val="404040"/>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2701CE"/>
    <w:rPr>
      <w:rFonts w:ascii="Cambria" w:eastAsia="Times New Roman" w:hAnsi="Cambria" w:cs="Calibri"/>
      <w:b/>
      <w:bCs/>
      <w:noProof/>
      <w:sz w:val="28"/>
      <w:szCs w:val="28"/>
      <w:lang w:eastAsia="en-US"/>
    </w:rPr>
  </w:style>
  <w:style w:type="character" w:styleId="FootnoteReference">
    <w:name w:val="footnote reference"/>
    <w:uiPriority w:val="99"/>
    <w:unhideWhenUsed/>
    <w:rsid w:val="000E65B5"/>
    <w:rPr>
      <w:vertAlign w:val="superscript"/>
    </w:rPr>
  </w:style>
  <w:style w:type="paragraph" w:styleId="ListParagraph">
    <w:name w:val="List Paragraph"/>
    <w:aliases w:val="Footnote"/>
    <w:basedOn w:val="Normal"/>
    <w:link w:val="ListParagraphChar"/>
    <w:uiPriority w:val="34"/>
    <w:qFormat/>
    <w:rsid w:val="000E65B5"/>
    <w:pPr>
      <w:ind w:left="720"/>
      <w:contextualSpacing/>
    </w:pPr>
  </w:style>
  <w:style w:type="character" w:styleId="Hyperlink">
    <w:name w:val="Hyperlink"/>
    <w:uiPriority w:val="99"/>
    <w:unhideWhenUsed/>
    <w:rsid w:val="000E65B5"/>
    <w:rPr>
      <w:color w:val="0000FF"/>
      <w:u w:val="single"/>
    </w:rPr>
  </w:style>
  <w:style w:type="character" w:customStyle="1" w:styleId="Heading1Char">
    <w:name w:val="Heading 1 Char"/>
    <w:link w:val="Heading1"/>
    <w:uiPriority w:val="9"/>
    <w:rsid w:val="00F244DE"/>
    <w:rPr>
      <w:rFonts w:ascii="Cambria" w:eastAsia="Times New Roman" w:hAnsi="Cambria" w:cs="Calibri"/>
      <w:b/>
      <w:smallCaps/>
      <w:sz w:val="36"/>
      <w:szCs w:val="32"/>
      <w:lang w:eastAsia="en-US"/>
    </w:rPr>
  </w:style>
  <w:style w:type="paragraph" w:styleId="TOCHeading">
    <w:name w:val="TOC Heading"/>
    <w:basedOn w:val="Heading1"/>
    <w:next w:val="Normal"/>
    <w:uiPriority w:val="39"/>
    <w:unhideWhenUsed/>
    <w:qFormat/>
    <w:rsid w:val="000E65B5"/>
    <w:pPr>
      <w:contextualSpacing/>
      <w:outlineLvl w:val="9"/>
    </w:pPr>
    <w:rPr>
      <w:lang w:bidi="en-US"/>
    </w:rPr>
  </w:style>
  <w:style w:type="paragraph" w:styleId="TOC2">
    <w:name w:val="toc 2"/>
    <w:basedOn w:val="Normal"/>
    <w:next w:val="Normal"/>
    <w:autoRedefine/>
    <w:uiPriority w:val="39"/>
    <w:unhideWhenUsed/>
    <w:rsid w:val="007B2B4B"/>
    <w:pPr>
      <w:spacing w:after="0"/>
    </w:pPr>
    <w:rPr>
      <w:b/>
      <w:bCs/>
      <w:smallCaps/>
    </w:rPr>
  </w:style>
  <w:style w:type="paragraph" w:styleId="BalloonText">
    <w:name w:val="Balloon Text"/>
    <w:basedOn w:val="Normal"/>
    <w:link w:val="BalloonTextChar"/>
    <w:uiPriority w:val="99"/>
    <w:semiHidden/>
    <w:unhideWhenUsed/>
    <w:rsid w:val="000E65B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E65B5"/>
    <w:rPr>
      <w:rFonts w:ascii="Tahoma" w:eastAsia="Times New Roman" w:hAnsi="Tahoma" w:cs="Tahoma"/>
      <w:sz w:val="16"/>
      <w:szCs w:val="16"/>
    </w:rPr>
  </w:style>
  <w:style w:type="paragraph" w:styleId="TOC1">
    <w:name w:val="toc 1"/>
    <w:basedOn w:val="Normal"/>
    <w:next w:val="Normal"/>
    <w:autoRedefine/>
    <w:uiPriority w:val="39"/>
    <w:unhideWhenUsed/>
    <w:rsid w:val="00CA4CCD"/>
    <w:pPr>
      <w:spacing w:before="360" w:after="360"/>
    </w:pPr>
    <w:rPr>
      <w:b/>
      <w:bCs/>
      <w:caps/>
      <w:u w:val="single"/>
    </w:rPr>
  </w:style>
  <w:style w:type="character" w:customStyle="1" w:styleId="Heading3Char">
    <w:name w:val="Heading 3 Char"/>
    <w:link w:val="Heading3"/>
    <w:uiPriority w:val="9"/>
    <w:rsid w:val="00DF5874"/>
    <w:rPr>
      <w:rFonts w:ascii="Cambria" w:eastAsia="Times New Roman" w:hAnsi="Cambria"/>
      <w:b/>
      <w:bCs/>
      <w:sz w:val="24"/>
      <w:szCs w:val="24"/>
      <w:lang w:eastAsia="en-US"/>
    </w:rPr>
  </w:style>
  <w:style w:type="paragraph" w:styleId="TOC3">
    <w:name w:val="toc 3"/>
    <w:basedOn w:val="Normal"/>
    <w:next w:val="Normal"/>
    <w:autoRedefine/>
    <w:uiPriority w:val="39"/>
    <w:unhideWhenUsed/>
    <w:rsid w:val="00D04A80"/>
    <w:pPr>
      <w:spacing w:after="0"/>
    </w:pPr>
    <w:rPr>
      <w:smallCaps/>
    </w:rPr>
  </w:style>
  <w:style w:type="paragraph" w:styleId="NoSpacing">
    <w:name w:val="No Spacing"/>
    <w:uiPriority w:val="1"/>
    <w:qFormat/>
    <w:rsid w:val="00134808"/>
    <w:rPr>
      <w:rFonts w:ascii="Calibri" w:eastAsia="Times New Roman" w:hAnsi="Calibri"/>
      <w:sz w:val="22"/>
      <w:szCs w:val="22"/>
      <w:lang w:eastAsia="en-US"/>
    </w:rPr>
  </w:style>
  <w:style w:type="table" w:styleId="TableGrid">
    <w:name w:val="Table Grid"/>
    <w:basedOn w:val="TableNormal"/>
    <w:uiPriority w:val="59"/>
    <w:rsid w:val="009E1772"/>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077D"/>
    <w:pPr>
      <w:tabs>
        <w:tab w:val="center" w:pos="4513"/>
        <w:tab w:val="right" w:pos="9026"/>
      </w:tabs>
    </w:pPr>
  </w:style>
  <w:style w:type="character" w:customStyle="1" w:styleId="HeaderChar">
    <w:name w:val="Header Char"/>
    <w:link w:val="Header"/>
    <w:uiPriority w:val="99"/>
    <w:rsid w:val="0025077D"/>
    <w:rPr>
      <w:rFonts w:ascii="Calibri" w:eastAsia="Times New Roman" w:hAnsi="Calibri"/>
      <w:sz w:val="22"/>
      <w:szCs w:val="22"/>
      <w:lang w:eastAsia="en-US"/>
    </w:rPr>
  </w:style>
  <w:style w:type="paragraph" w:styleId="Footer">
    <w:name w:val="footer"/>
    <w:basedOn w:val="Normal"/>
    <w:link w:val="FooterChar"/>
    <w:uiPriority w:val="99"/>
    <w:unhideWhenUsed/>
    <w:rsid w:val="0025077D"/>
    <w:pPr>
      <w:tabs>
        <w:tab w:val="center" w:pos="4513"/>
        <w:tab w:val="right" w:pos="9026"/>
      </w:tabs>
    </w:pPr>
  </w:style>
  <w:style w:type="character" w:customStyle="1" w:styleId="FooterChar">
    <w:name w:val="Footer Char"/>
    <w:link w:val="Footer"/>
    <w:uiPriority w:val="99"/>
    <w:rsid w:val="0025077D"/>
    <w:rPr>
      <w:rFonts w:ascii="Calibri" w:eastAsia="Times New Roman" w:hAnsi="Calibri"/>
      <w:sz w:val="22"/>
      <w:szCs w:val="22"/>
      <w:lang w:eastAsia="en-US"/>
    </w:rPr>
  </w:style>
  <w:style w:type="paragraph" w:customStyle="1" w:styleId="Default">
    <w:name w:val="Default"/>
    <w:rsid w:val="00BB2ABB"/>
    <w:pPr>
      <w:autoSpaceDE w:val="0"/>
      <w:autoSpaceDN w:val="0"/>
      <w:adjustRightInd w:val="0"/>
    </w:pPr>
    <w:rPr>
      <w:rFonts w:ascii="Calibri" w:hAnsi="Calibri" w:cs="Calibri"/>
      <w:color w:val="000000"/>
      <w:sz w:val="24"/>
      <w:szCs w:val="24"/>
    </w:rPr>
  </w:style>
  <w:style w:type="paragraph" w:customStyle="1" w:styleId="ReportSubtitle">
    <w:name w:val="Report Subtitle"/>
    <w:basedOn w:val="Normal"/>
    <w:rsid w:val="006135C1"/>
    <w:pPr>
      <w:spacing w:after="240" w:line="240" w:lineRule="auto"/>
      <w:ind w:left="720"/>
      <w:jc w:val="right"/>
    </w:pPr>
    <w:rPr>
      <w:rFonts w:ascii="Arial Bold" w:hAnsi="Arial Bold"/>
      <w:b/>
      <w:bCs/>
      <w:color w:val="000000"/>
      <w:sz w:val="40"/>
      <w:szCs w:val="20"/>
      <w:lang w:eastAsia="en-AU"/>
    </w:rPr>
  </w:style>
  <w:style w:type="paragraph" w:customStyle="1" w:styleId="p">
    <w:name w:val="p"/>
    <w:basedOn w:val="Normal"/>
    <w:rsid w:val="008F3B2B"/>
    <w:pPr>
      <w:spacing w:before="100" w:beforeAutospacing="1" w:after="100" w:afterAutospacing="1" w:line="240" w:lineRule="auto"/>
    </w:pPr>
    <w:rPr>
      <w:rFonts w:ascii="Times New Roman" w:hAnsi="Times New Roman"/>
      <w:lang w:eastAsia="en-AU"/>
    </w:rPr>
  </w:style>
  <w:style w:type="paragraph" w:styleId="NormalWeb">
    <w:name w:val="Normal (Web)"/>
    <w:basedOn w:val="Normal"/>
    <w:uiPriority w:val="99"/>
    <w:unhideWhenUsed/>
    <w:rsid w:val="008F3B2B"/>
    <w:pPr>
      <w:spacing w:before="100" w:beforeAutospacing="1" w:after="100" w:afterAutospacing="1" w:line="240" w:lineRule="auto"/>
    </w:pPr>
    <w:rPr>
      <w:rFonts w:ascii="Times New Roman" w:hAnsi="Times New Roman"/>
      <w:lang w:eastAsia="en-AU"/>
    </w:rPr>
  </w:style>
  <w:style w:type="paragraph" w:customStyle="1" w:styleId="eptext">
    <w:name w:val="eptext"/>
    <w:basedOn w:val="Normal"/>
    <w:rsid w:val="00AD7411"/>
    <w:pPr>
      <w:spacing w:before="140" w:after="140" w:line="336" w:lineRule="atLeast"/>
    </w:pPr>
    <w:rPr>
      <w:rFonts w:ascii="Arial" w:hAnsi="Arial" w:cs="Arial"/>
      <w:color w:val="333333"/>
      <w:sz w:val="18"/>
      <w:szCs w:val="18"/>
      <w:lang w:eastAsia="en-AU"/>
    </w:rPr>
  </w:style>
  <w:style w:type="paragraph" w:customStyle="1" w:styleId="BodyText1">
    <w:name w:val="Body Text1"/>
    <w:basedOn w:val="Normal"/>
    <w:uiPriority w:val="1"/>
    <w:qFormat/>
    <w:rsid w:val="00722226"/>
  </w:style>
  <w:style w:type="paragraph" w:customStyle="1" w:styleId="ListBullet1">
    <w:name w:val="List Bullet1"/>
    <w:basedOn w:val="BodyText1"/>
    <w:uiPriority w:val="5"/>
    <w:qFormat/>
    <w:rsid w:val="009F0FA2"/>
    <w:pPr>
      <w:numPr>
        <w:numId w:val="2"/>
      </w:numPr>
      <w:contextualSpacing/>
    </w:pPr>
  </w:style>
  <w:style w:type="character" w:customStyle="1" w:styleId="maintitlesearchterm">
    <w:name w:val="maintitlesearchterm"/>
    <w:rsid w:val="001A5DFD"/>
  </w:style>
  <w:style w:type="character" w:customStyle="1" w:styleId="Heading4Char">
    <w:name w:val="Heading 4 Char"/>
    <w:link w:val="Heading4"/>
    <w:uiPriority w:val="9"/>
    <w:rsid w:val="009F7D10"/>
    <w:rPr>
      <w:rFonts w:ascii="Cambria" w:eastAsia="Times New Roman" w:hAnsi="Cambria"/>
      <w:b/>
      <w:bCs/>
      <w:i/>
      <w:sz w:val="24"/>
      <w:szCs w:val="28"/>
      <w:lang w:eastAsia="en-US"/>
    </w:rPr>
  </w:style>
  <w:style w:type="character" w:styleId="FollowedHyperlink">
    <w:name w:val="FollowedHyperlink"/>
    <w:uiPriority w:val="99"/>
    <w:semiHidden/>
    <w:unhideWhenUsed/>
    <w:rsid w:val="00DF5DF8"/>
    <w:rPr>
      <w:color w:val="800080"/>
      <w:u w:val="single"/>
    </w:rPr>
  </w:style>
  <w:style w:type="paragraph" w:styleId="Revision">
    <w:name w:val="Revision"/>
    <w:hidden/>
    <w:uiPriority w:val="99"/>
    <w:semiHidden/>
    <w:rsid w:val="004B791A"/>
    <w:rPr>
      <w:rFonts w:ascii="Calibri" w:eastAsia="Times New Roman" w:hAnsi="Calibri"/>
      <w:sz w:val="22"/>
      <w:szCs w:val="22"/>
      <w:lang w:eastAsia="en-US"/>
    </w:rPr>
  </w:style>
  <w:style w:type="character" w:styleId="CommentReference">
    <w:name w:val="annotation reference"/>
    <w:aliases w:val="Table Title"/>
    <w:uiPriority w:val="99"/>
    <w:unhideWhenUsed/>
    <w:qFormat/>
    <w:rsid w:val="00531A86"/>
    <w:rPr>
      <w:sz w:val="16"/>
      <w:szCs w:val="16"/>
    </w:rPr>
  </w:style>
  <w:style w:type="paragraph" w:styleId="CommentText">
    <w:name w:val="annotation text"/>
    <w:basedOn w:val="Normal"/>
    <w:link w:val="CommentTextChar"/>
    <w:uiPriority w:val="99"/>
    <w:unhideWhenUsed/>
    <w:rsid w:val="00531A86"/>
    <w:rPr>
      <w:sz w:val="20"/>
      <w:szCs w:val="20"/>
    </w:rPr>
  </w:style>
  <w:style w:type="character" w:customStyle="1" w:styleId="CommentTextChar">
    <w:name w:val="Comment Text Char"/>
    <w:link w:val="CommentText"/>
    <w:uiPriority w:val="99"/>
    <w:rsid w:val="00531A86"/>
    <w:rPr>
      <w:rFonts w:ascii="Calibri" w:eastAsia="Times New Roman" w:hAnsi="Calibri"/>
      <w:lang w:eastAsia="en-US"/>
    </w:rPr>
  </w:style>
  <w:style w:type="paragraph" w:styleId="CommentSubject">
    <w:name w:val="annotation subject"/>
    <w:basedOn w:val="CommentText"/>
    <w:next w:val="CommentText"/>
    <w:link w:val="CommentSubjectChar"/>
    <w:uiPriority w:val="99"/>
    <w:semiHidden/>
    <w:unhideWhenUsed/>
    <w:rsid w:val="00531A86"/>
    <w:rPr>
      <w:b/>
      <w:bCs/>
    </w:rPr>
  </w:style>
  <w:style w:type="character" w:customStyle="1" w:styleId="CommentSubjectChar">
    <w:name w:val="Comment Subject Char"/>
    <w:link w:val="CommentSubject"/>
    <w:uiPriority w:val="99"/>
    <w:semiHidden/>
    <w:rsid w:val="00531A86"/>
    <w:rPr>
      <w:rFonts w:ascii="Calibri" w:eastAsia="Times New Roman" w:hAnsi="Calibri"/>
      <w:b/>
      <w:bCs/>
      <w:lang w:eastAsia="en-US"/>
    </w:rPr>
  </w:style>
  <w:style w:type="character" w:customStyle="1" w:styleId="Heading5Char">
    <w:name w:val="Heading 5 Char"/>
    <w:link w:val="Heading5"/>
    <w:uiPriority w:val="9"/>
    <w:rsid w:val="00610C50"/>
    <w:rPr>
      <w:rFonts w:ascii="Cambria" w:eastAsia="Times New Roman" w:hAnsi="Cambria" w:cs="Times New Roman"/>
      <w:b/>
      <w:bCs/>
      <w:i/>
      <w:iCs/>
      <w:sz w:val="24"/>
      <w:szCs w:val="24"/>
      <w:lang w:eastAsia="en-US"/>
    </w:rPr>
  </w:style>
  <w:style w:type="paragraph" w:styleId="TOC4">
    <w:name w:val="toc 4"/>
    <w:basedOn w:val="Normal"/>
    <w:next w:val="Normal"/>
    <w:autoRedefine/>
    <w:uiPriority w:val="39"/>
    <w:unhideWhenUsed/>
    <w:rsid w:val="00A82B0B"/>
    <w:pPr>
      <w:spacing w:after="0"/>
    </w:pPr>
  </w:style>
  <w:style w:type="paragraph" w:styleId="TOC5">
    <w:name w:val="toc 5"/>
    <w:basedOn w:val="Normal"/>
    <w:next w:val="Normal"/>
    <w:autoRedefine/>
    <w:uiPriority w:val="39"/>
    <w:unhideWhenUsed/>
    <w:rsid w:val="00A82B0B"/>
    <w:pPr>
      <w:spacing w:after="0"/>
    </w:pPr>
  </w:style>
  <w:style w:type="paragraph" w:styleId="TOC6">
    <w:name w:val="toc 6"/>
    <w:basedOn w:val="Normal"/>
    <w:next w:val="Normal"/>
    <w:autoRedefine/>
    <w:uiPriority w:val="39"/>
    <w:unhideWhenUsed/>
    <w:rsid w:val="00A82B0B"/>
    <w:pPr>
      <w:spacing w:after="0"/>
    </w:pPr>
  </w:style>
  <w:style w:type="paragraph" w:styleId="TOC7">
    <w:name w:val="toc 7"/>
    <w:basedOn w:val="Normal"/>
    <w:next w:val="Normal"/>
    <w:autoRedefine/>
    <w:uiPriority w:val="39"/>
    <w:unhideWhenUsed/>
    <w:rsid w:val="00A82B0B"/>
    <w:pPr>
      <w:spacing w:after="0"/>
    </w:pPr>
  </w:style>
  <w:style w:type="paragraph" w:styleId="TOC8">
    <w:name w:val="toc 8"/>
    <w:basedOn w:val="Normal"/>
    <w:next w:val="Normal"/>
    <w:autoRedefine/>
    <w:uiPriority w:val="39"/>
    <w:unhideWhenUsed/>
    <w:rsid w:val="00A82B0B"/>
    <w:pPr>
      <w:spacing w:after="0"/>
    </w:pPr>
  </w:style>
  <w:style w:type="paragraph" w:styleId="TOC9">
    <w:name w:val="toc 9"/>
    <w:basedOn w:val="Normal"/>
    <w:next w:val="Normal"/>
    <w:autoRedefine/>
    <w:uiPriority w:val="39"/>
    <w:unhideWhenUsed/>
    <w:rsid w:val="00A82B0B"/>
    <w:pPr>
      <w:spacing w:after="0"/>
    </w:pPr>
  </w:style>
  <w:style w:type="character" w:customStyle="1" w:styleId="Heading6Char">
    <w:name w:val="Heading 6 Char"/>
    <w:aliases w:val="Normal to dots Char"/>
    <w:link w:val="Heading6"/>
    <w:uiPriority w:val="9"/>
    <w:rsid w:val="00C67115"/>
    <w:rPr>
      <w:rFonts w:ascii="Calibri" w:eastAsia="Times New Roman" w:hAnsi="Calibri"/>
      <w:sz w:val="24"/>
      <w:szCs w:val="24"/>
      <w:lang w:val="en-US"/>
    </w:rPr>
  </w:style>
  <w:style w:type="character" w:customStyle="1" w:styleId="Heading7Char">
    <w:name w:val="Heading 7 Char"/>
    <w:link w:val="Heading7"/>
    <w:uiPriority w:val="9"/>
    <w:rsid w:val="00C67115"/>
    <w:rPr>
      <w:rFonts w:ascii="Cambria" w:eastAsia="Times New Roman" w:hAnsi="Cambria"/>
      <w:i/>
      <w:iCs/>
      <w:color w:val="404040"/>
      <w:sz w:val="24"/>
      <w:szCs w:val="24"/>
      <w:lang w:val="en-US"/>
    </w:rPr>
  </w:style>
  <w:style w:type="paragraph" w:styleId="Title">
    <w:name w:val="Title"/>
    <w:basedOn w:val="Normal"/>
    <w:next w:val="Normal"/>
    <w:link w:val="TitleChar"/>
    <w:uiPriority w:val="10"/>
    <w:rsid w:val="00C67115"/>
    <w:pPr>
      <w:spacing w:after="240" w:line="240" w:lineRule="auto"/>
      <w:contextualSpacing/>
    </w:pPr>
    <w:rPr>
      <w:b/>
      <w:spacing w:val="5"/>
      <w:kern w:val="28"/>
      <w:sz w:val="56"/>
      <w:szCs w:val="56"/>
      <w:lang w:val="en-US" w:eastAsia="en-AU"/>
    </w:rPr>
  </w:style>
  <w:style w:type="character" w:customStyle="1" w:styleId="TitleChar">
    <w:name w:val="Title Char"/>
    <w:link w:val="Title"/>
    <w:uiPriority w:val="10"/>
    <w:rsid w:val="00C67115"/>
    <w:rPr>
      <w:rFonts w:ascii="Calibri" w:eastAsia="Times New Roman" w:hAnsi="Calibri"/>
      <w:b/>
      <w:spacing w:val="5"/>
      <w:kern w:val="28"/>
      <w:sz w:val="56"/>
      <w:szCs w:val="56"/>
      <w:lang w:val="en-US"/>
    </w:rPr>
  </w:style>
  <w:style w:type="character" w:styleId="PageNumber">
    <w:name w:val="page number"/>
    <w:unhideWhenUsed/>
    <w:rsid w:val="00C67115"/>
  </w:style>
  <w:style w:type="paragraph" w:styleId="DocumentMap">
    <w:name w:val="Document Map"/>
    <w:basedOn w:val="Normal"/>
    <w:link w:val="DocumentMapChar"/>
    <w:uiPriority w:val="99"/>
    <w:semiHidden/>
    <w:unhideWhenUsed/>
    <w:rsid w:val="00C67115"/>
    <w:pPr>
      <w:spacing w:after="0" w:line="240" w:lineRule="auto"/>
    </w:pPr>
    <w:rPr>
      <w:rFonts w:ascii="Lucida Grande" w:hAnsi="Lucida Grande" w:cs="Lucida Grande"/>
      <w:lang w:val="en-US" w:eastAsia="en-AU"/>
    </w:rPr>
  </w:style>
  <w:style w:type="character" w:customStyle="1" w:styleId="DocumentMapChar">
    <w:name w:val="Document Map Char"/>
    <w:link w:val="DocumentMap"/>
    <w:uiPriority w:val="99"/>
    <w:semiHidden/>
    <w:rsid w:val="00C67115"/>
    <w:rPr>
      <w:rFonts w:ascii="Lucida Grande" w:eastAsia="Times New Roman" w:hAnsi="Lucida Grande" w:cs="Lucida Grande"/>
      <w:sz w:val="24"/>
      <w:szCs w:val="24"/>
      <w:lang w:val="en-US"/>
    </w:rPr>
  </w:style>
  <w:style w:type="paragraph" w:customStyle="1" w:styleId="Tablewriting">
    <w:name w:val="Table writing"/>
    <w:basedOn w:val="Normal"/>
    <w:link w:val="TablewritingChar"/>
    <w:qFormat/>
    <w:rsid w:val="00C67115"/>
    <w:pPr>
      <w:autoSpaceDE w:val="0"/>
      <w:autoSpaceDN w:val="0"/>
      <w:adjustRightInd w:val="0"/>
      <w:spacing w:before="60" w:after="60" w:line="240" w:lineRule="auto"/>
    </w:pPr>
    <w:rPr>
      <w:color w:val="000000"/>
      <w:lang w:val="en-US" w:eastAsia="en-AU"/>
    </w:rPr>
  </w:style>
  <w:style w:type="character" w:customStyle="1" w:styleId="TablewritingChar">
    <w:name w:val="Table writing Char"/>
    <w:link w:val="Tablewriting"/>
    <w:rsid w:val="00C67115"/>
    <w:rPr>
      <w:rFonts w:ascii="Calibri" w:eastAsia="Times New Roman" w:hAnsi="Calibri" w:cs="Calibri"/>
      <w:color w:val="000000"/>
      <w:sz w:val="22"/>
      <w:szCs w:val="22"/>
      <w:lang w:val="en-US"/>
    </w:rPr>
  </w:style>
  <w:style w:type="paragraph" w:customStyle="1" w:styleId="Tableheading">
    <w:name w:val="Table heading"/>
    <w:basedOn w:val="Normal"/>
    <w:qFormat/>
    <w:rsid w:val="00C67115"/>
    <w:pPr>
      <w:autoSpaceDE w:val="0"/>
      <w:autoSpaceDN w:val="0"/>
      <w:adjustRightInd w:val="0"/>
      <w:spacing w:before="60" w:after="60" w:line="240" w:lineRule="auto"/>
      <w:jc w:val="center"/>
    </w:pPr>
    <w:rPr>
      <w:b/>
      <w:lang w:val="en-US"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67115"/>
    <w:pPr>
      <w:spacing w:after="160" w:line="240" w:lineRule="exact"/>
    </w:pPr>
    <w:rPr>
      <w:rFonts w:ascii="Verdana" w:eastAsia="MS Mincho" w:hAnsi="Verdana" w:cs="Verdana"/>
      <w:szCs w:val="20"/>
      <w:lang w:val="en-US"/>
    </w:rPr>
  </w:style>
  <w:style w:type="paragraph" w:customStyle="1" w:styleId="Notes">
    <w:name w:val="Notes"/>
    <w:basedOn w:val="Normal"/>
    <w:qFormat/>
    <w:rsid w:val="00646887"/>
    <w:pPr>
      <w:spacing w:after="0" w:line="240" w:lineRule="auto"/>
    </w:pPr>
    <w:rPr>
      <w:rFonts w:cs="Baskerville"/>
      <w:sz w:val="20"/>
      <w:szCs w:val="20"/>
      <w:lang w:val="en-US" w:eastAsia="en-AU"/>
    </w:rPr>
  </w:style>
  <w:style w:type="paragraph" w:customStyle="1" w:styleId="Tabletitle">
    <w:name w:val="Table title"/>
    <w:basedOn w:val="Heading4"/>
    <w:link w:val="TabletitleChar"/>
    <w:rsid w:val="00C67115"/>
    <w:pPr>
      <w:keepLines/>
      <w:spacing w:before="200" w:after="20" w:line="240" w:lineRule="auto"/>
    </w:pPr>
    <w:rPr>
      <w:rFonts w:ascii="Calibri" w:hAnsi="Calibri"/>
      <w:iCs/>
      <w:szCs w:val="24"/>
      <w:lang w:val="en-US" w:eastAsia="en-AU"/>
    </w:rPr>
  </w:style>
  <w:style w:type="character" w:customStyle="1" w:styleId="TabletitleChar">
    <w:name w:val="Table title Char"/>
    <w:link w:val="Tabletitle"/>
    <w:rsid w:val="00C67115"/>
    <w:rPr>
      <w:rFonts w:ascii="Calibri" w:eastAsia="Times New Roman" w:hAnsi="Calibri"/>
      <w:b/>
      <w:bCs/>
      <w:iCs/>
      <w:sz w:val="24"/>
      <w:szCs w:val="24"/>
      <w:lang w:val="en-US"/>
    </w:rPr>
  </w:style>
  <w:style w:type="paragraph" w:customStyle="1" w:styleId="Bullets">
    <w:name w:val="Bullets"/>
    <w:basedOn w:val="ListParagraph"/>
    <w:qFormat/>
    <w:rsid w:val="00C67115"/>
    <w:pPr>
      <w:numPr>
        <w:numId w:val="14"/>
      </w:numPr>
      <w:spacing w:before="60" w:after="60" w:line="240" w:lineRule="auto"/>
      <w:ind w:left="426" w:hanging="426"/>
      <w:contextualSpacing w:val="0"/>
    </w:pPr>
    <w:rPr>
      <w:rFonts w:cs="Baskerville"/>
      <w:lang w:val="en-US" w:eastAsia="en-AU"/>
    </w:rPr>
  </w:style>
  <w:style w:type="paragraph" w:customStyle="1" w:styleId="DepartmentalHeading3">
    <w:name w:val="Departmental Heading 3"/>
    <w:basedOn w:val="Heading3"/>
    <w:rsid w:val="00C67115"/>
    <w:pPr>
      <w:spacing w:before="0" w:after="60" w:line="240" w:lineRule="auto"/>
    </w:pPr>
    <w:rPr>
      <w:rFonts w:ascii="Arial" w:hAnsi="Arial"/>
      <w:b w:val="0"/>
      <w:bCs w:val="0"/>
      <w:i/>
      <w:szCs w:val="20"/>
      <w:lang w:val="en-US" w:eastAsia="en-AU"/>
    </w:rPr>
  </w:style>
  <w:style w:type="paragraph" w:customStyle="1" w:styleId="DepartmentalHeading2">
    <w:name w:val="Departmental Heading 2"/>
    <w:basedOn w:val="Heading2"/>
    <w:rsid w:val="00C67115"/>
    <w:pPr>
      <w:keepLines w:val="0"/>
      <w:spacing w:after="60" w:line="240" w:lineRule="auto"/>
    </w:pPr>
    <w:rPr>
      <w:rFonts w:ascii="Arial" w:hAnsi="Arial"/>
      <w:bCs w:val="0"/>
      <w:sz w:val="24"/>
      <w:szCs w:val="20"/>
      <w:lang w:val="en-US" w:eastAsia="en-AU"/>
    </w:rPr>
  </w:style>
  <w:style w:type="paragraph" w:customStyle="1" w:styleId="Bullets1">
    <w:name w:val="Bullets 1"/>
    <w:basedOn w:val="ListParagraph"/>
    <w:link w:val="Bullets1Char"/>
    <w:rsid w:val="00C67115"/>
    <w:pPr>
      <w:spacing w:before="60" w:after="0" w:line="300" w:lineRule="atLeast"/>
      <w:ind w:left="714" w:hanging="357"/>
      <w:contextualSpacing w:val="0"/>
    </w:pPr>
    <w:rPr>
      <w:rFonts w:ascii="Gill Sans MT" w:eastAsia="Times" w:hAnsi="Gill Sans MT"/>
      <w:sz w:val="20"/>
      <w:szCs w:val="20"/>
      <w:lang w:val="en-US"/>
    </w:rPr>
  </w:style>
  <w:style w:type="character" w:customStyle="1" w:styleId="Bullets1Char">
    <w:name w:val="Bullets 1 Char"/>
    <w:link w:val="Bullets1"/>
    <w:rsid w:val="00C67115"/>
    <w:rPr>
      <w:rFonts w:ascii="Gill Sans MT" w:eastAsia="Times" w:hAnsi="Gill Sans MT"/>
      <w:lang w:val="en-US" w:eastAsia="en-US"/>
    </w:rPr>
  </w:style>
  <w:style w:type="paragraph" w:customStyle="1" w:styleId="Tableheadings">
    <w:name w:val="Table headings"/>
    <w:basedOn w:val="Heading3"/>
    <w:link w:val="TableheadingsChar"/>
    <w:rsid w:val="00C67115"/>
    <w:pPr>
      <w:spacing w:before="60" w:after="60" w:line="300" w:lineRule="atLeast"/>
    </w:pPr>
    <w:rPr>
      <w:rFonts w:ascii="Gill Sans MT" w:eastAsia="Times" w:hAnsi="Gill Sans MT" w:cs="Arial"/>
      <w:color w:val="FFFFFF"/>
      <w:lang w:val="en-US"/>
    </w:rPr>
  </w:style>
  <w:style w:type="character" w:customStyle="1" w:styleId="TableheadingsChar">
    <w:name w:val="Table headings Char"/>
    <w:link w:val="Tableheadings"/>
    <w:rsid w:val="00C67115"/>
    <w:rPr>
      <w:rFonts w:ascii="Gill Sans MT" w:eastAsia="Times" w:hAnsi="Gill Sans MT" w:cs="Arial"/>
      <w:b/>
      <w:bCs/>
      <w:color w:val="FFFFFF"/>
      <w:sz w:val="24"/>
      <w:szCs w:val="24"/>
      <w:lang w:val="en-US" w:eastAsia="en-US"/>
    </w:rPr>
  </w:style>
  <w:style w:type="paragraph" w:customStyle="1" w:styleId="DepartmentalNormal">
    <w:name w:val="Departmental Normal"/>
    <w:basedOn w:val="Normal"/>
    <w:rsid w:val="00C67115"/>
    <w:pPr>
      <w:spacing w:after="0" w:line="240" w:lineRule="auto"/>
    </w:pPr>
    <w:rPr>
      <w:rFonts w:ascii="Times New Roman" w:hAnsi="Times New Roman"/>
      <w:szCs w:val="20"/>
      <w:lang w:val="en-US" w:eastAsia="en-AU"/>
    </w:rPr>
  </w:style>
  <w:style w:type="paragraph" w:styleId="FootnoteText">
    <w:name w:val="footnote text"/>
    <w:basedOn w:val="Normal"/>
    <w:link w:val="FootnoteTextChar"/>
    <w:uiPriority w:val="99"/>
    <w:unhideWhenUsed/>
    <w:rsid w:val="00C67115"/>
    <w:pPr>
      <w:spacing w:after="0" w:line="240" w:lineRule="auto"/>
    </w:pPr>
    <w:rPr>
      <w:lang w:val="en-US" w:eastAsia="en-AU"/>
    </w:rPr>
  </w:style>
  <w:style w:type="character" w:customStyle="1" w:styleId="FootnoteTextChar">
    <w:name w:val="Footnote Text Char"/>
    <w:link w:val="FootnoteText"/>
    <w:uiPriority w:val="99"/>
    <w:rsid w:val="00C67115"/>
    <w:rPr>
      <w:rFonts w:ascii="Calibri" w:eastAsia="Times New Roman" w:hAnsi="Calibri"/>
      <w:sz w:val="24"/>
      <w:szCs w:val="24"/>
      <w:lang w:val="en-US"/>
    </w:rPr>
  </w:style>
  <w:style w:type="paragraph" w:styleId="BodyText">
    <w:name w:val="Body Text"/>
    <w:basedOn w:val="Normal"/>
    <w:link w:val="BodyTextChar"/>
    <w:uiPriority w:val="99"/>
    <w:unhideWhenUsed/>
    <w:rsid w:val="00C67115"/>
    <w:pPr>
      <w:spacing w:line="240" w:lineRule="auto"/>
    </w:pPr>
    <w:rPr>
      <w:lang w:val="en-US" w:eastAsia="en-AU"/>
    </w:rPr>
  </w:style>
  <w:style w:type="character" w:customStyle="1" w:styleId="BodyTextChar">
    <w:name w:val="Body Text Char"/>
    <w:link w:val="BodyText"/>
    <w:uiPriority w:val="99"/>
    <w:rsid w:val="00C67115"/>
    <w:rPr>
      <w:rFonts w:ascii="Calibri" w:eastAsia="Times New Roman" w:hAnsi="Calibri"/>
      <w:sz w:val="24"/>
      <w:szCs w:val="24"/>
      <w:lang w:val="en-US"/>
    </w:rPr>
  </w:style>
  <w:style w:type="paragraph" w:customStyle="1" w:styleId="DIABtabletext">
    <w:name w:val="DIAB table text"/>
    <w:basedOn w:val="Normal"/>
    <w:link w:val="DIABtabletextChar"/>
    <w:rsid w:val="00C67115"/>
    <w:pPr>
      <w:autoSpaceDE w:val="0"/>
      <w:autoSpaceDN w:val="0"/>
      <w:adjustRightInd w:val="0"/>
      <w:spacing w:after="0" w:line="240" w:lineRule="auto"/>
      <w:jc w:val="both"/>
    </w:pPr>
    <w:rPr>
      <w:rFonts w:ascii="Arial" w:eastAsia="Calibri" w:hAnsi="Arial" w:cs="Arial"/>
      <w:color w:val="000000"/>
      <w:sz w:val="20"/>
      <w:szCs w:val="20"/>
      <w:lang w:val="en-US"/>
    </w:rPr>
  </w:style>
  <w:style w:type="character" w:customStyle="1" w:styleId="DIABtabletextChar">
    <w:name w:val="DIAB table text Char"/>
    <w:link w:val="DIABtabletext"/>
    <w:rsid w:val="00C67115"/>
    <w:rPr>
      <w:rFonts w:ascii="Arial" w:hAnsi="Arial" w:cs="Arial"/>
      <w:color w:val="000000"/>
      <w:lang w:val="en-US" w:eastAsia="en-US"/>
    </w:rPr>
  </w:style>
  <w:style w:type="paragraph" w:customStyle="1" w:styleId="Figuretitle">
    <w:name w:val="Figure title"/>
    <w:basedOn w:val="Tabletitle"/>
    <w:link w:val="FiguretitleChar"/>
    <w:qFormat/>
    <w:rsid w:val="00C67115"/>
  </w:style>
  <w:style w:type="character" w:customStyle="1" w:styleId="FiguretitleChar">
    <w:name w:val="Figure title Char"/>
    <w:link w:val="Figuretitle"/>
    <w:rsid w:val="00C67115"/>
    <w:rPr>
      <w:rFonts w:ascii="Calibri" w:eastAsia="Times New Roman" w:hAnsi="Calibri"/>
      <w:b/>
      <w:bCs/>
      <w:iCs/>
      <w:sz w:val="24"/>
      <w:szCs w:val="24"/>
      <w:lang w:val="en-US"/>
    </w:rPr>
  </w:style>
  <w:style w:type="paragraph" w:customStyle="1" w:styleId="Numberedlist-normal">
    <w:name w:val="Numbered list - normal"/>
    <w:basedOn w:val="Bullets"/>
    <w:link w:val="Numberedlist-normalChar"/>
    <w:qFormat/>
    <w:rsid w:val="00C67115"/>
    <w:pPr>
      <w:numPr>
        <w:numId w:val="15"/>
      </w:numPr>
    </w:pPr>
  </w:style>
  <w:style w:type="character" w:customStyle="1" w:styleId="Numberedlist-normalChar">
    <w:name w:val="Numbered list - normal Char"/>
    <w:link w:val="Numberedlist-normal"/>
    <w:rsid w:val="00C67115"/>
    <w:rPr>
      <w:rFonts w:ascii="Cambria" w:eastAsia="Times New Roman" w:hAnsi="Cambria" w:cs="Baskerville"/>
      <w:noProof/>
      <w:sz w:val="24"/>
      <w:szCs w:val="24"/>
      <w:lang w:val="en-US"/>
    </w:rPr>
  </w:style>
  <w:style w:type="paragraph" w:customStyle="1" w:styleId="DIABnormal">
    <w:name w:val="DIAB normal"/>
    <w:basedOn w:val="Normal"/>
    <w:link w:val="DIABnormalChar"/>
    <w:rsid w:val="00786555"/>
    <w:pPr>
      <w:autoSpaceDE w:val="0"/>
      <w:autoSpaceDN w:val="0"/>
      <w:adjustRightInd w:val="0"/>
      <w:spacing w:after="220" w:line="240" w:lineRule="auto"/>
      <w:jc w:val="both"/>
    </w:pPr>
    <w:rPr>
      <w:rFonts w:ascii="Arial" w:eastAsia="Calibri" w:hAnsi="Arial" w:cs="Arial"/>
      <w:color w:val="000000"/>
      <w:szCs w:val="20"/>
    </w:rPr>
  </w:style>
  <w:style w:type="character" w:customStyle="1" w:styleId="DIABnormalChar">
    <w:name w:val="DIAB normal Char"/>
    <w:link w:val="DIABnormal"/>
    <w:rsid w:val="00786555"/>
    <w:rPr>
      <w:rFonts w:ascii="Arial" w:hAnsi="Arial" w:cs="Arial"/>
      <w:color w:val="000000"/>
      <w:sz w:val="22"/>
      <w:lang w:eastAsia="en-US"/>
    </w:rPr>
  </w:style>
  <w:style w:type="paragraph" w:customStyle="1" w:styleId="DIABTablefooter">
    <w:name w:val="DIAB Table footer"/>
    <w:basedOn w:val="DIABtabletext"/>
    <w:link w:val="DIABTablefooterChar"/>
    <w:rsid w:val="00786555"/>
    <w:pPr>
      <w:spacing w:after="220"/>
      <w:contextualSpacing/>
    </w:pPr>
    <w:rPr>
      <w:rFonts w:ascii="Arial Narrow" w:eastAsia="MS Gothic" w:hAnsi="Arial Narrow"/>
      <w:bCs/>
      <w:sz w:val="18"/>
      <w:lang w:val="en-AU"/>
    </w:rPr>
  </w:style>
  <w:style w:type="paragraph" w:customStyle="1" w:styleId="DIABTblcap">
    <w:name w:val="DIABTblcap"/>
    <w:basedOn w:val="Normal"/>
    <w:link w:val="DIABTblcapChar"/>
    <w:rsid w:val="00786555"/>
    <w:pPr>
      <w:spacing w:after="0" w:line="240" w:lineRule="auto"/>
      <w:jc w:val="both"/>
    </w:pPr>
    <w:rPr>
      <w:rFonts w:ascii="Arial Narrow" w:eastAsia="Calibri" w:hAnsi="Arial Narrow" w:cs="Arial"/>
      <w:b/>
      <w:sz w:val="20"/>
      <w:szCs w:val="20"/>
    </w:rPr>
  </w:style>
  <w:style w:type="character" w:customStyle="1" w:styleId="DIABTablefooterChar">
    <w:name w:val="DIAB Table footer Char"/>
    <w:link w:val="DIABTablefooter"/>
    <w:rsid w:val="00786555"/>
    <w:rPr>
      <w:rFonts w:ascii="Arial Narrow" w:eastAsia="MS Gothic" w:hAnsi="Arial Narrow" w:cs="Arial"/>
      <w:bCs/>
      <w:color w:val="000000"/>
      <w:sz w:val="18"/>
      <w:lang w:eastAsia="en-US"/>
    </w:rPr>
  </w:style>
  <w:style w:type="character" w:customStyle="1" w:styleId="DIABTblcapChar">
    <w:name w:val="DIABTblcap Char"/>
    <w:link w:val="DIABTblcap"/>
    <w:rsid w:val="00786555"/>
    <w:rPr>
      <w:rFonts w:ascii="Arial Narrow" w:hAnsi="Arial Narrow" w:cs="Arial"/>
      <w:b/>
      <w:lang w:eastAsia="en-US"/>
    </w:rPr>
  </w:style>
  <w:style w:type="paragraph" w:styleId="Caption">
    <w:name w:val="caption"/>
    <w:aliases w:val="Table caption"/>
    <w:basedOn w:val="Normal"/>
    <w:next w:val="Normal"/>
    <w:uiPriority w:val="35"/>
    <w:qFormat/>
    <w:rsid w:val="000437D6"/>
    <w:pPr>
      <w:keepNext/>
      <w:widowControl w:val="0"/>
      <w:spacing w:after="0" w:line="240" w:lineRule="auto"/>
      <w:jc w:val="both"/>
    </w:pPr>
    <w:rPr>
      <w:rFonts w:ascii="Arial Narrow" w:hAnsi="Arial Narrow" w:cs="Arial"/>
      <w:b/>
      <w:bCs/>
      <w:snapToGrid w:val="0"/>
      <w:sz w:val="20"/>
      <w:szCs w:val="21"/>
    </w:rPr>
  </w:style>
  <w:style w:type="paragraph" w:customStyle="1" w:styleId="Tablenotes">
    <w:name w:val="Table notes"/>
    <w:basedOn w:val="Notes"/>
    <w:link w:val="TablenotesChar"/>
    <w:qFormat/>
    <w:rsid w:val="000437D6"/>
    <w:pPr>
      <w:widowControl w:val="0"/>
    </w:pPr>
    <w:rPr>
      <w:rFonts w:ascii="Arial Narrow" w:hAnsi="Arial Narrow" w:cs="Arial"/>
      <w:snapToGrid w:val="0"/>
      <w:sz w:val="18"/>
      <w:szCs w:val="18"/>
      <w:lang w:val="en-AU" w:eastAsia="en-US"/>
    </w:rPr>
  </w:style>
  <w:style w:type="character" w:customStyle="1" w:styleId="TablenotesChar">
    <w:name w:val="Table notes Char"/>
    <w:basedOn w:val="DefaultParagraphFont"/>
    <w:link w:val="Tablenotes"/>
    <w:rsid w:val="000437D6"/>
    <w:rPr>
      <w:rFonts w:ascii="Arial Narrow" w:eastAsia="Times New Roman" w:hAnsi="Arial Narrow" w:cs="Arial"/>
      <w:snapToGrid w:val="0"/>
      <w:sz w:val="18"/>
      <w:szCs w:val="18"/>
      <w:lang w:eastAsia="en-US"/>
    </w:rPr>
  </w:style>
  <w:style w:type="character" w:customStyle="1" w:styleId="normalchar">
    <w:name w:val="normal_char"/>
    <w:rsid w:val="00232871"/>
    <w:rPr>
      <w:color w:val="auto"/>
    </w:rPr>
  </w:style>
  <w:style w:type="character" w:customStyle="1" w:styleId="ListParagraphChar">
    <w:name w:val="List Paragraph Char"/>
    <w:aliases w:val="Footnote Char"/>
    <w:basedOn w:val="DefaultParagraphFont"/>
    <w:link w:val="ListParagraph"/>
    <w:uiPriority w:val="34"/>
    <w:rsid w:val="0092384C"/>
    <w:rPr>
      <w:rFonts w:ascii="Cambria" w:eastAsia="Times New Roman" w:hAnsi="Cambria" w:cs="Calibri"/>
      <w:noProof/>
      <w:sz w:val="24"/>
      <w:szCs w:val="24"/>
      <w:lang w:eastAsia="en-US"/>
    </w:rPr>
  </w:style>
  <w:style w:type="character" w:styleId="Emphasis">
    <w:name w:val="Emphasis"/>
    <w:rsid w:val="001F4D57"/>
    <w:rPr>
      <w:rFonts w:cs="Times New Roman"/>
      <w:i/>
      <w:iCs/>
    </w:rPr>
  </w:style>
  <w:style w:type="paragraph" w:customStyle="1" w:styleId="CIBBullet">
    <w:name w:val="CIB Bullet"/>
    <w:basedOn w:val="Normal"/>
    <w:rsid w:val="001F4D57"/>
    <w:pPr>
      <w:numPr>
        <w:numId w:val="43"/>
      </w:numPr>
      <w:spacing w:before="20" w:line="240" w:lineRule="auto"/>
    </w:pPr>
    <w:rPr>
      <w:rFonts w:ascii="Times New Roman" w:hAnsi="Times New Roman" w:cs="Times New Roman"/>
      <w:noProof w:val="0"/>
      <w:lang w:eastAsia="en-AU"/>
    </w:rPr>
  </w:style>
  <w:style w:type="character" w:customStyle="1" w:styleId="TableText">
    <w:name w:val="Table Text"/>
    <w:basedOn w:val="DefaultParagraphFont"/>
    <w:uiPriority w:val="4"/>
    <w:qFormat/>
    <w:rsid w:val="00947CC4"/>
    <w:rPr>
      <w:rFonts w:ascii="Arial Narrow" w:hAnsi="Arial Narrow" w:cs="Times New Roman"/>
      <w:sz w:val="20"/>
    </w:rPr>
  </w:style>
  <w:style w:type="paragraph" w:customStyle="1" w:styleId="TableFooter">
    <w:name w:val="Table Footer"/>
    <w:basedOn w:val="Normal"/>
    <w:qFormat/>
    <w:rsid w:val="00947CC4"/>
    <w:pPr>
      <w:widowControl w:val="0"/>
      <w:spacing w:after="0" w:line="240" w:lineRule="auto"/>
      <w:jc w:val="both"/>
    </w:pPr>
    <w:rPr>
      <w:rFonts w:ascii="Arial Narrow" w:hAnsi="Arial Narrow" w:cs="Arial"/>
      <w:noProof w:val="0"/>
      <w:snapToGrid w:val="0"/>
      <w:sz w:val="18"/>
      <w:szCs w:val="21"/>
    </w:rPr>
  </w:style>
  <w:style w:type="table" w:customStyle="1" w:styleId="TableGrid1">
    <w:name w:val="Table Grid1"/>
    <w:basedOn w:val="TableNormal"/>
    <w:next w:val="TableGrid"/>
    <w:uiPriority w:val="59"/>
    <w:rsid w:val="003D0AD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35E7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2694"/>
    <w:pPr>
      <w:spacing w:after="120" w:line="276" w:lineRule="auto"/>
    </w:pPr>
    <w:rPr>
      <w:rFonts w:ascii="Cambria" w:eastAsia="Times New Roman" w:hAnsi="Cambria" w:cs="Calibri"/>
      <w:noProof/>
      <w:sz w:val="24"/>
      <w:szCs w:val="24"/>
      <w:lang w:eastAsia="en-US"/>
    </w:rPr>
  </w:style>
  <w:style w:type="paragraph" w:styleId="Heading1">
    <w:name w:val="heading 1"/>
    <w:basedOn w:val="BodyText1"/>
    <w:next w:val="Normal"/>
    <w:link w:val="Heading1Char"/>
    <w:uiPriority w:val="9"/>
    <w:qFormat/>
    <w:rsid w:val="00F244DE"/>
    <w:pPr>
      <w:jc w:val="center"/>
      <w:outlineLvl w:val="0"/>
    </w:pPr>
    <w:rPr>
      <w:b/>
      <w:smallCaps/>
      <w:sz w:val="36"/>
      <w:szCs w:val="32"/>
    </w:rPr>
  </w:style>
  <w:style w:type="paragraph" w:styleId="Heading2">
    <w:name w:val="heading 2"/>
    <w:basedOn w:val="Normal"/>
    <w:next w:val="Normal"/>
    <w:link w:val="Heading2Char"/>
    <w:autoRedefine/>
    <w:uiPriority w:val="9"/>
    <w:unhideWhenUsed/>
    <w:qFormat/>
    <w:rsid w:val="002701CE"/>
    <w:pPr>
      <w:keepNext/>
      <w:keepLines/>
      <w:spacing w:before="240"/>
      <w:outlineLvl w:val="1"/>
    </w:pPr>
    <w:rPr>
      <w:b/>
      <w:bCs/>
      <w:sz w:val="28"/>
      <w:szCs w:val="28"/>
    </w:rPr>
  </w:style>
  <w:style w:type="paragraph" w:styleId="Heading3">
    <w:name w:val="heading 3"/>
    <w:basedOn w:val="Normal"/>
    <w:next w:val="Normal"/>
    <w:link w:val="Heading3Char"/>
    <w:uiPriority w:val="9"/>
    <w:unhideWhenUsed/>
    <w:qFormat/>
    <w:rsid w:val="00DF5874"/>
    <w:pPr>
      <w:keepNext/>
      <w:spacing w:before="240"/>
      <w:outlineLvl w:val="2"/>
    </w:pPr>
    <w:rPr>
      <w:b/>
      <w:bCs/>
    </w:rPr>
  </w:style>
  <w:style w:type="paragraph" w:styleId="Heading4">
    <w:name w:val="heading 4"/>
    <w:basedOn w:val="Normal"/>
    <w:next w:val="Normal"/>
    <w:link w:val="Heading4Char"/>
    <w:uiPriority w:val="9"/>
    <w:unhideWhenUsed/>
    <w:qFormat/>
    <w:rsid w:val="009F7D10"/>
    <w:pPr>
      <w:keepNext/>
      <w:spacing w:before="240" w:after="60"/>
      <w:outlineLvl w:val="3"/>
    </w:pPr>
    <w:rPr>
      <w:b/>
      <w:bCs/>
      <w:i/>
      <w:szCs w:val="28"/>
    </w:rPr>
  </w:style>
  <w:style w:type="paragraph" w:styleId="Heading5">
    <w:name w:val="heading 5"/>
    <w:basedOn w:val="Normal"/>
    <w:next w:val="Normal"/>
    <w:link w:val="Heading5Char"/>
    <w:uiPriority w:val="9"/>
    <w:unhideWhenUsed/>
    <w:qFormat/>
    <w:rsid w:val="00610C50"/>
    <w:pPr>
      <w:spacing w:before="240" w:after="60"/>
      <w:outlineLvl w:val="4"/>
    </w:pPr>
    <w:rPr>
      <w:b/>
      <w:bCs/>
      <w:i/>
      <w:iCs/>
    </w:rPr>
  </w:style>
  <w:style w:type="paragraph" w:styleId="Heading6">
    <w:name w:val="heading 6"/>
    <w:aliases w:val="Normal to dots"/>
    <w:basedOn w:val="Normal"/>
    <w:next w:val="Normal"/>
    <w:link w:val="Heading6Char"/>
    <w:uiPriority w:val="9"/>
    <w:unhideWhenUsed/>
    <w:qFormat/>
    <w:rsid w:val="00C67115"/>
    <w:pPr>
      <w:spacing w:line="240" w:lineRule="auto"/>
      <w:outlineLvl w:val="5"/>
    </w:pPr>
    <w:rPr>
      <w:lang w:val="en-US" w:eastAsia="en-AU"/>
    </w:rPr>
  </w:style>
  <w:style w:type="paragraph" w:styleId="Heading7">
    <w:name w:val="heading 7"/>
    <w:basedOn w:val="Normal"/>
    <w:next w:val="Normal"/>
    <w:link w:val="Heading7Char"/>
    <w:uiPriority w:val="9"/>
    <w:unhideWhenUsed/>
    <w:qFormat/>
    <w:rsid w:val="00C67115"/>
    <w:pPr>
      <w:keepNext/>
      <w:keepLines/>
      <w:spacing w:before="200" w:after="0" w:line="240" w:lineRule="auto"/>
      <w:outlineLvl w:val="6"/>
    </w:pPr>
    <w:rPr>
      <w:i/>
      <w:iCs/>
      <w:color w:val="404040"/>
      <w:lang w:val="en-US"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2701CE"/>
    <w:rPr>
      <w:rFonts w:ascii="Cambria" w:eastAsia="Times New Roman" w:hAnsi="Cambria" w:cs="Calibri"/>
      <w:b/>
      <w:bCs/>
      <w:noProof/>
      <w:sz w:val="28"/>
      <w:szCs w:val="28"/>
      <w:lang w:eastAsia="en-US"/>
    </w:rPr>
  </w:style>
  <w:style w:type="character" w:styleId="FootnoteReference">
    <w:name w:val="footnote reference"/>
    <w:uiPriority w:val="99"/>
    <w:unhideWhenUsed/>
    <w:rsid w:val="000E65B5"/>
    <w:rPr>
      <w:vertAlign w:val="superscript"/>
    </w:rPr>
  </w:style>
  <w:style w:type="paragraph" w:styleId="ListParagraph">
    <w:name w:val="List Paragraph"/>
    <w:aliases w:val="Footnote"/>
    <w:basedOn w:val="Normal"/>
    <w:link w:val="ListParagraphChar"/>
    <w:uiPriority w:val="34"/>
    <w:qFormat/>
    <w:rsid w:val="000E65B5"/>
    <w:pPr>
      <w:ind w:left="720"/>
      <w:contextualSpacing/>
    </w:pPr>
  </w:style>
  <w:style w:type="character" w:styleId="Hyperlink">
    <w:name w:val="Hyperlink"/>
    <w:uiPriority w:val="99"/>
    <w:unhideWhenUsed/>
    <w:rsid w:val="000E65B5"/>
    <w:rPr>
      <w:color w:val="0000FF"/>
      <w:u w:val="single"/>
    </w:rPr>
  </w:style>
  <w:style w:type="character" w:customStyle="1" w:styleId="Heading1Char">
    <w:name w:val="Heading 1 Char"/>
    <w:link w:val="Heading1"/>
    <w:uiPriority w:val="9"/>
    <w:rsid w:val="00F244DE"/>
    <w:rPr>
      <w:rFonts w:ascii="Cambria" w:eastAsia="Times New Roman" w:hAnsi="Cambria" w:cs="Calibri"/>
      <w:b/>
      <w:smallCaps/>
      <w:sz w:val="36"/>
      <w:szCs w:val="32"/>
      <w:lang w:eastAsia="en-US"/>
    </w:rPr>
  </w:style>
  <w:style w:type="paragraph" w:styleId="TOCHeading">
    <w:name w:val="TOC Heading"/>
    <w:basedOn w:val="Heading1"/>
    <w:next w:val="Normal"/>
    <w:uiPriority w:val="39"/>
    <w:unhideWhenUsed/>
    <w:qFormat/>
    <w:rsid w:val="000E65B5"/>
    <w:pPr>
      <w:contextualSpacing/>
      <w:outlineLvl w:val="9"/>
    </w:pPr>
    <w:rPr>
      <w:lang w:bidi="en-US"/>
    </w:rPr>
  </w:style>
  <w:style w:type="paragraph" w:styleId="TOC2">
    <w:name w:val="toc 2"/>
    <w:basedOn w:val="Normal"/>
    <w:next w:val="Normal"/>
    <w:autoRedefine/>
    <w:uiPriority w:val="39"/>
    <w:unhideWhenUsed/>
    <w:rsid w:val="007B2B4B"/>
    <w:pPr>
      <w:spacing w:after="0"/>
    </w:pPr>
    <w:rPr>
      <w:b/>
      <w:bCs/>
      <w:smallCaps/>
    </w:rPr>
  </w:style>
  <w:style w:type="paragraph" w:styleId="BalloonText">
    <w:name w:val="Balloon Text"/>
    <w:basedOn w:val="Normal"/>
    <w:link w:val="BalloonTextChar"/>
    <w:uiPriority w:val="99"/>
    <w:semiHidden/>
    <w:unhideWhenUsed/>
    <w:rsid w:val="000E65B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E65B5"/>
    <w:rPr>
      <w:rFonts w:ascii="Tahoma" w:eastAsia="Times New Roman" w:hAnsi="Tahoma" w:cs="Tahoma"/>
      <w:sz w:val="16"/>
      <w:szCs w:val="16"/>
    </w:rPr>
  </w:style>
  <w:style w:type="paragraph" w:styleId="TOC1">
    <w:name w:val="toc 1"/>
    <w:basedOn w:val="Normal"/>
    <w:next w:val="Normal"/>
    <w:autoRedefine/>
    <w:uiPriority w:val="39"/>
    <w:unhideWhenUsed/>
    <w:rsid w:val="00CA4CCD"/>
    <w:pPr>
      <w:spacing w:before="360" w:after="360"/>
    </w:pPr>
    <w:rPr>
      <w:b/>
      <w:bCs/>
      <w:caps/>
      <w:u w:val="single"/>
    </w:rPr>
  </w:style>
  <w:style w:type="character" w:customStyle="1" w:styleId="Heading3Char">
    <w:name w:val="Heading 3 Char"/>
    <w:link w:val="Heading3"/>
    <w:uiPriority w:val="9"/>
    <w:rsid w:val="00DF5874"/>
    <w:rPr>
      <w:rFonts w:ascii="Cambria" w:eastAsia="Times New Roman" w:hAnsi="Cambria"/>
      <w:b/>
      <w:bCs/>
      <w:sz w:val="24"/>
      <w:szCs w:val="24"/>
      <w:lang w:eastAsia="en-US"/>
    </w:rPr>
  </w:style>
  <w:style w:type="paragraph" w:styleId="TOC3">
    <w:name w:val="toc 3"/>
    <w:basedOn w:val="Normal"/>
    <w:next w:val="Normal"/>
    <w:autoRedefine/>
    <w:uiPriority w:val="39"/>
    <w:unhideWhenUsed/>
    <w:rsid w:val="00D04A80"/>
    <w:pPr>
      <w:spacing w:after="0"/>
    </w:pPr>
    <w:rPr>
      <w:smallCaps/>
    </w:rPr>
  </w:style>
  <w:style w:type="paragraph" w:styleId="NoSpacing">
    <w:name w:val="No Spacing"/>
    <w:uiPriority w:val="1"/>
    <w:qFormat/>
    <w:rsid w:val="00134808"/>
    <w:rPr>
      <w:rFonts w:ascii="Calibri" w:eastAsia="Times New Roman" w:hAnsi="Calibri"/>
      <w:sz w:val="22"/>
      <w:szCs w:val="22"/>
      <w:lang w:eastAsia="en-US"/>
    </w:rPr>
  </w:style>
  <w:style w:type="table" w:styleId="TableGrid">
    <w:name w:val="Table Grid"/>
    <w:basedOn w:val="TableNormal"/>
    <w:uiPriority w:val="59"/>
    <w:rsid w:val="009E1772"/>
    <w:rPr>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5077D"/>
    <w:pPr>
      <w:tabs>
        <w:tab w:val="center" w:pos="4513"/>
        <w:tab w:val="right" w:pos="9026"/>
      </w:tabs>
    </w:pPr>
  </w:style>
  <w:style w:type="character" w:customStyle="1" w:styleId="HeaderChar">
    <w:name w:val="Header Char"/>
    <w:link w:val="Header"/>
    <w:uiPriority w:val="99"/>
    <w:rsid w:val="0025077D"/>
    <w:rPr>
      <w:rFonts w:ascii="Calibri" w:eastAsia="Times New Roman" w:hAnsi="Calibri"/>
      <w:sz w:val="22"/>
      <w:szCs w:val="22"/>
      <w:lang w:eastAsia="en-US"/>
    </w:rPr>
  </w:style>
  <w:style w:type="paragraph" w:styleId="Footer">
    <w:name w:val="footer"/>
    <w:basedOn w:val="Normal"/>
    <w:link w:val="FooterChar"/>
    <w:uiPriority w:val="99"/>
    <w:unhideWhenUsed/>
    <w:rsid w:val="0025077D"/>
    <w:pPr>
      <w:tabs>
        <w:tab w:val="center" w:pos="4513"/>
        <w:tab w:val="right" w:pos="9026"/>
      </w:tabs>
    </w:pPr>
  </w:style>
  <w:style w:type="character" w:customStyle="1" w:styleId="FooterChar">
    <w:name w:val="Footer Char"/>
    <w:link w:val="Footer"/>
    <w:uiPriority w:val="99"/>
    <w:rsid w:val="0025077D"/>
    <w:rPr>
      <w:rFonts w:ascii="Calibri" w:eastAsia="Times New Roman" w:hAnsi="Calibri"/>
      <w:sz w:val="22"/>
      <w:szCs w:val="22"/>
      <w:lang w:eastAsia="en-US"/>
    </w:rPr>
  </w:style>
  <w:style w:type="paragraph" w:customStyle="1" w:styleId="Default">
    <w:name w:val="Default"/>
    <w:rsid w:val="00BB2ABB"/>
    <w:pPr>
      <w:autoSpaceDE w:val="0"/>
      <w:autoSpaceDN w:val="0"/>
      <w:adjustRightInd w:val="0"/>
    </w:pPr>
    <w:rPr>
      <w:rFonts w:ascii="Calibri" w:hAnsi="Calibri" w:cs="Calibri"/>
      <w:color w:val="000000"/>
      <w:sz w:val="24"/>
      <w:szCs w:val="24"/>
    </w:rPr>
  </w:style>
  <w:style w:type="paragraph" w:customStyle="1" w:styleId="ReportSubtitle">
    <w:name w:val="Report Subtitle"/>
    <w:basedOn w:val="Normal"/>
    <w:rsid w:val="006135C1"/>
    <w:pPr>
      <w:spacing w:after="240" w:line="240" w:lineRule="auto"/>
      <w:ind w:left="720"/>
      <w:jc w:val="right"/>
    </w:pPr>
    <w:rPr>
      <w:rFonts w:ascii="Arial Bold" w:hAnsi="Arial Bold"/>
      <w:b/>
      <w:bCs/>
      <w:color w:val="000000"/>
      <w:sz w:val="40"/>
      <w:szCs w:val="20"/>
      <w:lang w:eastAsia="en-AU"/>
    </w:rPr>
  </w:style>
  <w:style w:type="paragraph" w:customStyle="1" w:styleId="p">
    <w:name w:val="p"/>
    <w:basedOn w:val="Normal"/>
    <w:rsid w:val="008F3B2B"/>
    <w:pPr>
      <w:spacing w:before="100" w:beforeAutospacing="1" w:after="100" w:afterAutospacing="1" w:line="240" w:lineRule="auto"/>
    </w:pPr>
    <w:rPr>
      <w:rFonts w:ascii="Times New Roman" w:hAnsi="Times New Roman"/>
      <w:lang w:eastAsia="en-AU"/>
    </w:rPr>
  </w:style>
  <w:style w:type="paragraph" w:styleId="NormalWeb">
    <w:name w:val="Normal (Web)"/>
    <w:basedOn w:val="Normal"/>
    <w:uiPriority w:val="99"/>
    <w:unhideWhenUsed/>
    <w:rsid w:val="008F3B2B"/>
    <w:pPr>
      <w:spacing w:before="100" w:beforeAutospacing="1" w:after="100" w:afterAutospacing="1" w:line="240" w:lineRule="auto"/>
    </w:pPr>
    <w:rPr>
      <w:rFonts w:ascii="Times New Roman" w:hAnsi="Times New Roman"/>
      <w:lang w:eastAsia="en-AU"/>
    </w:rPr>
  </w:style>
  <w:style w:type="paragraph" w:customStyle="1" w:styleId="eptext">
    <w:name w:val="eptext"/>
    <w:basedOn w:val="Normal"/>
    <w:rsid w:val="00AD7411"/>
    <w:pPr>
      <w:spacing w:before="140" w:after="140" w:line="336" w:lineRule="atLeast"/>
    </w:pPr>
    <w:rPr>
      <w:rFonts w:ascii="Arial" w:hAnsi="Arial" w:cs="Arial"/>
      <w:color w:val="333333"/>
      <w:sz w:val="18"/>
      <w:szCs w:val="18"/>
      <w:lang w:eastAsia="en-AU"/>
    </w:rPr>
  </w:style>
  <w:style w:type="paragraph" w:customStyle="1" w:styleId="BodyText1">
    <w:name w:val="Body Text1"/>
    <w:basedOn w:val="Normal"/>
    <w:uiPriority w:val="1"/>
    <w:qFormat/>
    <w:rsid w:val="00722226"/>
  </w:style>
  <w:style w:type="paragraph" w:customStyle="1" w:styleId="ListBullet1">
    <w:name w:val="List Bullet1"/>
    <w:basedOn w:val="BodyText1"/>
    <w:uiPriority w:val="5"/>
    <w:qFormat/>
    <w:rsid w:val="009F0FA2"/>
    <w:pPr>
      <w:numPr>
        <w:numId w:val="2"/>
      </w:numPr>
      <w:contextualSpacing/>
    </w:pPr>
  </w:style>
  <w:style w:type="character" w:customStyle="1" w:styleId="maintitlesearchterm">
    <w:name w:val="maintitlesearchterm"/>
    <w:rsid w:val="001A5DFD"/>
  </w:style>
  <w:style w:type="character" w:customStyle="1" w:styleId="Heading4Char">
    <w:name w:val="Heading 4 Char"/>
    <w:link w:val="Heading4"/>
    <w:uiPriority w:val="9"/>
    <w:rsid w:val="009F7D10"/>
    <w:rPr>
      <w:rFonts w:ascii="Cambria" w:eastAsia="Times New Roman" w:hAnsi="Cambria"/>
      <w:b/>
      <w:bCs/>
      <w:i/>
      <w:sz w:val="24"/>
      <w:szCs w:val="28"/>
      <w:lang w:eastAsia="en-US"/>
    </w:rPr>
  </w:style>
  <w:style w:type="character" w:styleId="FollowedHyperlink">
    <w:name w:val="FollowedHyperlink"/>
    <w:uiPriority w:val="99"/>
    <w:semiHidden/>
    <w:unhideWhenUsed/>
    <w:rsid w:val="00DF5DF8"/>
    <w:rPr>
      <w:color w:val="800080"/>
      <w:u w:val="single"/>
    </w:rPr>
  </w:style>
  <w:style w:type="paragraph" w:styleId="Revision">
    <w:name w:val="Revision"/>
    <w:hidden/>
    <w:uiPriority w:val="99"/>
    <w:semiHidden/>
    <w:rsid w:val="004B791A"/>
    <w:rPr>
      <w:rFonts w:ascii="Calibri" w:eastAsia="Times New Roman" w:hAnsi="Calibri"/>
      <w:sz w:val="22"/>
      <w:szCs w:val="22"/>
      <w:lang w:eastAsia="en-US"/>
    </w:rPr>
  </w:style>
  <w:style w:type="character" w:styleId="CommentReference">
    <w:name w:val="annotation reference"/>
    <w:aliases w:val="Table Title"/>
    <w:uiPriority w:val="99"/>
    <w:unhideWhenUsed/>
    <w:qFormat/>
    <w:rsid w:val="00531A86"/>
    <w:rPr>
      <w:sz w:val="16"/>
      <w:szCs w:val="16"/>
    </w:rPr>
  </w:style>
  <w:style w:type="paragraph" w:styleId="CommentText">
    <w:name w:val="annotation text"/>
    <w:basedOn w:val="Normal"/>
    <w:link w:val="CommentTextChar"/>
    <w:uiPriority w:val="99"/>
    <w:unhideWhenUsed/>
    <w:rsid w:val="00531A86"/>
    <w:rPr>
      <w:sz w:val="20"/>
      <w:szCs w:val="20"/>
    </w:rPr>
  </w:style>
  <w:style w:type="character" w:customStyle="1" w:styleId="CommentTextChar">
    <w:name w:val="Comment Text Char"/>
    <w:link w:val="CommentText"/>
    <w:uiPriority w:val="99"/>
    <w:rsid w:val="00531A86"/>
    <w:rPr>
      <w:rFonts w:ascii="Calibri" w:eastAsia="Times New Roman" w:hAnsi="Calibri"/>
      <w:lang w:eastAsia="en-US"/>
    </w:rPr>
  </w:style>
  <w:style w:type="paragraph" w:styleId="CommentSubject">
    <w:name w:val="annotation subject"/>
    <w:basedOn w:val="CommentText"/>
    <w:next w:val="CommentText"/>
    <w:link w:val="CommentSubjectChar"/>
    <w:uiPriority w:val="99"/>
    <w:semiHidden/>
    <w:unhideWhenUsed/>
    <w:rsid w:val="00531A86"/>
    <w:rPr>
      <w:b/>
      <w:bCs/>
    </w:rPr>
  </w:style>
  <w:style w:type="character" w:customStyle="1" w:styleId="CommentSubjectChar">
    <w:name w:val="Comment Subject Char"/>
    <w:link w:val="CommentSubject"/>
    <w:uiPriority w:val="99"/>
    <w:semiHidden/>
    <w:rsid w:val="00531A86"/>
    <w:rPr>
      <w:rFonts w:ascii="Calibri" w:eastAsia="Times New Roman" w:hAnsi="Calibri"/>
      <w:b/>
      <w:bCs/>
      <w:lang w:eastAsia="en-US"/>
    </w:rPr>
  </w:style>
  <w:style w:type="character" w:customStyle="1" w:styleId="Heading5Char">
    <w:name w:val="Heading 5 Char"/>
    <w:link w:val="Heading5"/>
    <w:uiPriority w:val="9"/>
    <w:rsid w:val="00610C50"/>
    <w:rPr>
      <w:rFonts w:ascii="Cambria" w:eastAsia="Times New Roman" w:hAnsi="Cambria" w:cs="Times New Roman"/>
      <w:b/>
      <w:bCs/>
      <w:i/>
      <w:iCs/>
      <w:sz w:val="24"/>
      <w:szCs w:val="24"/>
      <w:lang w:eastAsia="en-US"/>
    </w:rPr>
  </w:style>
  <w:style w:type="paragraph" w:styleId="TOC4">
    <w:name w:val="toc 4"/>
    <w:basedOn w:val="Normal"/>
    <w:next w:val="Normal"/>
    <w:autoRedefine/>
    <w:uiPriority w:val="39"/>
    <w:unhideWhenUsed/>
    <w:rsid w:val="00A82B0B"/>
    <w:pPr>
      <w:spacing w:after="0"/>
    </w:pPr>
  </w:style>
  <w:style w:type="paragraph" w:styleId="TOC5">
    <w:name w:val="toc 5"/>
    <w:basedOn w:val="Normal"/>
    <w:next w:val="Normal"/>
    <w:autoRedefine/>
    <w:uiPriority w:val="39"/>
    <w:unhideWhenUsed/>
    <w:rsid w:val="00A82B0B"/>
    <w:pPr>
      <w:spacing w:after="0"/>
    </w:pPr>
  </w:style>
  <w:style w:type="paragraph" w:styleId="TOC6">
    <w:name w:val="toc 6"/>
    <w:basedOn w:val="Normal"/>
    <w:next w:val="Normal"/>
    <w:autoRedefine/>
    <w:uiPriority w:val="39"/>
    <w:unhideWhenUsed/>
    <w:rsid w:val="00A82B0B"/>
    <w:pPr>
      <w:spacing w:after="0"/>
    </w:pPr>
  </w:style>
  <w:style w:type="paragraph" w:styleId="TOC7">
    <w:name w:val="toc 7"/>
    <w:basedOn w:val="Normal"/>
    <w:next w:val="Normal"/>
    <w:autoRedefine/>
    <w:uiPriority w:val="39"/>
    <w:unhideWhenUsed/>
    <w:rsid w:val="00A82B0B"/>
    <w:pPr>
      <w:spacing w:after="0"/>
    </w:pPr>
  </w:style>
  <w:style w:type="paragraph" w:styleId="TOC8">
    <w:name w:val="toc 8"/>
    <w:basedOn w:val="Normal"/>
    <w:next w:val="Normal"/>
    <w:autoRedefine/>
    <w:uiPriority w:val="39"/>
    <w:unhideWhenUsed/>
    <w:rsid w:val="00A82B0B"/>
    <w:pPr>
      <w:spacing w:after="0"/>
    </w:pPr>
  </w:style>
  <w:style w:type="paragraph" w:styleId="TOC9">
    <w:name w:val="toc 9"/>
    <w:basedOn w:val="Normal"/>
    <w:next w:val="Normal"/>
    <w:autoRedefine/>
    <w:uiPriority w:val="39"/>
    <w:unhideWhenUsed/>
    <w:rsid w:val="00A82B0B"/>
    <w:pPr>
      <w:spacing w:after="0"/>
    </w:pPr>
  </w:style>
  <w:style w:type="character" w:customStyle="1" w:styleId="Heading6Char">
    <w:name w:val="Heading 6 Char"/>
    <w:aliases w:val="Normal to dots Char"/>
    <w:link w:val="Heading6"/>
    <w:uiPriority w:val="9"/>
    <w:rsid w:val="00C67115"/>
    <w:rPr>
      <w:rFonts w:ascii="Calibri" w:eastAsia="Times New Roman" w:hAnsi="Calibri"/>
      <w:sz w:val="24"/>
      <w:szCs w:val="24"/>
      <w:lang w:val="en-US"/>
    </w:rPr>
  </w:style>
  <w:style w:type="character" w:customStyle="1" w:styleId="Heading7Char">
    <w:name w:val="Heading 7 Char"/>
    <w:link w:val="Heading7"/>
    <w:uiPriority w:val="9"/>
    <w:rsid w:val="00C67115"/>
    <w:rPr>
      <w:rFonts w:ascii="Cambria" w:eastAsia="Times New Roman" w:hAnsi="Cambria"/>
      <w:i/>
      <w:iCs/>
      <w:color w:val="404040"/>
      <w:sz w:val="24"/>
      <w:szCs w:val="24"/>
      <w:lang w:val="en-US"/>
    </w:rPr>
  </w:style>
  <w:style w:type="paragraph" w:styleId="Title">
    <w:name w:val="Title"/>
    <w:basedOn w:val="Normal"/>
    <w:next w:val="Normal"/>
    <w:link w:val="TitleChar"/>
    <w:uiPriority w:val="10"/>
    <w:rsid w:val="00C67115"/>
    <w:pPr>
      <w:spacing w:after="240" w:line="240" w:lineRule="auto"/>
      <w:contextualSpacing/>
    </w:pPr>
    <w:rPr>
      <w:b/>
      <w:spacing w:val="5"/>
      <w:kern w:val="28"/>
      <w:sz w:val="56"/>
      <w:szCs w:val="56"/>
      <w:lang w:val="en-US" w:eastAsia="en-AU"/>
    </w:rPr>
  </w:style>
  <w:style w:type="character" w:customStyle="1" w:styleId="TitleChar">
    <w:name w:val="Title Char"/>
    <w:link w:val="Title"/>
    <w:uiPriority w:val="10"/>
    <w:rsid w:val="00C67115"/>
    <w:rPr>
      <w:rFonts w:ascii="Calibri" w:eastAsia="Times New Roman" w:hAnsi="Calibri"/>
      <w:b/>
      <w:spacing w:val="5"/>
      <w:kern w:val="28"/>
      <w:sz w:val="56"/>
      <w:szCs w:val="56"/>
      <w:lang w:val="en-US"/>
    </w:rPr>
  </w:style>
  <w:style w:type="character" w:styleId="PageNumber">
    <w:name w:val="page number"/>
    <w:unhideWhenUsed/>
    <w:rsid w:val="00C67115"/>
  </w:style>
  <w:style w:type="paragraph" w:styleId="DocumentMap">
    <w:name w:val="Document Map"/>
    <w:basedOn w:val="Normal"/>
    <w:link w:val="DocumentMapChar"/>
    <w:uiPriority w:val="99"/>
    <w:semiHidden/>
    <w:unhideWhenUsed/>
    <w:rsid w:val="00C67115"/>
    <w:pPr>
      <w:spacing w:after="0" w:line="240" w:lineRule="auto"/>
    </w:pPr>
    <w:rPr>
      <w:rFonts w:ascii="Lucida Grande" w:hAnsi="Lucida Grande" w:cs="Lucida Grande"/>
      <w:lang w:val="en-US" w:eastAsia="en-AU"/>
    </w:rPr>
  </w:style>
  <w:style w:type="character" w:customStyle="1" w:styleId="DocumentMapChar">
    <w:name w:val="Document Map Char"/>
    <w:link w:val="DocumentMap"/>
    <w:uiPriority w:val="99"/>
    <w:semiHidden/>
    <w:rsid w:val="00C67115"/>
    <w:rPr>
      <w:rFonts w:ascii="Lucida Grande" w:eastAsia="Times New Roman" w:hAnsi="Lucida Grande" w:cs="Lucida Grande"/>
      <w:sz w:val="24"/>
      <w:szCs w:val="24"/>
      <w:lang w:val="en-US"/>
    </w:rPr>
  </w:style>
  <w:style w:type="paragraph" w:customStyle="1" w:styleId="Tablewriting">
    <w:name w:val="Table writing"/>
    <w:basedOn w:val="Normal"/>
    <w:link w:val="TablewritingChar"/>
    <w:qFormat/>
    <w:rsid w:val="00C67115"/>
    <w:pPr>
      <w:autoSpaceDE w:val="0"/>
      <w:autoSpaceDN w:val="0"/>
      <w:adjustRightInd w:val="0"/>
      <w:spacing w:before="60" w:after="60" w:line="240" w:lineRule="auto"/>
    </w:pPr>
    <w:rPr>
      <w:color w:val="000000"/>
      <w:lang w:val="en-US" w:eastAsia="en-AU"/>
    </w:rPr>
  </w:style>
  <w:style w:type="character" w:customStyle="1" w:styleId="TablewritingChar">
    <w:name w:val="Table writing Char"/>
    <w:link w:val="Tablewriting"/>
    <w:rsid w:val="00C67115"/>
    <w:rPr>
      <w:rFonts w:ascii="Calibri" w:eastAsia="Times New Roman" w:hAnsi="Calibri" w:cs="Calibri"/>
      <w:color w:val="000000"/>
      <w:sz w:val="22"/>
      <w:szCs w:val="22"/>
      <w:lang w:val="en-US"/>
    </w:rPr>
  </w:style>
  <w:style w:type="paragraph" w:customStyle="1" w:styleId="Tableheading">
    <w:name w:val="Table heading"/>
    <w:basedOn w:val="Normal"/>
    <w:qFormat/>
    <w:rsid w:val="00C67115"/>
    <w:pPr>
      <w:autoSpaceDE w:val="0"/>
      <w:autoSpaceDN w:val="0"/>
      <w:adjustRightInd w:val="0"/>
      <w:spacing w:before="60" w:after="60" w:line="240" w:lineRule="auto"/>
      <w:jc w:val="center"/>
    </w:pPr>
    <w:rPr>
      <w:b/>
      <w:lang w:val="en-US" w:eastAsia="en-AU"/>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C67115"/>
    <w:pPr>
      <w:spacing w:after="160" w:line="240" w:lineRule="exact"/>
    </w:pPr>
    <w:rPr>
      <w:rFonts w:ascii="Verdana" w:eastAsia="MS Mincho" w:hAnsi="Verdana" w:cs="Verdana"/>
      <w:szCs w:val="20"/>
      <w:lang w:val="en-US"/>
    </w:rPr>
  </w:style>
  <w:style w:type="paragraph" w:customStyle="1" w:styleId="Notes">
    <w:name w:val="Notes"/>
    <w:basedOn w:val="Normal"/>
    <w:qFormat/>
    <w:rsid w:val="00646887"/>
    <w:pPr>
      <w:spacing w:after="0" w:line="240" w:lineRule="auto"/>
    </w:pPr>
    <w:rPr>
      <w:rFonts w:cs="Baskerville"/>
      <w:sz w:val="20"/>
      <w:szCs w:val="20"/>
      <w:lang w:val="en-US" w:eastAsia="en-AU"/>
    </w:rPr>
  </w:style>
  <w:style w:type="paragraph" w:customStyle="1" w:styleId="Tabletitle">
    <w:name w:val="Table title"/>
    <w:basedOn w:val="Heading4"/>
    <w:link w:val="TabletitleChar"/>
    <w:rsid w:val="00C67115"/>
    <w:pPr>
      <w:keepLines/>
      <w:spacing w:before="200" w:after="20" w:line="240" w:lineRule="auto"/>
    </w:pPr>
    <w:rPr>
      <w:rFonts w:ascii="Calibri" w:hAnsi="Calibri"/>
      <w:iCs/>
      <w:szCs w:val="24"/>
      <w:lang w:val="en-US" w:eastAsia="en-AU"/>
    </w:rPr>
  </w:style>
  <w:style w:type="character" w:customStyle="1" w:styleId="TabletitleChar">
    <w:name w:val="Table title Char"/>
    <w:link w:val="Tabletitle"/>
    <w:rsid w:val="00C67115"/>
    <w:rPr>
      <w:rFonts w:ascii="Calibri" w:eastAsia="Times New Roman" w:hAnsi="Calibri"/>
      <w:b/>
      <w:bCs/>
      <w:iCs/>
      <w:sz w:val="24"/>
      <w:szCs w:val="24"/>
      <w:lang w:val="en-US"/>
    </w:rPr>
  </w:style>
  <w:style w:type="paragraph" w:customStyle="1" w:styleId="Bullets">
    <w:name w:val="Bullets"/>
    <w:basedOn w:val="ListParagraph"/>
    <w:qFormat/>
    <w:rsid w:val="00C67115"/>
    <w:pPr>
      <w:numPr>
        <w:numId w:val="14"/>
      </w:numPr>
      <w:spacing w:before="60" w:after="60" w:line="240" w:lineRule="auto"/>
      <w:ind w:left="426" w:hanging="426"/>
      <w:contextualSpacing w:val="0"/>
    </w:pPr>
    <w:rPr>
      <w:rFonts w:cs="Baskerville"/>
      <w:lang w:val="en-US" w:eastAsia="en-AU"/>
    </w:rPr>
  </w:style>
  <w:style w:type="paragraph" w:customStyle="1" w:styleId="DepartmentalHeading3">
    <w:name w:val="Departmental Heading 3"/>
    <w:basedOn w:val="Heading3"/>
    <w:rsid w:val="00C67115"/>
    <w:pPr>
      <w:spacing w:before="0" w:after="60" w:line="240" w:lineRule="auto"/>
    </w:pPr>
    <w:rPr>
      <w:rFonts w:ascii="Arial" w:hAnsi="Arial"/>
      <w:b w:val="0"/>
      <w:bCs w:val="0"/>
      <w:i/>
      <w:szCs w:val="20"/>
      <w:lang w:val="en-US" w:eastAsia="en-AU"/>
    </w:rPr>
  </w:style>
  <w:style w:type="paragraph" w:customStyle="1" w:styleId="DepartmentalHeading2">
    <w:name w:val="Departmental Heading 2"/>
    <w:basedOn w:val="Heading2"/>
    <w:rsid w:val="00C67115"/>
    <w:pPr>
      <w:keepLines w:val="0"/>
      <w:spacing w:after="60" w:line="240" w:lineRule="auto"/>
    </w:pPr>
    <w:rPr>
      <w:rFonts w:ascii="Arial" w:hAnsi="Arial"/>
      <w:bCs w:val="0"/>
      <w:sz w:val="24"/>
      <w:szCs w:val="20"/>
      <w:lang w:val="en-US" w:eastAsia="en-AU"/>
    </w:rPr>
  </w:style>
  <w:style w:type="paragraph" w:customStyle="1" w:styleId="Bullets1">
    <w:name w:val="Bullets 1"/>
    <w:basedOn w:val="ListParagraph"/>
    <w:link w:val="Bullets1Char"/>
    <w:rsid w:val="00C67115"/>
    <w:pPr>
      <w:spacing w:before="60" w:after="0" w:line="300" w:lineRule="atLeast"/>
      <w:ind w:left="714" w:hanging="357"/>
      <w:contextualSpacing w:val="0"/>
    </w:pPr>
    <w:rPr>
      <w:rFonts w:ascii="Gill Sans MT" w:eastAsia="Times" w:hAnsi="Gill Sans MT"/>
      <w:sz w:val="20"/>
      <w:szCs w:val="20"/>
      <w:lang w:val="en-US"/>
    </w:rPr>
  </w:style>
  <w:style w:type="character" w:customStyle="1" w:styleId="Bullets1Char">
    <w:name w:val="Bullets 1 Char"/>
    <w:link w:val="Bullets1"/>
    <w:rsid w:val="00C67115"/>
    <w:rPr>
      <w:rFonts w:ascii="Gill Sans MT" w:eastAsia="Times" w:hAnsi="Gill Sans MT"/>
      <w:lang w:val="en-US" w:eastAsia="en-US"/>
    </w:rPr>
  </w:style>
  <w:style w:type="paragraph" w:customStyle="1" w:styleId="Tableheadings">
    <w:name w:val="Table headings"/>
    <w:basedOn w:val="Heading3"/>
    <w:link w:val="TableheadingsChar"/>
    <w:rsid w:val="00C67115"/>
    <w:pPr>
      <w:spacing w:before="60" w:after="60" w:line="300" w:lineRule="atLeast"/>
    </w:pPr>
    <w:rPr>
      <w:rFonts w:ascii="Gill Sans MT" w:eastAsia="Times" w:hAnsi="Gill Sans MT" w:cs="Arial"/>
      <w:color w:val="FFFFFF"/>
      <w:lang w:val="en-US"/>
    </w:rPr>
  </w:style>
  <w:style w:type="character" w:customStyle="1" w:styleId="TableheadingsChar">
    <w:name w:val="Table headings Char"/>
    <w:link w:val="Tableheadings"/>
    <w:rsid w:val="00C67115"/>
    <w:rPr>
      <w:rFonts w:ascii="Gill Sans MT" w:eastAsia="Times" w:hAnsi="Gill Sans MT" w:cs="Arial"/>
      <w:b/>
      <w:bCs/>
      <w:color w:val="FFFFFF"/>
      <w:sz w:val="24"/>
      <w:szCs w:val="24"/>
      <w:lang w:val="en-US" w:eastAsia="en-US"/>
    </w:rPr>
  </w:style>
  <w:style w:type="paragraph" w:customStyle="1" w:styleId="DepartmentalNormal">
    <w:name w:val="Departmental Normal"/>
    <w:basedOn w:val="Normal"/>
    <w:rsid w:val="00C67115"/>
    <w:pPr>
      <w:spacing w:after="0" w:line="240" w:lineRule="auto"/>
    </w:pPr>
    <w:rPr>
      <w:rFonts w:ascii="Times New Roman" w:hAnsi="Times New Roman"/>
      <w:szCs w:val="20"/>
      <w:lang w:val="en-US" w:eastAsia="en-AU"/>
    </w:rPr>
  </w:style>
  <w:style w:type="paragraph" w:styleId="FootnoteText">
    <w:name w:val="footnote text"/>
    <w:basedOn w:val="Normal"/>
    <w:link w:val="FootnoteTextChar"/>
    <w:uiPriority w:val="99"/>
    <w:unhideWhenUsed/>
    <w:rsid w:val="00C67115"/>
    <w:pPr>
      <w:spacing w:after="0" w:line="240" w:lineRule="auto"/>
    </w:pPr>
    <w:rPr>
      <w:lang w:val="en-US" w:eastAsia="en-AU"/>
    </w:rPr>
  </w:style>
  <w:style w:type="character" w:customStyle="1" w:styleId="FootnoteTextChar">
    <w:name w:val="Footnote Text Char"/>
    <w:link w:val="FootnoteText"/>
    <w:uiPriority w:val="99"/>
    <w:rsid w:val="00C67115"/>
    <w:rPr>
      <w:rFonts w:ascii="Calibri" w:eastAsia="Times New Roman" w:hAnsi="Calibri"/>
      <w:sz w:val="24"/>
      <w:szCs w:val="24"/>
      <w:lang w:val="en-US"/>
    </w:rPr>
  </w:style>
  <w:style w:type="paragraph" w:styleId="BodyText">
    <w:name w:val="Body Text"/>
    <w:basedOn w:val="Normal"/>
    <w:link w:val="BodyTextChar"/>
    <w:uiPriority w:val="99"/>
    <w:unhideWhenUsed/>
    <w:rsid w:val="00C67115"/>
    <w:pPr>
      <w:spacing w:line="240" w:lineRule="auto"/>
    </w:pPr>
    <w:rPr>
      <w:lang w:val="en-US" w:eastAsia="en-AU"/>
    </w:rPr>
  </w:style>
  <w:style w:type="character" w:customStyle="1" w:styleId="BodyTextChar">
    <w:name w:val="Body Text Char"/>
    <w:link w:val="BodyText"/>
    <w:uiPriority w:val="99"/>
    <w:rsid w:val="00C67115"/>
    <w:rPr>
      <w:rFonts w:ascii="Calibri" w:eastAsia="Times New Roman" w:hAnsi="Calibri"/>
      <w:sz w:val="24"/>
      <w:szCs w:val="24"/>
      <w:lang w:val="en-US"/>
    </w:rPr>
  </w:style>
  <w:style w:type="paragraph" w:customStyle="1" w:styleId="DIABtabletext">
    <w:name w:val="DIAB table text"/>
    <w:basedOn w:val="Normal"/>
    <w:link w:val="DIABtabletextChar"/>
    <w:rsid w:val="00C67115"/>
    <w:pPr>
      <w:autoSpaceDE w:val="0"/>
      <w:autoSpaceDN w:val="0"/>
      <w:adjustRightInd w:val="0"/>
      <w:spacing w:after="0" w:line="240" w:lineRule="auto"/>
      <w:jc w:val="both"/>
    </w:pPr>
    <w:rPr>
      <w:rFonts w:ascii="Arial" w:eastAsia="Calibri" w:hAnsi="Arial" w:cs="Arial"/>
      <w:color w:val="000000"/>
      <w:sz w:val="20"/>
      <w:szCs w:val="20"/>
      <w:lang w:val="en-US"/>
    </w:rPr>
  </w:style>
  <w:style w:type="character" w:customStyle="1" w:styleId="DIABtabletextChar">
    <w:name w:val="DIAB table text Char"/>
    <w:link w:val="DIABtabletext"/>
    <w:rsid w:val="00C67115"/>
    <w:rPr>
      <w:rFonts w:ascii="Arial" w:hAnsi="Arial" w:cs="Arial"/>
      <w:color w:val="000000"/>
      <w:lang w:val="en-US" w:eastAsia="en-US"/>
    </w:rPr>
  </w:style>
  <w:style w:type="paragraph" w:customStyle="1" w:styleId="Figuretitle">
    <w:name w:val="Figure title"/>
    <w:basedOn w:val="Tabletitle"/>
    <w:link w:val="FiguretitleChar"/>
    <w:qFormat/>
    <w:rsid w:val="00C67115"/>
  </w:style>
  <w:style w:type="character" w:customStyle="1" w:styleId="FiguretitleChar">
    <w:name w:val="Figure title Char"/>
    <w:link w:val="Figuretitle"/>
    <w:rsid w:val="00C67115"/>
    <w:rPr>
      <w:rFonts w:ascii="Calibri" w:eastAsia="Times New Roman" w:hAnsi="Calibri"/>
      <w:b/>
      <w:bCs/>
      <w:iCs/>
      <w:sz w:val="24"/>
      <w:szCs w:val="24"/>
      <w:lang w:val="en-US"/>
    </w:rPr>
  </w:style>
  <w:style w:type="paragraph" w:customStyle="1" w:styleId="Numberedlist-normal">
    <w:name w:val="Numbered list - normal"/>
    <w:basedOn w:val="Bullets"/>
    <w:link w:val="Numberedlist-normalChar"/>
    <w:qFormat/>
    <w:rsid w:val="00C67115"/>
    <w:pPr>
      <w:numPr>
        <w:numId w:val="15"/>
      </w:numPr>
    </w:pPr>
  </w:style>
  <w:style w:type="character" w:customStyle="1" w:styleId="Numberedlist-normalChar">
    <w:name w:val="Numbered list - normal Char"/>
    <w:link w:val="Numberedlist-normal"/>
    <w:rsid w:val="00C67115"/>
    <w:rPr>
      <w:rFonts w:ascii="Cambria" w:eastAsia="Times New Roman" w:hAnsi="Cambria" w:cs="Baskerville"/>
      <w:noProof/>
      <w:sz w:val="24"/>
      <w:szCs w:val="24"/>
      <w:lang w:val="en-US"/>
    </w:rPr>
  </w:style>
  <w:style w:type="paragraph" w:customStyle="1" w:styleId="DIABnormal">
    <w:name w:val="DIAB normal"/>
    <w:basedOn w:val="Normal"/>
    <w:link w:val="DIABnormalChar"/>
    <w:rsid w:val="00786555"/>
    <w:pPr>
      <w:autoSpaceDE w:val="0"/>
      <w:autoSpaceDN w:val="0"/>
      <w:adjustRightInd w:val="0"/>
      <w:spacing w:after="220" w:line="240" w:lineRule="auto"/>
      <w:jc w:val="both"/>
    </w:pPr>
    <w:rPr>
      <w:rFonts w:ascii="Arial" w:eastAsia="Calibri" w:hAnsi="Arial" w:cs="Arial"/>
      <w:color w:val="000000"/>
      <w:szCs w:val="20"/>
    </w:rPr>
  </w:style>
  <w:style w:type="character" w:customStyle="1" w:styleId="DIABnormalChar">
    <w:name w:val="DIAB normal Char"/>
    <w:link w:val="DIABnormal"/>
    <w:rsid w:val="00786555"/>
    <w:rPr>
      <w:rFonts w:ascii="Arial" w:hAnsi="Arial" w:cs="Arial"/>
      <w:color w:val="000000"/>
      <w:sz w:val="22"/>
      <w:lang w:eastAsia="en-US"/>
    </w:rPr>
  </w:style>
  <w:style w:type="paragraph" w:customStyle="1" w:styleId="DIABTablefooter">
    <w:name w:val="DIAB Table footer"/>
    <w:basedOn w:val="DIABtabletext"/>
    <w:link w:val="DIABTablefooterChar"/>
    <w:rsid w:val="00786555"/>
    <w:pPr>
      <w:spacing w:after="220"/>
      <w:contextualSpacing/>
    </w:pPr>
    <w:rPr>
      <w:rFonts w:ascii="Arial Narrow" w:eastAsia="MS Gothic" w:hAnsi="Arial Narrow"/>
      <w:bCs/>
      <w:sz w:val="18"/>
      <w:lang w:val="en-AU"/>
    </w:rPr>
  </w:style>
  <w:style w:type="paragraph" w:customStyle="1" w:styleId="DIABTblcap">
    <w:name w:val="DIABTblcap"/>
    <w:basedOn w:val="Normal"/>
    <w:link w:val="DIABTblcapChar"/>
    <w:rsid w:val="00786555"/>
    <w:pPr>
      <w:spacing w:after="0" w:line="240" w:lineRule="auto"/>
      <w:jc w:val="both"/>
    </w:pPr>
    <w:rPr>
      <w:rFonts w:ascii="Arial Narrow" w:eastAsia="Calibri" w:hAnsi="Arial Narrow" w:cs="Arial"/>
      <w:b/>
      <w:sz w:val="20"/>
      <w:szCs w:val="20"/>
    </w:rPr>
  </w:style>
  <w:style w:type="character" w:customStyle="1" w:styleId="DIABTablefooterChar">
    <w:name w:val="DIAB Table footer Char"/>
    <w:link w:val="DIABTablefooter"/>
    <w:rsid w:val="00786555"/>
    <w:rPr>
      <w:rFonts w:ascii="Arial Narrow" w:eastAsia="MS Gothic" w:hAnsi="Arial Narrow" w:cs="Arial"/>
      <w:bCs/>
      <w:color w:val="000000"/>
      <w:sz w:val="18"/>
      <w:lang w:eastAsia="en-US"/>
    </w:rPr>
  </w:style>
  <w:style w:type="character" w:customStyle="1" w:styleId="DIABTblcapChar">
    <w:name w:val="DIABTblcap Char"/>
    <w:link w:val="DIABTblcap"/>
    <w:rsid w:val="00786555"/>
    <w:rPr>
      <w:rFonts w:ascii="Arial Narrow" w:hAnsi="Arial Narrow" w:cs="Arial"/>
      <w:b/>
      <w:lang w:eastAsia="en-US"/>
    </w:rPr>
  </w:style>
  <w:style w:type="paragraph" w:styleId="Caption">
    <w:name w:val="caption"/>
    <w:aliases w:val="Table caption"/>
    <w:basedOn w:val="Normal"/>
    <w:next w:val="Normal"/>
    <w:uiPriority w:val="35"/>
    <w:qFormat/>
    <w:rsid w:val="000437D6"/>
    <w:pPr>
      <w:keepNext/>
      <w:widowControl w:val="0"/>
      <w:spacing w:after="0" w:line="240" w:lineRule="auto"/>
      <w:jc w:val="both"/>
    </w:pPr>
    <w:rPr>
      <w:rFonts w:ascii="Arial Narrow" w:hAnsi="Arial Narrow" w:cs="Arial"/>
      <w:b/>
      <w:bCs/>
      <w:snapToGrid w:val="0"/>
      <w:sz w:val="20"/>
      <w:szCs w:val="21"/>
    </w:rPr>
  </w:style>
  <w:style w:type="paragraph" w:customStyle="1" w:styleId="Tablenotes">
    <w:name w:val="Table notes"/>
    <w:basedOn w:val="Notes"/>
    <w:link w:val="TablenotesChar"/>
    <w:qFormat/>
    <w:rsid w:val="000437D6"/>
    <w:pPr>
      <w:widowControl w:val="0"/>
    </w:pPr>
    <w:rPr>
      <w:rFonts w:ascii="Arial Narrow" w:hAnsi="Arial Narrow" w:cs="Arial"/>
      <w:snapToGrid w:val="0"/>
      <w:sz w:val="18"/>
      <w:szCs w:val="18"/>
      <w:lang w:val="en-AU" w:eastAsia="en-US"/>
    </w:rPr>
  </w:style>
  <w:style w:type="character" w:customStyle="1" w:styleId="TablenotesChar">
    <w:name w:val="Table notes Char"/>
    <w:basedOn w:val="DefaultParagraphFont"/>
    <w:link w:val="Tablenotes"/>
    <w:rsid w:val="000437D6"/>
    <w:rPr>
      <w:rFonts w:ascii="Arial Narrow" w:eastAsia="Times New Roman" w:hAnsi="Arial Narrow" w:cs="Arial"/>
      <w:snapToGrid w:val="0"/>
      <w:sz w:val="18"/>
      <w:szCs w:val="18"/>
      <w:lang w:eastAsia="en-US"/>
    </w:rPr>
  </w:style>
  <w:style w:type="character" w:customStyle="1" w:styleId="normalchar">
    <w:name w:val="normal_char"/>
    <w:rsid w:val="00232871"/>
    <w:rPr>
      <w:color w:val="auto"/>
    </w:rPr>
  </w:style>
  <w:style w:type="character" w:customStyle="1" w:styleId="ListParagraphChar">
    <w:name w:val="List Paragraph Char"/>
    <w:aliases w:val="Footnote Char"/>
    <w:basedOn w:val="DefaultParagraphFont"/>
    <w:link w:val="ListParagraph"/>
    <w:uiPriority w:val="34"/>
    <w:rsid w:val="0092384C"/>
    <w:rPr>
      <w:rFonts w:ascii="Cambria" w:eastAsia="Times New Roman" w:hAnsi="Cambria" w:cs="Calibri"/>
      <w:noProof/>
      <w:sz w:val="24"/>
      <w:szCs w:val="24"/>
      <w:lang w:eastAsia="en-US"/>
    </w:rPr>
  </w:style>
  <w:style w:type="character" w:styleId="Emphasis">
    <w:name w:val="Emphasis"/>
    <w:rsid w:val="001F4D57"/>
    <w:rPr>
      <w:rFonts w:cs="Times New Roman"/>
      <w:i/>
      <w:iCs/>
    </w:rPr>
  </w:style>
  <w:style w:type="paragraph" w:customStyle="1" w:styleId="CIBBullet">
    <w:name w:val="CIB Bullet"/>
    <w:basedOn w:val="Normal"/>
    <w:rsid w:val="001F4D57"/>
    <w:pPr>
      <w:numPr>
        <w:numId w:val="43"/>
      </w:numPr>
      <w:spacing w:before="20" w:line="240" w:lineRule="auto"/>
    </w:pPr>
    <w:rPr>
      <w:rFonts w:ascii="Times New Roman" w:hAnsi="Times New Roman" w:cs="Times New Roman"/>
      <w:noProof w:val="0"/>
      <w:lang w:eastAsia="en-AU"/>
    </w:rPr>
  </w:style>
  <w:style w:type="character" w:customStyle="1" w:styleId="TableText">
    <w:name w:val="Table Text"/>
    <w:basedOn w:val="DefaultParagraphFont"/>
    <w:uiPriority w:val="4"/>
    <w:qFormat/>
    <w:rsid w:val="00947CC4"/>
    <w:rPr>
      <w:rFonts w:ascii="Arial Narrow" w:hAnsi="Arial Narrow" w:cs="Times New Roman"/>
      <w:sz w:val="20"/>
    </w:rPr>
  </w:style>
  <w:style w:type="paragraph" w:customStyle="1" w:styleId="TableFooter">
    <w:name w:val="Table Footer"/>
    <w:basedOn w:val="Normal"/>
    <w:qFormat/>
    <w:rsid w:val="00947CC4"/>
    <w:pPr>
      <w:widowControl w:val="0"/>
      <w:spacing w:after="0" w:line="240" w:lineRule="auto"/>
      <w:jc w:val="both"/>
    </w:pPr>
    <w:rPr>
      <w:rFonts w:ascii="Arial Narrow" w:hAnsi="Arial Narrow" w:cs="Arial"/>
      <w:noProof w:val="0"/>
      <w:snapToGrid w:val="0"/>
      <w:sz w:val="18"/>
      <w:szCs w:val="21"/>
    </w:rPr>
  </w:style>
  <w:style w:type="table" w:customStyle="1" w:styleId="TableGrid1">
    <w:name w:val="Table Grid1"/>
    <w:basedOn w:val="TableNormal"/>
    <w:next w:val="TableGrid"/>
    <w:uiPriority w:val="59"/>
    <w:rsid w:val="003D0AD6"/>
    <w:rPr>
      <w:rFonts w:ascii="Calibri" w:eastAsia="Times New Roman"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835E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4434">
      <w:bodyDiv w:val="1"/>
      <w:marLeft w:val="0"/>
      <w:marRight w:val="0"/>
      <w:marTop w:val="0"/>
      <w:marBottom w:val="0"/>
      <w:divBdr>
        <w:top w:val="none" w:sz="0" w:space="0" w:color="auto"/>
        <w:left w:val="none" w:sz="0" w:space="0" w:color="auto"/>
        <w:bottom w:val="none" w:sz="0" w:space="0" w:color="auto"/>
        <w:right w:val="none" w:sz="0" w:space="0" w:color="auto"/>
      </w:divBdr>
      <w:divsChild>
        <w:div w:id="106193340">
          <w:marLeft w:val="0"/>
          <w:marRight w:val="0"/>
          <w:marTop w:val="0"/>
          <w:marBottom w:val="0"/>
          <w:divBdr>
            <w:top w:val="none" w:sz="0" w:space="0" w:color="auto"/>
            <w:left w:val="none" w:sz="0" w:space="0" w:color="auto"/>
            <w:bottom w:val="none" w:sz="0" w:space="0" w:color="auto"/>
            <w:right w:val="none" w:sz="0" w:space="0" w:color="auto"/>
          </w:divBdr>
          <w:divsChild>
            <w:div w:id="428814670">
              <w:marLeft w:val="0"/>
              <w:marRight w:val="0"/>
              <w:marTop w:val="210"/>
              <w:marBottom w:val="0"/>
              <w:divBdr>
                <w:top w:val="none" w:sz="0" w:space="0" w:color="auto"/>
                <w:left w:val="none" w:sz="0" w:space="0" w:color="auto"/>
                <w:bottom w:val="none" w:sz="0" w:space="0" w:color="auto"/>
                <w:right w:val="none" w:sz="0" w:space="0" w:color="auto"/>
              </w:divBdr>
              <w:divsChild>
                <w:div w:id="566766202">
                  <w:marLeft w:val="0"/>
                  <w:marRight w:val="0"/>
                  <w:marTop w:val="0"/>
                  <w:marBottom w:val="0"/>
                  <w:divBdr>
                    <w:top w:val="none" w:sz="0" w:space="0" w:color="auto"/>
                    <w:left w:val="none" w:sz="0" w:space="0" w:color="auto"/>
                    <w:bottom w:val="none" w:sz="0" w:space="0" w:color="auto"/>
                    <w:right w:val="none" w:sz="0" w:space="0" w:color="auto"/>
                  </w:divBdr>
                  <w:divsChild>
                    <w:div w:id="1769041488">
                      <w:marLeft w:val="0"/>
                      <w:marRight w:val="0"/>
                      <w:marTop w:val="0"/>
                      <w:marBottom w:val="0"/>
                      <w:divBdr>
                        <w:top w:val="none" w:sz="0" w:space="0" w:color="auto"/>
                        <w:left w:val="none" w:sz="0" w:space="0" w:color="auto"/>
                        <w:bottom w:val="none" w:sz="0" w:space="0" w:color="auto"/>
                        <w:right w:val="none" w:sz="0" w:space="0" w:color="auto"/>
                      </w:divBdr>
                      <w:divsChild>
                        <w:div w:id="1678801678">
                          <w:marLeft w:val="0"/>
                          <w:marRight w:val="0"/>
                          <w:marTop w:val="0"/>
                          <w:marBottom w:val="0"/>
                          <w:divBdr>
                            <w:top w:val="none" w:sz="0" w:space="0" w:color="auto"/>
                            <w:left w:val="none" w:sz="0" w:space="0" w:color="auto"/>
                            <w:bottom w:val="none" w:sz="0" w:space="0" w:color="auto"/>
                            <w:right w:val="none" w:sz="0" w:space="0" w:color="auto"/>
                          </w:divBdr>
                          <w:divsChild>
                            <w:div w:id="113982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16455">
      <w:bodyDiv w:val="1"/>
      <w:marLeft w:val="0"/>
      <w:marRight w:val="0"/>
      <w:marTop w:val="0"/>
      <w:marBottom w:val="0"/>
      <w:divBdr>
        <w:top w:val="none" w:sz="0" w:space="0" w:color="auto"/>
        <w:left w:val="none" w:sz="0" w:space="0" w:color="auto"/>
        <w:bottom w:val="none" w:sz="0" w:space="0" w:color="auto"/>
        <w:right w:val="none" w:sz="0" w:space="0" w:color="auto"/>
      </w:divBdr>
      <w:divsChild>
        <w:div w:id="1497070637">
          <w:marLeft w:val="0"/>
          <w:marRight w:val="0"/>
          <w:marTop w:val="0"/>
          <w:marBottom w:val="0"/>
          <w:divBdr>
            <w:top w:val="none" w:sz="0" w:space="0" w:color="auto"/>
            <w:left w:val="none" w:sz="0" w:space="0" w:color="auto"/>
            <w:bottom w:val="none" w:sz="0" w:space="0" w:color="auto"/>
            <w:right w:val="none" w:sz="0" w:space="0" w:color="auto"/>
          </w:divBdr>
          <w:divsChild>
            <w:div w:id="1965698620">
              <w:marLeft w:val="0"/>
              <w:marRight w:val="0"/>
              <w:marTop w:val="210"/>
              <w:marBottom w:val="0"/>
              <w:divBdr>
                <w:top w:val="none" w:sz="0" w:space="0" w:color="auto"/>
                <w:left w:val="none" w:sz="0" w:space="0" w:color="auto"/>
                <w:bottom w:val="none" w:sz="0" w:space="0" w:color="auto"/>
                <w:right w:val="none" w:sz="0" w:space="0" w:color="auto"/>
              </w:divBdr>
              <w:divsChild>
                <w:div w:id="1979724833">
                  <w:marLeft w:val="0"/>
                  <w:marRight w:val="0"/>
                  <w:marTop w:val="0"/>
                  <w:marBottom w:val="0"/>
                  <w:divBdr>
                    <w:top w:val="none" w:sz="0" w:space="0" w:color="auto"/>
                    <w:left w:val="none" w:sz="0" w:space="0" w:color="auto"/>
                    <w:bottom w:val="none" w:sz="0" w:space="0" w:color="auto"/>
                    <w:right w:val="none" w:sz="0" w:space="0" w:color="auto"/>
                  </w:divBdr>
                  <w:divsChild>
                    <w:div w:id="1520124492">
                      <w:marLeft w:val="0"/>
                      <w:marRight w:val="0"/>
                      <w:marTop w:val="0"/>
                      <w:marBottom w:val="0"/>
                      <w:divBdr>
                        <w:top w:val="none" w:sz="0" w:space="0" w:color="auto"/>
                        <w:left w:val="none" w:sz="0" w:space="0" w:color="auto"/>
                        <w:bottom w:val="none" w:sz="0" w:space="0" w:color="auto"/>
                        <w:right w:val="none" w:sz="0" w:space="0" w:color="auto"/>
                      </w:divBdr>
                      <w:divsChild>
                        <w:div w:id="1507592602">
                          <w:marLeft w:val="0"/>
                          <w:marRight w:val="0"/>
                          <w:marTop w:val="0"/>
                          <w:marBottom w:val="0"/>
                          <w:divBdr>
                            <w:top w:val="none" w:sz="0" w:space="0" w:color="auto"/>
                            <w:left w:val="none" w:sz="0" w:space="0" w:color="auto"/>
                            <w:bottom w:val="none" w:sz="0" w:space="0" w:color="auto"/>
                            <w:right w:val="none" w:sz="0" w:space="0" w:color="auto"/>
                          </w:divBdr>
                          <w:divsChild>
                            <w:div w:id="821894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609095">
      <w:bodyDiv w:val="1"/>
      <w:marLeft w:val="0"/>
      <w:marRight w:val="0"/>
      <w:marTop w:val="0"/>
      <w:marBottom w:val="0"/>
      <w:divBdr>
        <w:top w:val="none" w:sz="0" w:space="0" w:color="auto"/>
        <w:left w:val="none" w:sz="0" w:space="0" w:color="auto"/>
        <w:bottom w:val="none" w:sz="0" w:space="0" w:color="auto"/>
        <w:right w:val="none" w:sz="0" w:space="0" w:color="auto"/>
      </w:divBdr>
    </w:div>
    <w:div w:id="234316097">
      <w:bodyDiv w:val="1"/>
      <w:marLeft w:val="0"/>
      <w:marRight w:val="0"/>
      <w:marTop w:val="0"/>
      <w:marBottom w:val="0"/>
      <w:divBdr>
        <w:top w:val="none" w:sz="0" w:space="0" w:color="auto"/>
        <w:left w:val="none" w:sz="0" w:space="0" w:color="auto"/>
        <w:bottom w:val="none" w:sz="0" w:space="0" w:color="auto"/>
        <w:right w:val="none" w:sz="0" w:space="0" w:color="auto"/>
      </w:divBdr>
    </w:div>
    <w:div w:id="350956010">
      <w:bodyDiv w:val="1"/>
      <w:marLeft w:val="0"/>
      <w:marRight w:val="0"/>
      <w:marTop w:val="0"/>
      <w:marBottom w:val="0"/>
      <w:divBdr>
        <w:top w:val="none" w:sz="0" w:space="0" w:color="auto"/>
        <w:left w:val="none" w:sz="0" w:space="0" w:color="auto"/>
        <w:bottom w:val="none" w:sz="0" w:space="0" w:color="auto"/>
        <w:right w:val="none" w:sz="0" w:space="0" w:color="auto"/>
      </w:divBdr>
      <w:divsChild>
        <w:div w:id="661205092">
          <w:marLeft w:val="0"/>
          <w:marRight w:val="0"/>
          <w:marTop w:val="0"/>
          <w:marBottom w:val="0"/>
          <w:divBdr>
            <w:top w:val="none" w:sz="0" w:space="0" w:color="auto"/>
            <w:left w:val="none" w:sz="0" w:space="0" w:color="auto"/>
            <w:bottom w:val="none" w:sz="0" w:space="0" w:color="auto"/>
            <w:right w:val="none" w:sz="0" w:space="0" w:color="auto"/>
          </w:divBdr>
          <w:divsChild>
            <w:div w:id="504520401">
              <w:marLeft w:val="0"/>
              <w:marRight w:val="0"/>
              <w:marTop w:val="210"/>
              <w:marBottom w:val="0"/>
              <w:divBdr>
                <w:top w:val="none" w:sz="0" w:space="0" w:color="auto"/>
                <w:left w:val="none" w:sz="0" w:space="0" w:color="auto"/>
                <w:bottom w:val="none" w:sz="0" w:space="0" w:color="auto"/>
                <w:right w:val="none" w:sz="0" w:space="0" w:color="auto"/>
              </w:divBdr>
              <w:divsChild>
                <w:div w:id="1505513418">
                  <w:marLeft w:val="0"/>
                  <w:marRight w:val="0"/>
                  <w:marTop w:val="0"/>
                  <w:marBottom w:val="0"/>
                  <w:divBdr>
                    <w:top w:val="none" w:sz="0" w:space="0" w:color="auto"/>
                    <w:left w:val="none" w:sz="0" w:space="0" w:color="auto"/>
                    <w:bottom w:val="none" w:sz="0" w:space="0" w:color="auto"/>
                    <w:right w:val="none" w:sz="0" w:space="0" w:color="auto"/>
                  </w:divBdr>
                  <w:divsChild>
                    <w:div w:id="1343318503">
                      <w:marLeft w:val="0"/>
                      <w:marRight w:val="0"/>
                      <w:marTop w:val="0"/>
                      <w:marBottom w:val="0"/>
                      <w:divBdr>
                        <w:top w:val="none" w:sz="0" w:space="0" w:color="auto"/>
                        <w:left w:val="none" w:sz="0" w:space="0" w:color="auto"/>
                        <w:bottom w:val="none" w:sz="0" w:space="0" w:color="auto"/>
                        <w:right w:val="none" w:sz="0" w:space="0" w:color="auto"/>
                      </w:divBdr>
                      <w:divsChild>
                        <w:div w:id="707025965">
                          <w:marLeft w:val="0"/>
                          <w:marRight w:val="0"/>
                          <w:marTop w:val="0"/>
                          <w:marBottom w:val="0"/>
                          <w:divBdr>
                            <w:top w:val="none" w:sz="0" w:space="0" w:color="auto"/>
                            <w:left w:val="none" w:sz="0" w:space="0" w:color="auto"/>
                            <w:bottom w:val="none" w:sz="0" w:space="0" w:color="auto"/>
                            <w:right w:val="none" w:sz="0" w:space="0" w:color="auto"/>
                          </w:divBdr>
                          <w:divsChild>
                            <w:div w:id="753741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8039203">
      <w:bodyDiv w:val="1"/>
      <w:marLeft w:val="0"/>
      <w:marRight w:val="0"/>
      <w:marTop w:val="0"/>
      <w:marBottom w:val="0"/>
      <w:divBdr>
        <w:top w:val="none" w:sz="0" w:space="0" w:color="auto"/>
        <w:left w:val="none" w:sz="0" w:space="0" w:color="auto"/>
        <w:bottom w:val="none" w:sz="0" w:space="0" w:color="auto"/>
        <w:right w:val="none" w:sz="0" w:space="0" w:color="auto"/>
      </w:divBdr>
      <w:divsChild>
        <w:div w:id="166791199">
          <w:marLeft w:val="0"/>
          <w:marRight w:val="0"/>
          <w:marTop w:val="0"/>
          <w:marBottom w:val="0"/>
          <w:divBdr>
            <w:top w:val="none" w:sz="0" w:space="0" w:color="auto"/>
            <w:left w:val="none" w:sz="0" w:space="0" w:color="auto"/>
            <w:bottom w:val="none" w:sz="0" w:space="0" w:color="auto"/>
            <w:right w:val="none" w:sz="0" w:space="0" w:color="auto"/>
          </w:divBdr>
          <w:divsChild>
            <w:div w:id="71319423">
              <w:marLeft w:val="0"/>
              <w:marRight w:val="0"/>
              <w:marTop w:val="0"/>
              <w:marBottom w:val="0"/>
              <w:divBdr>
                <w:top w:val="none" w:sz="0" w:space="0" w:color="auto"/>
                <w:left w:val="none" w:sz="0" w:space="0" w:color="auto"/>
                <w:bottom w:val="none" w:sz="0" w:space="0" w:color="auto"/>
                <w:right w:val="none" w:sz="0" w:space="0" w:color="auto"/>
              </w:divBdr>
              <w:divsChild>
                <w:div w:id="419984839">
                  <w:marLeft w:val="0"/>
                  <w:marRight w:val="0"/>
                  <w:marTop w:val="0"/>
                  <w:marBottom w:val="0"/>
                  <w:divBdr>
                    <w:top w:val="none" w:sz="0" w:space="0" w:color="auto"/>
                    <w:left w:val="none" w:sz="0" w:space="0" w:color="auto"/>
                    <w:bottom w:val="none" w:sz="0" w:space="0" w:color="auto"/>
                    <w:right w:val="none" w:sz="0" w:space="0" w:color="auto"/>
                  </w:divBdr>
                  <w:divsChild>
                    <w:div w:id="213092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5464069">
      <w:bodyDiv w:val="1"/>
      <w:marLeft w:val="0"/>
      <w:marRight w:val="0"/>
      <w:marTop w:val="0"/>
      <w:marBottom w:val="0"/>
      <w:divBdr>
        <w:top w:val="none" w:sz="0" w:space="0" w:color="auto"/>
        <w:left w:val="none" w:sz="0" w:space="0" w:color="auto"/>
        <w:bottom w:val="none" w:sz="0" w:space="0" w:color="auto"/>
        <w:right w:val="none" w:sz="0" w:space="0" w:color="auto"/>
      </w:divBdr>
    </w:div>
    <w:div w:id="447168510">
      <w:bodyDiv w:val="1"/>
      <w:marLeft w:val="0"/>
      <w:marRight w:val="0"/>
      <w:marTop w:val="0"/>
      <w:marBottom w:val="0"/>
      <w:divBdr>
        <w:top w:val="none" w:sz="0" w:space="0" w:color="auto"/>
        <w:left w:val="none" w:sz="0" w:space="0" w:color="auto"/>
        <w:bottom w:val="none" w:sz="0" w:space="0" w:color="auto"/>
        <w:right w:val="none" w:sz="0" w:space="0" w:color="auto"/>
      </w:divBdr>
    </w:div>
    <w:div w:id="479424371">
      <w:bodyDiv w:val="1"/>
      <w:marLeft w:val="0"/>
      <w:marRight w:val="0"/>
      <w:marTop w:val="0"/>
      <w:marBottom w:val="0"/>
      <w:divBdr>
        <w:top w:val="none" w:sz="0" w:space="0" w:color="auto"/>
        <w:left w:val="none" w:sz="0" w:space="0" w:color="auto"/>
        <w:bottom w:val="none" w:sz="0" w:space="0" w:color="auto"/>
        <w:right w:val="none" w:sz="0" w:space="0" w:color="auto"/>
      </w:divBdr>
    </w:div>
    <w:div w:id="490368548">
      <w:bodyDiv w:val="1"/>
      <w:marLeft w:val="0"/>
      <w:marRight w:val="0"/>
      <w:marTop w:val="0"/>
      <w:marBottom w:val="0"/>
      <w:divBdr>
        <w:top w:val="none" w:sz="0" w:space="0" w:color="auto"/>
        <w:left w:val="none" w:sz="0" w:space="0" w:color="auto"/>
        <w:bottom w:val="none" w:sz="0" w:space="0" w:color="auto"/>
        <w:right w:val="none" w:sz="0" w:space="0" w:color="auto"/>
      </w:divBdr>
    </w:div>
    <w:div w:id="494419923">
      <w:bodyDiv w:val="1"/>
      <w:marLeft w:val="0"/>
      <w:marRight w:val="0"/>
      <w:marTop w:val="0"/>
      <w:marBottom w:val="0"/>
      <w:divBdr>
        <w:top w:val="none" w:sz="0" w:space="0" w:color="auto"/>
        <w:left w:val="none" w:sz="0" w:space="0" w:color="auto"/>
        <w:bottom w:val="none" w:sz="0" w:space="0" w:color="auto"/>
        <w:right w:val="none" w:sz="0" w:space="0" w:color="auto"/>
      </w:divBdr>
    </w:div>
    <w:div w:id="524950133">
      <w:bodyDiv w:val="1"/>
      <w:marLeft w:val="0"/>
      <w:marRight w:val="0"/>
      <w:marTop w:val="0"/>
      <w:marBottom w:val="0"/>
      <w:divBdr>
        <w:top w:val="none" w:sz="0" w:space="0" w:color="auto"/>
        <w:left w:val="none" w:sz="0" w:space="0" w:color="auto"/>
        <w:bottom w:val="none" w:sz="0" w:space="0" w:color="auto"/>
        <w:right w:val="none" w:sz="0" w:space="0" w:color="auto"/>
      </w:divBdr>
    </w:div>
    <w:div w:id="583341588">
      <w:bodyDiv w:val="1"/>
      <w:marLeft w:val="0"/>
      <w:marRight w:val="0"/>
      <w:marTop w:val="0"/>
      <w:marBottom w:val="0"/>
      <w:divBdr>
        <w:top w:val="none" w:sz="0" w:space="0" w:color="auto"/>
        <w:left w:val="none" w:sz="0" w:space="0" w:color="auto"/>
        <w:bottom w:val="none" w:sz="0" w:space="0" w:color="auto"/>
        <w:right w:val="none" w:sz="0" w:space="0" w:color="auto"/>
      </w:divBdr>
      <w:divsChild>
        <w:div w:id="208537865">
          <w:marLeft w:val="0"/>
          <w:marRight w:val="0"/>
          <w:marTop w:val="0"/>
          <w:marBottom w:val="0"/>
          <w:divBdr>
            <w:top w:val="none" w:sz="0" w:space="0" w:color="auto"/>
            <w:left w:val="none" w:sz="0" w:space="0" w:color="auto"/>
            <w:bottom w:val="none" w:sz="0" w:space="0" w:color="auto"/>
            <w:right w:val="none" w:sz="0" w:space="0" w:color="auto"/>
          </w:divBdr>
          <w:divsChild>
            <w:div w:id="1374577601">
              <w:marLeft w:val="0"/>
              <w:marRight w:val="0"/>
              <w:marTop w:val="0"/>
              <w:marBottom w:val="0"/>
              <w:divBdr>
                <w:top w:val="none" w:sz="0" w:space="0" w:color="auto"/>
                <w:left w:val="none" w:sz="0" w:space="0" w:color="auto"/>
                <w:bottom w:val="none" w:sz="0" w:space="0" w:color="auto"/>
                <w:right w:val="none" w:sz="0" w:space="0" w:color="auto"/>
              </w:divBdr>
              <w:divsChild>
                <w:div w:id="368453663">
                  <w:marLeft w:val="0"/>
                  <w:marRight w:val="0"/>
                  <w:marTop w:val="0"/>
                  <w:marBottom w:val="0"/>
                  <w:divBdr>
                    <w:top w:val="none" w:sz="0" w:space="0" w:color="auto"/>
                    <w:left w:val="none" w:sz="0" w:space="0" w:color="auto"/>
                    <w:bottom w:val="none" w:sz="0" w:space="0" w:color="auto"/>
                    <w:right w:val="none" w:sz="0" w:space="0" w:color="auto"/>
                  </w:divBdr>
                  <w:divsChild>
                    <w:div w:id="557713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4339347">
      <w:bodyDiv w:val="1"/>
      <w:marLeft w:val="0"/>
      <w:marRight w:val="0"/>
      <w:marTop w:val="0"/>
      <w:marBottom w:val="0"/>
      <w:divBdr>
        <w:top w:val="none" w:sz="0" w:space="0" w:color="auto"/>
        <w:left w:val="none" w:sz="0" w:space="0" w:color="auto"/>
        <w:bottom w:val="none" w:sz="0" w:space="0" w:color="auto"/>
        <w:right w:val="none" w:sz="0" w:space="0" w:color="auto"/>
      </w:divBdr>
    </w:div>
    <w:div w:id="607466113">
      <w:bodyDiv w:val="1"/>
      <w:marLeft w:val="0"/>
      <w:marRight w:val="0"/>
      <w:marTop w:val="0"/>
      <w:marBottom w:val="0"/>
      <w:divBdr>
        <w:top w:val="none" w:sz="0" w:space="0" w:color="auto"/>
        <w:left w:val="none" w:sz="0" w:space="0" w:color="auto"/>
        <w:bottom w:val="none" w:sz="0" w:space="0" w:color="auto"/>
        <w:right w:val="none" w:sz="0" w:space="0" w:color="auto"/>
      </w:divBdr>
      <w:divsChild>
        <w:div w:id="1617442060">
          <w:marLeft w:val="0"/>
          <w:marRight w:val="0"/>
          <w:marTop w:val="0"/>
          <w:marBottom w:val="0"/>
          <w:divBdr>
            <w:top w:val="none" w:sz="0" w:space="0" w:color="auto"/>
            <w:left w:val="none" w:sz="0" w:space="0" w:color="auto"/>
            <w:bottom w:val="none" w:sz="0" w:space="0" w:color="auto"/>
            <w:right w:val="none" w:sz="0" w:space="0" w:color="auto"/>
          </w:divBdr>
          <w:divsChild>
            <w:div w:id="2049794658">
              <w:marLeft w:val="0"/>
              <w:marRight w:val="0"/>
              <w:marTop w:val="0"/>
              <w:marBottom w:val="0"/>
              <w:divBdr>
                <w:top w:val="none" w:sz="0" w:space="0" w:color="auto"/>
                <w:left w:val="none" w:sz="0" w:space="0" w:color="auto"/>
                <w:bottom w:val="none" w:sz="0" w:space="0" w:color="auto"/>
                <w:right w:val="none" w:sz="0" w:space="0" w:color="auto"/>
              </w:divBdr>
              <w:divsChild>
                <w:div w:id="686712989">
                  <w:marLeft w:val="0"/>
                  <w:marRight w:val="0"/>
                  <w:marTop w:val="0"/>
                  <w:marBottom w:val="0"/>
                  <w:divBdr>
                    <w:top w:val="none" w:sz="0" w:space="0" w:color="auto"/>
                    <w:left w:val="none" w:sz="0" w:space="0" w:color="auto"/>
                    <w:bottom w:val="none" w:sz="0" w:space="0" w:color="auto"/>
                    <w:right w:val="none" w:sz="0" w:space="0" w:color="auto"/>
                  </w:divBdr>
                  <w:divsChild>
                    <w:div w:id="1384526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2585153">
      <w:bodyDiv w:val="1"/>
      <w:marLeft w:val="0"/>
      <w:marRight w:val="0"/>
      <w:marTop w:val="0"/>
      <w:marBottom w:val="0"/>
      <w:divBdr>
        <w:top w:val="none" w:sz="0" w:space="0" w:color="auto"/>
        <w:left w:val="none" w:sz="0" w:space="0" w:color="auto"/>
        <w:bottom w:val="none" w:sz="0" w:space="0" w:color="auto"/>
        <w:right w:val="none" w:sz="0" w:space="0" w:color="auto"/>
      </w:divBdr>
      <w:divsChild>
        <w:div w:id="862011861">
          <w:marLeft w:val="0"/>
          <w:marRight w:val="0"/>
          <w:marTop w:val="0"/>
          <w:marBottom w:val="0"/>
          <w:divBdr>
            <w:top w:val="none" w:sz="0" w:space="0" w:color="auto"/>
            <w:left w:val="none" w:sz="0" w:space="0" w:color="auto"/>
            <w:bottom w:val="none" w:sz="0" w:space="0" w:color="auto"/>
            <w:right w:val="none" w:sz="0" w:space="0" w:color="auto"/>
          </w:divBdr>
          <w:divsChild>
            <w:div w:id="647590351">
              <w:marLeft w:val="0"/>
              <w:marRight w:val="0"/>
              <w:marTop w:val="0"/>
              <w:marBottom w:val="0"/>
              <w:divBdr>
                <w:top w:val="none" w:sz="0" w:space="0" w:color="auto"/>
                <w:left w:val="none" w:sz="0" w:space="0" w:color="auto"/>
                <w:bottom w:val="none" w:sz="0" w:space="0" w:color="auto"/>
                <w:right w:val="none" w:sz="0" w:space="0" w:color="auto"/>
              </w:divBdr>
              <w:divsChild>
                <w:div w:id="1063413071">
                  <w:marLeft w:val="0"/>
                  <w:marRight w:val="0"/>
                  <w:marTop w:val="0"/>
                  <w:marBottom w:val="0"/>
                  <w:divBdr>
                    <w:top w:val="none" w:sz="0" w:space="0" w:color="auto"/>
                    <w:left w:val="none" w:sz="0" w:space="0" w:color="auto"/>
                    <w:bottom w:val="none" w:sz="0" w:space="0" w:color="auto"/>
                    <w:right w:val="none" w:sz="0" w:space="0" w:color="auto"/>
                  </w:divBdr>
                  <w:divsChild>
                    <w:div w:id="1932422427">
                      <w:marLeft w:val="0"/>
                      <w:marRight w:val="0"/>
                      <w:marTop w:val="0"/>
                      <w:marBottom w:val="0"/>
                      <w:divBdr>
                        <w:top w:val="none" w:sz="0" w:space="0" w:color="auto"/>
                        <w:left w:val="none" w:sz="0" w:space="0" w:color="auto"/>
                        <w:bottom w:val="none" w:sz="0" w:space="0" w:color="auto"/>
                        <w:right w:val="none" w:sz="0" w:space="0" w:color="auto"/>
                      </w:divBdr>
                      <w:divsChild>
                        <w:div w:id="452753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2316445">
      <w:bodyDiv w:val="1"/>
      <w:marLeft w:val="0"/>
      <w:marRight w:val="0"/>
      <w:marTop w:val="0"/>
      <w:marBottom w:val="0"/>
      <w:divBdr>
        <w:top w:val="none" w:sz="0" w:space="0" w:color="auto"/>
        <w:left w:val="none" w:sz="0" w:space="0" w:color="auto"/>
        <w:bottom w:val="none" w:sz="0" w:space="0" w:color="auto"/>
        <w:right w:val="none" w:sz="0" w:space="0" w:color="auto"/>
      </w:divBdr>
      <w:divsChild>
        <w:div w:id="1061177300">
          <w:marLeft w:val="0"/>
          <w:marRight w:val="0"/>
          <w:marTop w:val="0"/>
          <w:marBottom w:val="0"/>
          <w:divBdr>
            <w:top w:val="none" w:sz="0" w:space="0" w:color="auto"/>
            <w:left w:val="none" w:sz="0" w:space="0" w:color="auto"/>
            <w:bottom w:val="none" w:sz="0" w:space="0" w:color="auto"/>
            <w:right w:val="none" w:sz="0" w:space="0" w:color="auto"/>
          </w:divBdr>
          <w:divsChild>
            <w:div w:id="1889683846">
              <w:marLeft w:val="0"/>
              <w:marRight w:val="0"/>
              <w:marTop w:val="210"/>
              <w:marBottom w:val="0"/>
              <w:divBdr>
                <w:top w:val="none" w:sz="0" w:space="0" w:color="auto"/>
                <w:left w:val="none" w:sz="0" w:space="0" w:color="auto"/>
                <w:bottom w:val="none" w:sz="0" w:space="0" w:color="auto"/>
                <w:right w:val="none" w:sz="0" w:space="0" w:color="auto"/>
              </w:divBdr>
              <w:divsChild>
                <w:div w:id="833834339">
                  <w:marLeft w:val="0"/>
                  <w:marRight w:val="0"/>
                  <w:marTop w:val="0"/>
                  <w:marBottom w:val="0"/>
                  <w:divBdr>
                    <w:top w:val="none" w:sz="0" w:space="0" w:color="auto"/>
                    <w:left w:val="none" w:sz="0" w:space="0" w:color="auto"/>
                    <w:bottom w:val="none" w:sz="0" w:space="0" w:color="auto"/>
                    <w:right w:val="none" w:sz="0" w:space="0" w:color="auto"/>
                  </w:divBdr>
                  <w:divsChild>
                    <w:div w:id="382947241">
                      <w:marLeft w:val="0"/>
                      <w:marRight w:val="0"/>
                      <w:marTop w:val="0"/>
                      <w:marBottom w:val="0"/>
                      <w:divBdr>
                        <w:top w:val="none" w:sz="0" w:space="0" w:color="auto"/>
                        <w:left w:val="none" w:sz="0" w:space="0" w:color="auto"/>
                        <w:bottom w:val="none" w:sz="0" w:space="0" w:color="auto"/>
                        <w:right w:val="none" w:sz="0" w:space="0" w:color="auto"/>
                      </w:divBdr>
                      <w:divsChild>
                        <w:div w:id="998384923">
                          <w:marLeft w:val="0"/>
                          <w:marRight w:val="0"/>
                          <w:marTop w:val="0"/>
                          <w:marBottom w:val="0"/>
                          <w:divBdr>
                            <w:top w:val="none" w:sz="0" w:space="0" w:color="auto"/>
                            <w:left w:val="none" w:sz="0" w:space="0" w:color="auto"/>
                            <w:bottom w:val="none" w:sz="0" w:space="0" w:color="auto"/>
                            <w:right w:val="none" w:sz="0" w:space="0" w:color="auto"/>
                          </w:divBdr>
                          <w:divsChild>
                            <w:div w:id="899025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5521354">
      <w:bodyDiv w:val="1"/>
      <w:marLeft w:val="0"/>
      <w:marRight w:val="0"/>
      <w:marTop w:val="0"/>
      <w:marBottom w:val="0"/>
      <w:divBdr>
        <w:top w:val="none" w:sz="0" w:space="0" w:color="auto"/>
        <w:left w:val="none" w:sz="0" w:space="0" w:color="auto"/>
        <w:bottom w:val="none" w:sz="0" w:space="0" w:color="auto"/>
        <w:right w:val="none" w:sz="0" w:space="0" w:color="auto"/>
      </w:divBdr>
    </w:div>
    <w:div w:id="779177485">
      <w:bodyDiv w:val="1"/>
      <w:marLeft w:val="0"/>
      <w:marRight w:val="0"/>
      <w:marTop w:val="0"/>
      <w:marBottom w:val="0"/>
      <w:divBdr>
        <w:top w:val="none" w:sz="0" w:space="0" w:color="auto"/>
        <w:left w:val="none" w:sz="0" w:space="0" w:color="auto"/>
        <w:bottom w:val="none" w:sz="0" w:space="0" w:color="auto"/>
        <w:right w:val="none" w:sz="0" w:space="0" w:color="auto"/>
      </w:divBdr>
    </w:div>
    <w:div w:id="782848900">
      <w:bodyDiv w:val="1"/>
      <w:marLeft w:val="0"/>
      <w:marRight w:val="0"/>
      <w:marTop w:val="0"/>
      <w:marBottom w:val="0"/>
      <w:divBdr>
        <w:top w:val="none" w:sz="0" w:space="0" w:color="auto"/>
        <w:left w:val="none" w:sz="0" w:space="0" w:color="auto"/>
        <w:bottom w:val="none" w:sz="0" w:space="0" w:color="auto"/>
        <w:right w:val="none" w:sz="0" w:space="0" w:color="auto"/>
      </w:divBdr>
    </w:div>
    <w:div w:id="787964821">
      <w:bodyDiv w:val="1"/>
      <w:marLeft w:val="0"/>
      <w:marRight w:val="0"/>
      <w:marTop w:val="0"/>
      <w:marBottom w:val="0"/>
      <w:divBdr>
        <w:top w:val="none" w:sz="0" w:space="0" w:color="auto"/>
        <w:left w:val="none" w:sz="0" w:space="0" w:color="auto"/>
        <w:bottom w:val="none" w:sz="0" w:space="0" w:color="auto"/>
        <w:right w:val="none" w:sz="0" w:space="0" w:color="auto"/>
      </w:divBdr>
    </w:div>
    <w:div w:id="800078978">
      <w:bodyDiv w:val="1"/>
      <w:marLeft w:val="0"/>
      <w:marRight w:val="0"/>
      <w:marTop w:val="0"/>
      <w:marBottom w:val="0"/>
      <w:divBdr>
        <w:top w:val="none" w:sz="0" w:space="0" w:color="auto"/>
        <w:left w:val="none" w:sz="0" w:space="0" w:color="auto"/>
        <w:bottom w:val="none" w:sz="0" w:space="0" w:color="auto"/>
        <w:right w:val="none" w:sz="0" w:space="0" w:color="auto"/>
      </w:divBdr>
    </w:div>
    <w:div w:id="809784274">
      <w:bodyDiv w:val="1"/>
      <w:marLeft w:val="0"/>
      <w:marRight w:val="0"/>
      <w:marTop w:val="0"/>
      <w:marBottom w:val="0"/>
      <w:divBdr>
        <w:top w:val="none" w:sz="0" w:space="0" w:color="auto"/>
        <w:left w:val="none" w:sz="0" w:space="0" w:color="auto"/>
        <w:bottom w:val="none" w:sz="0" w:space="0" w:color="auto"/>
        <w:right w:val="none" w:sz="0" w:space="0" w:color="auto"/>
      </w:divBdr>
      <w:divsChild>
        <w:div w:id="909657034">
          <w:marLeft w:val="0"/>
          <w:marRight w:val="0"/>
          <w:marTop w:val="0"/>
          <w:marBottom w:val="0"/>
          <w:divBdr>
            <w:top w:val="none" w:sz="0" w:space="0" w:color="auto"/>
            <w:left w:val="none" w:sz="0" w:space="0" w:color="auto"/>
            <w:bottom w:val="none" w:sz="0" w:space="0" w:color="auto"/>
            <w:right w:val="none" w:sz="0" w:space="0" w:color="auto"/>
          </w:divBdr>
          <w:divsChild>
            <w:div w:id="841359614">
              <w:marLeft w:val="0"/>
              <w:marRight w:val="0"/>
              <w:marTop w:val="0"/>
              <w:marBottom w:val="0"/>
              <w:divBdr>
                <w:top w:val="none" w:sz="0" w:space="0" w:color="auto"/>
                <w:left w:val="none" w:sz="0" w:space="0" w:color="auto"/>
                <w:bottom w:val="none" w:sz="0" w:space="0" w:color="auto"/>
                <w:right w:val="none" w:sz="0" w:space="0" w:color="auto"/>
              </w:divBdr>
              <w:divsChild>
                <w:div w:id="1584757103">
                  <w:marLeft w:val="0"/>
                  <w:marRight w:val="0"/>
                  <w:marTop w:val="0"/>
                  <w:marBottom w:val="0"/>
                  <w:divBdr>
                    <w:top w:val="none" w:sz="0" w:space="0" w:color="auto"/>
                    <w:left w:val="none" w:sz="0" w:space="0" w:color="auto"/>
                    <w:bottom w:val="none" w:sz="0" w:space="0" w:color="auto"/>
                    <w:right w:val="none" w:sz="0" w:space="0" w:color="auto"/>
                  </w:divBdr>
                  <w:divsChild>
                    <w:div w:id="136185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775851">
      <w:bodyDiv w:val="1"/>
      <w:marLeft w:val="0"/>
      <w:marRight w:val="0"/>
      <w:marTop w:val="0"/>
      <w:marBottom w:val="0"/>
      <w:divBdr>
        <w:top w:val="none" w:sz="0" w:space="0" w:color="auto"/>
        <w:left w:val="none" w:sz="0" w:space="0" w:color="auto"/>
        <w:bottom w:val="none" w:sz="0" w:space="0" w:color="auto"/>
        <w:right w:val="none" w:sz="0" w:space="0" w:color="auto"/>
      </w:divBdr>
    </w:div>
    <w:div w:id="867134434">
      <w:bodyDiv w:val="1"/>
      <w:marLeft w:val="0"/>
      <w:marRight w:val="0"/>
      <w:marTop w:val="0"/>
      <w:marBottom w:val="0"/>
      <w:divBdr>
        <w:top w:val="none" w:sz="0" w:space="0" w:color="auto"/>
        <w:left w:val="none" w:sz="0" w:space="0" w:color="auto"/>
        <w:bottom w:val="none" w:sz="0" w:space="0" w:color="auto"/>
        <w:right w:val="none" w:sz="0" w:space="0" w:color="auto"/>
      </w:divBdr>
      <w:divsChild>
        <w:div w:id="1721442321">
          <w:marLeft w:val="0"/>
          <w:marRight w:val="0"/>
          <w:marTop w:val="0"/>
          <w:marBottom w:val="0"/>
          <w:divBdr>
            <w:top w:val="none" w:sz="0" w:space="0" w:color="auto"/>
            <w:left w:val="none" w:sz="0" w:space="0" w:color="auto"/>
            <w:bottom w:val="none" w:sz="0" w:space="0" w:color="auto"/>
            <w:right w:val="none" w:sz="0" w:space="0" w:color="auto"/>
          </w:divBdr>
          <w:divsChild>
            <w:div w:id="1794786865">
              <w:marLeft w:val="0"/>
              <w:marRight w:val="0"/>
              <w:marTop w:val="0"/>
              <w:marBottom w:val="0"/>
              <w:divBdr>
                <w:top w:val="none" w:sz="0" w:space="0" w:color="auto"/>
                <w:left w:val="none" w:sz="0" w:space="0" w:color="auto"/>
                <w:bottom w:val="none" w:sz="0" w:space="0" w:color="auto"/>
                <w:right w:val="none" w:sz="0" w:space="0" w:color="auto"/>
              </w:divBdr>
              <w:divsChild>
                <w:div w:id="1176841118">
                  <w:marLeft w:val="0"/>
                  <w:marRight w:val="0"/>
                  <w:marTop w:val="0"/>
                  <w:marBottom w:val="0"/>
                  <w:divBdr>
                    <w:top w:val="none" w:sz="0" w:space="0" w:color="auto"/>
                    <w:left w:val="none" w:sz="0" w:space="0" w:color="auto"/>
                    <w:bottom w:val="none" w:sz="0" w:space="0" w:color="auto"/>
                    <w:right w:val="none" w:sz="0" w:space="0" w:color="auto"/>
                  </w:divBdr>
                  <w:divsChild>
                    <w:div w:id="14543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970015">
      <w:bodyDiv w:val="1"/>
      <w:marLeft w:val="0"/>
      <w:marRight w:val="0"/>
      <w:marTop w:val="0"/>
      <w:marBottom w:val="0"/>
      <w:divBdr>
        <w:top w:val="none" w:sz="0" w:space="0" w:color="auto"/>
        <w:left w:val="none" w:sz="0" w:space="0" w:color="auto"/>
        <w:bottom w:val="none" w:sz="0" w:space="0" w:color="auto"/>
        <w:right w:val="none" w:sz="0" w:space="0" w:color="auto"/>
      </w:divBdr>
    </w:div>
    <w:div w:id="906459052">
      <w:bodyDiv w:val="1"/>
      <w:marLeft w:val="0"/>
      <w:marRight w:val="0"/>
      <w:marTop w:val="0"/>
      <w:marBottom w:val="0"/>
      <w:divBdr>
        <w:top w:val="none" w:sz="0" w:space="0" w:color="auto"/>
        <w:left w:val="none" w:sz="0" w:space="0" w:color="auto"/>
        <w:bottom w:val="none" w:sz="0" w:space="0" w:color="auto"/>
        <w:right w:val="none" w:sz="0" w:space="0" w:color="auto"/>
      </w:divBdr>
    </w:div>
    <w:div w:id="939753197">
      <w:bodyDiv w:val="1"/>
      <w:marLeft w:val="0"/>
      <w:marRight w:val="0"/>
      <w:marTop w:val="0"/>
      <w:marBottom w:val="0"/>
      <w:divBdr>
        <w:top w:val="none" w:sz="0" w:space="0" w:color="auto"/>
        <w:left w:val="none" w:sz="0" w:space="0" w:color="auto"/>
        <w:bottom w:val="none" w:sz="0" w:space="0" w:color="auto"/>
        <w:right w:val="none" w:sz="0" w:space="0" w:color="auto"/>
      </w:divBdr>
      <w:divsChild>
        <w:div w:id="1351954463">
          <w:marLeft w:val="0"/>
          <w:marRight w:val="0"/>
          <w:marTop w:val="0"/>
          <w:marBottom w:val="0"/>
          <w:divBdr>
            <w:top w:val="none" w:sz="0" w:space="0" w:color="auto"/>
            <w:left w:val="none" w:sz="0" w:space="0" w:color="auto"/>
            <w:bottom w:val="none" w:sz="0" w:space="0" w:color="auto"/>
            <w:right w:val="none" w:sz="0" w:space="0" w:color="auto"/>
          </w:divBdr>
          <w:divsChild>
            <w:div w:id="1984307034">
              <w:marLeft w:val="0"/>
              <w:marRight w:val="0"/>
              <w:marTop w:val="0"/>
              <w:marBottom w:val="0"/>
              <w:divBdr>
                <w:top w:val="none" w:sz="0" w:space="0" w:color="auto"/>
                <w:left w:val="none" w:sz="0" w:space="0" w:color="auto"/>
                <w:bottom w:val="none" w:sz="0" w:space="0" w:color="auto"/>
                <w:right w:val="none" w:sz="0" w:space="0" w:color="auto"/>
              </w:divBdr>
              <w:divsChild>
                <w:div w:id="499122316">
                  <w:marLeft w:val="0"/>
                  <w:marRight w:val="0"/>
                  <w:marTop w:val="0"/>
                  <w:marBottom w:val="0"/>
                  <w:divBdr>
                    <w:top w:val="none" w:sz="0" w:space="0" w:color="auto"/>
                    <w:left w:val="none" w:sz="0" w:space="0" w:color="auto"/>
                    <w:bottom w:val="none" w:sz="0" w:space="0" w:color="auto"/>
                    <w:right w:val="none" w:sz="0" w:space="0" w:color="auto"/>
                  </w:divBdr>
                  <w:divsChild>
                    <w:div w:id="1428428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3465310">
      <w:bodyDiv w:val="1"/>
      <w:marLeft w:val="0"/>
      <w:marRight w:val="0"/>
      <w:marTop w:val="0"/>
      <w:marBottom w:val="0"/>
      <w:divBdr>
        <w:top w:val="none" w:sz="0" w:space="0" w:color="auto"/>
        <w:left w:val="none" w:sz="0" w:space="0" w:color="auto"/>
        <w:bottom w:val="none" w:sz="0" w:space="0" w:color="auto"/>
        <w:right w:val="none" w:sz="0" w:space="0" w:color="auto"/>
      </w:divBdr>
      <w:divsChild>
        <w:div w:id="188565480">
          <w:marLeft w:val="0"/>
          <w:marRight w:val="0"/>
          <w:marTop w:val="0"/>
          <w:marBottom w:val="0"/>
          <w:divBdr>
            <w:top w:val="none" w:sz="0" w:space="0" w:color="auto"/>
            <w:left w:val="none" w:sz="0" w:space="0" w:color="auto"/>
            <w:bottom w:val="none" w:sz="0" w:space="0" w:color="auto"/>
            <w:right w:val="none" w:sz="0" w:space="0" w:color="auto"/>
          </w:divBdr>
          <w:divsChild>
            <w:div w:id="636686874">
              <w:marLeft w:val="300"/>
              <w:marRight w:val="300"/>
              <w:marTop w:val="0"/>
              <w:marBottom w:val="0"/>
              <w:divBdr>
                <w:top w:val="none" w:sz="0" w:space="0" w:color="auto"/>
                <w:left w:val="none" w:sz="0" w:space="0" w:color="auto"/>
                <w:bottom w:val="none" w:sz="0" w:space="0" w:color="auto"/>
                <w:right w:val="none" w:sz="0" w:space="0" w:color="auto"/>
              </w:divBdr>
              <w:divsChild>
                <w:div w:id="53650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772442">
      <w:bodyDiv w:val="1"/>
      <w:marLeft w:val="0"/>
      <w:marRight w:val="0"/>
      <w:marTop w:val="0"/>
      <w:marBottom w:val="0"/>
      <w:divBdr>
        <w:top w:val="none" w:sz="0" w:space="0" w:color="auto"/>
        <w:left w:val="none" w:sz="0" w:space="0" w:color="auto"/>
        <w:bottom w:val="none" w:sz="0" w:space="0" w:color="auto"/>
        <w:right w:val="none" w:sz="0" w:space="0" w:color="auto"/>
      </w:divBdr>
      <w:divsChild>
        <w:div w:id="699402092">
          <w:marLeft w:val="0"/>
          <w:marRight w:val="0"/>
          <w:marTop w:val="0"/>
          <w:marBottom w:val="0"/>
          <w:divBdr>
            <w:top w:val="none" w:sz="0" w:space="0" w:color="auto"/>
            <w:left w:val="none" w:sz="0" w:space="0" w:color="auto"/>
            <w:bottom w:val="none" w:sz="0" w:space="0" w:color="auto"/>
            <w:right w:val="none" w:sz="0" w:space="0" w:color="auto"/>
          </w:divBdr>
          <w:divsChild>
            <w:div w:id="517473448">
              <w:marLeft w:val="0"/>
              <w:marRight w:val="0"/>
              <w:marTop w:val="210"/>
              <w:marBottom w:val="0"/>
              <w:divBdr>
                <w:top w:val="none" w:sz="0" w:space="0" w:color="auto"/>
                <w:left w:val="none" w:sz="0" w:space="0" w:color="auto"/>
                <w:bottom w:val="none" w:sz="0" w:space="0" w:color="auto"/>
                <w:right w:val="none" w:sz="0" w:space="0" w:color="auto"/>
              </w:divBdr>
              <w:divsChild>
                <w:div w:id="2018771882">
                  <w:marLeft w:val="0"/>
                  <w:marRight w:val="0"/>
                  <w:marTop w:val="0"/>
                  <w:marBottom w:val="0"/>
                  <w:divBdr>
                    <w:top w:val="none" w:sz="0" w:space="0" w:color="auto"/>
                    <w:left w:val="none" w:sz="0" w:space="0" w:color="auto"/>
                    <w:bottom w:val="none" w:sz="0" w:space="0" w:color="auto"/>
                    <w:right w:val="none" w:sz="0" w:space="0" w:color="auto"/>
                  </w:divBdr>
                  <w:divsChild>
                    <w:div w:id="1276912359">
                      <w:marLeft w:val="0"/>
                      <w:marRight w:val="0"/>
                      <w:marTop w:val="0"/>
                      <w:marBottom w:val="0"/>
                      <w:divBdr>
                        <w:top w:val="none" w:sz="0" w:space="0" w:color="auto"/>
                        <w:left w:val="none" w:sz="0" w:space="0" w:color="auto"/>
                        <w:bottom w:val="none" w:sz="0" w:space="0" w:color="auto"/>
                        <w:right w:val="none" w:sz="0" w:space="0" w:color="auto"/>
                      </w:divBdr>
                      <w:divsChild>
                        <w:div w:id="667557502">
                          <w:marLeft w:val="0"/>
                          <w:marRight w:val="0"/>
                          <w:marTop w:val="0"/>
                          <w:marBottom w:val="0"/>
                          <w:divBdr>
                            <w:top w:val="none" w:sz="0" w:space="0" w:color="auto"/>
                            <w:left w:val="none" w:sz="0" w:space="0" w:color="auto"/>
                            <w:bottom w:val="none" w:sz="0" w:space="0" w:color="auto"/>
                            <w:right w:val="none" w:sz="0" w:space="0" w:color="auto"/>
                          </w:divBdr>
                          <w:divsChild>
                            <w:div w:id="107311053">
                              <w:marLeft w:val="0"/>
                              <w:marRight w:val="0"/>
                              <w:marTop w:val="0"/>
                              <w:marBottom w:val="0"/>
                              <w:divBdr>
                                <w:top w:val="none" w:sz="0" w:space="0" w:color="auto"/>
                                <w:left w:val="none" w:sz="0" w:space="0" w:color="auto"/>
                                <w:bottom w:val="none" w:sz="0" w:space="0" w:color="auto"/>
                                <w:right w:val="none" w:sz="0" w:space="0" w:color="auto"/>
                              </w:divBdr>
                              <w:divsChild>
                                <w:div w:id="1561405169">
                                  <w:marLeft w:val="0"/>
                                  <w:marRight w:val="0"/>
                                  <w:marTop w:val="0"/>
                                  <w:marBottom w:val="0"/>
                                  <w:divBdr>
                                    <w:top w:val="dotted" w:sz="6" w:space="12" w:color="CCCCCC"/>
                                    <w:left w:val="none" w:sz="0" w:space="0" w:color="auto"/>
                                    <w:bottom w:val="none" w:sz="0" w:space="0" w:color="auto"/>
                                    <w:right w:val="none" w:sz="0" w:space="0" w:color="auto"/>
                                  </w:divBdr>
                                  <w:divsChild>
                                    <w:div w:id="37624599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0054266">
      <w:bodyDiv w:val="1"/>
      <w:marLeft w:val="0"/>
      <w:marRight w:val="0"/>
      <w:marTop w:val="0"/>
      <w:marBottom w:val="0"/>
      <w:divBdr>
        <w:top w:val="none" w:sz="0" w:space="0" w:color="auto"/>
        <w:left w:val="none" w:sz="0" w:space="0" w:color="auto"/>
        <w:bottom w:val="none" w:sz="0" w:space="0" w:color="auto"/>
        <w:right w:val="none" w:sz="0" w:space="0" w:color="auto"/>
      </w:divBdr>
      <w:divsChild>
        <w:div w:id="1981417554">
          <w:marLeft w:val="0"/>
          <w:marRight w:val="0"/>
          <w:marTop w:val="150"/>
          <w:marBottom w:val="300"/>
          <w:divBdr>
            <w:top w:val="single" w:sz="6" w:space="9" w:color="DFE1E2"/>
            <w:left w:val="single" w:sz="6" w:space="9" w:color="DFE1E2"/>
            <w:bottom w:val="single" w:sz="6" w:space="9" w:color="DFE1E2"/>
            <w:right w:val="single" w:sz="6" w:space="9" w:color="DFE1E2"/>
          </w:divBdr>
          <w:divsChild>
            <w:div w:id="1413043322">
              <w:marLeft w:val="0"/>
              <w:marRight w:val="0"/>
              <w:marTop w:val="240"/>
              <w:marBottom w:val="0"/>
              <w:divBdr>
                <w:top w:val="none" w:sz="0" w:space="0" w:color="auto"/>
                <w:left w:val="none" w:sz="0" w:space="0" w:color="auto"/>
                <w:bottom w:val="none" w:sz="0" w:space="0" w:color="auto"/>
                <w:right w:val="none" w:sz="0" w:space="0" w:color="auto"/>
              </w:divBdr>
              <w:divsChild>
                <w:div w:id="2108230996">
                  <w:marLeft w:val="0"/>
                  <w:marRight w:val="0"/>
                  <w:marTop w:val="0"/>
                  <w:marBottom w:val="0"/>
                  <w:divBdr>
                    <w:top w:val="none" w:sz="0" w:space="0" w:color="auto"/>
                    <w:left w:val="none" w:sz="0" w:space="0" w:color="auto"/>
                    <w:bottom w:val="none" w:sz="0" w:space="0" w:color="auto"/>
                    <w:right w:val="none" w:sz="0" w:space="0" w:color="auto"/>
                  </w:divBdr>
                  <w:divsChild>
                    <w:div w:id="533420438">
                      <w:marLeft w:val="0"/>
                      <w:marRight w:val="0"/>
                      <w:marTop w:val="0"/>
                      <w:marBottom w:val="0"/>
                      <w:divBdr>
                        <w:top w:val="none" w:sz="0" w:space="0" w:color="auto"/>
                        <w:left w:val="none" w:sz="0" w:space="0" w:color="auto"/>
                        <w:bottom w:val="none" w:sz="0" w:space="0" w:color="auto"/>
                        <w:right w:val="none" w:sz="0" w:space="0" w:color="auto"/>
                      </w:divBdr>
                      <w:divsChild>
                        <w:div w:id="89570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395424">
      <w:bodyDiv w:val="1"/>
      <w:marLeft w:val="0"/>
      <w:marRight w:val="0"/>
      <w:marTop w:val="0"/>
      <w:marBottom w:val="0"/>
      <w:divBdr>
        <w:top w:val="none" w:sz="0" w:space="0" w:color="auto"/>
        <w:left w:val="none" w:sz="0" w:space="0" w:color="auto"/>
        <w:bottom w:val="none" w:sz="0" w:space="0" w:color="auto"/>
        <w:right w:val="none" w:sz="0" w:space="0" w:color="auto"/>
      </w:divBdr>
      <w:divsChild>
        <w:div w:id="652879823">
          <w:marLeft w:val="0"/>
          <w:marRight w:val="0"/>
          <w:marTop w:val="0"/>
          <w:marBottom w:val="0"/>
          <w:divBdr>
            <w:top w:val="none" w:sz="0" w:space="0" w:color="auto"/>
            <w:left w:val="none" w:sz="0" w:space="0" w:color="auto"/>
            <w:bottom w:val="none" w:sz="0" w:space="0" w:color="auto"/>
            <w:right w:val="none" w:sz="0" w:space="0" w:color="auto"/>
          </w:divBdr>
          <w:divsChild>
            <w:div w:id="1559783412">
              <w:marLeft w:val="0"/>
              <w:marRight w:val="0"/>
              <w:marTop w:val="0"/>
              <w:marBottom w:val="0"/>
              <w:divBdr>
                <w:top w:val="none" w:sz="0" w:space="0" w:color="auto"/>
                <w:left w:val="none" w:sz="0" w:space="0" w:color="auto"/>
                <w:bottom w:val="none" w:sz="0" w:space="0" w:color="auto"/>
                <w:right w:val="none" w:sz="0" w:space="0" w:color="auto"/>
              </w:divBdr>
              <w:divsChild>
                <w:div w:id="1461067210">
                  <w:marLeft w:val="0"/>
                  <w:marRight w:val="0"/>
                  <w:marTop w:val="0"/>
                  <w:marBottom w:val="0"/>
                  <w:divBdr>
                    <w:top w:val="none" w:sz="0" w:space="0" w:color="auto"/>
                    <w:left w:val="none" w:sz="0" w:space="0" w:color="auto"/>
                    <w:bottom w:val="none" w:sz="0" w:space="0" w:color="auto"/>
                    <w:right w:val="none" w:sz="0" w:space="0" w:color="auto"/>
                  </w:divBdr>
                  <w:divsChild>
                    <w:div w:id="533664324">
                      <w:marLeft w:val="0"/>
                      <w:marRight w:val="0"/>
                      <w:marTop w:val="0"/>
                      <w:marBottom w:val="0"/>
                      <w:divBdr>
                        <w:top w:val="none" w:sz="0" w:space="0" w:color="auto"/>
                        <w:left w:val="none" w:sz="0" w:space="0" w:color="auto"/>
                        <w:bottom w:val="none" w:sz="0" w:space="0" w:color="auto"/>
                        <w:right w:val="none" w:sz="0" w:space="0" w:color="auto"/>
                      </w:divBdr>
                      <w:divsChild>
                        <w:div w:id="898977011">
                          <w:marLeft w:val="0"/>
                          <w:marRight w:val="0"/>
                          <w:marTop w:val="0"/>
                          <w:marBottom w:val="0"/>
                          <w:divBdr>
                            <w:top w:val="none" w:sz="0" w:space="0" w:color="auto"/>
                            <w:left w:val="none" w:sz="0" w:space="0" w:color="auto"/>
                            <w:bottom w:val="none" w:sz="0" w:space="0" w:color="auto"/>
                            <w:right w:val="none" w:sz="0" w:space="0" w:color="auto"/>
                          </w:divBdr>
                          <w:divsChild>
                            <w:div w:id="666399737">
                              <w:marLeft w:val="0"/>
                              <w:marRight w:val="0"/>
                              <w:marTop w:val="0"/>
                              <w:marBottom w:val="0"/>
                              <w:divBdr>
                                <w:top w:val="none" w:sz="0" w:space="0" w:color="auto"/>
                                <w:left w:val="none" w:sz="0" w:space="0" w:color="auto"/>
                                <w:bottom w:val="none" w:sz="0" w:space="0" w:color="auto"/>
                                <w:right w:val="none" w:sz="0" w:space="0" w:color="auto"/>
                              </w:divBdr>
                              <w:divsChild>
                                <w:div w:id="156196775">
                                  <w:marLeft w:val="0"/>
                                  <w:marRight w:val="0"/>
                                  <w:marTop w:val="0"/>
                                  <w:marBottom w:val="0"/>
                                  <w:divBdr>
                                    <w:top w:val="none" w:sz="0" w:space="0" w:color="auto"/>
                                    <w:left w:val="none" w:sz="0" w:space="0" w:color="auto"/>
                                    <w:bottom w:val="none" w:sz="0" w:space="0" w:color="auto"/>
                                    <w:right w:val="none" w:sz="0" w:space="0" w:color="auto"/>
                                  </w:divBdr>
                                  <w:divsChild>
                                    <w:div w:id="1791583796">
                                      <w:marLeft w:val="0"/>
                                      <w:marRight w:val="0"/>
                                      <w:marTop w:val="0"/>
                                      <w:marBottom w:val="0"/>
                                      <w:divBdr>
                                        <w:top w:val="none" w:sz="0" w:space="0" w:color="auto"/>
                                        <w:left w:val="none" w:sz="0" w:space="0" w:color="auto"/>
                                        <w:bottom w:val="none" w:sz="0" w:space="0" w:color="auto"/>
                                        <w:right w:val="none" w:sz="0" w:space="0" w:color="auto"/>
                                      </w:divBdr>
                                      <w:divsChild>
                                        <w:div w:id="1171532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30480">
                                  <w:marLeft w:val="0"/>
                                  <w:marRight w:val="0"/>
                                  <w:marTop w:val="0"/>
                                  <w:marBottom w:val="0"/>
                                  <w:divBdr>
                                    <w:top w:val="none" w:sz="0" w:space="0" w:color="auto"/>
                                    <w:left w:val="none" w:sz="0" w:space="0" w:color="auto"/>
                                    <w:bottom w:val="none" w:sz="0" w:space="0" w:color="auto"/>
                                    <w:right w:val="none" w:sz="0" w:space="0" w:color="auto"/>
                                  </w:divBdr>
                                  <w:divsChild>
                                    <w:div w:id="88233779">
                                      <w:marLeft w:val="0"/>
                                      <w:marRight w:val="0"/>
                                      <w:marTop w:val="0"/>
                                      <w:marBottom w:val="0"/>
                                      <w:divBdr>
                                        <w:top w:val="none" w:sz="0" w:space="0" w:color="auto"/>
                                        <w:left w:val="none" w:sz="0" w:space="0" w:color="auto"/>
                                        <w:bottom w:val="none" w:sz="0" w:space="0" w:color="auto"/>
                                        <w:right w:val="none" w:sz="0" w:space="0" w:color="auto"/>
                                      </w:divBdr>
                                      <w:divsChild>
                                        <w:div w:id="1113666490">
                                          <w:marLeft w:val="0"/>
                                          <w:marRight w:val="0"/>
                                          <w:marTop w:val="0"/>
                                          <w:marBottom w:val="0"/>
                                          <w:divBdr>
                                            <w:top w:val="none" w:sz="0" w:space="0" w:color="auto"/>
                                            <w:left w:val="none" w:sz="0" w:space="0" w:color="auto"/>
                                            <w:bottom w:val="none" w:sz="0" w:space="0" w:color="auto"/>
                                            <w:right w:val="none" w:sz="0" w:space="0" w:color="auto"/>
                                          </w:divBdr>
                                          <w:divsChild>
                                            <w:div w:id="284042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37130991">
      <w:bodyDiv w:val="1"/>
      <w:marLeft w:val="0"/>
      <w:marRight w:val="0"/>
      <w:marTop w:val="0"/>
      <w:marBottom w:val="0"/>
      <w:divBdr>
        <w:top w:val="none" w:sz="0" w:space="0" w:color="auto"/>
        <w:left w:val="none" w:sz="0" w:space="0" w:color="auto"/>
        <w:bottom w:val="none" w:sz="0" w:space="0" w:color="auto"/>
        <w:right w:val="none" w:sz="0" w:space="0" w:color="auto"/>
      </w:divBdr>
      <w:divsChild>
        <w:div w:id="501166289">
          <w:marLeft w:val="0"/>
          <w:marRight w:val="0"/>
          <w:marTop w:val="0"/>
          <w:marBottom w:val="0"/>
          <w:divBdr>
            <w:top w:val="none" w:sz="0" w:space="0" w:color="auto"/>
            <w:left w:val="none" w:sz="0" w:space="0" w:color="auto"/>
            <w:bottom w:val="none" w:sz="0" w:space="0" w:color="auto"/>
            <w:right w:val="none" w:sz="0" w:space="0" w:color="auto"/>
          </w:divBdr>
          <w:divsChild>
            <w:div w:id="1884127215">
              <w:marLeft w:val="0"/>
              <w:marRight w:val="0"/>
              <w:marTop w:val="0"/>
              <w:marBottom w:val="0"/>
              <w:divBdr>
                <w:top w:val="none" w:sz="0" w:space="0" w:color="auto"/>
                <w:left w:val="none" w:sz="0" w:space="0" w:color="auto"/>
                <w:bottom w:val="none" w:sz="0" w:space="0" w:color="auto"/>
                <w:right w:val="none" w:sz="0" w:space="0" w:color="auto"/>
              </w:divBdr>
              <w:divsChild>
                <w:div w:id="1133518619">
                  <w:marLeft w:val="0"/>
                  <w:marRight w:val="0"/>
                  <w:marTop w:val="0"/>
                  <w:marBottom w:val="0"/>
                  <w:divBdr>
                    <w:top w:val="none" w:sz="0" w:space="0" w:color="auto"/>
                    <w:left w:val="none" w:sz="0" w:space="0" w:color="auto"/>
                    <w:bottom w:val="none" w:sz="0" w:space="0" w:color="auto"/>
                    <w:right w:val="none" w:sz="0" w:space="0" w:color="auto"/>
                  </w:divBdr>
                  <w:divsChild>
                    <w:div w:id="56009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8390504">
      <w:bodyDiv w:val="1"/>
      <w:marLeft w:val="0"/>
      <w:marRight w:val="0"/>
      <w:marTop w:val="0"/>
      <w:marBottom w:val="0"/>
      <w:divBdr>
        <w:top w:val="none" w:sz="0" w:space="0" w:color="auto"/>
        <w:left w:val="none" w:sz="0" w:space="0" w:color="auto"/>
        <w:bottom w:val="none" w:sz="0" w:space="0" w:color="auto"/>
        <w:right w:val="none" w:sz="0" w:space="0" w:color="auto"/>
      </w:divBdr>
      <w:divsChild>
        <w:div w:id="472137678">
          <w:marLeft w:val="0"/>
          <w:marRight w:val="0"/>
          <w:marTop w:val="0"/>
          <w:marBottom w:val="0"/>
          <w:divBdr>
            <w:top w:val="none" w:sz="0" w:space="0" w:color="auto"/>
            <w:left w:val="none" w:sz="0" w:space="0" w:color="auto"/>
            <w:bottom w:val="none" w:sz="0" w:space="0" w:color="auto"/>
            <w:right w:val="none" w:sz="0" w:space="0" w:color="auto"/>
          </w:divBdr>
          <w:divsChild>
            <w:div w:id="1582518942">
              <w:marLeft w:val="0"/>
              <w:marRight w:val="0"/>
              <w:marTop w:val="0"/>
              <w:marBottom w:val="0"/>
              <w:divBdr>
                <w:top w:val="none" w:sz="0" w:space="0" w:color="auto"/>
                <w:left w:val="none" w:sz="0" w:space="0" w:color="auto"/>
                <w:bottom w:val="none" w:sz="0" w:space="0" w:color="auto"/>
                <w:right w:val="none" w:sz="0" w:space="0" w:color="auto"/>
              </w:divBdr>
              <w:divsChild>
                <w:div w:id="1425882596">
                  <w:marLeft w:val="0"/>
                  <w:marRight w:val="0"/>
                  <w:marTop w:val="0"/>
                  <w:marBottom w:val="0"/>
                  <w:divBdr>
                    <w:top w:val="none" w:sz="0" w:space="0" w:color="auto"/>
                    <w:left w:val="none" w:sz="0" w:space="0" w:color="auto"/>
                    <w:bottom w:val="none" w:sz="0" w:space="0" w:color="auto"/>
                    <w:right w:val="none" w:sz="0" w:space="0" w:color="auto"/>
                  </w:divBdr>
                  <w:divsChild>
                    <w:div w:id="1121219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1633280">
      <w:bodyDiv w:val="1"/>
      <w:marLeft w:val="0"/>
      <w:marRight w:val="0"/>
      <w:marTop w:val="0"/>
      <w:marBottom w:val="0"/>
      <w:divBdr>
        <w:top w:val="none" w:sz="0" w:space="0" w:color="auto"/>
        <w:left w:val="none" w:sz="0" w:space="0" w:color="auto"/>
        <w:bottom w:val="none" w:sz="0" w:space="0" w:color="auto"/>
        <w:right w:val="none" w:sz="0" w:space="0" w:color="auto"/>
      </w:divBdr>
    </w:div>
    <w:div w:id="1410999989">
      <w:bodyDiv w:val="1"/>
      <w:marLeft w:val="0"/>
      <w:marRight w:val="0"/>
      <w:marTop w:val="0"/>
      <w:marBottom w:val="0"/>
      <w:divBdr>
        <w:top w:val="none" w:sz="0" w:space="0" w:color="auto"/>
        <w:left w:val="none" w:sz="0" w:space="0" w:color="auto"/>
        <w:bottom w:val="none" w:sz="0" w:space="0" w:color="auto"/>
        <w:right w:val="none" w:sz="0" w:space="0" w:color="auto"/>
      </w:divBdr>
    </w:div>
    <w:div w:id="1416324838">
      <w:bodyDiv w:val="1"/>
      <w:marLeft w:val="0"/>
      <w:marRight w:val="0"/>
      <w:marTop w:val="0"/>
      <w:marBottom w:val="0"/>
      <w:divBdr>
        <w:top w:val="none" w:sz="0" w:space="0" w:color="auto"/>
        <w:left w:val="none" w:sz="0" w:space="0" w:color="auto"/>
        <w:bottom w:val="none" w:sz="0" w:space="0" w:color="auto"/>
        <w:right w:val="none" w:sz="0" w:space="0" w:color="auto"/>
      </w:divBdr>
    </w:div>
    <w:div w:id="1447506273">
      <w:bodyDiv w:val="1"/>
      <w:marLeft w:val="0"/>
      <w:marRight w:val="0"/>
      <w:marTop w:val="0"/>
      <w:marBottom w:val="0"/>
      <w:divBdr>
        <w:top w:val="none" w:sz="0" w:space="0" w:color="auto"/>
        <w:left w:val="none" w:sz="0" w:space="0" w:color="auto"/>
        <w:bottom w:val="none" w:sz="0" w:space="0" w:color="auto"/>
        <w:right w:val="none" w:sz="0" w:space="0" w:color="auto"/>
      </w:divBdr>
    </w:div>
    <w:div w:id="1466704602">
      <w:bodyDiv w:val="1"/>
      <w:marLeft w:val="0"/>
      <w:marRight w:val="0"/>
      <w:marTop w:val="0"/>
      <w:marBottom w:val="0"/>
      <w:divBdr>
        <w:top w:val="none" w:sz="0" w:space="0" w:color="auto"/>
        <w:left w:val="none" w:sz="0" w:space="0" w:color="auto"/>
        <w:bottom w:val="none" w:sz="0" w:space="0" w:color="auto"/>
        <w:right w:val="none" w:sz="0" w:space="0" w:color="auto"/>
      </w:divBdr>
      <w:divsChild>
        <w:div w:id="116028256">
          <w:marLeft w:val="0"/>
          <w:marRight w:val="0"/>
          <w:marTop w:val="150"/>
          <w:marBottom w:val="300"/>
          <w:divBdr>
            <w:top w:val="single" w:sz="6" w:space="9" w:color="DFE1E2"/>
            <w:left w:val="single" w:sz="6" w:space="9" w:color="DFE1E2"/>
            <w:bottom w:val="single" w:sz="6" w:space="9" w:color="DFE1E2"/>
            <w:right w:val="single" w:sz="6" w:space="9" w:color="DFE1E2"/>
          </w:divBdr>
          <w:divsChild>
            <w:div w:id="1925216234">
              <w:marLeft w:val="0"/>
              <w:marRight w:val="0"/>
              <w:marTop w:val="240"/>
              <w:marBottom w:val="0"/>
              <w:divBdr>
                <w:top w:val="none" w:sz="0" w:space="0" w:color="auto"/>
                <w:left w:val="none" w:sz="0" w:space="0" w:color="auto"/>
                <w:bottom w:val="none" w:sz="0" w:space="0" w:color="auto"/>
                <w:right w:val="none" w:sz="0" w:space="0" w:color="auto"/>
              </w:divBdr>
              <w:divsChild>
                <w:div w:id="1606621042">
                  <w:marLeft w:val="0"/>
                  <w:marRight w:val="0"/>
                  <w:marTop w:val="0"/>
                  <w:marBottom w:val="0"/>
                  <w:divBdr>
                    <w:top w:val="none" w:sz="0" w:space="0" w:color="auto"/>
                    <w:left w:val="none" w:sz="0" w:space="0" w:color="auto"/>
                    <w:bottom w:val="none" w:sz="0" w:space="0" w:color="auto"/>
                    <w:right w:val="none" w:sz="0" w:space="0" w:color="auto"/>
                  </w:divBdr>
                  <w:divsChild>
                    <w:div w:id="733700435">
                      <w:marLeft w:val="0"/>
                      <w:marRight w:val="0"/>
                      <w:marTop w:val="0"/>
                      <w:marBottom w:val="0"/>
                      <w:divBdr>
                        <w:top w:val="none" w:sz="0" w:space="0" w:color="auto"/>
                        <w:left w:val="none" w:sz="0" w:space="0" w:color="auto"/>
                        <w:bottom w:val="none" w:sz="0" w:space="0" w:color="auto"/>
                        <w:right w:val="none" w:sz="0" w:space="0" w:color="auto"/>
                      </w:divBdr>
                      <w:divsChild>
                        <w:div w:id="199737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3638404">
      <w:bodyDiv w:val="1"/>
      <w:marLeft w:val="0"/>
      <w:marRight w:val="0"/>
      <w:marTop w:val="0"/>
      <w:marBottom w:val="0"/>
      <w:divBdr>
        <w:top w:val="none" w:sz="0" w:space="0" w:color="auto"/>
        <w:left w:val="none" w:sz="0" w:space="0" w:color="auto"/>
        <w:bottom w:val="none" w:sz="0" w:space="0" w:color="auto"/>
        <w:right w:val="none" w:sz="0" w:space="0" w:color="auto"/>
      </w:divBdr>
      <w:divsChild>
        <w:div w:id="564605748">
          <w:marLeft w:val="0"/>
          <w:marRight w:val="0"/>
          <w:marTop w:val="0"/>
          <w:marBottom w:val="0"/>
          <w:divBdr>
            <w:top w:val="none" w:sz="0" w:space="0" w:color="auto"/>
            <w:left w:val="none" w:sz="0" w:space="0" w:color="auto"/>
            <w:bottom w:val="none" w:sz="0" w:space="0" w:color="auto"/>
            <w:right w:val="none" w:sz="0" w:space="0" w:color="auto"/>
          </w:divBdr>
          <w:divsChild>
            <w:div w:id="218825882">
              <w:marLeft w:val="0"/>
              <w:marRight w:val="600"/>
              <w:marTop w:val="0"/>
              <w:marBottom w:val="0"/>
              <w:divBdr>
                <w:top w:val="none" w:sz="0" w:space="0" w:color="auto"/>
                <w:left w:val="none" w:sz="0" w:space="0" w:color="auto"/>
                <w:bottom w:val="none" w:sz="0" w:space="0" w:color="auto"/>
                <w:right w:val="none" w:sz="0" w:space="0" w:color="auto"/>
              </w:divBdr>
            </w:div>
          </w:divsChild>
        </w:div>
      </w:divsChild>
    </w:div>
    <w:div w:id="1716347472">
      <w:bodyDiv w:val="1"/>
      <w:marLeft w:val="0"/>
      <w:marRight w:val="0"/>
      <w:marTop w:val="0"/>
      <w:marBottom w:val="0"/>
      <w:divBdr>
        <w:top w:val="none" w:sz="0" w:space="0" w:color="auto"/>
        <w:left w:val="none" w:sz="0" w:space="0" w:color="auto"/>
        <w:bottom w:val="none" w:sz="0" w:space="0" w:color="auto"/>
        <w:right w:val="none" w:sz="0" w:space="0" w:color="auto"/>
      </w:divBdr>
      <w:divsChild>
        <w:div w:id="821703933">
          <w:marLeft w:val="0"/>
          <w:marRight w:val="0"/>
          <w:marTop w:val="0"/>
          <w:marBottom w:val="0"/>
          <w:divBdr>
            <w:top w:val="none" w:sz="0" w:space="0" w:color="auto"/>
            <w:left w:val="none" w:sz="0" w:space="0" w:color="auto"/>
            <w:bottom w:val="none" w:sz="0" w:space="0" w:color="auto"/>
            <w:right w:val="none" w:sz="0" w:space="0" w:color="auto"/>
          </w:divBdr>
          <w:divsChild>
            <w:div w:id="853959408">
              <w:marLeft w:val="0"/>
              <w:marRight w:val="0"/>
              <w:marTop w:val="210"/>
              <w:marBottom w:val="0"/>
              <w:divBdr>
                <w:top w:val="none" w:sz="0" w:space="0" w:color="auto"/>
                <w:left w:val="none" w:sz="0" w:space="0" w:color="auto"/>
                <w:bottom w:val="none" w:sz="0" w:space="0" w:color="auto"/>
                <w:right w:val="none" w:sz="0" w:space="0" w:color="auto"/>
              </w:divBdr>
              <w:divsChild>
                <w:div w:id="2138377285">
                  <w:marLeft w:val="0"/>
                  <w:marRight w:val="0"/>
                  <w:marTop w:val="0"/>
                  <w:marBottom w:val="0"/>
                  <w:divBdr>
                    <w:top w:val="none" w:sz="0" w:space="0" w:color="auto"/>
                    <w:left w:val="none" w:sz="0" w:space="0" w:color="auto"/>
                    <w:bottom w:val="none" w:sz="0" w:space="0" w:color="auto"/>
                    <w:right w:val="none" w:sz="0" w:space="0" w:color="auto"/>
                  </w:divBdr>
                  <w:divsChild>
                    <w:div w:id="323508373">
                      <w:marLeft w:val="0"/>
                      <w:marRight w:val="0"/>
                      <w:marTop w:val="0"/>
                      <w:marBottom w:val="0"/>
                      <w:divBdr>
                        <w:top w:val="none" w:sz="0" w:space="0" w:color="auto"/>
                        <w:left w:val="none" w:sz="0" w:space="0" w:color="auto"/>
                        <w:bottom w:val="none" w:sz="0" w:space="0" w:color="auto"/>
                        <w:right w:val="none" w:sz="0" w:space="0" w:color="auto"/>
                      </w:divBdr>
                      <w:divsChild>
                        <w:div w:id="14967765">
                          <w:marLeft w:val="0"/>
                          <w:marRight w:val="0"/>
                          <w:marTop w:val="0"/>
                          <w:marBottom w:val="0"/>
                          <w:divBdr>
                            <w:top w:val="none" w:sz="0" w:space="0" w:color="auto"/>
                            <w:left w:val="none" w:sz="0" w:space="0" w:color="auto"/>
                            <w:bottom w:val="none" w:sz="0" w:space="0" w:color="auto"/>
                            <w:right w:val="none" w:sz="0" w:space="0" w:color="auto"/>
                          </w:divBdr>
                          <w:divsChild>
                            <w:div w:id="1327633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132444">
      <w:bodyDiv w:val="1"/>
      <w:marLeft w:val="0"/>
      <w:marRight w:val="0"/>
      <w:marTop w:val="0"/>
      <w:marBottom w:val="0"/>
      <w:divBdr>
        <w:top w:val="none" w:sz="0" w:space="0" w:color="auto"/>
        <w:left w:val="none" w:sz="0" w:space="0" w:color="auto"/>
        <w:bottom w:val="none" w:sz="0" w:space="0" w:color="auto"/>
        <w:right w:val="none" w:sz="0" w:space="0" w:color="auto"/>
      </w:divBdr>
      <w:divsChild>
        <w:div w:id="1902137369">
          <w:marLeft w:val="15"/>
          <w:marRight w:val="0"/>
          <w:marTop w:val="645"/>
          <w:marBottom w:val="0"/>
          <w:divBdr>
            <w:top w:val="single" w:sz="2" w:space="6" w:color="999999"/>
            <w:left w:val="single" w:sz="6" w:space="7" w:color="999999"/>
            <w:bottom w:val="single" w:sz="2" w:space="6" w:color="999999"/>
            <w:right w:val="single" w:sz="6" w:space="7" w:color="999999"/>
          </w:divBdr>
          <w:divsChild>
            <w:div w:id="1921985689">
              <w:marLeft w:val="0"/>
              <w:marRight w:val="0"/>
              <w:marTop w:val="0"/>
              <w:marBottom w:val="0"/>
              <w:divBdr>
                <w:top w:val="none" w:sz="0" w:space="0" w:color="auto"/>
                <w:left w:val="none" w:sz="0" w:space="0" w:color="auto"/>
                <w:bottom w:val="none" w:sz="0" w:space="0" w:color="auto"/>
                <w:right w:val="none" w:sz="0" w:space="0" w:color="auto"/>
              </w:divBdr>
              <w:divsChild>
                <w:div w:id="186733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000588">
      <w:bodyDiv w:val="1"/>
      <w:marLeft w:val="0"/>
      <w:marRight w:val="0"/>
      <w:marTop w:val="0"/>
      <w:marBottom w:val="0"/>
      <w:divBdr>
        <w:top w:val="none" w:sz="0" w:space="0" w:color="auto"/>
        <w:left w:val="none" w:sz="0" w:space="0" w:color="auto"/>
        <w:bottom w:val="none" w:sz="0" w:space="0" w:color="auto"/>
        <w:right w:val="none" w:sz="0" w:space="0" w:color="auto"/>
      </w:divBdr>
      <w:divsChild>
        <w:div w:id="186454166">
          <w:marLeft w:val="0"/>
          <w:marRight w:val="0"/>
          <w:marTop w:val="0"/>
          <w:marBottom w:val="0"/>
          <w:divBdr>
            <w:top w:val="none" w:sz="0" w:space="0" w:color="auto"/>
            <w:left w:val="none" w:sz="0" w:space="0" w:color="auto"/>
            <w:bottom w:val="none" w:sz="0" w:space="0" w:color="auto"/>
            <w:right w:val="none" w:sz="0" w:space="0" w:color="auto"/>
          </w:divBdr>
          <w:divsChild>
            <w:div w:id="1441996806">
              <w:marLeft w:val="0"/>
              <w:marRight w:val="0"/>
              <w:marTop w:val="0"/>
              <w:marBottom w:val="0"/>
              <w:divBdr>
                <w:top w:val="none" w:sz="0" w:space="0" w:color="auto"/>
                <w:left w:val="none" w:sz="0" w:space="0" w:color="auto"/>
                <w:bottom w:val="none" w:sz="0" w:space="0" w:color="auto"/>
                <w:right w:val="none" w:sz="0" w:space="0" w:color="auto"/>
              </w:divBdr>
              <w:divsChild>
                <w:div w:id="1501963319">
                  <w:marLeft w:val="0"/>
                  <w:marRight w:val="0"/>
                  <w:marTop w:val="0"/>
                  <w:marBottom w:val="0"/>
                  <w:divBdr>
                    <w:top w:val="none" w:sz="0" w:space="0" w:color="auto"/>
                    <w:left w:val="none" w:sz="0" w:space="0" w:color="auto"/>
                    <w:bottom w:val="none" w:sz="0" w:space="0" w:color="auto"/>
                    <w:right w:val="none" w:sz="0" w:space="0" w:color="auto"/>
                  </w:divBdr>
                  <w:divsChild>
                    <w:div w:id="164208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9009438">
      <w:bodyDiv w:val="1"/>
      <w:marLeft w:val="0"/>
      <w:marRight w:val="0"/>
      <w:marTop w:val="0"/>
      <w:marBottom w:val="0"/>
      <w:divBdr>
        <w:top w:val="none" w:sz="0" w:space="0" w:color="auto"/>
        <w:left w:val="none" w:sz="0" w:space="0" w:color="auto"/>
        <w:bottom w:val="none" w:sz="0" w:space="0" w:color="auto"/>
        <w:right w:val="none" w:sz="0" w:space="0" w:color="auto"/>
      </w:divBdr>
      <w:divsChild>
        <w:div w:id="939685168">
          <w:marLeft w:val="15"/>
          <w:marRight w:val="0"/>
          <w:marTop w:val="645"/>
          <w:marBottom w:val="0"/>
          <w:divBdr>
            <w:top w:val="single" w:sz="2" w:space="6" w:color="999999"/>
            <w:left w:val="single" w:sz="6" w:space="7" w:color="999999"/>
            <w:bottom w:val="single" w:sz="2" w:space="6" w:color="999999"/>
            <w:right w:val="single" w:sz="6" w:space="7" w:color="999999"/>
          </w:divBdr>
          <w:divsChild>
            <w:div w:id="2038266640">
              <w:marLeft w:val="0"/>
              <w:marRight w:val="0"/>
              <w:marTop w:val="0"/>
              <w:marBottom w:val="0"/>
              <w:divBdr>
                <w:top w:val="none" w:sz="0" w:space="0" w:color="auto"/>
                <w:left w:val="none" w:sz="0" w:space="0" w:color="auto"/>
                <w:bottom w:val="none" w:sz="0" w:space="0" w:color="auto"/>
                <w:right w:val="none" w:sz="0" w:space="0" w:color="auto"/>
              </w:divBdr>
              <w:divsChild>
                <w:div w:id="115082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930216">
      <w:bodyDiv w:val="1"/>
      <w:marLeft w:val="0"/>
      <w:marRight w:val="0"/>
      <w:marTop w:val="0"/>
      <w:marBottom w:val="0"/>
      <w:divBdr>
        <w:top w:val="none" w:sz="0" w:space="0" w:color="auto"/>
        <w:left w:val="none" w:sz="0" w:space="0" w:color="auto"/>
        <w:bottom w:val="none" w:sz="0" w:space="0" w:color="auto"/>
        <w:right w:val="none" w:sz="0" w:space="0" w:color="auto"/>
      </w:divBdr>
      <w:divsChild>
        <w:div w:id="702022118">
          <w:marLeft w:val="0"/>
          <w:marRight w:val="0"/>
          <w:marTop w:val="0"/>
          <w:marBottom w:val="0"/>
          <w:divBdr>
            <w:top w:val="none" w:sz="0" w:space="0" w:color="auto"/>
            <w:left w:val="none" w:sz="0" w:space="0" w:color="auto"/>
            <w:bottom w:val="none" w:sz="0" w:space="0" w:color="auto"/>
            <w:right w:val="none" w:sz="0" w:space="0" w:color="auto"/>
          </w:divBdr>
          <w:divsChild>
            <w:div w:id="596250980">
              <w:marLeft w:val="0"/>
              <w:marRight w:val="0"/>
              <w:marTop w:val="0"/>
              <w:marBottom w:val="0"/>
              <w:divBdr>
                <w:top w:val="none" w:sz="0" w:space="0" w:color="auto"/>
                <w:left w:val="none" w:sz="0" w:space="0" w:color="auto"/>
                <w:bottom w:val="none" w:sz="0" w:space="0" w:color="auto"/>
                <w:right w:val="none" w:sz="0" w:space="0" w:color="auto"/>
              </w:divBdr>
              <w:divsChild>
                <w:div w:id="1496726022">
                  <w:marLeft w:val="0"/>
                  <w:marRight w:val="0"/>
                  <w:marTop w:val="0"/>
                  <w:marBottom w:val="0"/>
                  <w:divBdr>
                    <w:top w:val="none" w:sz="0" w:space="0" w:color="auto"/>
                    <w:left w:val="none" w:sz="0" w:space="0" w:color="auto"/>
                    <w:bottom w:val="none" w:sz="0" w:space="0" w:color="auto"/>
                    <w:right w:val="none" w:sz="0" w:space="0" w:color="auto"/>
                  </w:divBdr>
                  <w:divsChild>
                    <w:div w:id="732117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487399">
      <w:bodyDiv w:val="1"/>
      <w:marLeft w:val="0"/>
      <w:marRight w:val="0"/>
      <w:marTop w:val="0"/>
      <w:marBottom w:val="0"/>
      <w:divBdr>
        <w:top w:val="none" w:sz="0" w:space="0" w:color="auto"/>
        <w:left w:val="none" w:sz="0" w:space="0" w:color="auto"/>
        <w:bottom w:val="none" w:sz="0" w:space="0" w:color="auto"/>
        <w:right w:val="none" w:sz="0" w:space="0" w:color="auto"/>
      </w:divBdr>
      <w:divsChild>
        <w:div w:id="1931305146">
          <w:marLeft w:val="0"/>
          <w:marRight w:val="0"/>
          <w:marTop w:val="0"/>
          <w:marBottom w:val="0"/>
          <w:divBdr>
            <w:top w:val="none" w:sz="0" w:space="0" w:color="auto"/>
            <w:left w:val="none" w:sz="0" w:space="0" w:color="auto"/>
            <w:bottom w:val="none" w:sz="0" w:space="0" w:color="auto"/>
            <w:right w:val="none" w:sz="0" w:space="0" w:color="auto"/>
          </w:divBdr>
          <w:divsChild>
            <w:div w:id="515311896">
              <w:marLeft w:val="0"/>
              <w:marRight w:val="0"/>
              <w:marTop w:val="210"/>
              <w:marBottom w:val="0"/>
              <w:divBdr>
                <w:top w:val="none" w:sz="0" w:space="0" w:color="auto"/>
                <w:left w:val="none" w:sz="0" w:space="0" w:color="auto"/>
                <w:bottom w:val="none" w:sz="0" w:space="0" w:color="auto"/>
                <w:right w:val="none" w:sz="0" w:space="0" w:color="auto"/>
              </w:divBdr>
              <w:divsChild>
                <w:div w:id="1125271908">
                  <w:marLeft w:val="0"/>
                  <w:marRight w:val="0"/>
                  <w:marTop w:val="0"/>
                  <w:marBottom w:val="0"/>
                  <w:divBdr>
                    <w:top w:val="none" w:sz="0" w:space="0" w:color="auto"/>
                    <w:left w:val="none" w:sz="0" w:space="0" w:color="auto"/>
                    <w:bottom w:val="none" w:sz="0" w:space="0" w:color="auto"/>
                    <w:right w:val="none" w:sz="0" w:space="0" w:color="auto"/>
                  </w:divBdr>
                  <w:divsChild>
                    <w:div w:id="273288341">
                      <w:marLeft w:val="0"/>
                      <w:marRight w:val="0"/>
                      <w:marTop w:val="0"/>
                      <w:marBottom w:val="0"/>
                      <w:divBdr>
                        <w:top w:val="none" w:sz="0" w:space="0" w:color="auto"/>
                        <w:left w:val="none" w:sz="0" w:space="0" w:color="auto"/>
                        <w:bottom w:val="none" w:sz="0" w:space="0" w:color="auto"/>
                        <w:right w:val="none" w:sz="0" w:space="0" w:color="auto"/>
                      </w:divBdr>
                      <w:divsChild>
                        <w:div w:id="1450246268">
                          <w:marLeft w:val="0"/>
                          <w:marRight w:val="0"/>
                          <w:marTop w:val="0"/>
                          <w:marBottom w:val="0"/>
                          <w:divBdr>
                            <w:top w:val="none" w:sz="0" w:space="0" w:color="auto"/>
                            <w:left w:val="none" w:sz="0" w:space="0" w:color="auto"/>
                            <w:bottom w:val="none" w:sz="0" w:space="0" w:color="auto"/>
                            <w:right w:val="none" w:sz="0" w:space="0" w:color="auto"/>
                          </w:divBdr>
                          <w:divsChild>
                            <w:div w:id="1055395376">
                              <w:marLeft w:val="0"/>
                              <w:marRight w:val="0"/>
                              <w:marTop w:val="0"/>
                              <w:marBottom w:val="0"/>
                              <w:divBdr>
                                <w:top w:val="none" w:sz="0" w:space="0" w:color="auto"/>
                                <w:left w:val="none" w:sz="0" w:space="0" w:color="auto"/>
                                <w:bottom w:val="none" w:sz="0" w:space="0" w:color="auto"/>
                                <w:right w:val="none" w:sz="0" w:space="0" w:color="auto"/>
                              </w:divBdr>
                              <w:divsChild>
                                <w:div w:id="1452746016">
                                  <w:marLeft w:val="0"/>
                                  <w:marRight w:val="0"/>
                                  <w:marTop w:val="0"/>
                                  <w:marBottom w:val="0"/>
                                  <w:divBdr>
                                    <w:top w:val="dotted" w:sz="6" w:space="12" w:color="CCCCCC"/>
                                    <w:left w:val="none" w:sz="0" w:space="0" w:color="auto"/>
                                    <w:bottom w:val="none" w:sz="0" w:space="0" w:color="auto"/>
                                    <w:right w:val="none" w:sz="0" w:space="0" w:color="auto"/>
                                  </w:divBdr>
                                  <w:divsChild>
                                    <w:div w:id="633873413">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89101056">
      <w:bodyDiv w:val="1"/>
      <w:marLeft w:val="0"/>
      <w:marRight w:val="0"/>
      <w:marTop w:val="0"/>
      <w:marBottom w:val="0"/>
      <w:divBdr>
        <w:top w:val="none" w:sz="0" w:space="0" w:color="auto"/>
        <w:left w:val="none" w:sz="0" w:space="0" w:color="auto"/>
        <w:bottom w:val="none" w:sz="0" w:space="0" w:color="auto"/>
        <w:right w:val="none" w:sz="0" w:space="0" w:color="auto"/>
      </w:divBdr>
    </w:div>
    <w:div w:id="1913541364">
      <w:bodyDiv w:val="1"/>
      <w:marLeft w:val="0"/>
      <w:marRight w:val="0"/>
      <w:marTop w:val="0"/>
      <w:marBottom w:val="0"/>
      <w:divBdr>
        <w:top w:val="none" w:sz="0" w:space="0" w:color="auto"/>
        <w:left w:val="none" w:sz="0" w:space="0" w:color="auto"/>
        <w:bottom w:val="none" w:sz="0" w:space="0" w:color="auto"/>
        <w:right w:val="none" w:sz="0" w:space="0" w:color="auto"/>
      </w:divBdr>
      <w:divsChild>
        <w:div w:id="1359812399">
          <w:marLeft w:val="0"/>
          <w:marRight w:val="0"/>
          <w:marTop w:val="0"/>
          <w:marBottom w:val="0"/>
          <w:divBdr>
            <w:top w:val="none" w:sz="0" w:space="0" w:color="auto"/>
            <w:left w:val="none" w:sz="0" w:space="0" w:color="auto"/>
            <w:bottom w:val="none" w:sz="0" w:space="0" w:color="auto"/>
            <w:right w:val="none" w:sz="0" w:space="0" w:color="auto"/>
          </w:divBdr>
          <w:divsChild>
            <w:div w:id="1003626554">
              <w:marLeft w:val="0"/>
              <w:marRight w:val="0"/>
              <w:marTop w:val="0"/>
              <w:marBottom w:val="0"/>
              <w:divBdr>
                <w:top w:val="none" w:sz="0" w:space="0" w:color="auto"/>
                <w:left w:val="none" w:sz="0" w:space="0" w:color="auto"/>
                <w:bottom w:val="none" w:sz="0" w:space="0" w:color="auto"/>
                <w:right w:val="none" w:sz="0" w:space="0" w:color="auto"/>
              </w:divBdr>
              <w:divsChild>
                <w:div w:id="277177429">
                  <w:marLeft w:val="0"/>
                  <w:marRight w:val="0"/>
                  <w:marTop w:val="0"/>
                  <w:marBottom w:val="0"/>
                  <w:divBdr>
                    <w:top w:val="none" w:sz="0" w:space="0" w:color="auto"/>
                    <w:left w:val="none" w:sz="0" w:space="0" w:color="auto"/>
                    <w:bottom w:val="none" w:sz="0" w:space="0" w:color="auto"/>
                    <w:right w:val="none" w:sz="0" w:space="0" w:color="auto"/>
                  </w:divBdr>
                  <w:divsChild>
                    <w:div w:id="691341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830320">
      <w:bodyDiv w:val="1"/>
      <w:marLeft w:val="0"/>
      <w:marRight w:val="0"/>
      <w:marTop w:val="0"/>
      <w:marBottom w:val="0"/>
      <w:divBdr>
        <w:top w:val="none" w:sz="0" w:space="0" w:color="auto"/>
        <w:left w:val="none" w:sz="0" w:space="0" w:color="auto"/>
        <w:bottom w:val="none" w:sz="0" w:space="0" w:color="auto"/>
        <w:right w:val="none" w:sz="0" w:space="0" w:color="auto"/>
      </w:divBdr>
    </w:div>
    <w:div w:id="2030255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ustraliandiabetescouncil.com/events/beat-it" TargetMode="External"/><Relationship Id="rId18" Type="http://schemas.openxmlformats.org/officeDocument/2006/relationships/hyperlink" Target="http://www.racgp.org.au/your-practice/guidelines/diabetes/8-managing-glycaemia/83-glucose-lowering-agents/"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www.heartfoundation.org.au/active-living/walking/Pages/welcome.aspx" TargetMode="External"/><Relationship Id="rId17" Type="http://schemas.openxmlformats.org/officeDocument/2006/relationships/hyperlink" Target="http://heartmoves.heartfoundation.org.au/" TargetMode="External"/><Relationship Id="rId25" Type="http://schemas.openxmlformats.org/officeDocument/2006/relationships/header" Target="header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ssa.org.au/for-gps/heal-program/" TargetMode="External"/><Relationship Id="rId20" Type="http://schemas.openxmlformats.org/officeDocument/2006/relationships/image" Target="media/image3.png"/><Relationship Id="rId29"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rokefoundation.com.au/know-your-numbers/" TargetMode="External"/><Relationship Id="rId24" Type="http://schemas.openxmlformats.org/officeDocument/2006/relationships/chart" Target="charts/chart3.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www.austcycle.com.au/" TargetMode="External"/><Relationship Id="rId23" Type="http://schemas.openxmlformats.org/officeDocument/2006/relationships/chart" Target="charts/chart2.xml"/><Relationship Id="rId28" Type="http://schemas.openxmlformats.org/officeDocument/2006/relationships/image" Target="media/image6.jpg"/><Relationship Id="rId10" Type="http://schemas.openxmlformats.org/officeDocument/2006/relationships/image" Target="media/image2.jpg"/><Relationship Id="rId19" Type="http://schemas.openxmlformats.org/officeDocument/2006/relationships/hyperlink" Target="http://care.diabetesjournals.org/content/37/Supplement_1/S14/F2.expansion.html" TargetMode="External"/><Relationship Id="rId31" Type="http://schemas.openxmlformats.org/officeDocument/2006/relationships/image" Target="media/image9.jpg"/><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hyperlink" Target="http://www.liftforlife.com.au/" TargetMode="External"/><Relationship Id="rId22" Type="http://schemas.openxmlformats.org/officeDocument/2006/relationships/chart" Target="charts/chart1.xml"/><Relationship Id="rId27" Type="http://schemas.openxmlformats.org/officeDocument/2006/relationships/image" Target="media/image5.jpeg"/><Relationship Id="rId30" Type="http://schemas.openxmlformats.org/officeDocument/2006/relationships/image" Target="media/image8.jpg"/></Relationships>
</file>

<file path=word/charts/_rels/chart1.xml.rels><?xml version="1.0" encoding="UTF-8" standalone="yes"?>
<Relationships xmlns="http://schemas.openxmlformats.org/package/2006/relationships"><Relationship Id="rId1" Type="http://schemas.openxmlformats.org/officeDocument/2006/relationships/oleObject" Target="file:///\\central.health\dfsuserenv\Users\User_11\willis\Desktop\Diabetes%20graphs%202000-2014%20-%20without%20private.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entral.health\dfsuserenv\Users\User_11\willis\Desktop\Diabetes%20graphs%202000-2014%20-%20without%20private.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entral.health\dfsuserenv\Users\User_11\willis\Desktop\Diabetes%20graphs%202000-2014%20-%20without%20private.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[Diabetes graphs 2000-2014 - without private.xlsx]Pivot all!PivotTable4</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s>
    <c:plotArea>
      <c:layout/>
      <c:lineChart>
        <c:grouping val="standard"/>
        <c:varyColors val="0"/>
        <c:ser>
          <c:idx val="0"/>
          <c:order val="0"/>
          <c:tx>
            <c:strRef>
              <c:f>'Pivot all'!$B$3:$B$4</c:f>
              <c:strCache>
                <c:ptCount val="1"/>
                <c:pt idx="0">
                  <c:v>Acarbose</c:v>
                </c:pt>
              </c:strCache>
            </c:strRef>
          </c:tx>
          <c:marker>
            <c:symbol val="none"/>
          </c:marker>
          <c:cat>
            <c:strRef>
              <c:f>'Pivot all'!$A$5:$A$177</c:f>
              <c:strCache>
                <c:ptCount val="172"/>
                <c:pt idx="0">
                  <c:v>Jan-00</c:v>
                </c:pt>
                <c:pt idx="1">
                  <c:v>Feb-00</c:v>
                </c:pt>
                <c:pt idx="2">
                  <c:v>Mar-00</c:v>
                </c:pt>
                <c:pt idx="3">
                  <c:v>Apr-00</c:v>
                </c:pt>
                <c:pt idx="4">
                  <c:v>May-00</c:v>
                </c:pt>
                <c:pt idx="5">
                  <c:v>Jun-00</c:v>
                </c:pt>
                <c:pt idx="6">
                  <c:v>Jul-00</c:v>
                </c:pt>
                <c:pt idx="7">
                  <c:v>Aug-00</c:v>
                </c:pt>
                <c:pt idx="8">
                  <c:v>Sep-00</c:v>
                </c:pt>
                <c:pt idx="9">
                  <c:v>Oct-00</c:v>
                </c:pt>
                <c:pt idx="10">
                  <c:v>Nov-00</c:v>
                </c:pt>
                <c:pt idx="11">
                  <c:v>Dec-00</c:v>
                </c:pt>
                <c:pt idx="12">
                  <c:v>Jan-01</c:v>
                </c:pt>
                <c:pt idx="13">
                  <c:v>Feb-01</c:v>
                </c:pt>
                <c:pt idx="14">
                  <c:v>Mar-01</c:v>
                </c:pt>
                <c:pt idx="15">
                  <c:v>Apr-01</c:v>
                </c:pt>
                <c:pt idx="16">
                  <c:v>May-01</c:v>
                </c:pt>
                <c:pt idx="17">
                  <c:v>Jun-01</c:v>
                </c:pt>
                <c:pt idx="18">
                  <c:v>Jul-01</c:v>
                </c:pt>
                <c:pt idx="19">
                  <c:v>Aug-01</c:v>
                </c:pt>
                <c:pt idx="20">
                  <c:v>Sep-01</c:v>
                </c:pt>
                <c:pt idx="21">
                  <c:v>Oct-01</c:v>
                </c:pt>
                <c:pt idx="22">
                  <c:v>Nov-01</c:v>
                </c:pt>
                <c:pt idx="23">
                  <c:v>Dec-01</c:v>
                </c:pt>
                <c:pt idx="24">
                  <c:v>Jan-02</c:v>
                </c:pt>
                <c:pt idx="25">
                  <c:v>Feb-02</c:v>
                </c:pt>
                <c:pt idx="26">
                  <c:v>Mar-02</c:v>
                </c:pt>
                <c:pt idx="27">
                  <c:v>Apr-02</c:v>
                </c:pt>
                <c:pt idx="28">
                  <c:v>May-02</c:v>
                </c:pt>
                <c:pt idx="29">
                  <c:v>Jun-02</c:v>
                </c:pt>
                <c:pt idx="30">
                  <c:v>Jul-02</c:v>
                </c:pt>
                <c:pt idx="31">
                  <c:v>Aug-02</c:v>
                </c:pt>
                <c:pt idx="32">
                  <c:v>Sep-02</c:v>
                </c:pt>
                <c:pt idx="33">
                  <c:v>Oct-02</c:v>
                </c:pt>
                <c:pt idx="34">
                  <c:v>Nov-02</c:v>
                </c:pt>
                <c:pt idx="35">
                  <c:v>Dec-02</c:v>
                </c:pt>
                <c:pt idx="36">
                  <c:v>Jan-03</c:v>
                </c:pt>
                <c:pt idx="37">
                  <c:v>Feb-03</c:v>
                </c:pt>
                <c:pt idx="38">
                  <c:v>Mar-03</c:v>
                </c:pt>
                <c:pt idx="39">
                  <c:v>Apr-03</c:v>
                </c:pt>
                <c:pt idx="40">
                  <c:v>May-03</c:v>
                </c:pt>
                <c:pt idx="41">
                  <c:v>Jun-03</c:v>
                </c:pt>
                <c:pt idx="42">
                  <c:v>Jul-03</c:v>
                </c:pt>
                <c:pt idx="43">
                  <c:v>Aug-03</c:v>
                </c:pt>
                <c:pt idx="44">
                  <c:v>Sep-03</c:v>
                </c:pt>
                <c:pt idx="45">
                  <c:v>Oct-03</c:v>
                </c:pt>
                <c:pt idx="46">
                  <c:v>Nov-03</c:v>
                </c:pt>
                <c:pt idx="47">
                  <c:v>Dec-03</c:v>
                </c:pt>
                <c:pt idx="48">
                  <c:v>Jan-04</c:v>
                </c:pt>
                <c:pt idx="49">
                  <c:v>Feb-04</c:v>
                </c:pt>
                <c:pt idx="50">
                  <c:v>Mar-04</c:v>
                </c:pt>
                <c:pt idx="51">
                  <c:v>Apr-04</c:v>
                </c:pt>
                <c:pt idx="52">
                  <c:v>May-04</c:v>
                </c:pt>
                <c:pt idx="53">
                  <c:v>Jun-04</c:v>
                </c:pt>
                <c:pt idx="54">
                  <c:v>Jul-04</c:v>
                </c:pt>
                <c:pt idx="55">
                  <c:v>Aug-04</c:v>
                </c:pt>
                <c:pt idx="56">
                  <c:v>Sep-04</c:v>
                </c:pt>
                <c:pt idx="57">
                  <c:v>Oct-04</c:v>
                </c:pt>
                <c:pt idx="58">
                  <c:v>Nov-04</c:v>
                </c:pt>
                <c:pt idx="59">
                  <c:v>Dec-04</c:v>
                </c:pt>
                <c:pt idx="60">
                  <c:v>Jan-05</c:v>
                </c:pt>
                <c:pt idx="61">
                  <c:v>Feb-05</c:v>
                </c:pt>
                <c:pt idx="62">
                  <c:v>Mar-05</c:v>
                </c:pt>
                <c:pt idx="63">
                  <c:v>Apr-05</c:v>
                </c:pt>
                <c:pt idx="64">
                  <c:v>May-05</c:v>
                </c:pt>
                <c:pt idx="65">
                  <c:v>Jun-05</c:v>
                </c:pt>
                <c:pt idx="66">
                  <c:v>Jul-05</c:v>
                </c:pt>
                <c:pt idx="67">
                  <c:v>Aug-05</c:v>
                </c:pt>
                <c:pt idx="68">
                  <c:v>Sep-05</c:v>
                </c:pt>
                <c:pt idx="69">
                  <c:v>Oct-05</c:v>
                </c:pt>
                <c:pt idx="70">
                  <c:v>Nov-05</c:v>
                </c:pt>
                <c:pt idx="71">
                  <c:v>Dec-05</c:v>
                </c:pt>
                <c:pt idx="72">
                  <c:v>Jan-06</c:v>
                </c:pt>
                <c:pt idx="73">
                  <c:v>Feb-06</c:v>
                </c:pt>
                <c:pt idx="74">
                  <c:v>Mar-06</c:v>
                </c:pt>
                <c:pt idx="75">
                  <c:v>Apr-06</c:v>
                </c:pt>
                <c:pt idx="76">
                  <c:v>May-06</c:v>
                </c:pt>
                <c:pt idx="77">
                  <c:v>Jun-06</c:v>
                </c:pt>
                <c:pt idx="78">
                  <c:v>Jul-06</c:v>
                </c:pt>
                <c:pt idx="79">
                  <c:v>Aug-06</c:v>
                </c:pt>
                <c:pt idx="80">
                  <c:v>Sep-06</c:v>
                </c:pt>
                <c:pt idx="81">
                  <c:v>Oct-06</c:v>
                </c:pt>
                <c:pt idx="82">
                  <c:v>Nov-06</c:v>
                </c:pt>
                <c:pt idx="83">
                  <c:v>Dec-06</c:v>
                </c:pt>
                <c:pt idx="84">
                  <c:v>Jan-07</c:v>
                </c:pt>
                <c:pt idx="85">
                  <c:v>Feb-07</c:v>
                </c:pt>
                <c:pt idx="86">
                  <c:v>Mar-07</c:v>
                </c:pt>
                <c:pt idx="87">
                  <c:v>Apr-07</c:v>
                </c:pt>
                <c:pt idx="88">
                  <c:v>May-07</c:v>
                </c:pt>
                <c:pt idx="89">
                  <c:v>Jun-07</c:v>
                </c:pt>
                <c:pt idx="90">
                  <c:v>Jul-07</c:v>
                </c:pt>
                <c:pt idx="91">
                  <c:v>Aug-07</c:v>
                </c:pt>
                <c:pt idx="92">
                  <c:v>Sep-07</c:v>
                </c:pt>
                <c:pt idx="93">
                  <c:v>Oct-07</c:v>
                </c:pt>
                <c:pt idx="94">
                  <c:v>Nov-07</c:v>
                </c:pt>
                <c:pt idx="95">
                  <c:v>Dec-07</c:v>
                </c:pt>
                <c:pt idx="96">
                  <c:v>Jan-08</c:v>
                </c:pt>
                <c:pt idx="97">
                  <c:v>Feb-08</c:v>
                </c:pt>
                <c:pt idx="98">
                  <c:v>Mar-08</c:v>
                </c:pt>
                <c:pt idx="99">
                  <c:v>Apr-08</c:v>
                </c:pt>
                <c:pt idx="100">
                  <c:v>May-08</c:v>
                </c:pt>
                <c:pt idx="101">
                  <c:v>Jun-08</c:v>
                </c:pt>
                <c:pt idx="102">
                  <c:v>Jul-08</c:v>
                </c:pt>
                <c:pt idx="103">
                  <c:v>Aug-08</c:v>
                </c:pt>
                <c:pt idx="104">
                  <c:v>Sep-08</c:v>
                </c:pt>
                <c:pt idx="105">
                  <c:v>Oct-08</c:v>
                </c:pt>
                <c:pt idx="106">
                  <c:v>Nov-08</c:v>
                </c:pt>
                <c:pt idx="107">
                  <c:v>Dec-08</c:v>
                </c:pt>
                <c:pt idx="108">
                  <c:v>Jan-09</c:v>
                </c:pt>
                <c:pt idx="109">
                  <c:v>Feb-09</c:v>
                </c:pt>
                <c:pt idx="110">
                  <c:v>Mar-09</c:v>
                </c:pt>
                <c:pt idx="111">
                  <c:v>Apr-09</c:v>
                </c:pt>
                <c:pt idx="112">
                  <c:v>May-09</c:v>
                </c:pt>
                <c:pt idx="113">
                  <c:v>Jun-09</c:v>
                </c:pt>
                <c:pt idx="114">
                  <c:v>Jul-09</c:v>
                </c:pt>
                <c:pt idx="115">
                  <c:v>Aug-09</c:v>
                </c:pt>
                <c:pt idx="116">
                  <c:v>Sep-09</c:v>
                </c:pt>
                <c:pt idx="117">
                  <c:v>Oct-09</c:v>
                </c:pt>
                <c:pt idx="118">
                  <c:v>Nov-09</c:v>
                </c:pt>
                <c:pt idx="119">
                  <c:v>Dec-09</c:v>
                </c:pt>
                <c:pt idx="120">
                  <c:v>Jan-10</c:v>
                </c:pt>
                <c:pt idx="121">
                  <c:v>Feb-10</c:v>
                </c:pt>
                <c:pt idx="122">
                  <c:v>Mar-10</c:v>
                </c:pt>
                <c:pt idx="123">
                  <c:v>Apr-10</c:v>
                </c:pt>
                <c:pt idx="124">
                  <c:v>May-10</c:v>
                </c:pt>
                <c:pt idx="125">
                  <c:v>Jun-10</c:v>
                </c:pt>
                <c:pt idx="126">
                  <c:v>Jul-10</c:v>
                </c:pt>
                <c:pt idx="127">
                  <c:v>Aug-10</c:v>
                </c:pt>
                <c:pt idx="128">
                  <c:v>Sep-10</c:v>
                </c:pt>
                <c:pt idx="129">
                  <c:v>Oct-10</c:v>
                </c:pt>
                <c:pt idx="130">
                  <c:v>Nov-10</c:v>
                </c:pt>
                <c:pt idx="131">
                  <c:v>Dec-10</c:v>
                </c:pt>
                <c:pt idx="132">
                  <c:v>Jan-11</c:v>
                </c:pt>
                <c:pt idx="133">
                  <c:v>Feb-11</c:v>
                </c:pt>
                <c:pt idx="134">
                  <c:v>Mar-11</c:v>
                </c:pt>
                <c:pt idx="135">
                  <c:v>Apr-11</c:v>
                </c:pt>
                <c:pt idx="136">
                  <c:v>May-11</c:v>
                </c:pt>
                <c:pt idx="137">
                  <c:v>Jun-11</c:v>
                </c:pt>
                <c:pt idx="138">
                  <c:v>Jul-11</c:v>
                </c:pt>
                <c:pt idx="139">
                  <c:v>Aug-11</c:v>
                </c:pt>
                <c:pt idx="140">
                  <c:v>Sep-11</c:v>
                </c:pt>
                <c:pt idx="141">
                  <c:v>Oct-11</c:v>
                </c:pt>
                <c:pt idx="142">
                  <c:v>Nov-11</c:v>
                </c:pt>
                <c:pt idx="143">
                  <c:v>Dec-11</c:v>
                </c:pt>
                <c:pt idx="144">
                  <c:v>Jan-12</c:v>
                </c:pt>
                <c:pt idx="145">
                  <c:v>Feb-12</c:v>
                </c:pt>
                <c:pt idx="146">
                  <c:v>Mar-12</c:v>
                </c:pt>
                <c:pt idx="147">
                  <c:v>Apr-12</c:v>
                </c:pt>
                <c:pt idx="148">
                  <c:v>May-12</c:v>
                </c:pt>
                <c:pt idx="149">
                  <c:v>Jun-12</c:v>
                </c:pt>
                <c:pt idx="150">
                  <c:v>Jul-12</c:v>
                </c:pt>
                <c:pt idx="151">
                  <c:v>Aug-12</c:v>
                </c:pt>
                <c:pt idx="152">
                  <c:v>Sep-12</c:v>
                </c:pt>
                <c:pt idx="153">
                  <c:v>Oct-12</c:v>
                </c:pt>
                <c:pt idx="154">
                  <c:v>Nov-12</c:v>
                </c:pt>
                <c:pt idx="155">
                  <c:v>Dec-12</c:v>
                </c:pt>
                <c:pt idx="156">
                  <c:v>Jan-13</c:v>
                </c:pt>
                <c:pt idx="157">
                  <c:v>Feb-13</c:v>
                </c:pt>
                <c:pt idx="158">
                  <c:v>Mar-13</c:v>
                </c:pt>
                <c:pt idx="159">
                  <c:v>Apr-13</c:v>
                </c:pt>
                <c:pt idx="160">
                  <c:v>May-13</c:v>
                </c:pt>
                <c:pt idx="161">
                  <c:v>Jun-13</c:v>
                </c:pt>
                <c:pt idx="162">
                  <c:v>Jul-13</c:v>
                </c:pt>
                <c:pt idx="163">
                  <c:v>Aug-13</c:v>
                </c:pt>
                <c:pt idx="164">
                  <c:v>Sep-13</c:v>
                </c:pt>
                <c:pt idx="165">
                  <c:v>Oct-13</c:v>
                </c:pt>
                <c:pt idx="166">
                  <c:v>Nov-13</c:v>
                </c:pt>
                <c:pt idx="167">
                  <c:v>Dec-13</c:v>
                </c:pt>
                <c:pt idx="168">
                  <c:v>Jan-14</c:v>
                </c:pt>
                <c:pt idx="169">
                  <c:v>Feb-14</c:v>
                </c:pt>
                <c:pt idx="170">
                  <c:v>Mar-14</c:v>
                </c:pt>
                <c:pt idx="171">
                  <c:v>Apr-14</c:v>
                </c:pt>
              </c:strCache>
            </c:strRef>
          </c:cat>
          <c:val>
            <c:numRef>
              <c:f>'Pivot all'!$B$5:$B$177</c:f>
              <c:numCache>
                <c:formatCode>#,##0</c:formatCode>
                <c:ptCount val="172"/>
                <c:pt idx="0">
                  <c:v>4675</c:v>
                </c:pt>
                <c:pt idx="1">
                  <c:v>5902</c:v>
                </c:pt>
                <c:pt idx="2">
                  <c:v>7019</c:v>
                </c:pt>
                <c:pt idx="3">
                  <c:v>6400</c:v>
                </c:pt>
                <c:pt idx="4">
                  <c:v>7319</c:v>
                </c:pt>
                <c:pt idx="5">
                  <c:v>7188</c:v>
                </c:pt>
                <c:pt idx="6">
                  <c:v>7099</c:v>
                </c:pt>
                <c:pt idx="7">
                  <c:v>7519</c:v>
                </c:pt>
                <c:pt idx="8">
                  <c:v>7227</c:v>
                </c:pt>
                <c:pt idx="9">
                  <c:v>7494</c:v>
                </c:pt>
                <c:pt idx="10">
                  <c:v>7875</c:v>
                </c:pt>
                <c:pt idx="11">
                  <c:v>9484</c:v>
                </c:pt>
                <c:pt idx="12">
                  <c:v>5147</c:v>
                </c:pt>
                <c:pt idx="13">
                  <c:v>6117</c:v>
                </c:pt>
                <c:pt idx="14">
                  <c:v>7109</c:v>
                </c:pt>
                <c:pt idx="15">
                  <c:v>6653</c:v>
                </c:pt>
                <c:pt idx="16">
                  <c:v>7446</c:v>
                </c:pt>
                <c:pt idx="17">
                  <c:v>6882</c:v>
                </c:pt>
                <c:pt idx="18">
                  <c:v>7008</c:v>
                </c:pt>
                <c:pt idx="19">
                  <c:v>7344</c:v>
                </c:pt>
                <c:pt idx="20">
                  <c:v>6781</c:v>
                </c:pt>
                <c:pt idx="21">
                  <c:v>7348</c:v>
                </c:pt>
                <c:pt idx="22">
                  <c:v>7572</c:v>
                </c:pt>
                <c:pt idx="23">
                  <c:v>9007</c:v>
                </c:pt>
                <c:pt idx="24">
                  <c:v>4904</c:v>
                </c:pt>
                <c:pt idx="25">
                  <c:v>5575</c:v>
                </c:pt>
                <c:pt idx="26">
                  <c:v>6342</c:v>
                </c:pt>
                <c:pt idx="27">
                  <c:v>6384</c:v>
                </c:pt>
                <c:pt idx="28">
                  <c:v>7127</c:v>
                </c:pt>
                <c:pt idx="29">
                  <c:v>6315</c:v>
                </c:pt>
                <c:pt idx="30">
                  <c:v>6737</c:v>
                </c:pt>
                <c:pt idx="31">
                  <c:v>6738</c:v>
                </c:pt>
                <c:pt idx="32">
                  <c:v>6388</c:v>
                </c:pt>
                <c:pt idx="33">
                  <c:v>6937</c:v>
                </c:pt>
                <c:pt idx="34">
                  <c:v>6902</c:v>
                </c:pt>
                <c:pt idx="35">
                  <c:v>8640</c:v>
                </c:pt>
                <c:pt idx="36">
                  <c:v>4592</c:v>
                </c:pt>
                <c:pt idx="37">
                  <c:v>5225</c:v>
                </c:pt>
                <c:pt idx="38">
                  <c:v>5924</c:v>
                </c:pt>
                <c:pt idx="39">
                  <c:v>5999</c:v>
                </c:pt>
                <c:pt idx="40">
                  <c:v>6641</c:v>
                </c:pt>
                <c:pt idx="41">
                  <c:v>6188</c:v>
                </c:pt>
                <c:pt idx="42">
                  <c:v>6778</c:v>
                </c:pt>
                <c:pt idx="43">
                  <c:v>6506</c:v>
                </c:pt>
                <c:pt idx="44">
                  <c:v>6515</c:v>
                </c:pt>
                <c:pt idx="45">
                  <c:v>6977</c:v>
                </c:pt>
                <c:pt idx="46">
                  <c:v>6652</c:v>
                </c:pt>
                <c:pt idx="47">
                  <c:v>8635</c:v>
                </c:pt>
                <c:pt idx="48">
                  <c:v>4330</c:v>
                </c:pt>
                <c:pt idx="49">
                  <c:v>5067</c:v>
                </c:pt>
                <c:pt idx="50">
                  <c:v>5858</c:v>
                </c:pt>
                <c:pt idx="51">
                  <c:v>5834</c:v>
                </c:pt>
                <c:pt idx="52">
                  <c:v>5910</c:v>
                </c:pt>
                <c:pt idx="53">
                  <c:v>5775</c:v>
                </c:pt>
                <c:pt idx="54">
                  <c:v>6114</c:v>
                </c:pt>
                <c:pt idx="55">
                  <c:v>5936</c:v>
                </c:pt>
                <c:pt idx="56">
                  <c:v>5813</c:v>
                </c:pt>
                <c:pt idx="57">
                  <c:v>5927</c:v>
                </c:pt>
                <c:pt idx="58">
                  <c:v>6193</c:v>
                </c:pt>
                <c:pt idx="59">
                  <c:v>7858</c:v>
                </c:pt>
                <c:pt idx="60">
                  <c:v>3686</c:v>
                </c:pt>
                <c:pt idx="61">
                  <c:v>4623</c:v>
                </c:pt>
                <c:pt idx="62">
                  <c:v>5181</c:v>
                </c:pt>
                <c:pt idx="63">
                  <c:v>5114</c:v>
                </c:pt>
                <c:pt idx="64">
                  <c:v>5348</c:v>
                </c:pt>
                <c:pt idx="65">
                  <c:v>5344</c:v>
                </c:pt>
                <c:pt idx="66">
                  <c:v>5276</c:v>
                </c:pt>
                <c:pt idx="67">
                  <c:v>5539</c:v>
                </c:pt>
                <c:pt idx="68">
                  <c:v>5463</c:v>
                </c:pt>
                <c:pt idx="69">
                  <c:v>5444</c:v>
                </c:pt>
                <c:pt idx="70">
                  <c:v>5698</c:v>
                </c:pt>
                <c:pt idx="71">
                  <c:v>7286</c:v>
                </c:pt>
                <c:pt idx="72">
                  <c:v>3235</c:v>
                </c:pt>
                <c:pt idx="73">
                  <c:v>3939</c:v>
                </c:pt>
                <c:pt idx="74">
                  <c:v>4872</c:v>
                </c:pt>
                <c:pt idx="75">
                  <c:v>4697</c:v>
                </c:pt>
                <c:pt idx="76">
                  <c:v>5087</c:v>
                </c:pt>
                <c:pt idx="77">
                  <c:v>5049</c:v>
                </c:pt>
                <c:pt idx="78">
                  <c:v>4842</c:v>
                </c:pt>
                <c:pt idx="79">
                  <c:v>5221</c:v>
                </c:pt>
                <c:pt idx="80">
                  <c:v>5053</c:v>
                </c:pt>
                <c:pt idx="81">
                  <c:v>5342</c:v>
                </c:pt>
                <c:pt idx="82">
                  <c:v>5485</c:v>
                </c:pt>
                <c:pt idx="83">
                  <c:v>6546</c:v>
                </c:pt>
                <c:pt idx="84">
                  <c:v>3466</c:v>
                </c:pt>
                <c:pt idx="85">
                  <c:v>3683</c:v>
                </c:pt>
                <c:pt idx="86">
                  <c:v>4442</c:v>
                </c:pt>
                <c:pt idx="87">
                  <c:v>4275</c:v>
                </c:pt>
                <c:pt idx="88">
                  <c:v>4701</c:v>
                </c:pt>
                <c:pt idx="89">
                  <c:v>4531</c:v>
                </c:pt>
                <c:pt idx="90">
                  <c:v>4732</c:v>
                </c:pt>
                <c:pt idx="91">
                  <c:v>4910</c:v>
                </c:pt>
                <c:pt idx="92">
                  <c:v>4757</c:v>
                </c:pt>
                <c:pt idx="93">
                  <c:v>5174</c:v>
                </c:pt>
                <c:pt idx="94">
                  <c:v>5403</c:v>
                </c:pt>
                <c:pt idx="95">
                  <c:v>6328</c:v>
                </c:pt>
                <c:pt idx="96">
                  <c:v>3480</c:v>
                </c:pt>
                <c:pt idx="97">
                  <c:v>3919</c:v>
                </c:pt>
                <c:pt idx="98">
                  <c:v>4264</c:v>
                </c:pt>
                <c:pt idx="99">
                  <c:v>4456</c:v>
                </c:pt>
                <c:pt idx="100">
                  <c:v>4716</c:v>
                </c:pt>
                <c:pt idx="101">
                  <c:v>4362</c:v>
                </c:pt>
                <c:pt idx="102">
                  <c:v>4855</c:v>
                </c:pt>
                <c:pt idx="103">
                  <c:v>4601</c:v>
                </c:pt>
                <c:pt idx="104">
                  <c:v>4715</c:v>
                </c:pt>
                <c:pt idx="105">
                  <c:v>5146</c:v>
                </c:pt>
                <c:pt idx="106">
                  <c:v>4897</c:v>
                </c:pt>
                <c:pt idx="107">
                  <c:v>6419</c:v>
                </c:pt>
                <c:pt idx="108">
                  <c:v>3099</c:v>
                </c:pt>
                <c:pt idx="109">
                  <c:v>3569</c:v>
                </c:pt>
                <c:pt idx="110">
                  <c:v>4117</c:v>
                </c:pt>
                <c:pt idx="111">
                  <c:v>4123</c:v>
                </c:pt>
                <c:pt idx="112">
                  <c:v>4301</c:v>
                </c:pt>
                <c:pt idx="113">
                  <c:v>4278</c:v>
                </c:pt>
                <c:pt idx="114">
                  <c:v>4554</c:v>
                </c:pt>
                <c:pt idx="115">
                  <c:v>4465</c:v>
                </c:pt>
                <c:pt idx="116">
                  <c:v>4509</c:v>
                </c:pt>
                <c:pt idx="117">
                  <c:v>4821</c:v>
                </c:pt>
                <c:pt idx="118">
                  <c:v>4742</c:v>
                </c:pt>
                <c:pt idx="119">
                  <c:v>6134</c:v>
                </c:pt>
                <c:pt idx="120">
                  <c:v>2746</c:v>
                </c:pt>
                <c:pt idx="121">
                  <c:v>3353</c:v>
                </c:pt>
                <c:pt idx="122">
                  <c:v>4108</c:v>
                </c:pt>
                <c:pt idx="123">
                  <c:v>3869</c:v>
                </c:pt>
                <c:pt idx="124">
                  <c:v>4101</c:v>
                </c:pt>
                <c:pt idx="125">
                  <c:v>4016</c:v>
                </c:pt>
                <c:pt idx="126">
                  <c:v>4328</c:v>
                </c:pt>
                <c:pt idx="127">
                  <c:v>4392</c:v>
                </c:pt>
                <c:pt idx="128">
                  <c:v>4252</c:v>
                </c:pt>
                <c:pt idx="129">
                  <c:v>4436</c:v>
                </c:pt>
                <c:pt idx="130">
                  <c:v>4890</c:v>
                </c:pt>
                <c:pt idx="131">
                  <c:v>6238</c:v>
                </c:pt>
                <c:pt idx="132">
                  <c:v>2869</c:v>
                </c:pt>
                <c:pt idx="133">
                  <c:v>3238</c:v>
                </c:pt>
                <c:pt idx="134">
                  <c:v>4287</c:v>
                </c:pt>
                <c:pt idx="135">
                  <c:v>3859</c:v>
                </c:pt>
                <c:pt idx="136">
                  <c:v>4094</c:v>
                </c:pt>
                <c:pt idx="137">
                  <c:v>3938</c:v>
                </c:pt>
                <c:pt idx="138">
                  <c:v>4113</c:v>
                </c:pt>
                <c:pt idx="139">
                  <c:v>4502</c:v>
                </c:pt>
                <c:pt idx="140">
                  <c:v>4440</c:v>
                </c:pt>
                <c:pt idx="141">
                  <c:v>4595</c:v>
                </c:pt>
                <c:pt idx="142">
                  <c:v>4711</c:v>
                </c:pt>
                <c:pt idx="143">
                  <c:v>6409</c:v>
                </c:pt>
                <c:pt idx="144">
                  <c:v>2916</c:v>
                </c:pt>
                <c:pt idx="145">
                  <c:v>3572</c:v>
                </c:pt>
                <c:pt idx="146">
                  <c:v>4275</c:v>
                </c:pt>
                <c:pt idx="147">
                  <c:v>3948</c:v>
                </c:pt>
                <c:pt idx="148">
                  <c:v>4544</c:v>
                </c:pt>
                <c:pt idx="149">
                  <c:v>4317</c:v>
                </c:pt>
                <c:pt idx="150">
                  <c:v>4533</c:v>
                </c:pt>
                <c:pt idx="151">
                  <c:v>4844</c:v>
                </c:pt>
                <c:pt idx="152">
                  <c:v>4436</c:v>
                </c:pt>
                <c:pt idx="153">
                  <c:v>5051</c:v>
                </c:pt>
                <c:pt idx="154">
                  <c:v>4940</c:v>
                </c:pt>
                <c:pt idx="155">
                  <c:v>6513</c:v>
                </c:pt>
                <c:pt idx="156">
                  <c:v>3293</c:v>
                </c:pt>
                <c:pt idx="157">
                  <c:v>3591</c:v>
                </c:pt>
                <c:pt idx="158">
                  <c:v>4094</c:v>
                </c:pt>
                <c:pt idx="159">
                  <c:v>4212</c:v>
                </c:pt>
                <c:pt idx="160">
                  <c:v>4651</c:v>
                </c:pt>
                <c:pt idx="161">
                  <c:v>4202</c:v>
                </c:pt>
                <c:pt idx="162">
                  <c:v>4669</c:v>
                </c:pt>
                <c:pt idx="163">
                  <c:v>4813</c:v>
                </c:pt>
                <c:pt idx="164">
                  <c:v>4548</c:v>
                </c:pt>
                <c:pt idx="165">
                  <c:v>5105</c:v>
                </c:pt>
                <c:pt idx="166">
                  <c:v>5025</c:v>
                </c:pt>
                <c:pt idx="167">
                  <c:v>6445</c:v>
                </c:pt>
                <c:pt idx="168">
                  <c:v>3219</c:v>
                </c:pt>
                <c:pt idx="169">
                  <c:v>3560</c:v>
                </c:pt>
                <c:pt idx="170">
                  <c:v>4223</c:v>
                </c:pt>
                <c:pt idx="171">
                  <c:v>3987</c:v>
                </c:pt>
              </c:numCache>
            </c:numRef>
          </c:val>
          <c:smooth val="0"/>
        </c:ser>
        <c:ser>
          <c:idx val="1"/>
          <c:order val="1"/>
          <c:tx>
            <c:strRef>
              <c:f>'Pivot all'!$C$3:$C$4</c:f>
              <c:strCache>
                <c:ptCount val="1"/>
                <c:pt idx="0">
                  <c:v>Any FDC</c:v>
                </c:pt>
              </c:strCache>
            </c:strRef>
          </c:tx>
          <c:marker>
            <c:symbol val="none"/>
          </c:marker>
          <c:cat>
            <c:strRef>
              <c:f>'Pivot all'!$A$5:$A$177</c:f>
              <c:strCache>
                <c:ptCount val="172"/>
                <c:pt idx="0">
                  <c:v>Jan-00</c:v>
                </c:pt>
                <c:pt idx="1">
                  <c:v>Feb-00</c:v>
                </c:pt>
                <c:pt idx="2">
                  <c:v>Mar-00</c:v>
                </c:pt>
                <c:pt idx="3">
                  <c:v>Apr-00</c:v>
                </c:pt>
                <c:pt idx="4">
                  <c:v>May-00</c:v>
                </c:pt>
                <c:pt idx="5">
                  <c:v>Jun-00</c:v>
                </c:pt>
                <c:pt idx="6">
                  <c:v>Jul-00</c:v>
                </c:pt>
                <c:pt idx="7">
                  <c:v>Aug-00</c:v>
                </c:pt>
                <c:pt idx="8">
                  <c:v>Sep-00</c:v>
                </c:pt>
                <c:pt idx="9">
                  <c:v>Oct-00</c:v>
                </c:pt>
                <c:pt idx="10">
                  <c:v>Nov-00</c:v>
                </c:pt>
                <c:pt idx="11">
                  <c:v>Dec-00</c:v>
                </c:pt>
                <c:pt idx="12">
                  <c:v>Jan-01</c:v>
                </c:pt>
                <c:pt idx="13">
                  <c:v>Feb-01</c:v>
                </c:pt>
                <c:pt idx="14">
                  <c:v>Mar-01</c:v>
                </c:pt>
                <c:pt idx="15">
                  <c:v>Apr-01</c:v>
                </c:pt>
                <c:pt idx="16">
                  <c:v>May-01</c:v>
                </c:pt>
                <c:pt idx="17">
                  <c:v>Jun-01</c:v>
                </c:pt>
                <c:pt idx="18">
                  <c:v>Jul-01</c:v>
                </c:pt>
                <c:pt idx="19">
                  <c:v>Aug-01</c:v>
                </c:pt>
                <c:pt idx="20">
                  <c:v>Sep-01</c:v>
                </c:pt>
                <c:pt idx="21">
                  <c:v>Oct-01</c:v>
                </c:pt>
                <c:pt idx="22">
                  <c:v>Nov-01</c:v>
                </c:pt>
                <c:pt idx="23">
                  <c:v>Dec-01</c:v>
                </c:pt>
                <c:pt idx="24">
                  <c:v>Jan-02</c:v>
                </c:pt>
                <c:pt idx="25">
                  <c:v>Feb-02</c:v>
                </c:pt>
                <c:pt idx="26">
                  <c:v>Mar-02</c:v>
                </c:pt>
                <c:pt idx="27">
                  <c:v>Apr-02</c:v>
                </c:pt>
                <c:pt idx="28">
                  <c:v>May-02</c:v>
                </c:pt>
                <c:pt idx="29">
                  <c:v>Jun-02</c:v>
                </c:pt>
                <c:pt idx="30">
                  <c:v>Jul-02</c:v>
                </c:pt>
                <c:pt idx="31">
                  <c:v>Aug-02</c:v>
                </c:pt>
                <c:pt idx="32">
                  <c:v>Sep-02</c:v>
                </c:pt>
                <c:pt idx="33">
                  <c:v>Oct-02</c:v>
                </c:pt>
                <c:pt idx="34">
                  <c:v>Nov-02</c:v>
                </c:pt>
                <c:pt idx="35">
                  <c:v>Dec-02</c:v>
                </c:pt>
                <c:pt idx="36">
                  <c:v>Jan-03</c:v>
                </c:pt>
                <c:pt idx="37">
                  <c:v>Feb-03</c:v>
                </c:pt>
                <c:pt idx="38">
                  <c:v>Mar-03</c:v>
                </c:pt>
                <c:pt idx="39">
                  <c:v>Apr-03</c:v>
                </c:pt>
                <c:pt idx="40">
                  <c:v>May-03</c:v>
                </c:pt>
                <c:pt idx="41">
                  <c:v>Jun-03</c:v>
                </c:pt>
                <c:pt idx="42">
                  <c:v>Jul-03</c:v>
                </c:pt>
                <c:pt idx="43">
                  <c:v>Aug-03</c:v>
                </c:pt>
                <c:pt idx="44">
                  <c:v>Sep-03</c:v>
                </c:pt>
                <c:pt idx="45">
                  <c:v>Oct-03</c:v>
                </c:pt>
                <c:pt idx="46">
                  <c:v>Nov-03</c:v>
                </c:pt>
                <c:pt idx="47">
                  <c:v>Dec-03</c:v>
                </c:pt>
                <c:pt idx="48">
                  <c:v>Jan-04</c:v>
                </c:pt>
                <c:pt idx="49">
                  <c:v>Feb-04</c:v>
                </c:pt>
                <c:pt idx="50">
                  <c:v>Mar-04</c:v>
                </c:pt>
                <c:pt idx="51">
                  <c:v>Apr-04</c:v>
                </c:pt>
                <c:pt idx="52">
                  <c:v>May-04</c:v>
                </c:pt>
                <c:pt idx="53">
                  <c:v>Jun-04</c:v>
                </c:pt>
                <c:pt idx="54">
                  <c:v>Jul-04</c:v>
                </c:pt>
                <c:pt idx="55">
                  <c:v>Aug-04</c:v>
                </c:pt>
                <c:pt idx="56">
                  <c:v>Sep-04</c:v>
                </c:pt>
                <c:pt idx="57">
                  <c:v>Oct-04</c:v>
                </c:pt>
                <c:pt idx="58">
                  <c:v>Nov-04</c:v>
                </c:pt>
                <c:pt idx="59">
                  <c:v>Dec-04</c:v>
                </c:pt>
                <c:pt idx="60">
                  <c:v>Jan-05</c:v>
                </c:pt>
                <c:pt idx="61">
                  <c:v>Feb-05</c:v>
                </c:pt>
                <c:pt idx="62">
                  <c:v>Mar-05</c:v>
                </c:pt>
                <c:pt idx="63">
                  <c:v>Apr-05</c:v>
                </c:pt>
                <c:pt idx="64">
                  <c:v>May-05</c:v>
                </c:pt>
                <c:pt idx="65">
                  <c:v>Jun-05</c:v>
                </c:pt>
                <c:pt idx="66">
                  <c:v>Jul-05</c:v>
                </c:pt>
                <c:pt idx="67">
                  <c:v>Aug-05</c:v>
                </c:pt>
                <c:pt idx="68">
                  <c:v>Sep-05</c:v>
                </c:pt>
                <c:pt idx="69">
                  <c:v>Oct-05</c:v>
                </c:pt>
                <c:pt idx="70">
                  <c:v>Nov-05</c:v>
                </c:pt>
                <c:pt idx="71">
                  <c:v>Dec-05</c:v>
                </c:pt>
                <c:pt idx="72">
                  <c:v>Jan-06</c:v>
                </c:pt>
                <c:pt idx="73">
                  <c:v>Feb-06</c:v>
                </c:pt>
                <c:pt idx="74">
                  <c:v>Mar-06</c:v>
                </c:pt>
                <c:pt idx="75">
                  <c:v>Apr-06</c:v>
                </c:pt>
                <c:pt idx="76">
                  <c:v>May-06</c:v>
                </c:pt>
                <c:pt idx="77">
                  <c:v>Jun-06</c:v>
                </c:pt>
                <c:pt idx="78">
                  <c:v>Jul-06</c:v>
                </c:pt>
                <c:pt idx="79">
                  <c:v>Aug-06</c:v>
                </c:pt>
                <c:pt idx="80">
                  <c:v>Sep-06</c:v>
                </c:pt>
                <c:pt idx="81">
                  <c:v>Oct-06</c:v>
                </c:pt>
                <c:pt idx="82">
                  <c:v>Nov-06</c:v>
                </c:pt>
                <c:pt idx="83">
                  <c:v>Dec-06</c:v>
                </c:pt>
                <c:pt idx="84">
                  <c:v>Jan-07</c:v>
                </c:pt>
                <c:pt idx="85">
                  <c:v>Feb-07</c:v>
                </c:pt>
                <c:pt idx="86">
                  <c:v>Mar-07</c:v>
                </c:pt>
                <c:pt idx="87">
                  <c:v>Apr-07</c:v>
                </c:pt>
                <c:pt idx="88">
                  <c:v>May-07</c:v>
                </c:pt>
                <c:pt idx="89">
                  <c:v>Jun-07</c:v>
                </c:pt>
                <c:pt idx="90">
                  <c:v>Jul-07</c:v>
                </c:pt>
                <c:pt idx="91">
                  <c:v>Aug-07</c:v>
                </c:pt>
                <c:pt idx="92">
                  <c:v>Sep-07</c:v>
                </c:pt>
                <c:pt idx="93">
                  <c:v>Oct-07</c:v>
                </c:pt>
                <c:pt idx="94">
                  <c:v>Nov-07</c:v>
                </c:pt>
                <c:pt idx="95">
                  <c:v>Dec-07</c:v>
                </c:pt>
                <c:pt idx="96">
                  <c:v>Jan-08</c:v>
                </c:pt>
                <c:pt idx="97">
                  <c:v>Feb-08</c:v>
                </c:pt>
                <c:pt idx="98">
                  <c:v>Mar-08</c:v>
                </c:pt>
                <c:pt idx="99">
                  <c:v>Apr-08</c:v>
                </c:pt>
                <c:pt idx="100">
                  <c:v>May-08</c:v>
                </c:pt>
                <c:pt idx="101">
                  <c:v>Jun-08</c:v>
                </c:pt>
                <c:pt idx="102">
                  <c:v>Jul-08</c:v>
                </c:pt>
                <c:pt idx="103">
                  <c:v>Aug-08</c:v>
                </c:pt>
                <c:pt idx="104">
                  <c:v>Sep-08</c:v>
                </c:pt>
                <c:pt idx="105">
                  <c:v>Oct-08</c:v>
                </c:pt>
                <c:pt idx="106">
                  <c:v>Nov-08</c:v>
                </c:pt>
                <c:pt idx="107">
                  <c:v>Dec-08</c:v>
                </c:pt>
                <c:pt idx="108">
                  <c:v>Jan-09</c:v>
                </c:pt>
                <c:pt idx="109">
                  <c:v>Feb-09</c:v>
                </c:pt>
                <c:pt idx="110">
                  <c:v>Mar-09</c:v>
                </c:pt>
                <c:pt idx="111">
                  <c:v>Apr-09</c:v>
                </c:pt>
                <c:pt idx="112">
                  <c:v>May-09</c:v>
                </c:pt>
                <c:pt idx="113">
                  <c:v>Jun-09</c:v>
                </c:pt>
                <c:pt idx="114">
                  <c:v>Jul-09</c:v>
                </c:pt>
                <c:pt idx="115">
                  <c:v>Aug-09</c:v>
                </c:pt>
                <c:pt idx="116">
                  <c:v>Sep-09</c:v>
                </c:pt>
                <c:pt idx="117">
                  <c:v>Oct-09</c:v>
                </c:pt>
                <c:pt idx="118">
                  <c:v>Nov-09</c:v>
                </c:pt>
                <c:pt idx="119">
                  <c:v>Dec-09</c:v>
                </c:pt>
                <c:pt idx="120">
                  <c:v>Jan-10</c:v>
                </c:pt>
                <c:pt idx="121">
                  <c:v>Feb-10</c:v>
                </c:pt>
                <c:pt idx="122">
                  <c:v>Mar-10</c:v>
                </c:pt>
                <c:pt idx="123">
                  <c:v>Apr-10</c:v>
                </c:pt>
                <c:pt idx="124">
                  <c:v>May-10</c:v>
                </c:pt>
                <c:pt idx="125">
                  <c:v>Jun-10</c:v>
                </c:pt>
                <c:pt idx="126">
                  <c:v>Jul-10</c:v>
                </c:pt>
                <c:pt idx="127">
                  <c:v>Aug-10</c:v>
                </c:pt>
                <c:pt idx="128">
                  <c:v>Sep-10</c:v>
                </c:pt>
                <c:pt idx="129">
                  <c:v>Oct-10</c:v>
                </c:pt>
                <c:pt idx="130">
                  <c:v>Nov-10</c:v>
                </c:pt>
                <c:pt idx="131">
                  <c:v>Dec-10</c:v>
                </c:pt>
                <c:pt idx="132">
                  <c:v>Jan-11</c:v>
                </c:pt>
                <c:pt idx="133">
                  <c:v>Feb-11</c:v>
                </c:pt>
                <c:pt idx="134">
                  <c:v>Mar-11</c:v>
                </c:pt>
                <c:pt idx="135">
                  <c:v>Apr-11</c:v>
                </c:pt>
                <c:pt idx="136">
                  <c:v>May-11</c:v>
                </c:pt>
                <c:pt idx="137">
                  <c:v>Jun-11</c:v>
                </c:pt>
                <c:pt idx="138">
                  <c:v>Jul-11</c:v>
                </c:pt>
                <c:pt idx="139">
                  <c:v>Aug-11</c:v>
                </c:pt>
                <c:pt idx="140">
                  <c:v>Sep-11</c:v>
                </c:pt>
                <c:pt idx="141">
                  <c:v>Oct-11</c:v>
                </c:pt>
                <c:pt idx="142">
                  <c:v>Nov-11</c:v>
                </c:pt>
                <c:pt idx="143">
                  <c:v>Dec-11</c:v>
                </c:pt>
                <c:pt idx="144">
                  <c:v>Jan-12</c:v>
                </c:pt>
                <c:pt idx="145">
                  <c:v>Feb-12</c:v>
                </c:pt>
                <c:pt idx="146">
                  <c:v>Mar-12</c:v>
                </c:pt>
                <c:pt idx="147">
                  <c:v>Apr-12</c:v>
                </c:pt>
                <c:pt idx="148">
                  <c:v>May-12</c:v>
                </c:pt>
                <c:pt idx="149">
                  <c:v>Jun-12</c:v>
                </c:pt>
                <c:pt idx="150">
                  <c:v>Jul-12</c:v>
                </c:pt>
                <c:pt idx="151">
                  <c:v>Aug-12</c:v>
                </c:pt>
                <c:pt idx="152">
                  <c:v>Sep-12</c:v>
                </c:pt>
                <c:pt idx="153">
                  <c:v>Oct-12</c:v>
                </c:pt>
                <c:pt idx="154">
                  <c:v>Nov-12</c:v>
                </c:pt>
                <c:pt idx="155">
                  <c:v>Dec-12</c:v>
                </c:pt>
                <c:pt idx="156">
                  <c:v>Jan-13</c:v>
                </c:pt>
                <c:pt idx="157">
                  <c:v>Feb-13</c:v>
                </c:pt>
                <c:pt idx="158">
                  <c:v>Mar-13</c:v>
                </c:pt>
                <c:pt idx="159">
                  <c:v>Apr-13</c:v>
                </c:pt>
                <c:pt idx="160">
                  <c:v>May-13</c:v>
                </c:pt>
                <c:pt idx="161">
                  <c:v>Jun-13</c:v>
                </c:pt>
                <c:pt idx="162">
                  <c:v>Jul-13</c:v>
                </c:pt>
                <c:pt idx="163">
                  <c:v>Aug-13</c:v>
                </c:pt>
                <c:pt idx="164">
                  <c:v>Sep-13</c:v>
                </c:pt>
                <c:pt idx="165">
                  <c:v>Oct-13</c:v>
                </c:pt>
                <c:pt idx="166">
                  <c:v>Nov-13</c:v>
                </c:pt>
                <c:pt idx="167">
                  <c:v>Dec-13</c:v>
                </c:pt>
                <c:pt idx="168">
                  <c:v>Jan-14</c:v>
                </c:pt>
                <c:pt idx="169">
                  <c:v>Feb-14</c:v>
                </c:pt>
                <c:pt idx="170">
                  <c:v>Mar-14</c:v>
                </c:pt>
                <c:pt idx="171">
                  <c:v>Apr-14</c:v>
                </c:pt>
              </c:strCache>
            </c:strRef>
          </c:cat>
          <c:val>
            <c:numRef>
              <c:f>'Pivot all'!$C$5:$C$177</c:f>
              <c:numCache>
                <c:formatCode>General</c:formatCode>
                <c:ptCount val="172"/>
                <c:pt idx="63" formatCode="#,##0">
                  <c:v>493</c:v>
                </c:pt>
                <c:pt idx="64" formatCode="#,##0">
                  <c:v>1092</c:v>
                </c:pt>
                <c:pt idx="65" formatCode="#,##0">
                  <c:v>1472</c:v>
                </c:pt>
                <c:pt idx="66" formatCode="#,##0">
                  <c:v>2007</c:v>
                </c:pt>
                <c:pt idx="67" formatCode="#,##0">
                  <c:v>3201</c:v>
                </c:pt>
                <c:pt idx="68" formatCode="#,##0">
                  <c:v>3532</c:v>
                </c:pt>
                <c:pt idx="69" formatCode="#,##0">
                  <c:v>3939</c:v>
                </c:pt>
                <c:pt idx="70" formatCode="#,##0">
                  <c:v>4599</c:v>
                </c:pt>
                <c:pt idx="71" formatCode="#,##0">
                  <c:v>6312</c:v>
                </c:pt>
                <c:pt idx="72" formatCode="#,##0">
                  <c:v>3766</c:v>
                </c:pt>
                <c:pt idx="73" formatCode="#,##0">
                  <c:v>4783</c:v>
                </c:pt>
                <c:pt idx="74" formatCode="#,##0">
                  <c:v>4874</c:v>
                </c:pt>
                <c:pt idx="75" formatCode="#,##0">
                  <c:v>5355</c:v>
                </c:pt>
                <c:pt idx="76" formatCode="#,##0">
                  <c:v>6385</c:v>
                </c:pt>
                <c:pt idx="77" formatCode="#,##0">
                  <c:v>6162</c:v>
                </c:pt>
                <c:pt idx="78" formatCode="#,##0">
                  <c:v>6653</c:v>
                </c:pt>
                <c:pt idx="79" formatCode="#,##0">
                  <c:v>8100</c:v>
                </c:pt>
                <c:pt idx="80" formatCode="#,##0">
                  <c:v>7234</c:v>
                </c:pt>
                <c:pt idx="81" formatCode="#,##0">
                  <c:v>7971</c:v>
                </c:pt>
                <c:pt idx="82" formatCode="#,##0">
                  <c:v>8602</c:v>
                </c:pt>
                <c:pt idx="83" formatCode="#,##0">
                  <c:v>11385</c:v>
                </c:pt>
                <c:pt idx="84" formatCode="#,##0">
                  <c:v>8223</c:v>
                </c:pt>
                <c:pt idx="85" formatCode="#,##0">
                  <c:v>10488</c:v>
                </c:pt>
                <c:pt idx="86" formatCode="#,##0">
                  <c:v>12559</c:v>
                </c:pt>
                <c:pt idx="87" formatCode="#,##0">
                  <c:v>14011</c:v>
                </c:pt>
                <c:pt idx="88" formatCode="#,##0">
                  <c:v>16721</c:v>
                </c:pt>
                <c:pt idx="89" formatCode="#,##0">
                  <c:v>16102</c:v>
                </c:pt>
                <c:pt idx="90" formatCode="#,##0">
                  <c:v>18666</c:v>
                </c:pt>
                <c:pt idx="91" formatCode="#,##0">
                  <c:v>19625</c:v>
                </c:pt>
                <c:pt idx="92" formatCode="#,##0">
                  <c:v>19108</c:v>
                </c:pt>
                <c:pt idx="93" formatCode="#,##0">
                  <c:v>21343</c:v>
                </c:pt>
                <c:pt idx="94" formatCode="#,##0">
                  <c:v>22473</c:v>
                </c:pt>
                <c:pt idx="95" formatCode="#,##0">
                  <c:v>25274</c:v>
                </c:pt>
                <c:pt idx="96" formatCode="#,##0">
                  <c:v>17716</c:v>
                </c:pt>
                <c:pt idx="97" formatCode="#,##0">
                  <c:v>18904</c:v>
                </c:pt>
                <c:pt idx="98" formatCode="#,##0">
                  <c:v>20160</c:v>
                </c:pt>
                <c:pt idx="99" formatCode="#,##0">
                  <c:v>21563</c:v>
                </c:pt>
                <c:pt idx="100" formatCode="#,##0">
                  <c:v>22649</c:v>
                </c:pt>
                <c:pt idx="101" formatCode="#,##0">
                  <c:v>22287</c:v>
                </c:pt>
                <c:pt idx="102" formatCode="#,##0">
                  <c:v>22941</c:v>
                </c:pt>
                <c:pt idx="103" formatCode="#,##0">
                  <c:v>22387</c:v>
                </c:pt>
                <c:pt idx="104" formatCode="#,##0">
                  <c:v>21169</c:v>
                </c:pt>
                <c:pt idx="105" formatCode="#,##0">
                  <c:v>21282</c:v>
                </c:pt>
                <c:pt idx="106" formatCode="#,##0">
                  <c:v>19446</c:v>
                </c:pt>
                <c:pt idx="107" formatCode="#,##0">
                  <c:v>23443</c:v>
                </c:pt>
                <c:pt idx="108" formatCode="#,##0">
                  <c:v>14318</c:v>
                </c:pt>
                <c:pt idx="109" formatCode="#,##0">
                  <c:v>14961</c:v>
                </c:pt>
                <c:pt idx="110" formatCode="#,##0">
                  <c:v>16832</c:v>
                </c:pt>
                <c:pt idx="111" formatCode="#,##0">
                  <c:v>16119</c:v>
                </c:pt>
                <c:pt idx="112" formatCode="#,##0">
                  <c:v>17137</c:v>
                </c:pt>
                <c:pt idx="113" formatCode="#,##0">
                  <c:v>15897</c:v>
                </c:pt>
                <c:pt idx="114" formatCode="#,##0">
                  <c:v>16558</c:v>
                </c:pt>
                <c:pt idx="115" formatCode="#,##0">
                  <c:v>16895</c:v>
                </c:pt>
                <c:pt idx="116" formatCode="#,##0">
                  <c:v>17775</c:v>
                </c:pt>
                <c:pt idx="117" formatCode="#,##0">
                  <c:v>19258</c:v>
                </c:pt>
                <c:pt idx="118" formatCode="#,##0">
                  <c:v>20140</c:v>
                </c:pt>
                <c:pt idx="119" formatCode="#,##0">
                  <c:v>25154</c:v>
                </c:pt>
                <c:pt idx="120" formatCode="#,##0">
                  <c:v>16179</c:v>
                </c:pt>
                <c:pt idx="121" formatCode="#,##0">
                  <c:v>18640</c:v>
                </c:pt>
                <c:pt idx="122" formatCode="#,##0">
                  <c:v>21563</c:v>
                </c:pt>
                <c:pt idx="123" formatCode="#,##0">
                  <c:v>22009</c:v>
                </c:pt>
                <c:pt idx="124" formatCode="#,##0">
                  <c:v>23594</c:v>
                </c:pt>
                <c:pt idx="125" formatCode="#,##0">
                  <c:v>23975</c:v>
                </c:pt>
                <c:pt idx="126" formatCode="#,##0">
                  <c:v>25368</c:v>
                </c:pt>
                <c:pt idx="127" formatCode="#,##0">
                  <c:v>26120</c:v>
                </c:pt>
                <c:pt idx="128" formatCode="#,##0">
                  <c:v>27312</c:v>
                </c:pt>
                <c:pt idx="129" formatCode="#,##0">
                  <c:v>28473</c:v>
                </c:pt>
                <c:pt idx="130" formatCode="#,##0">
                  <c:v>29687</c:v>
                </c:pt>
                <c:pt idx="131" formatCode="#,##0">
                  <c:v>35595</c:v>
                </c:pt>
                <c:pt idx="132" formatCode="#,##0">
                  <c:v>24117</c:v>
                </c:pt>
                <c:pt idx="133" formatCode="#,##0">
                  <c:v>26709</c:v>
                </c:pt>
                <c:pt idx="134" formatCode="#,##0">
                  <c:v>32001</c:v>
                </c:pt>
                <c:pt idx="135" formatCode="#,##0">
                  <c:v>32704</c:v>
                </c:pt>
                <c:pt idx="136" formatCode="#,##0">
                  <c:v>36393</c:v>
                </c:pt>
                <c:pt idx="137" formatCode="#,##0">
                  <c:v>37142</c:v>
                </c:pt>
                <c:pt idx="138" formatCode="#,##0">
                  <c:v>39031</c:v>
                </c:pt>
                <c:pt idx="139" formatCode="#,##0">
                  <c:v>42672</c:v>
                </c:pt>
                <c:pt idx="140" formatCode="#,##0">
                  <c:v>44043</c:v>
                </c:pt>
                <c:pt idx="141" formatCode="#,##0">
                  <c:v>46064</c:v>
                </c:pt>
                <c:pt idx="142" formatCode="#,##0">
                  <c:v>49526</c:v>
                </c:pt>
                <c:pt idx="143" formatCode="#,##0">
                  <c:v>59337</c:v>
                </c:pt>
                <c:pt idx="144" formatCode="#,##0">
                  <c:v>41989</c:v>
                </c:pt>
                <c:pt idx="145" formatCode="#,##0">
                  <c:v>47281</c:v>
                </c:pt>
                <c:pt idx="146" formatCode="#,##0">
                  <c:v>54686</c:v>
                </c:pt>
                <c:pt idx="147" formatCode="#,##0">
                  <c:v>52189</c:v>
                </c:pt>
                <c:pt idx="148" formatCode="#,##0">
                  <c:v>58510</c:v>
                </c:pt>
                <c:pt idx="149" formatCode="#,##0">
                  <c:v>56637</c:v>
                </c:pt>
                <c:pt idx="150" formatCode="#,##0">
                  <c:v>59973</c:v>
                </c:pt>
                <c:pt idx="151" formatCode="#,##0">
                  <c:v>63447</c:v>
                </c:pt>
                <c:pt idx="152" formatCode="#,##0">
                  <c:v>60973</c:v>
                </c:pt>
                <c:pt idx="153" formatCode="#,##0">
                  <c:v>67551</c:v>
                </c:pt>
                <c:pt idx="154" formatCode="#,##0">
                  <c:v>69586</c:v>
                </c:pt>
                <c:pt idx="155" formatCode="#,##0">
                  <c:v>80180</c:v>
                </c:pt>
                <c:pt idx="156" formatCode="#,##0">
                  <c:v>57904</c:v>
                </c:pt>
                <c:pt idx="157" formatCode="#,##0">
                  <c:v>61385</c:v>
                </c:pt>
                <c:pt idx="158" formatCode="#,##0">
                  <c:v>68576</c:v>
                </c:pt>
                <c:pt idx="159" formatCode="#,##0">
                  <c:v>71140</c:v>
                </c:pt>
                <c:pt idx="160" formatCode="#,##0">
                  <c:v>76415</c:v>
                </c:pt>
                <c:pt idx="161" formatCode="#,##0">
                  <c:v>71219</c:v>
                </c:pt>
                <c:pt idx="162" formatCode="#,##0">
                  <c:v>78875</c:v>
                </c:pt>
                <c:pt idx="163" formatCode="#,##0">
                  <c:v>80137</c:v>
                </c:pt>
                <c:pt idx="164" formatCode="#,##0">
                  <c:v>77340</c:v>
                </c:pt>
                <c:pt idx="165" formatCode="#,##0">
                  <c:v>84526</c:v>
                </c:pt>
                <c:pt idx="166" formatCode="#,##0">
                  <c:v>84594</c:v>
                </c:pt>
                <c:pt idx="167" formatCode="#,##0">
                  <c:v>99184</c:v>
                </c:pt>
                <c:pt idx="168" formatCode="#,##0">
                  <c:v>71432</c:v>
                </c:pt>
                <c:pt idx="169" formatCode="#,##0">
                  <c:v>74492</c:v>
                </c:pt>
                <c:pt idx="170" formatCode="#,##0">
                  <c:v>84946</c:v>
                </c:pt>
                <c:pt idx="171" formatCode="#,##0">
                  <c:v>84924</c:v>
                </c:pt>
              </c:numCache>
            </c:numRef>
          </c:val>
          <c:smooth val="0"/>
        </c:ser>
        <c:ser>
          <c:idx val="2"/>
          <c:order val="2"/>
          <c:tx>
            <c:strRef>
              <c:f>'Pivot all'!$D$3:$D$4</c:f>
              <c:strCache>
                <c:ptCount val="1"/>
                <c:pt idx="0">
                  <c:v>DPP-4 inhibitors</c:v>
                </c:pt>
              </c:strCache>
            </c:strRef>
          </c:tx>
          <c:marker>
            <c:symbol val="none"/>
          </c:marker>
          <c:cat>
            <c:strRef>
              <c:f>'Pivot all'!$A$5:$A$177</c:f>
              <c:strCache>
                <c:ptCount val="172"/>
                <c:pt idx="0">
                  <c:v>Jan-00</c:v>
                </c:pt>
                <c:pt idx="1">
                  <c:v>Feb-00</c:v>
                </c:pt>
                <c:pt idx="2">
                  <c:v>Mar-00</c:v>
                </c:pt>
                <c:pt idx="3">
                  <c:v>Apr-00</c:v>
                </c:pt>
                <c:pt idx="4">
                  <c:v>May-00</c:v>
                </c:pt>
                <c:pt idx="5">
                  <c:v>Jun-00</c:v>
                </c:pt>
                <c:pt idx="6">
                  <c:v>Jul-00</c:v>
                </c:pt>
                <c:pt idx="7">
                  <c:v>Aug-00</c:v>
                </c:pt>
                <c:pt idx="8">
                  <c:v>Sep-00</c:v>
                </c:pt>
                <c:pt idx="9">
                  <c:v>Oct-00</c:v>
                </c:pt>
                <c:pt idx="10">
                  <c:v>Nov-00</c:v>
                </c:pt>
                <c:pt idx="11">
                  <c:v>Dec-00</c:v>
                </c:pt>
                <c:pt idx="12">
                  <c:v>Jan-01</c:v>
                </c:pt>
                <c:pt idx="13">
                  <c:v>Feb-01</c:v>
                </c:pt>
                <c:pt idx="14">
                  <c:v>Mar-01</c:v>
                </c:pt>
                <c:pt idx="15">
                  <c:v>Apr-01</c:v>
                </c:pt>
                <c:pt idx="16">
                  <c:v>May-01</c:v>
                </c:pt>
                <c:pt idx="17">
                  <c:v>Jun-01</c:v>
                </c:pt>
                <c:pt idx="18">
                  <c:v>Jul-01</c:v>
                </c:pt>
                <c:pt idx="19">
                  <c:v>Aug-01</c:v>
                </c:pt>
                <c:pt idx="20">
                  <c:v>Sep-01</c:v>
                </c:pt>
                <c:pt idx="21">
                  <c:v>Oct-01</c:v>
                </c:pt>
                <c:pt idx="22">
                  <c:v>Nov-01</c:v>
                </c:pt>
                <c:pt idx="23">
                  <c:v>Dec-01</c:v>
                </c:pt>
                <c:pt idx="24">
                  <c:v>Jan-02</c:v>
                </c:pt>
                <c:pt idx="25">
                  <c:v>Feb-02</c:v>
                </c:pt>
                <c:pt idx="26">
                  <c:v>Mar-02</c:v>
                </c:pt>
                <c:pt idx="27">
                  <c:v>Apr-02</c:v>
                </c:pt>
                <c:pt idx="28">
                  <c:v>May-02</c:v>
                </c:pt>
                <c:pt idx="29">
                  <c:v>Jun-02</c:v>
                </c:pt>
                <c:pt idx="30">
                  <c:v>Jul-02</c:v>
                </c:pt>
                <c:pt idx="31">
                  <c:v>Aug-02</c:v>
                </c:pt>
                <c:pt idx="32">
                  <c:v>Sep-02</c:v>
                </c:pt>
                <c:pt idx="33">
                  <c:v>Oct-02</c:v>
                </c:pt>
                <c:pt idx="34">
                  <c:v>Nov-02</c:v>
                </c:pt>
                <c:pt idx="35">
                  <c:v>Dec-02</c:v>
                </c:pt>
                <c:pt idx="36">
                  <c:v>Jan-03</c:v>
                </c:pt>
                <c:pt idx="37">
                  <c:v>Feb-03</c:v>
                </c:pt>
                <c:pt idx="38">
                  <c:v>Mar-03</c:v>
                </c:pt>
                <c:pt idx="39">
                  <c:v>Apr-03</c:v>
                </c:pt>
                <c:pt idx="40">
                  <c:v>May-03</c:v>
                </c:pt>
                <c:pt idx="41">
                  <c:v>Jun-03</c:v>
                </c:pt>
                <c:pt idx="42">
                  <c:v>Jul-03</c:v>
                </c:pt>
                <c:pt idx="43">
                  <c:v>Aug-03</c:v>
                </c:pt>
                <c:pt idx="44">
                  <c:v>Sep-03</c:v>
                </c:pt>
                <c:pt idx="45">
                  <c:v>Oct-03</c:v>
                </c:pt>
                <c:pt idx="46">
                  <c:v>Nov-03</c:v>
                </c:pt>
                <c:pt idx="47">
                  <c:v>Dec-03</c:v>
                </c:pt>
                <c:pt idx="48">
                  <c:v>Jan-04</c:v>
                </c:pt>
                <c:pt idx="49">
                  <c:v>Feb-04</c:v>
                </c:pt>
                <c:pt idx="50">
                  <c:v>Mar-04</c:v>
                </c:pt>
                <c:pt idx="51">
                  <c:v>Apr-04</c:v>
                </c:pt>
                <c:pt idx="52">
                  <c:v>May-04</c:v>
                </c:pt>
                <c:pt idx="53">
                  <c:v>Jun-04</c:v>
                </c:pt>
                <c:pt idx="54">
                  <c:v>Jul-04</c:v>
                </c:pt>
                <c:pt idx="55">
                  <c:v>Aug-04</c:v>
                </c:pt>
                <c:pt idx="56">
                  <c:v>Sep-04</c:v>
                </c:pt>
                <c:pt idx="57">
                  <c:v>Oct-04</c:v>
                </c:pt>
                <c:pt idx="58">
                  <c:v>Nov-04</c:v>
                </c:pt>
                <c:pt idx="59">
                  <c:v>Dec-04</c:v>
                </c:pt>
                <c:pt idx="60">
                  <c:v>Jan-05</c:v>
                </c:pt>
                <c:pt idx="61">
                  <c:v>Feb-05</c:v>
                </c:pt>
                <c:pt idx="62">
                  <c:v>Mar-05</c:v>
                </c:pt>
                <c:pt idx="63">
                  <c:v>Apr-05</c:v>
                </c:pt>
                <c:pt idx="64">
                  <c:v>May-05</c:v>
                </c:pt>
                <c:pt idx="65">
                  <c:v>Jun-05</c:v>
                </c:pt>
                <c:pt idx="66">
                  <c:v>Jul-05</c:v>
                </c:pt>
                <c:pt idx="67">
                  <c:v>Aug-05</c:v>
                </c:pt>
                <c:pt idx="68">
                  <c:v>Sep-05</c:v>
                </c:pt>
                <c:pt idx="69">
                  <c:v>Oct-05</c:v>
                </c:pt>
                <c:pt idx="70">
                  <c:v>Nov-05</c:v>
                </c:pt>
                <c:pt idx="71">
                  <c:v>Dec-05</c:v>
                </c:pt>
                <c:pt idx="72">
                  <c:v>Jan-06</c:v>
                </c:pt>
                <c:pt idx="73">
                  <c:v>Feb-06</c:v>
                </c:pt>
                <c:pt idx="74">
                  <c:v>Mar-06</c:v>
                </c:pt>
                <c:pt idx="75">
                  <c:v>Apr-06</c:v>
                </c:pt>
                <c:pt idx="76">
                  <c:v>May-06</c:v>
                </c:pt>
                <c:pt idx="77">
                  <c:v>Jun-06</c:v>
                </c:pt>
                <c:pt idx="78">
                  <c:v>Jul-06</c:v>
                </c:pt>
                <c:pt idx="79">
                  <c:v>Aug-06</c:v>
                </c:pt>
                <c:pt idx="80">
                  <c:v>Sep-06</c:v>
                </c:pt>
                <c:pt idx="81">
                  <c:v>Oct-06</c:v>
                </c:pt>
                <c:pt idx="82">
                  <c:v>Nov-06</c:v>
                </c:pt>
                <c:pt idx="83">
                  <c:v>Dec-06</c:v>
                </c:pt>
                <c:pt idx="84">
                  <c:v>Jan-07</c:v>
                </c:pt>
                <c:pt idx="85">
                  <c:v>Feb-07</c:v>
                </c:pt>
                <c:pt idx="86">
                  <c:v>Mar-07</c:v>
                </c:pt>
                <c:pt idx="87">
                  <c:v>Apr-07</c:v>
                </c:pt>
                <c:pt idx="88">
                  <c:v>May-07</c:v>
                </c:pt>
                <c:pt idx="89">
                  <c:v>Jun-07</c:v>
                </c:pt>
                <c:pt idx="90">
                  <c:v>Jul-07</c:v>
                </c:pt>
                <c:pt idx="91">
                  <c:v>Aug-07</c:v>
                </c:pt>
                <c:pt idx="92">
                  <c:v>Sep-07</c:v>
                </c:pt>
                <c:pt idx="93">
                  <c:v>Oct-07</c:v>
                </c:pt>
                <c:pt idx="94">
                  <c:v>Nov-07</c:v>
                </c:pt>
                <c:pt idx="95">
                  <c:v>Dec-07</c:v>
                </c:pt>
                <c:pt idx="96">
                  <c:v>Jan-08</c:v>
                </c:pt>
                <c:pt idx="97">
                  <c:v>Feb-08</c:v>
                </c:pt>
                <c:pt idx="98">
                  <c:v>Mar-08</c:v>
                </c:pt>
                <c:pt idx="99">
                  <c:v>Apr-08</c:v>
                </c:pt>
                <c:pt idx="100">
                  <c:v>May-08</c:v>
                </c:pt>
                <c:pt idx="101">
                  <c:v>Jun-08</c:v>
                </c:pt>
                <c:pt idx="102">
                  <c:v>Jul-08</c:v>
                </c:pt>
                <c:pt idx="103">
                  <c:v>Aug-08</c:v>
                </c:pt>
                <c:pt idx="104">
                  <c:v>Sep-08</c:v>
                </c:pt>
                <c:pt idx="105">
                  <c:v>Oct-08</c:v>
                </c:pt>
                <c:pt idx="106">
                  <c:v>Nov-08</c:v>
                </c:pt>
                <c:pt idx="107">
                  <c:v>Dec-08</c:v>
                </c:pt>
                <c:pt idx="108">
                  <c:v>Jan-09</c:v>
                </c:pt>
                <c:pt idx="109">
                  <c:v>Feb-09</c:v>
                </c:pt>
                <c:pt idx="110">
                  <c:v>Mar-09</c:v>
                </c:pt>
                <c:pt idx="111">
                  <c:v>Apr-09</c:v>
                </c:pt>
                <c:pt idx="112">
                  <c:v>May-09</c:v>
                </c:pt>
                <c:pt idx="113">
                  <c:v>Jun-09</c:v>
                </c:pt>
                <c:pt idx="114">
                  <c:v>Jul-09</c:v>
                </c:pt>
                <c:pt idx="115">
                  <c:v>Aug-09</c:v>
                </c:pt>
                <c:pt idx="116">
                  <c:v>Sep-09</c:v>
                </c:pt>
                <c:pt idx="117">
                  <c:v>Oct-09</c:v>
                </c:pt>
                <c:pt idx="118">
                  <c:v>Nov-09</c:v>
                </c:pt>
                <c:pt idx="119">
                  <c:v>Dec-09</c:v>
                </c:pt>
                <c:pt idx="120">
                  <c:v>Jan-10</c:v>
                </c:pt>
                <c:pt idx="121">
                  <c:v>Feb-10</c:v>
                </c:pt>
                <c:pt idx="122">
                  <c:v>Mar-10</c:v>
                </c:pt>
                <c:pt idx="123">
                  <c:v>Apr-10</c:v>
                </c:pt>
                <c:pt idx="124">
                  <c:v>May-10</c:v>
                </c:pt>
                <c:pt idx="125">
                  <c:v>Jun-10</c:v>
                </c:pt>
                <c:pt idx="126">
                  <c:v>Jul-10</c:v>
                </c:pt>
                <c:pt idx="127">
                  <c:v>Aug-10</c:v>
                </c:pt>
                <c:pt idx="128">
                  <c:v>Sep-10</c:v>
                </c:pt>
                <c:pt idx="129">
                  <c:v>Oct-10</c:v>
                </c:pt>
                <c:pt idx="130">
                  <c:v>Nov-10</c:v>
                </c:pt>
                <c:pt idx="131">
                  <c:v>Dec-10</c:v>
                </c:pt>
                <c:pt idx="132">
                  <c:v>Jan-11</c:v>
                </c:pt>
                <c:pt idx="133">
                  <c:v>Feb-11</c:v>
                </c:pt>
                <c:pt idx="134">
                  <c:v>Mar-11</c:v>
                </c:pt>
                <c:pt idx="135">
                  <c:v>Apr-11</c:v>
                </c:pt>
                <c:pt idx="136">
                  <c:v>May-11</c:v>
                </c:pt>
                <c:pt idx="137">
                  <c:v>Jun-11</c:v>
                </c:pt>
                <c:pt idx="138">
                  <c:v>Jul-11</c:v>
                </c:pt>
                <c:pt idx="139">
                  <c:v>Aug-11</c:v>
                </c:pt>
                <c:pt idx="140">
                  <c:v>Sep-11</c:v>
                </c:pt>
                <c:pt idx="141">
                  <c:v>Oct-11</c:v>
                </c:pt>
                <c:pt idx="142">
                  <c:v>Nov-11</c:v>
                </c:pt>
                <c:pt idx="143">
                  <c:v>Dec-11</c:v>
                </c:pt>
                <c:pt idx="144">
                  <c:v>Jan-12</c:v>
                </c:pt>
                <c:pt idx="145">
                  <c:v>Feb-12</c:v>
                </c:pt>
                <c:pt idx="146">
                  <c:v>Mar-12</c:v>
                </c:pt>
                <c:pt idx="147">
                  <c:v>Apr-12</c:v>
                </c:pt>
                <c:pt idx="148">
                  <c:v>May-12</c:v>
                </c:pt>
                <c:pt idx="149">
                  <c:v>Jun-12</c:v>
                </c:pt>
                <c:pt idx="150">
                  <c:v>Jul-12</c:v>
                </c:pt>
                <c:pt idx="151">
                  <c:v>Aug-12</c:v>
                </c:pt>
                <c:pt idx="152">
                  <c:v>Sep-12</c:v>
                </c:pt>
                <c:pt idx="153">
                  <c:v>Oct-12</c:v>
                </c:pt>
                <c:pt idx="154">
                  <c:v>Nov-12</c:v>
                </c:pt>
                <c:pt idx="155">
                  <c:v>Dec-12</c:v>
                </c:pt>
                <c:pt idx="156">
                  <c:v>Jan-13</c:v>
                </c:pt>
                <c:pt idx="157">
                  <c:v>Feb-13</c:v>
                </c:pt>
                <c:pt idx="158">
                  <c:v>Mar-13</c:v>
                </c:pt>
                <c:pt idx="159">
                  <c:v>Apr-13</c:v>
                </c:pt>
                <c:pt idx="160">
                  <c:v>May-13</c:v>
                </c:pt>
                <c:pt idx="161">
                  <c:v>Jun-13</c:v>
                </c:pt>
                <c:pt idx="162">
                  <c:v>Jul-13</c:v>
                </c:pt>
                <c:pt idx="163">
                  <c:v>Aug-13</c:v>
                </c:pt>
                <c:pt idx="164">
                  <c:v>Sep-13</c:v>
                </c:pt>
                <c:pt idx="165">
                  <c:v>Oct-13</c:v>
                </c:pt>
                <c:pt idx="166">
                  <c:v>Nov-13</c:v>
                </c:pt>
                <c:pt idx="167">
                  <c:v>Dec-13</c:v>
                </c:pt>
                <c:pt idx="168">
                  <c:v>Jan-14</c:v>
                </c:pt>
                <c:pt idx="169">
                  <c:v>Feb-14</c:v>
                </c:pt>
                <c:pt idx="170">
                  <c:v>Mar-14</c:v>
                </c:pt>
                <c:pt idx="171">
                  <c:v>Apr-14</c:v>
                </c:pt>
              </c:strCache>
            </c:strRef>
          </c:cat>
          <c:val>
            <c:numRef>
              <c:f>'Pivot all'!$D$5:$D$177</c:f>
              <c:numCache>
                <c:formatCode>General</c:formatCode>
                <c:ptCount val="172"/>
                <c:pt idx="103" formatCode="#,##0">
                  <c:v>2048</c:v>
                </c:pt>
                <c:pt idx="104" formatCode="#,##0">
                  <c:v>6039</c:v>
                </c:pt>
                <c:pt idx="105" formatCode="#,##0">
                  <c:v>9517</c:v>
                </c:pt>
                <c:pt idx="106" formatCode="#,##0">
                  <c:v>11033</c:v>
                </c:pt>
                <c:pt idx="107" formatCode="#,##0">
                  <c:v>14809</c:v>
                </c:pt>
                <c:pt idx="108" formatCode="#,##0">
                  <c:v>10885</c:v>
                </c:pt>
                <c:pt idx="109" formatCode="#,##0">
                  <c:v>12208</c:v>
                </c:pt>
                <c:pt idx="110" formatCode="#,##0">
                  <c:v>14414</c:v>
                </c:pt>
                <c:pt idx="111" formatCode="#,##0">
                  <c:v>15195</c:v>
                </c:pt>
                <c:pt idx="112" formatCode="#,##0">
                  <c:v>16183</c:v>
                </c:pt>
                <c:pt idx="113" formatCode="#,##0">
                  <c:v>17199</c:v>
                </c:pt>
                <c:pt idx="114" formatCode="#,##0">
                  <c:v>18736</c:v>
                </c:pt>
                <c:pt idx="115" formatCode="#,##0">
                  <c:v>19100</c:v>
                </c:pt>
                <c:pt idx="116" formatCode="#,##0">
                  <c:v>20168</c:v>
                </c:pt>
                <c:pt idx="117" formatCode="#,##0">
                  <c:v>21675</c:v>
                </c:pt>
                <c:pt idx="118" formatCode="#,##0">
                  <c:v>21510</c:v>
                </c:pt>
                <c:pt idx="119" formatCode="#,##0">
                  <c:v>26100</c:v>
                </c:pt>
                <c:pt idx="120" formatCode="#,##0">
                  <c:v>17450</c:v>
                </c:pt>
                <c:pt idx="121" formatCode="#,##0">
                  <c:v>19723</c:v>
                </c:pt>
                <c:pt idx="122" formatCode="#,##0">
                  <c:v>23113</c:v>
                </c:pt>
                <c:pt idx="123" formatCode="#,##0">
                  <c:v>22165</c:v>
                </c:pt>
                <c:pt idx="124" formatCode="#,##0">
                  <c:v>23205</c:v>
                </c:pt>
                <c:pt idx="125" formatCode="#,##0">
                  <c:v>23491</c:v>
                </c:pt>
                <c:pt idx="126" formatCode="#,##0">
                  <c:v>24604</c:v>
                </c:pt>
                <c:pt idx="127" formatCode="#,##0">
                  <c:v>26497</c:v>
                </c:pt>
                <c:pt idx="128" formatCode="#,##0">
                  <c:v>27600</c:v>
                </c:pt>
                <c:pt idx="129" formatCode="#,##0">
                  <c:v>29050</c:v>
                </c:pt>
                <c:pt idx="130" formatCode="#,##0">
                  <c:v>31257</c:v>
                </c:pt>
                <c:pt idx="131" formatCode="#,##0">
                  <c:v>37628</c:v>
                </c:pt>
                <c:pt idx="132" formatCode="#,##0">
                  <c:v>25056</c:v>
                </c:pt>
                <c:pt idx="133" formatCode="#,##0">
                  <c:v>28158</c:v>
                </c:pt>
                <c:pt idx="134" formatCode="#,##0">
                  <c:v>33384</c:v>
                </c:pt>
                <c:pt idx="135" formatCode="#,##0">
                  <c:v>32195</c:v>
                </c:pt>
                <c:pt idx="136" formatCode="#,##0">
                  <c:v>34489</c:v>
                </c:pt>
                <c:pt idx="137" formatCode="#,##0">
                  <c:v>34314</c:v>
                </c:pt>
                <c:pt idx="138" formatCode="#,##0">
                  <c:v>35382</c:v>
                </c:pt>
                <c:pt idx="139" formatCode="#,##0">
                  <c:v>38086</c:v>
                </c:pt>
                <c:pt idx="140" formatCode="#,##0">
                  <c:v>37749</c:v>
                </c:pt>
                <c:pt idx="141" formatCode="#,##0">
                  <c:v>38967</c:v>
                </c:pt>
                <c:pt idx="142" formatCode="#,##0">
                  <c:v>40498</c:v>
                </c:pt>
                <c:pt idx="143" formatCode="#,##0">
                  <c:v>48686</c:v>
                </c:pt>
                <c:pt idx="144" formatCode="#,##0">
                  <c:v>32412</c:v>
                </c:pt>
                <c:pt idx="145" formatCode="#,##0">
                  <c:v>37463</c:v>
                </c:pt>
                <c:pt idx="146" formatCode="#,##0">
                  <c:v>42539</c:v>
                </c:pt>
                <c:pt idx="147" formatCode="#,##0">
                  <c:v>40293</c:v>
                </c:pt>
                <c:pt idx="148" formatCode="#,##0">
                  <c:v>45632</c:v>
                </c:pt>
                <c:pt idx="149" formatCode="#,##0">
                  <c:v>44273</c:v>
                </c:pt>
                <c:pt idx="150" formatCode="#,##0">
                  <c:v>46662</c:v>
                </c:pt>
                <c:pt idx="151" formatCode="#,##0">
                  <c:v>50426</c:v>
                </c:pt>
                <c:pt idx="152" formatCode="#,##0">
                  <c:v>48030</c:v>
                </c:pt>
                <c:pt idx="153" formatCode="#,##0">
                  <c:v>52945</c:v>
                </c:pt>
                <c:pt idx="154" formatCode="#,##0">
                  <c:v>54519</c:v>
                </c:pt>
                <c:pt idx="155" formatCode="#,##0">
                  <c:v>63098</c:v>
                </c:pt>
                <c:pt idx="156" formatCode="#,##0">
                  <c:v>45263</c:v>
                </c:pt>
                <c:pt idx="157" formatCode="#,##0">
                  <c:v>48387</c:v>
                </c:pt>
                <c:pt idx="158" formatCode="#,##0">
                  <c:v>53650</c:v>
                </c:pt>
                <c:pt idx="159" formatCode="#,##0">
                  <c:v>55501</c:v>
                </c:pt>
                <c:pt idx="160" formatCode="#,##0">
                  <c:v>59291</c:v>
                </c:pt>
                <c:pt idx="161" formatCode="#,##0">
                  <c:v>55481</c:v>
                </c:pt>
                <c:pt idx="162" formatCode="#,##0">
                  <c:v>61266</c:v>
                </c:pt>
                <c:pt idx="163" formatCode="#,##0">
                  <c:v>61632</c:v>
                </c:pt>
                <c:pt idx="164" formatCode="#,##0">
                  <c:v>59419</c:v>
                </c:pt>
                <c:pt idx="165" formatCode="#,##0">
                  <c:v>65198</c:v>
                </c:pt>
                <c:pt idx="166" formatCode="#,##0">
                  <c:v>64364</c:v>
                </c:pt>
                <c:pt idx="167" formatCode="#,##0">
                  <c:v>75903</c:v>
                </c:pt>
                <c:pt idx="168" formatCode="#,##0">
                  <c:v>53062</c:v>
                </c:pt>
                <c:pt idx="169" formatCode="#,##0">
                  <c:v>56148</c:v>
                </c:pt>
                <c:pt idx="170" formatCode="#,##0">
                  <c:v>63088</c:v>
                </c:pt>
                <c:pt idx="171" formatCode="#,##0">
                  <c:v>61483</c:v>
                </c:pt>
              </c:numCache>
            </c:numRef>
          </c:val>
          <c:smooth val="0"/>
        </c:ser>
        <c:ser>
          <c:idx val="3"/>
          <c:order val="3"/>
          <c:tx>
            <c:strRef>
              <c:f>'Pivot all'!$E$3:$E$4</c:f>
              <c:strCache>
                <c:ptCount val="1"/>
                <c:pt idx="0">
                  <c:v>Exenatide</c:v>
                </c:pt>
              </c:strCache>
            </c:strRef>
          </c:tx>
          <c:marker>
            <c:symbol val="none"/>
          </c:marker>
          <c:cat>
            <c:strRef>
              <c:f>'Pivot all'!$A$5:$A$177</c:f>
              <c:strCache>
                <c:ptCount val="172"/>
                <c:pt idx="0">
                  <c:v>Jan-00</c:v>
                </c:pt>
                <c:pt idx="1">
                  <c:v>Feb-00</c:v>
                </c:pt>
                <c:pt idx="2">
                  <c:v>Mar-00</c:v>
                </c:pt>
                <c:pt idx="3">
                  <c:v>Apr-00</c:v>
                </c:pt>
                <c:pt idx="4">
                  <c:v>May-00</c:v>
                </c:pt>
                <c:pt idx="5">
                  <c:v>Jun-00</c:v>
                </c:pt>
                <c:pt idx="6">
                  <c:v>Jul-00</c:v>
                </c:pt>
                <c:pt idx="7">
                  <c:v>Aug-00</c:v>
                </c:pt>
                <c:pt idx="8">
                  <c:v>Sep-00</c:v>
                </c:pt>
                <c:pt idx="9">
                  <c:v>Oct-00</c:v>
                </c:pt>
                <c:pt idx="10">
                  <c:v>Nov-00</c:v>
                </c:pt>
                <c:pt idx="11">
                  <c:v>Dec-00</c:v>
                </c:pt>
                <c:pt idx="12">
                  <c:v>Jan-01</c:v>
                </c:pt>
                <c:pt idx="13">
                  <c:v>Feb-01</c:v>
                </c:pt>
                <c:pt idx="14">
                  <c:v>Mar-01</c:v>
                </c:pt>
                <c:pt idx="15">
                  <c:v>Apr-01</c:v>
                </c:pt>
                <c:pt idx="16">
                  <c:v>May-01</c:v>
                </c:pt>
                <c:pt idx="17">
                  <c:v>Jun-01</c:v>
                </c:pt>
                <c:pt idx="18">
                  <c:v>Jul-01</c:v>
                </c:pt>
                <c:pt idx="19">
                  <c:v>Aug-01</c:v>
                </c:pt>
                <c:pt idx="20">
                  <c:v>Sep-01</c:v>
                </c:pt>
                <c:pt idx="21">
                  <c:v>Oct-01</c:v>
                </c:pt>
                <c:pt idx="22">
                  <c:v>Nov-01</c:v>
                </c:pt>
                <c:pt idx="23">
                  <c:v>Dec-01</c:v>
                </c:pt>
                <c:pt idx="24">
                  <c:v>Jan-02</c:v>
                </c:pt>
                <c:pt idx="25">
                  <c:v>Feb-02</c:v>
                </c:pt>
                <c:pt idx="26">
                  <c:v>Mar-02</c:v>
                </c:pt>
                <c:pt idx="27">
                  <c:v>Apr-02</c:v>
                </c:pt>
                <c:pt idx="28">
                  <c:v>May-02</c:v>
                </c:pt>
                <c:pt idx="29">
                  <c:v>Jun-02</c:v>
                </c:pt>
                <c:pt idx="30">
                  <c:v>Jul-02</c:v>
                </c:pt>
                <c:pt idx="31">
                  <c:v>Aug-02</c:v>
                </c:pt>
                <c:pt idx="32">
                  <c:v>Sep-02</c:v>
                </c:pt>
                <c:pt idx="33">
                  <c:v>Oct-02</c:v>
                </c:pt>
                <c:pt idx="34">
                  <c:v>Nov-02</c:v>
                </c:pt>
                <c:pt idx="35">
                  <c:v>Dec-02</c:v>
                </c:pt>
                <c:pt idx="36">
                  <c:v>Jan-03</c:v>
                </c:pt>
                <c:pt idx="37">
                  <c:v>Feb-03</c:v>
                </c:pt>
                <c:pt idx="38">
                  <c:v>Mar-03</c:v>
                </c:pt>
                <c:pt idx="39">
                  <c:v>Apr-03</c:v>
                </c:pt>
                <c:pt idx="40">
                  <c:v>May-03</c:v>
                </c:pt>
                <c:pt idx="41">
                  <c:v>Jun-03</c:v>
                </c:pt>
                <c:pt idx="42">
                  <c:v>Jul-03</c:v>
                </c:pt>
                <c:pt idx="43">
                  <c:v>Aug-03</c:v>
                </c:pt>
                <c:pt idx="44">
                  <c:v>Sep-03</c:v>
                </c:pt>
                <c:pt idx="45">
                  <c:v>Oct-03</c:v>
                </c:pt>
                <c:pt idx="46">
                  <c:v>Nov-03</c:v>
                </c:pt>
                <c:pt idx="47">
                  <c:v>Dec-03</c:v>
                </c:pt>
                <c:pt idx="48">
                  <c:v>Jan-04</c:v>
                </c:pt>
                <c:pt idx="49">
                  <c:v>Feb-04</c:v>
                </c:pt>
                <c:pt idx="50">
                  <c:v>Mar-04</c:v>
                </c:pt>
                <c:pt idx="51">
                  <c:v>Apr-04</c:v>
                </c:pt>
                <c:pt idx="52">
                  <c:v>May-04</c:v>
                </c:pt>
                <c:pt idx="53">
                  <c:v>Jun-04</c:v>
                </c:pt>
                <c:pt idx="54">
                  <c:v>Jul-04</c:v>
                </c:pt>
                <c:pt idx="55">
                  <c:v>Aug-04</c:v>
                </c:pt>
                <c:pt idx="56">
                  <c:v>Sep-04</c:v>
                </c:pt>
                <c:pt idx="57">
                  <c:v>Oct-04</c:v>
                </c:pt>
                <c:pt idx="58">
                  <c:v>Nov-04</c:v>
                </c:pt>
                <c:pt idx="59">
                  <c:v>Dec-04</c:v>
                </c:pt>
                <c:pt idx="60">
                  <c:v>Jan-05</c:v>
                </c:pt>
                <c:pt idx="61">
                  <c:v>Feb-05</c:v>
                </c:pt>
                <c:pt idx="62">
                  <c:v>Mar-05</c:v>
                </c:pt>
                <c:pt idx="63">
                  <c:v>Apr-05</c:v>
                </c:pt>
                <c:pt idx="64">
                  <c:v>May-05</c:v>
                </c:pt>
                <c:pt idx="65">
                  <c:v>Jun-05</c:v>
                </c:pt>
                <c:pt idx="66">
                  <c:v>Jul-05</c:v>
                </c:pt>
                <c:pt idx="67">
                  <c:v>Aug-05</c:v>
                </c:pt>
                <c:pt idx="68">
                  <c:v>Sep-05</c:v>
                </c:pt>
                <c:pt idx="69">
                  <c:v>Oct-05</c:v>
                </c:pt>
                <c:pt idx="70">
                  <c:v>Nov-05</c:v>
                </c:pt>
                <c:pt idx="71">
                  <c:v>Dec-05</c:v>
                </c:pt>
                <c:pt idx="72">
                  <c:v>Jan-06</c:v>
                </c:pt>
                <c:pt idx="73">
                  <c:v>Feb-06</c:v>
                </c:pt>
                <c:pt idx="74">
                  <c:v>Mar-06</c:v>
                </c:pt>
                <c:pt idx="75">
                  <c:v>Apr-06</c:v>
                </c:pt>
                <c:pt idx="76">
                  <c:v>May-06</c:v>
                </c:pt>
                <c:pt idx="77">
                  <c:v>Jun-06</c:v>
                </c:pt>
                <c:pt idx="78">
                  <c:v>Jul-06</c:v>
                </c:pt>
                <c:pt idx="79">
                  <c:v>Aug-06</c:v>
                </c:pt>
                <c:pt idx="80">
                  <c:v>Sep-06</c:v>
                </c:pt>
                <c:pt idx="81">
                  <c:v>Oct-06</c:v>
                </c:pt>
                <c:pt idx="82">
                  <c:v>Nov-06</c:v>
                </c:pt>
                <c:pt idx="83">
                  <c:v>Dec-06</c:v>
                </c:pt>
                <c:pt idx="84">
                  <c:v>Jan-07</c:v>
                </c:pt>
                <c:pt idx="85">
                  <c:v>Feb-07</c:v>
                </c:pt>
                <c:pt idx="86">
                  <c:v>Mar-07</c:v>
                </c:pt>
                <c:pt idx="87">
                  <c:v>Apr-07</c:v>
                </c:pt>
                <c:pt idx="88">
                  <c:v>May-07</c:v>
                </c:pt>
                <c:pt idx="89">
                  <c:v>Jun-07</c:v>
                </c:pt>
                <c:pt idx="90">
                  <c:v>Jul-07</c:v>
                </c:pt>
                <c:pt idx="91">
                  <c:v>Aug-07</c:v>
                </c:pt>
                <c:pt idx="92">
                  <c:v>Sep-07</c:v>
                </c:pt>
                <c:pt idx="93">
                  <c:v>Oct-07</c:v>
                </c:pt>
                <c:pt idx="94">
                  <c:v>Nov-07</c:v>
                </c:pt>
                <c:pt idx="95">
                  <c:v>Dec-07</c:v>
                </c:pt>
                <c:pt idx="96">
                  <c:v>Jan-08</c:v>
                </c:pt>
                <c:pt idx="97">
                  <c:v>Feb-08</c:v>
                </c:pt>
                <c:pt idx="98">
                  <c:v>Mar-08</c:v>
                </c:pt>
                <c:pt idx="99">
                  <c:v>Apr-08</c:v>
                </c:pt>
                <c:pt idx="100">
                  <c:v>May-08</c:v>
                </c:pt>
                <c:pt idx="101">
                  <c:v>Jun-08</c:v>
                </c:pt>
                <c:pt idx="102">
                  <c:v>Jul-08</c:v>
                </c:pt>
                <c:pt idx="103">
                  <c:v>Aug-08</c:v>
                </c:pt>
                <c:pt idx="104">
                  <c:v>Sep-08</c:v>
                </c:pt>
                <c:pt idx="105">
                  <c:v>Oct-08</c:v>
                </c:pt>
                <c:pt idx="106">
                  <c:v>Nov-08</c:v>
                </c:pt>
                <c:pt idx="107">
                  <c:v>Dec-08</c:v>
                </c:pt>
                <c:pt idx="108">
                  <c:v>Jan-09</c:v>
                </c:pt>
                <c:pt idx="109">
                  <c:v>Feb-09</c:v>
                </c:pt>
                <c:pt idx="110">
                  <c:v>Mar-09</c:v>
                </c:pt>
                <c:pt idx="111">
                  <c:v>Apr-09</c:v>
                </c:pt>
                <c:pt idx="112">
                  <c:v>May-09</c:v>
                </c:pt>
                <c:pt idx="113">
                  <c:v>Jun-09</c:v>
                </c:pt>
                <c:pt idx="114">
                  <c:v>Jul-09</c:v>
                </c:pt>
                <c:pt idx="115">
                  <c:v>Aug-09</c:v>
                </c:pt>
                <c:pt idx="116">
                  <c:v>Sep-09</c:v>
                </c:pt>
                <c:pt idx="117">
                  <c:v>Oct-09</c:v>
                </c:pt>
                <c:pt idx="118">
                  <c:v>Nov-09</c:v>
                </c:pt>
                <c:pt idx="119">
                  <c:v>Dec-09</c:v>
                </c:pt>
                <c:pt idx="120">
                  <c:v>Jan-10</c:v>
                </c:pt>
                <c:pt idx="121">
                  <c:v>Feb-10</c:v>
                </c:pt>
                <c:pt idx="122">
                  <c:v>Mar-10</c:v>
                </c:pt>
                <c:pt idx="123">
                  <c:v>Apr-10</c:v>
                </c:pt>
                <c:pt idx="124">
                  <c:v>May-10</c:v>
                </c:pt>
                <c:pt idx="125">
                  <c:v>Jun-10</c:v>
                </c:pt>
                <c:pt idx="126">
                  <c:v>Jul-10</c:v>
                </c:pt>
                <c:pt idx="127">
                  <c:v>Aug-10</c:v>
                </c:pt>
                <c:pt idx="128">
                  <c:v>Sep-10</c:v>
                </c:pt>
                <c:pt idx="129">
                  <c:v>Oct-10</c:v>
                </c:pt>
                <c:pt idx="130">
                  <c:v>Nov-10</c:v>
                </c:pt>
                <c:pt idx="131">
                  <c:v>Dec-10</c:v>
                </c:pt>
                <c:pt idx="132">
                  <c:v>Jan-11</c:v>
                </c:pt>
                <c:pt idx="133">
                  <c:v>Feb-11</c:v>
                </c:pt>
                <c:pt idx="134">
                  <c:v>Mar-11</c:v>
                </c:pt>
                <c:pt idx="135">
                  <c:v>Apr-11</c:v>
                </c:pt>
                <c:pt idx="136">
                  <c:v>May-11</c:v>
                </c:pt>
                <c:pt idx="137">
                  <c:v>Jun-11</c:v>
                </c:pt>
                <c:pt idx="138">
                  <c:v>Jul-11</c:v>
                </c:pt>
                <c:pt idx="139">
                  <c:v>Aug-11</c:v>
                </c:pt>
                <c:pt idx="140">
                  <c:v>Sep-11</c:v>
                </c:pt>
                <c:pt idx="141">
                  <c:v>Oct-11</c:v>
                </c:pt>
                <c:pt idx="142">
                  <c:v>Nov-11</c:v>
                </c:pt>
                <c:pt idx="143">
                  <c:v>Dec-11</c:v>
                </c:pt>
                <c:pt idx="144">
                  <c:v>Jan-12</c:v>
                </c:pt>
                <c:pt idx="145">
                  <c:v>Feb-12</c:v>
                </c:pt>
                <c:pt idx="146">
                  <c:v>Mar-12</c:v>
                </c:pt>
                <c:pt idx="147">
                  <c:v>Apr-12</c:v>
                </c:pt>
                <c:pt idx="148">
                  <c:v>May-12</c:v>
                </c:pt>
                <c:pt idx="149">
                  <c:v>Jun-12</c:v>
                </c:pt>
                <c:pt idx="150">
                  <c:v>Jul-12</c:v>
                </c:pt>
                <c:pt idx="151">
                  <c:v>Aug-12</c:v>
                </c:pt>
                <c:pt idx="152">
                  <c:v>Sep-12</c:v>
                </c:pt>
                <c:pt idx="153">
                  <c:v>Oct-12</c:v>
                </c:pt>
                <c:pt idx="154">
                  <c:v>Nov-12</c:v>
                </c:pt>
                <c:pt idx="155">
                  <c:v>Dec-12</c:v>
                </c:pt>
                <c:pt idx="156">
                  <c:v>Jan-13</c:v>
                </c:pt>
                <c:pt idx="157">
                  <c:v>Feb-13</c:v>
                </c:pt>
                <c:pt idx="158">
                  <c:v>Mar-13</c:v>
                </c:pt>
                <c:pt idx="159">
                  <c:v>Apr-13</c:v>
                </c:pt>
                <c:pt idx="160">
                  <c:v>May-13</c:v>
                </c:pt>
                <c:pt idx="161">
                  <c:v>Jun-13</c:v>
                </c:pt>
                <c:pt idx="162">
                  <c:v>Jul-13</c:v>
                </c:pt>
                <c:pt idx="163">
                  <c:v>Aug-13</c:v>
                </c:pt>
                <c:pt idx="164">
                  <c:v>Sep-13</c:v>
                </c:pt>
                <c:pt idx="165">
                  <c:v>Oct-13</c:v>
                </c:pt>
                <c:pt idx="166">
                  <c:v>Nov-13</c:v>
                </c:pt>
                <c:pt idx="167">
                  <c:v>Dec-13</c:v>
                </c:pt>
                <c:pt idx="168">
                  <c:v>Jan-14</c:v>
                </c:pt>
                <c:pt idx="169">
                  <c:v>Feb-14</c:v>
                </c:pt>
                <c:pt idx="170">
                  <c:v>Mar-14</c:v>
                </c:pt>
                <c:pt idx="171">
                  <c:v>Apr-14</c:v>
                </c:pt>
              </c:strCache>
            </c:strRef>
          </c:cat>
          <c:val>
            <c:numRef>
              <c:f>'Pivot all'!$E$5:$E$177</c:f>
              <c:numCache>
                <c:formatCode>General</c:formatCode>
                <c:ptCount val="172"/>
                <c:pt idx="127" formatCode="#,##0">
                  <c:v>772</c:v>
                </c:pt>
                <c:pt idx="128" formatCode="#,##0">
                  <c:v>1254</c:v>
                </c:pt>
                <c:pt idx="129" formatCode="#,##0">
                  <c:v>1669</c:v>
                </c:pt>
                <c:pt idx="130" formatCode="#,##0">
                  <c:v>2259</c:v>
                </c:pt>
                <c:pt idx="131" formatCode="#,##0">
                  <c:v>3144</c:v>
                </c:pt>
                <c:pt idx="132" formatCode="#,##0">
                  <c:v>2191</c:v>
                </c:pt>
                <c:pt idx="133" formatCode="#,##0">
                  <c:v>2624</c:v>
                </c:pt>
                <c:pt idx="134" formatCode="#,##0">
                  <c:v>3444</c:v>
                </c:pt>
                <c:pt idx="135" formatCode="#,##0">
                  <c:v>3431</c:v>
                </c:pt>
                <c:pt idx="136" formatCode="#,##0">
                  <c:v>4039</c:v>
                </c:pt>
                <c:pt idx="137" formatCode="#,##0">
                  <c:v>4237</c:v>
                </c:pt>
                <c:pt idx="138" formatCode="#,##0">
                  <c:v>4563</c:v>
                </c:pt>
                <c:pt idx="139" formatCode="#,##0">
                  <c:v>5212</c:v>
                </c:pt>
                <c:pt idx="140" formatCode="#,##0">
                  <c:v>5375</c:v>
                </c:pt>
                <c:pt idx="141" formatCode="#,##0">
                  <c:v>5688</c:v>
                </c:pt>
                <c:pt idx="142" formatCode="#,##0">
                  <c:v>6341</c:v>
                </c:pt>
                <c:pt idx="143" formatCode="#,##0">
                  <c:v>8321</c:v>
                </c:pt>
                <c:pt idx="144" formatCode="#,##0">
                  <c:v>5228</c:v>
                </c:pt>
                <c:pt idx="145" formatCode="#,##0">
                  <c:v>6314</c:v>
                </c:pt>
                <c:pt idx="146" formatCode="#,##0">
                  <c:v>7339</c:v>
                </c:pt>
                <c:pt idx="147" formatCode="#,##0">
                  <c:v>7110</c:v>
                </c:pt>
                <c:pt idx="148" formatCode="#,##0">
                  <c:v>8026</c:v>
                </c:pt>
                <c:pt idx="149" formatCode="#,##0">
                  <c:v>8016</c:v>
                </c:pt>
                <c:pt idx="150" formatCode="#,##0">
                  <c:v>8429</c:v>
                </c:pt>
                <c:pt idx="151" formatCode="#,##0">
                  <c:v>9139</c:v>
                </c:pt>
                <c:pt idx="152" formatCode="#,##0">
                  <c:v>8986</c:v>
                </c:pt>
                <c:pt idx="153" formatCode="#,##0">
                  <c:v>10029</c:v>
                </c:pt>
                <c:pt idx="154" formatCode="#,##0">
                  <c:v>10447</c:v>
                </c:pt>
                <c:pt idx="155" formatCode="#,##0">
                  <c:v>13107</c:v>
                </c:pt>
                <c:pt idx="156" formatCode="#,##0">
                  <c:v>8355</c:v>
                </c:pt>
                <c:pt idx="157" formatCode="#,##0">
                  <c:v>9198</c:v>
                </c:pt>
                <c:pt idx="158" formatCode="#,##0">
                  <c:v>10562</c:v>
                </c:pt>
                <c:pt idx="159" formatCode="#,##0">
                  <c:v>10802</c:v>
                </c:pt>
                <c:pt idx="160" formatCode="#,##0">
                  <c:v>11698</c:v>
                </c:pt>
                <c:pt idx="161" formatCode="#,##0">
                  <c:v>11297</c:v>
                </c:pt>
                <c:pt idx="162" formatCode="#,##0">
                  <c:v>12397</c:v>
                </c:pt>
                <c:pt idx="163" formatCode="#,##0">
                  <c:v>13005</c:v>
                </c:pt>
                <c:pt idx="164" formatCode="#,##0">
                  <c:v>12759</c:v>
                </c:pt>
                <c:pt idx="165" formatCode="#,##0">
                  <c:v>14163</c:v>
                </c:pt>
                <c:pt idx="166" formatCode="#,##0">
                  <c:v>14607</c:v>
                </c:pt>
                <c:pt idx="167" formatCode="#,##0">
                  <c:v>18104</c:v>
                </c:pt>
                <c:pt idx="168" formatCode="#,##0">
                  <c:v>11166</c:v>
                </c:pt>
                <c:pt idx="169" formatCode="#,##0">
                  <c:v>12231</c:v>
                </c:pt>
                <c:pt idx="170" formatCode="#,##0">
                  <c:v>13918</c:v>
                </c:pt>
                <c:pt idx="171" formatCode="#,##0">
                  <c:v>13775</c:v>
                </c:pt>
              </c:numCache>
            </c:numRef>
          </c:val>
          <c:smooth val="0"/>
        </c:ser>
        <c:ser>
          <c:idx val="4"/>
          <c:order val="4"/>
          <c:tx>
            <c:strRef>
              <c:f>'Pivot all'!$F$3:$F$4</c:f>
              <c:strCache>
                <c:ptCount val="1"/>
                <c:pt idx="0">
                  <c:v>Insulins</c:v>
                </c:pt>
              </c:strCache>
            </c:strRef>
          </c:tx>
          <c:marker>
            <c:symbol val="none"/>
          </c:marker>
          <c:cat>
            <c:strRef>
              <c:f>'Pivot all'!$A$5:$A$177</c:f>
              <c:strCache>
                <c:ptCount val="172"/>
                <c:pt idx="0">
                  <c:v>Jan-00</c:v>
                </c:pt>
                <c:pt idx="1">
                  <c:v>Feb-00</c:v>
                </c:pt>
                <c:pt idx="2">
                  <c:v>Mar-00</c:v>
                </c:pt>
                <c:pt idx="3">
                  <c:v>Apr-00</c:v>
                </c:pt>
                <c:pt idx="4">
                  <c:v>May-00</c:v>
                </c:pt>
                <c:pt idx="5">
                  <c:v>Jun-00</c:v>
                </c:pt>
                <c:pt idx="6">
                  <c:v>Jul-00</c:v>
                </c:pt>
                <c:pt idx="7">
                  <c:v>Aug-00</c:v>
                </c:pt>
                <c:pt idx="8">
                  <c:v>Sep-00</c:v>
                </c:pt>
                <c:pt idx="9">
                  <c:v>Oct-00</c:v>
                </c:pt>
                <c:pt idx="10">
                  <c:v>Nov-00</c:v>
                </c:pt>
                <c:pt idx="11">
                  <c:v>Dec-00</c:v>
                </c:pt>
                <c:pt idx="12">
                  <c:v>Jan-01</c:v>
                </c:pt>
                <c:pt idx="13">
                  <c:v>Feb-01</c:v>
                </c:pt>
                <c:pt idx="14">
                  <c:v>Mar-01</c:v>
                </c:pt>
                <c:pt idx="15">
                  <c:v>Apr-01</c:v>
                </c:pt>
                <c:pt idx="16">
                  <c:v>May-01</c:v>
                </c:pt>
                <c:pt idx="17">
                  <c:v>Jun-01</c:v>
                </c:pt>
                <c:pt idx="18">
                  <c:v>Jul-01</c:v>
                </c:pt>
                <c:pt idx="19">
                  <c:v>Aug-01</c:v>
                </c:pt>
                <c:pt idx="20">
                  <c:v>Sep-01</c:v>
                </c:pt>
                <c:pt idx="21">
                  <c:v>Oct-01</c:v>
                </c:pt>
                <c:pt idx="22">
                  <c:v>Nov-01</c:v>
                </c:pt>
                <c:pt idx="23">
                  <c:v>Dec-01</c:v>
                </c:pt>
                <c:pt idx="24">
                  <c:v>Jan-02</c:v>
                </c:pt>
                <c:pt idx="25">
                  <c:v>Feb-02</c:v>
                </c:pt>
                <c:pt idx="26">
                  <c:v>Mar-02</c:v>
                </c:pt>
                <c:pt idx="27">
                  <c:v>Apr-02</c:v>
                </c:pt>
                <c:pt idx="28">
                  <c:v>May-02</c:v>
                </c:pt>
                <c:pt idx="29">
                  <c:v>Jun-02</c:v>
                </c:pt>
                <c:pt idx="30">
                  <c:v>Jul-02</c:v>
                </c:pt>
                <c:pt idx="31">
                  <c:v>Aug-02</c:v>
                </c:pt>
                <c:pt idx="32">
                  <c:v>Sep-02</c:v>
                </c:pt>
                <c:pt idx="33">
                  <c:v>Oct-02</c:v>
                </c:pt>
                <c:pt idx="34">
                  <c:v>Nov-02</c:v>
                </c:pt>
                <c:pt idx="35">
                  <c:v>Dec-02</c:v>
                </c:pt>
                <c:pt idx="36">
                  <c:v>Jan-03</c:v>
                </c:pt>
                <c:pt idx="37">
                  <c:v>Feb-03</c:v>
                </c:pt>
                <c:pt idx="38">
                  <c:v>Mar-03</c:v>
                </c:pt>
                <c:pt idx="39">
                  <c:v>Apr-03</c:v>
                </c:pt>
                <c:pt idx="40">
                  <c:v>May-03</c:v>
                </c:pt>
                <c:pt idx="41">
                  <c:v>Jun-03</c:v>
                </c:pt>
                <c:pt idx="42">
                  <c:v>Jul-03</c:v>
                </c:pt>
                <c:pt idx="43">
                  <c:v>Aug-03</c:v>
                </c:pt>
                <c:pt idx="44">
                  <c:v>Sep-03</c:v>
                </c:pt>
                <c:pt idx="45">
                  <c:v>Oct-03</c:v>
                </c:pt>
                <c:pt idx="46">
                  <c:v>Nov-03</c:v>
                </c:pt>
                <c:pt idx="47">
                  <c:v>Dec-03</c:v>
                </c:pt>
                <c:pt idx="48">
                  <c:v>Jan-04</c:v>
                </c:pt>
                <c:pt idx="49">
                  <c:v>Feb-04</c:v>
                </c:pt>
                <c:pt idx="50">
                  <c:v>Mar-04</c:v>
                </c:pt>
                <c:pt idx="51">
                  <c:v>Apr-04</c:v>
                </c:pt>
                <c:pt idx="52">
                  <c:v>May-04</c:v>
                </c:pt>
                <c:pt idx="53">
                  <c:v>Jun-04</c:v>
                </c:pt>
                <c:pt idx="54">
                  <c:v>Jul-04</c:v>
                </c:pt>
                <c:pt idx="55">
                  <c:v>Aug-04</c:v>
                </c:pt>
                <c:pt idx="56">
                  <c:v>Sep-04</c:v>
                </c:pt>
                <c:pt idx="57">
                  <c:v>Oct-04</c:v>
                </c:pt>
                <c:pt idx="58">
                  <c:v>Nov-04</c:v>
                </c:pt>
                <c:pt idx="59">
                  <c:v>Dec-04</c:v>
                </c:pt>
                <c:pt idx="60">
                  <c:v>Jan-05</c:v>
                </c:pt>
                <c:pt idx="61">
                  <c:v>Feb-05</c:v>
                </c:pt>
                <c:pt idx="62">
                  <c:v>Mar-05</c:v>
                </c:pt>
                <c:pt idx="63">
                  <c:v>Apr-05</c:v>
                </c:pt>
                <c:pt idx="64">
                  <c:v>May-05</c:v>
                </c:pt>
                <c:pt idx="65">
                  <c:v>Jun-05</c:v>
                </c:pt>
                <c:pt idx="66">
                  <c:v>Jul-05</c:v>
                </c:pt>
                <c:pt idx="67">
                  <c:v>Aug-05</c:v>
                </c:pt>
                <c:pt idx="68">
                  <c:v>Sep-05</c:v>
                </c:pt>
                <c:pt idx="69">
                  <c:v>Oct-05</c:v>
                </c:pt>
                <c:pt idx="70">
                  <c:v>Nov-05</c:v>
                </c:pt>
                <c:pt idx="71">
                  <c:v>Dec-05</c:v>
                </c:pt>
                <c:pt idx="72">
                  <c:v>Jan-06</c:v>
                </c:pt>
                <c:pt idx="73">
                  <c:v>Feb-06</c:v>
                </c:pt>
                <c:pt idx="74">
                  <c:v>Mar-06</c:v>
                </c:pt>
                <c:pt idx="75">
                  <c:v>Apr-06</c:v>
                </c:pt>
                <c:pt idx="76">
                  <c:v>May-06</c:v>
                </c:pt>
                <c:pt idx="77">
                  <c:v>Jun-06</c:v>
                </c:pt>
                <c:pt idx="78">
                  <c:v>Jul-06</c:v>
                </c:pt>
                <c:pt idx="79">
                  <c:v>Aug-06</c:v>
                </c:pt>
                <c:pt idx="80">
                  <c:v>Sep-06</c:v>
                </c:pt>
                <c:pt idx="81">
                  <c:v>Oct-06</c:v>
                </c:pt>
                <c:pt idx="82">
                  <c:v>Nov-06</c:v>
                </c:pt>
                <c:pt idx="83">
                  <c:v>Dec-06</c:v>
                </c:pt>
                <c:pt idx="84">
                  <c:v>Jan-07</c:v>
                </c:pt>
                <c:pt idx="85">
                  <c:v>Feb-07</c:v>
                </c:pt>
                <c:pt idx="86">
                  <c:v>Mar-07</c:v>
                </c:pt>
                <c:pt idx="87">
                  <c:v>Apr-07</c:v>
                </c:pt>
                <c:pt idx="88">
                  <c:v>May-07</c:v>
                </c:pt>
                <c:pt idx="89">
                  <c:v>Jun-07</c:v>
                </c:pt>
                <c:pt idx="90">
                  <c:v>Jul-07</c:v>
                </c:pt>
                <c:pt idx="91">
                  <c:v>Aug-07</c:v>
                </c:pt>
                <c:pt idx="92">
                  <c:v>Sep-07</c:v>
                </c:pt>
                <c:pt idx="93">
                  <c:v>Oct-07</c:v>
                </c:pt>
                <c:pt idx="94">
                  <c:v>Nov-07</c:v>
                </c:pt>
                <c:pt idx="95">
                  <c:v>Dec-07</c:v>
                </c:pt>
                <c:pt idx="96">
                  <c:v>Jan-08</c:v>
                </c:pt>
                <c:pt idx="97">
                  <c:v>Feb-08</c:v>
                </c:pt>
                <c:pt idx="98">
                  <c:v>Mar-08</c:v>
                </c:pt>
                <c:pt idx="99">
                  <c:v>Apr-08</c:v>
                </c:pt>
                <c:pt idx="100">
                  <c:v>May-08</c:v>
                </c:pt>
                <c:pt idx="101">
                  <c:v>Jun-08</c:v>
                </c:pt>
                <c:pt idx="102">
                  <c:v>Jul-08</c:v>
                </c:pt>
                <c:pt idx="103">
                  <c:v>Aug-08</c:v>
                </c:pt>
                <c:pt idx="104">
                  <c:v>Sep-08</c:v>
                </c:pt>
                <c:pt idx="105">
                  <c:v>Oct-08</c:v>
                </c:pt>
                <c:pt idx="106">
                  <c:v>Nov-08</c:v>
                </c:pt>
                <c:pt idx="107">
                  <c:v>Dec-08</c:v>
                </c:pt>
                <c:pt idx="108">
                  <c:v>Jan-09</c:v>
                </c:pt>
                <c:pt idx="109">
                  <c:v>Feb-09</c:v>
                </c:pt>
                <c:pt idx="110">
                  <c:v>Mar-09</c:v>
                </c:pt>
                <c:pt idx="111">
                  <c:v>Apr-09</c:v>
                </c:pt>
                <c:pt idx="112">
                  <c:v>May-09</c:v>
                </c:pt>
                <c:pt idx="113">
                  <c:v>Jun-09</c:v>
                </c:pt>
                <c:pt idx="114">
                  <c:v>Jul-09</c:v>
                </c:pt>
                <c:pt idx="115">
                  <c:v>Aug-09</c:v>
                </c:pt>
                <c:pt idx="116">
                  <c:v>Sep-09</c:v>
                </c:pt>
                <c:pt idx="117">
                  <c:v>Oct-09</c:v>
                </c:pt>
                <c:pt idx="118">
                  <c:v>Nov-09</c:v>
                </c:pt>
                <c:pt idx="119">
                  <c:v>Dec-09</c:v>
                </c:pt>
                <c:pt idx="120">
                  <c:v>Jan-10</c:v>
                </c:pt>
                <c:pt idx="121">
                  <c:v>Feb-10</c:v>
                </c:pt>
                <c:pt idx="122">
                  <c:v>Mar-10</c:v>
                </c:pt>
                <c:pt idx="123">
                  <c:v>Apr-10</c:v>
                </c:pt>
                <c:pt idx="124">
                  <c:v>May-10</c:v>
                </c:pt>
                <c:pt idx="125">
                  <c:v>Jun-10</c:v>
                </c:pt>
                <c:pt idx="126">
                  <c:v>Jul-10</c:v>
                </c:pt>
                <c:pt idx="127">
                  <c:v>Aug-10</c:v>
                </c:pt>
                <c:pt idx="128">
                  <c:v>Sep-10</c:v>
                </c:pt>
                <c:pt idx="129">
                  <c:v>Oct-10</c:v>
                </c:pt>
                <c:pt idx="130">
                  <c:v>Nov-10</c:v>
                </c:pt>
                <c:pt idx="131">
                  <c:v>Dec-10</c:v>
                </c:pt>
                <c:pt idx="132">
                  <c:v>Jan-11</c:v>
                </c:pt>
                <c:pt idx="133">
                  <c:v>Feb-11</c:v>
                </c:pt>
                <c:pt idx="134">
                  <c:v>Mar-11</c:v>
                </c:pt>
                <c:pt idx="135">
                  <c:v>Apr-11</c:v>
                </c:pt>
                <c:pt idx="136">
                  <c:v>May-11</c:v>
                </c:pt>
                <c:pt idx="137">
                  <c:v>Jun-11</c:v>
                </c:pt>
                <c:pt idx="138">
                  <c:v>Jul-11</c:v>
                </c:pt>
                <c:pt idx="139">
                  <c:v>Aug-11</c:v>
                </c:pt>
                <c:pt idx="140">
                  <c:v>Sep-11</c:v>
                </c:pt>
                <c:pt idx="141">
                  <c:v>Oct-11</c:v>
                </c:pt>
                <c:pt idx="142">
                  <c:v>Nov-11</c:v>
                </c:pt>
                <c:pt idx="143">
                  <c:v>Dec-11</c:v>
                </c:pt>
                <c:pt idx="144">
                  <c:v>Jan-12</c:v>
                </c:pt>
                <c:pt idx="145">
                  <c:v>Feb-12</c:v>
                </c:pt>
                <c:pt idx="146">
                  <c:v>Mar-12</c:v>
                </c:pt>
                <c:pt idx="147">
                  <c:v>Apr-12</c:v>
                </c:pt>
                <c:pt idx="148">
                  <c:v>May-12</c:v>
                </c:pt>
                <c:pt idx="149">
                  <c:v>Jun-12</c:v>
                </c:pt>
                <c:pt idx="150">
                  <c:v>Jul-12</c:v>
                </c:pt>
                <c:pt idx="151">
                  <c:v>Aug-12</c:v>
                </c:pt>
                <c:pt idx="152">
                  <c:v>Sep-12</c:v>
                </c:pt>
                <c:pt idx="153">
                  <c:v>Oct-12</c:v>
                </c:pt>
                <c:pt idx="154">
                  <c:v>Nov-12</c:v>
                </c:pt>
                <c:pt idx="155">
                  <c:v>Dec-12</c:v>
                </c:pt>
                <c:pt idx="156">
                  <c:v>Jan-13</c:v>
                </c:pt>
                <c:pt idx="157">
                  <c:v>Feb-13</c:v>
                </c:pt>
                <c:pt idx="158">
                  <c:v>Mar-13</c:v>
                </c:pt>
                <c:pt idx="159">
                  <c:v>Apr-13</c:v>
                </c:pt>
                <c:pt idx="160">
                  <c:v>May-13</c:v>
                </c:pt>
                <c:pt idx="161">
                  <c:v>Jun-13</c:v>
                </c:pt>
                <c:pt idx="162">
                  <c:v>Jul-13</c:v>
                </c:pt>
                <c:pt idx="163">
                  <c:v>Aug-13</c:v>
                </c:pt>
                <c:pt idx="164">
                  <c:v>Sep-13</c:v>
                </c:pt>
                <c:pt idx="165">
                  <c:v>Oct-13</c:v>
                </c:pt>
                <c:pt idx="166">
                  <c:v>Nov-13</c:v>
                </c:pt>
                <c:pt idx="167">
                  <c:v>Dec-13</c:v>
                </c:pt>
                <c:pt idx="168">
                  <c:v>Jan-14</c:v>
                </c:pt>
                <c:pt idx="169">
                  <c:v>Feb-14</c:v>
                </c:pt>
                <c:pt idx="170">
                  <c:v>Mar-14</c:v>
                </c:pt>
                <c:pt idx="171">
                  <c:v>Apr-14</c:v>
                </c:pt>
              </c:strCache>
            </c:strRef>
          </c:cat>
          <c:val>
            <c:numRef>
              <c:f>'Pivot all'!$F$5:$F$177</c:f>
              <c:numCache>
                <c:formatCode>#,##0</c:formatCode>
                <c:ptCount val="172"/>
                <c:pt idx="0">
                  <c:v>27569</c:v>
                </c:pt>
                <c:pt idx="1">
                  <c:v>32032</c:v>
                </c:pt>
                <c:pt idx="2">
                  <c:v>36832</c:v>
                </c:pt>
                <c:pt idx="3">
                  <c:v>34275</c:v>
                </c:pt>
                <c:pt idx="4">
                  <c:v>39505</c:v>
                </c:pt>
                <c:pt idx="5">
                  <c:v>39369</c:v>
                </c:pt>
                <c:pt idx="6">
                  <c:v>38129</c:v>
                </c:pt>
                <c:pt idx="7">
                  <c:v>42429</c:v>
                </c:pt>
                <c:pt idx="8">
                  <c:v>39617</c:v>
                </c:pt>
                <c:pt idx="9">
                  <c:v>41849</c:v>
                </c:pt>
                <c:pt idx="10">
                  <c:v>43320</c:v>
                </c:pt>
                <c:pt idx="11">
                  <c:v>55057</c:v>
                </c:pt>
                <c:pt idx="12">
                  <c:v>32614</c:v>
                </c:pt>
                <c:pt idx="13">
                  <c:v>33905</c:v>
                </c:pt>
                <c:pt idx="14">
                  <c:v>40019</c:v>
                </c:pt>
                <c:pt idx="15">
                  <c:v>38126</c:v>
                </c:pt>
                <c:pt idx="16">
                  <c:v>42008</c:v>
                </c:pt>
                <c:pt idx="17">
                  <c:v>40370</c:v>
                </c:pt>
                <c:pt idx="18">
                  <c:v>41306</c:v>
                </c:pt>
                <c:pt idx="19">
                  <c:v>44036</c:v>
                </c:pt>
                <c:pt idx="20">
                  <c:v>41140</c:v>
                </c:pt>
                <c:pt idx="21">
                  <c:v>45246</c:v>
                </c:pt>
                <c:pt idx="22">
                  <c:v>46682</c:v>
                </c:pt>
                <c:pt idx="23">
                  <c:v>58097</c:v>
                </c:pt>
                <c:pt idx="24">
                  <c:v>34164</c:v>
                </c:pt>
                <c:pt idx="25">
                  <c:v>35709</c:v>
                </c:pt>
                <c:pt idx="26">
                  <c:v>39751</c:v>
                </c:pt>
                <c:pt idx="27">
                  <c:v>41694</c:v>
                </c:pt>
                <c:pt idx="28">
                  <c:v>46029</c:v>
                </c:pt>
                <c:pt idx="29">
                  <c:v>40362</c:v>
                </c:pt>
                <c:pt idx="30">
                  <c:v>44350</c:v>
                </c:pt>
                <c:pt idx="31">
                  <c:v>44880</c:v>
                </c:pt>
                <c:pt idx="32">
                  <c:v>42927</c:v>
                </c:pt>
                <c:pt idx="33">
                  <c:v>46646</c:v>
                </c:pt>
                <c:pt idx="34">
                  <c:v>47698</c:v>
                </c:pt>
                <c:pt idx="35">
                  <c:v>62489</c:v>
                </c:pt>
                <c:pt idx="36">
                  <c:v>35299</c:v>
                </c:pt>
                <c:pt idx="37">
                  <c:v>36728</c:v>
                </c:pt>
                <c:pt idx="38">
                  <c:v>42043</c:v>
                </c:pt>
                <c:pt idx="39">
                  <c:v>41597</c:v>
                </c:pt>
                <c:pt idx="40">
                  <c:v>45537</c:v>
                </c:pt>
                <c:pt idx="41">
                  <c:v>43338</c:v>
                </c:pt>
                <c:pt idx="42">
                  <c:v>46665</c:v>
                </c:pt>
                <c:pt idx="43">
                  <c:v>45106</c:v>
                </c:pt>
                <c:pt idx="44">
                  <c:v>45662</c:v>
                </c:pt>
                <c:pt idx="45">
                  <c:v>49521</c:v>
                </c:pt>
                <c:pt idx="46">
                  <c:v>46747</c:v>
                </c:pt>
                <c:pt idx="47">
                  <c:v>66564</c:v>
                </c:pt>
                <c:pt idx="48">
                  <c:v>36209</c:v>
                </c:pt>
                <c:pt idx="49">
                  <c:v>38551</c:v>
                </c:pt>
                <c:pt idx="50">
                  <c:v>45321</c:v>
                </c:pt>
                <c:pt idx="51">
                  <c:v>44400</c:v>
                </c:pt>
                <c:pt idx="52">
                  <c:v>45204</c:v>
                </c:pt>
                <c:pt idx="53">
                  <c:v>46552</c:v>
                </c:pt>
                <c:pt idx="54">
                  <c:v>48308</c:v>
                </c:pt>
                <c:pt idx="55">
                  <c:v>47845</c:v>
                </c:pt>
                <c:pt idx="56">
                  <c:v>48272</c:v>
                </c:pt>
                <c:pt idx="57">
                  <c:v>49201</c:v>
                </c:pt>
                <c:pt idx="58">
                  <c:v>52247</c:v>
                </c:pt>
                <c:pt idx="59">
                  <c:v>70869</c:v>
                </c:pt>
                <c:pt idx="60">
                  <c:v>35748</c:v>
                </c:pt>
                <c:pt idx="61">
                  <c:v>39356</c:v>
                </c:pt>
                <c:pt idx="62">
                  <c:v>45535</c:v>
                </c:pt>
                <c:pt idx="63">
                  <c:v>45912</c:v>
                </c:pt>
                <c:pt idx="64">
                  <c:v>48118</c:v>
                </c:pt>
                <c:pt idx="65">
                  <c:v>48140</c:v>
                </c:pt>
                <c:pt idx="66">
                  <c:v>49113</c:v>
                </c:pt>
                <c:pt idx="67">
                  <c:v>51367</c:v>
                </c:pt>
                <c:pt idx="68">
                  <c:v>49800</c:v>
                </c:pt>
                <c:pt idx="69">
                  <c:v>50251</c:v>
                </c:pt>
                <c:pt idx="70">
                  <c:v>53784</c:v>
                </c:pt>
                <c:pt idx="71">
                  <c:v>70589</c:v>
                </c:pt>
                <c:pt idx="72">
                  <c:v>36463</c:v>
                </c:pt>
                <c:pt idx="73">
                  <c:v>40208</c:v>
                </c:pt>
                <c:pt idx="74">
                  <c:v>47757</c:v>
                </c:pt>
                <c:pt idx="75">
                  <c:v>43854</c:v>
                </c:pt>
                <c:pt idx="76">
                  <c:v>50454</c:v>
                </c:pt>
                <c:pt idx="77">
                  <c:v>49132</c:v>
                </c:pt>
                <c:pt idx="78">
                  <c:v>48808</c:v>
                </c:pt>
                <c:pt idx="79">
                  <c:v>51566</c:v>
                </c:pt>
                <c:pt idx="80">
                  <c:v>48778</c:v>
                </c:pt>
                <c:pt idx="81">
                  <c:v>64113</c:v>
                </c:pt>
                <c:pt idx="82">
                  <c:v>63260</c:v>
                </c:pt>
                <c:pt idx="83">
                  <c:v>74557</c:v>
                </c:pt>
                <c:pt idx="84">
                  <c:v>43437</c:v>
                </c:pt>
                <c:pt idx="85">
                  <c:v>45601</c:v>
                </c:pt>
                <c:pt idx="86">
                  <c:v>52921</c:v>
                </c:pt>
                <c:pt idx="87">
                  <c:v>50243</c:v>
                </c:pt>
                <c:pt idx="88">
                  <c:v>56300</c:v>
                </c:pt>
                <c:pt idx="89">
                  <c:v>53845</c:v>
                </c:pt>
                <c:pt idx="90">
                  <c:v>56238</c:v>
                </c:pt>
                <c:pt idx="91">
                  <c:v>61512</c:v>
                </c:pt>
                <c:pt idx="92">
                  <c:v>55406</c:v>
                </c:pt>
                <c:pt idx="93">
                  <c:v>60459</c:v>
                </c:pt>
                <c:pt idx="94">
                  <c:v>63050</c:v>
                </c:pt>
                <c:pt idx="95">
                  <c:v>78637</c:v>
                </c:pt>
                <c:pt idx="96">
                  <c:v>45649</c:v>
                </c:pt>
                <c:pt idx="97">
                  <c:v>50079</c:v>
                </c:pt>
                <c:pt idx="98">
                  <c:v>53189</c:v>
                </c:pt>
                <c:pt idx="99">
                  <c:v>55915</c:v>
                </c:pt>
                <c:pt idx="100">
                  <c:v>59049</c:v>
                </c:pt>
                <c:pt idx="101">
                  <c:v>56804</c:v>
                </c:pt>
                <c:pt idx="102">
                  <c:v>61088</c:v>
                </c:pt>
                <c:pt idx="103">
                  <c:v>59536</c:v>
                </c:pt>
                <c:pt idx="104">
                  <c:v>60434</c:v>
                </c:pt>
                <c:pt idx="105">
                  <c:v>65387</c:v>
                </c:pt>
                <c:pt idx="106">
                  <c:v>63008</c:v>
                </c:pt>
                <c:pt idx="107">
                  <c:v>89563</c:v>
                </c:pt>
                <c:pt idx="108">
                  <c:v>47022</c:v>
                </c:pt>
                <c:pt idx="109">
                  <c:v>51077</c:v>
                </c:pt>
                <c:pt idx="110">
                  <c:v>59408</c:v>
                </c:pt>
                <c:pt idx="111">
                  <c:v>59469</c:v>
                </c:pt>
                <c:pt idx="112">
                  <c:v>61045</c:v>
                </c:pt>
                <c:pt idx="113">
                  <c:v>61666</c:v>
                </c:pt>
                <c:pt idx="114">
                  <c:v>65156</c:v>
                </c:pt>
                <c:pt idx="115">
                  <c:v>63097</c:v>
                </c:pt>
                <c:pt idx="116">
                  <c:v>65034</c:v>
                </c:pt>
                <c:pt idx="117">
                  <c:v>68578</c:v>
                </c:pt>
                <c:pt idx="118">
                  <c:v>69070</c:v>
                </c:pt>
                <c:pt idx="119">
                  <c:v>93251</c:v>
                </c:pt>
                <c:pt idx="120">
                  <c:v>48977</c:v>
                </c:pt>
                <c:pt idx="121">
                  <c:v>54414</c:v>
                </c:pt>
                <c:pt idx="122">
                  <c:v>65373</c:v>
                </c:pt>
                <c:pt idx="123">
                  <c:v>61697</c:v>
                </c:pt>
                <c:pt idx="124">
                  <c:v>65136</c:v>
                </c:pt>
                <c:pt idx="125">
                  <c:v>65497</c:v>
                </c:pt>
                <c:pt idx="126">
                  <c:v>68391</c:v>
                </c:pt>
                <c:pt idx="127">
                  <c:v>69069</c:v>
                </c:pt>
                <c:pt idx="128">
                  <c:v>69866</c:v>
                </c:pt>
                <c:pt idx="129">
                  <c:v>70451</c:v>
                </c:pt>
                <c:pt idx="130">
                  <c:v>76620</c:v>
                </c:pt>
                <c:pt idx="131">
                  <c:v>101244</c:v>
                </c:pt>
                <c:pt idx="132">
                  <c:v>52939</c:v>
                </c:pt>
                <c:pt idx="133">
                  <c:v>57621</c:v>
                </c:pt>
                <c:pt idx="134">
                  <c:v>68805</c:v>
                </c:pt>
                <c:pt idx="135">
                  <c:v>64673</c:v>
                </c:pt>
                <c:pt idx="136">
                  <c:v>70497</c:v>
                </c:pt>
                <c:pt idx="137">
                  <c:v>70240</c:v>
                </c:pt>
                <c:pt idx="138">
                  <c:v>71169</c:v>
                </c:pt>
                <c:pt idx="139">
                  <c:v>75243</c:v>
                </c:pt>
                <c:pt idx="140">
                  <c:v>73751</c:v>
                </c:pt>
                <c:pt idx="141">
                  <c:v>75239</c:v>
                </c:pt>
                <c:pt idx="142">
                  <c:v>81263</c:v>
                </c:pt>
                <c:pt idx="143">
                  <c:v>107764</c:v>
                </c:pt>
                <c:pt idx="144">
                  <c:v>55778</c:v>
                </c:pt>
                <c:pt idx="145">
                  <c:v>64109</c:v>
                </c:pt>
                <c:pt idx="146">
                  <c:v>72333</c:v>
                </c:pt>
                <c:pt idx="147">
                  <c:v>67356</c:v>
                </c:pt>
                <c:pt idx="148">
                  <c:v>76419</c:v>
                </c:pt>
                <c:pt idx="149">
                  <c:v>72839</c:v>
                </c:pt>
                <c:pt idx="150">
                  <c:v>75431</c:v>
                </c:pt>
                <c:pt idx="151">
                  <c:v>80218</c:v>
                </c:pt>
                <c:pt idx="152">
                  <c:v>75158</c:v>
                </c:pt>
                <c:pt idx="153">
                  <c:v>82071</c:v>
                </c:pt>
                <c:pt idx="154">
                  <c:v>86048</c:v>
                </c:pt>
                <c:pt idx="155">
                  <c:v>111927</c:v>
                </c:pt>
                <c:pt idx="156">
                  <c:v>62143</c:v>
                </c:pt>
                <c:pt idx="157">
                  <c:v>65055</c:v>
                </c:pt>
                <c:pt idx="158">
                  <c:v>72618</c:v>
                </c:pt>
                <c:pt idx="159">
                  <c:v>75281</c:v>
                </c:pt>
                <c:pt idx="160">
                  <c:v>80657</c:v>
                </c:pt>
                <c:pt idx="161">
                  <c:v>75051</c:v>
                </c:pt>
                <c:pt idx="162">
                  <c:v>83323</c:v>
                </c:pt>
                <c:pt idx="163">
                  <c:v>83916</c:v>
                </c:pt>
                <c:pt idx="164">
                  <c:v>80169</c:v>
                </c:pt>
                <c:pt idx="165">
                  <c:v>87009</c:v>
                </c:pt>
                <c:pt idx="166">
                  <c:v>88933</c:v>
                </c:pt>
                <c:pt idx="167">
                  <c:v>118123</c:v>
                </c:pt>
                <c:pt idx="168">
                  <c:v>65198</c:v>
                </c:pt>
                <c:pt idx="169">
                  <c:v>67380</c:v>
                </c:pt>
                <c:pt idx="170">
                  <c:v>76207</c:v>
                </c:pt>
                <c:pt idx="171">
                  <c:v>75566</c:v>
                </c:pt>
              </c:numCache>
            </c:numRef>
          </c:val>
          <c:smooth val="0"/>
        </c:ser>
        <c:ser>
          <c:idx val="5"/>
          <c:order val="5"/>
          <c:tx>
            <c:strRef>
              <c:f>'Pivot all'!$G$3:$G$4</c:f>
              <c:strCache>
                <c:ptCount val="1"/>
                <c:pt idx="0">
                  <c:v>Metformin</c:v>
                </c:pt>
              </c:strCache>
            </c:strRef>
          </c:tx>
          <c:marker>
            <c:symbol val="none"/>
          </c:marker>
          <c:cat>
            <c:strRef>
              <c:f>'Pivot all'!$A$5:$A$177</c:f>
              <c:strCache>
                <c:ptCount val="172"/>
                <c:pt idx="0">
                  <c:v>Jan-00</c:v>
                </c:pt>
                <c:pt idx="1">
                  <c:v>Feb-00</c:v>
                </c:pt>
                <c:pt idx="2">
                  <c:v>Mar-00</c:v>
                </c:pt>
                <c:pt idx="3">
                  <c:v>Apr-00</c:v>
                </c:pt>
                <c:pt idx="4">
                  <c:v>May-00</c:v>
                </c:pt>
                <c:pt idx="5">
                  <c:v>Jun-00</c:v>
                </c:pt>
                <c:pt idx="6">
                  <c:v>Jul-00</c:v>
                </c:pt>
                <c:pt idx="7">
                  <c:v>Aug-00</c:v>
                </c:pt>
                <c:pt idx="8">
                  <c:v>Sep-00</c:v>
                </c:pt>
                <c:pt idx="9">
                  <c:v>Oct-00</c:v>
                </c:pt>
                <c:pt idx="10">
                  <c:v>Nov-00</c:v>
                </c:pt>
                <c:pt idx="11">
                  <c:v>Dec-00</c:v>
                </c:pt>
                <c:pt idx="12">
                  <c:v>Jan-01</c:v>
                </c:pt>
                <c:pt idx="13">
                  <c:v>Feb-01</c:v>
                </c:pt>
                <c:pt idx="14">
                  <c:v>Mar-01</c:v>
                </c:pt>
                <c:pt idx="15">
                  <c:v>Apr-01</c:v>
                </c:pt>
                <c:pt idx="16">
                  <c:v>May-01</c:v>
                </c:pt>
                <c:pt idx="17">
                  <c:v>Jun-01</c:v>
                </c:pt>
                <c:pt idx="18">
                  <c:v>Jul-01</c:v>
                </c:pt>
                <c:pt idx="19">
                  <c:v>Aug-01</c:v>
                </c:pt>
                <c:pt idx="20">
                  <c:v>Sep-01</c:v>
                </c:pt>
                <c:pt idx="21">
                  <c:v>Oct-01</c:v>
                </c:pt>
                <c:pt idx="22">
                  <c:v>Nov-01</c:v>
                </c:pt>
                <c:pt idx="23">
                  <c:v>Dec-01</c:v>
                </c:pt>
                <c:pt idx="24">
                  <c:v>Jan-02</c:v>
                </c:pt>
                <c:pt idx="25">
                  <c:v>Feb-02</c:v>
                </c:pt>
                <c:pt idx="26">
                  <c:v>Mar-02</c:v>
                </c:pt>
                <c:pt idx="27">
                  <c:v>Apr-02</c:v>
                </c:pt>
                <c:pt idx="28">
                  <c:v>May-02</c:v>
                </c:pt>
                <c:pt idx="29">
                  <c:v>Jun-02</c:v>
                </c:pt>
                <c:pt idx="30">
                  <c:v>Jul-02</c:v>
                </c:pt>
                <c:pt idx="31">
                  <c:v>Aug-02</c:v>
                </c:pt>
                <c:pt idx="32">
                  <c:v>Sep-02</c:v>
                </c:pt>
                <c:pt idx="33">
                  <c:v>Oct-02</c:v>
                </c:pt>
                <c:pt idx="34">
                  <c:v>Nov-02</c:v>
                </c:pt>
                <c:pt idx="35">
                  <c:v>Dec-02</c:v>
                </c:pt>
                <c:pt idx="36">
                  <c:v>Jan-03</c:v>
                </c:pt>
                <c:pt idx="37">
                  <c:v>Feb-03</c:v>
                </c:pt>
                <c:pt idx="38">
                  <c:v>Mar-03</c:v>
                </c:pt>
                <c:pt idx="39">
                  <c:v>Apr-03</c:v>
                </c:pt>
                <c:pt idx="40">
                  <c:v>May-03</c:v>
                </c:pt>
                <c:pt idx="41">
                  <c:v>Jun-03</c:v>
                </c:pt>
                <c:pt idx="42">
                  <c:v>Jul-03</c:v>
                </c:pt>
                <c:pt idx="43">
                  <c:v>Aug-03</c:v>
                </c:pt>
                <c:pt idx="44">
                  <c:v>Sep-03</c:v>
                </c:pt>
                <c:pt idx="45">
                  <c:v>Oct-03</c:v>
                </c:pt>
                <c:pt idx="46">
                  <c:v>Nov-03</c:v>
                </c:pt>
                <c:pt idx="47">
                  <c:v>Dec-03</c:v>
                </c:pt>
                <c:pt idx="48">
                  <c:v>Jan-04</c:v>
                </c:pt>
                <c:pt idx="49">
                  <c:v>Feb-04</c:v>
                </c:pt>
                <c:pt idx="50">
                  <c:v>Mar-04</c:v>
                </c:pt>
                <c:pt idx="51">
                  <c:v>Apr-04</c:v>
                </c:pt>
                <c:pt idx="52">
                  <c:v>May-04</c:v>
                </c:pt>
                <c:pt idx="53">
                  <c:v>Jun-04</c:v>
                </c:pt>
                <c:pt idx="54">
                  <c:v>Jul-04</c:v>
                </c:pt>
                <c:pt idx="55">
                  <c:v>Aug-04</c:v>
                </c:pt>
                <c:pt idx="56">
                  <c:v>Sep-04</c:v>
                </c:pt>
                <c:pt idx="57">
                  <c:v>Oct-04</c:v>
                </c:pt>
                <c:pt idx="58">
                  <c:v>Nov-04</c:v>
                </c:pt>
                <c:pt idx="59">
                  <c:v>Dec-04</c:v>
                </c:pt>
                <c:pt idx="60">
                  <c:v>Jan-05</c:v>
                </c:pt>
                <c:pt idx="61">
                  <c:v>Feb-05</c:v>
                </c:pt>
                <c:pt idx="62">
                  <c:v>Mar-05</c:v>
                </c:pt>
                <c:pt idx="63">
                  <c:v>Apr-05</c:v>
                </c:pt>
                <c:pt idx="64">
                  <c:v>May-05</c:v>
                </c:pt>
                <c:pt idx="65">
                  <c:v>Jun-05</c:v>
                </c:pt>
                <c:pt idx="66">
                  <c:v>Jul-05</c:v>
                </c:pt>
                <c:pt idx="67">
                  <c:v>Aug-05</c:v>
                </c:pt>
                <c:pt idx="68">
                  <c:v>Sep-05</c:v>
                </c:pt>
                <c:pt idx="69">
                  <c:v>Oct-05</c:v>
                </c:pt>
                <c:pt idx="70">
                  <c:v>Nov-05</c:v>
                </c:pt>
                <c:pt idx="71">
                  <c:v>Dec-05</c:v>
                </c:pt>
                <c:pt idx="72">
                  <c:v>Jan-06</c:v>
                </c:pt>
                <c:pt idx="73">
                  <c:v>Feb-06</c:v>
                </c:pt>
                <c:pt idx="74">
                  <c:v>Mar-06</c:v>
                </c:pt>
                <c:pt idx="75">
                  <c:v>Apr-06</c:v>
                </c:pt>
                <c:pt idx="76">
                  <c:v>May-06</c:v>
                </c:pt>
                <c:pt idx="77">
                  <c:v>Jun-06</c:v>
                </c:pt>
                <c:pt idx="78">
                  <c:v>Jul-06</c:v>
                </c:pt>
                <c:pt idx="79">
                  <c:v>Aug-06</c:v>
                </c:pt>
                <c:pt idx="80">
                  <c:v>Sep-06</c:v>
                </c:pt>
                <c:pt idx="81">
                  <c:v>Oct-06</c:v>
                </c:pt>
                <c:pt idx="82">
                  <c:v>Nov-06</c:v>
                </c:pt>
                <c:pt idx="83">
                  <c:v>Dec-06</c:v>
                </c:pt>
                <c:pt idx="84">
                  <c:v>Jan-07</c:v>
                </c:pt>
                <c:pt idx="85">
                  <c:v>Feb-07</c:v>
                </c:pt>
                <c:pt idx="86">
                  <c:v>Mar-07</c:v>
                </c:pt>
                <c:pt idx="87">
                  <c:v>Apr-07</c:v>
                </c:pt>
                <c:pt idx="88">
                  <c:v>May-07</c:v>
                </c:pt>
                <c:pt idx="89">
                  <c:v>Jun-07</c:v>
                </c:pt>
                <c:pt idx="90">
                  <c:v>Jul-07</c:v>
                </c:pt>
                <c:pt idx="91">
                  <c:v>Aug-07</c:v>
                </c:pt>
                <c:pt idx="92">
                  <c:v>Sep-07</c:v>
                </c:pt>
                <c:pt idx="93">
                  <c:v>Oct-07</c:v>
                </c:pt>
                <c:pt idx="94">
                  <c:v>Nov-07</c:v>
                </c:pt>
                <c:pt idx="95">
                  <c:v>Dec-07</c:v>
                </c:pt>
                <c:pt idx="96">
                  <c:v>Jan-08</c:v>
                </c:pt>
                <c:pt idx="97">
                  <c:v>Feb-08</c:v>
                </c:pt>
                <c:pt idx="98">
                  <c:v>Mar-08</c:v>
                </c:pt>
                <c:pt idx="99">
                  <c:v>Apr-08</c:v>
                </c:pt>
                <c:pt idx="100">
                  <c:v>May-08</c:v>
                </c:pt>
                <c:pt idx="101">
                  <c:v>Jun-08</c:v>
                </c:pt>
                <c:pt idx="102">
                  <c:v>Jul-08</c:v>
                </c:pt>
                <c:pt idx="103">
                  <c:v>Aug-08</c:v>
                </c:pt>
                <c:pt idx="104">
                  <c:v>Sep-08</c:v>
                </c:pt>
                <c:pt idx="105">
                  <c:v>Oct-08</c:v>
                </c:pt>
                <c:pt idx="106">
                  <c:v>Nov-08</c:v>
                </c:pt>
                <c:pt idx="107">
                  <c:v>Dec-08</c:v>
                </c:pt>
                <c:pt idx="108">
                  <c:v>Jan-09</c:v>
                </c:pt>
                <c:pt idx="109">
                  <c:v>Feb-09</c:v>
                </c:pt>
                <c:pt idx="110">
                  <c:v>Mar-09</c:v>
                </c:pt>
                <c:pt idx="111">
                  <c:v>Apr-09</c:v>
                </c:pt>
                <c:pt idx="112">
                  <c:v>May-09</c:v>
                </c:pt>
                <c:pt idx="113">
                  <c:v>Jun-09</c:v>
                </c:pt>
                <c:pt idx="114">
                  <c:v>Jul-09</c:v>
                </c:pt>
                <c:pt idx="115">
                  <c:v>Aug-09</c:v>
                </c:pt>
                <c:pt idx="116">
                  <c:v>Sep-09</c:v>
                </c:pt>
                <c:pt idx="117">
                  <c:v>Oct-09</c:v>
                </c:pt>
                <c:pt idx="118">
                  <c:v>Nov-09</c:v>
                </c:pt>
                <c:pt idx="119">
                  <c:v>Dec-09</c:v>
                </c:pt>
                <c:pt idx="120">
                  <c:v>Jan-10</c:v>
                </c:pt>
                <c:pt idx="121">
                  <c:v>Feb-10</c:v>
                </c:pt>
                <c:pt idx="122">
                  <c:v>Mar-10</c:v>
                </c:pt>
                <c:pt idx="123">
                  <c:v>Apr-10</c:v>
                </c:pt>
                <c:pt idx="124">
                  <c:v>May-10</c:v>
                </c:pt>
                <c:pt idx="125">
                  <c:v>Jun-10</c:v>
                </c:pt>
                <c:pt idx="126">
                  <c:v>Jul-10</c:v>
                </c:pt>
                <c:pt idx="127">
                  <c:v>Aug-10</c:v>
                </c:pt>
                <c:pt idx="128">
                  <c:v>Sep-10</c:v>
                </c:pt>
                <c:pt idx="129">
                  <c:v>Oct-10</c:v>
                </c:pt>
                <c:pt idx="130">
                  <c:v>Nov-10</c:v>
                </c:pt>
                <c:pt idx="131">
                  <c:v>Dec-10</c:v>
                </c:pt>
                <c:pt idx="132">
                  <c:v>Jan-11</c:v>
                </c:pt>
                <c:pt idx="133">
                  <c:v>Feb-11</c:v>
                </c:pt>
                <c:pt idx="134">
                  <c:v>Mar-11</c:v>
                </c:pt>
                <c:pt idx="135">
                  <c:v>Apr-11</c:v>
                </c:pt>
                <c:pt idx="136">
                  <c:v>May-11</c:v>
                </c:pt>
                <c:pt idx="137">
                  <c:v>Jun-11</c:v>
                </c:pt>
                <c:pt idx="138">
                  <c:v>Jul-11</c:v>
                </c:pt>
                <c:pt idx="139">
                  <c:v>Aug-11</c:v>
                </c:pt>
                <c:pt idx="140">
                  <c:v>Sep-11</c:v>
                </c:pt>
                <c:pt idx="141">
                  <c:v>Oct-11</c:v>
                </c:pt>
                <c:pt idx="142">
                  <c:v>Nov-11</c:v>
                </c:pt>
                <c:pt idx="143">
                  <c:v>Dec-11</c:v>
                </c:pt>
                <c:pt idx="144">
                  <c:v>Jan-12</c:v>
                </c:pt>
                <c:pt idx="145">
                  <c:v>Feb-12</c:v>
                </c:pt>
                <c:pt idx="146">
                  <c:v>Mar-12</c:v>
                </c:pt>
                <c:pt idx="147">
                  <c:v>Apr-12</c:v>
                </c:pt>
                <c:pt idx="148">
                  <c:v>May-12</c:v>
                </c:pt>
                <c:pt idx="149">
                  <c:v>Jun-12</c:v>
                </c:pt>
                <c:pt idx="150">
                  <c:v>Jul-12</c:v>
                </c:pt>
                <c:pt idx="151">
                  <c:v>Aug-12</c:v>
                </c:pt>
                <c:pt idx="152">
                  <c:v>Sep-12</c:v>
                </c:pt>
                <c:pt idx="153">
                  <c:v>Oct-12</c:v>
                </c:pt>
                <c:pt idx="154">
                  <c:v>Nov-12</c:v>
                </c:pt>
                <c:pt idx="155">
                  <c:v>Dec-12</c:v>
                </c:pt>
                <c:pt idx="156">
                  <c:v>Jan-13</c:v>
                </c:pt>
                <c:pt idx="157">
                  <c:v>Feb-13</c:v>
                </c:pt>
                <c:pt idx="158">
                  <c:v>Mar-13</c:v>
                </c:pt>
                <c:pt idx="159">
                  <c:v>Apr-13</c:v>
                </c:pt>
                <c:pt idx="160">
                  <c:v>May-13</c:v>
                </c:pt>
                <c:pt idx="161">
                  <c:v>Jun-13</c:v>
                </c:pt>
                <c:pt idx="162">
                  <c:v>Jul-13</c:v>
                </c:pt>
                <c:pt idx="163">
                  <c:v>Aug-13</c:v>
                </c:pt>
                <c:pt idx="164">
                  <c:v>Sep-13</c:v>
                </c:pt>
                <c:pt idx="165">
                  <c:v>Oct-13</c:v>
                </c:pt>
                <c:pt idx="166">
                  <c:v>Nov-13</c:v>
                </c:pt>
                <c:pt idx="167">
                  <c:v>Dec-13</c:v>
                </c:pt>
                <c:pt idx="168">
                  <c:v>Jan-14</c:v>
                </c:pt>
                <c:pt idx="169">
                  <c:v>Feb-14</c:v>
                </c:pt>
                <c:pt idx="170">
                  <c:v>Mar-14</c:v>
                </c:pt>
                <c:pt idx="171">
                  <c:v>Apr-14</c:v>
                </c:pt>
              </c:strCache>
            </c:strRef>
          </c:cat>
          <c:val>
            <c:numRef>
              <c:f>'Pivot all'!$G$5:$G$177</c:f>
              <c:numCache>
                <c:formatCode>#,##0</c:formatCode>
                <c:ptCount val="172"/>
                <c:pt idx="0">
                  <c:v>133634</c:v>
                </c:pt>
                <c:pt idx="1">
                  <c:v>153612</c:v>
                </c:pt>
                <c:pt idx="2">
                  <c:v>182767</c:v>
                </c:pt>
                <c:pt idx="3">
                  <c:v>165078</c:v>
                </c:pt>
                <c:pt idx="4">
                  <c:v>192159</c:v>
                </c:pt>
                <c:pt idx="5">
                  <c:v>183204</c:v>
                </c:pt>
                <c:pt idx="6">
                  <c:v>184455</c:v>
                </c:pt>
                <c:pt idx="7">
                  <c:v>198788</c:v>
                </c:pt>
                <c:pt idx="8">
                  <c:v>193793</c:v>
                </c:pt>
                <c:pt idx="9">
                  <c:v>200990</c:v>
                </c:pt>
                <c:pt idx="10">
                  <c:v>211852</c:v>
                </c:pt>
                <c:pt idx="11">
                  <c:v>246502</c:v>
                </c:pt>
                <c:pt idx="12">
                  <c:v>157769</c:v>
                </c:pt>
                <c:pt idx="13">
                  <c:v>169780</c:v>
                </c:pt>
                <c:pt idx="14">
                  <c:v>204998</c:v>
                </c:pt>
                <c:pt idx="15">
                  <c:v>189803</c:v>
                </c:pt>
                <c:pt idx="16">
                  <c:v>208219</c:v>
                </c:pt>
                <c:pt idx="17">
                  <c:v>203813</c:v>
                </c:pt>
                <c:pt idx="18">
                  <c:v>208456</c:v>
                </c:pt>
                <c:pt idx="19">
                  <c:v>220467</c:v>
                </c:pt>
                <c:pt idx="20">
                  <c:v>206138</c:v>
                </c:pt>
                <c:pt idx="21">
                  <c:v>228055</c:v>
                </c:pt>
                <c:pt idx="22">
                  <c:v>232863</c:v>
                </c:pt>
                <c:pt idx="23">
                  <c:v>277423</c:v>
                </c:pt>
                <c:pt idx="24">
                  <c:v>176528</c:v>
                </c:pt>
                <c:pt idx="25">
                  <c:v>187183</c:v>
                </c:pt>
                <c:pt idx="26">
                  <c:v>213812</c:v>
                </c:pt>
                <c:pt idx="27">
                  <c:v>224305</c:v>
                </c:pt>
                <c:pt idx="28">
                  <c:v>244999</c:v>
                </c:pt>
                <c:pt idx="29">
                  <c:v>218589</c:v>
                </c:pt>
                <c:pt idx="30">
                  <c:v>239226</c:v>
                </c:pt>
                <c:pt idx="31">
                  <c:v>242988</c:v>
                </c:pt>
                <c:pt idx="32">
                  <c:v>233779</c:v>
                </c:pt>
                <c:pt idx="33">
                  <c:v>256973</c:v>
                </c:pt>
                <c:pt idx="34">
                  <c:v>254356</c:v>
                </c:pt>
                <c:pt idx="35">
                  <c:v>309570</c:v>
                </c:pt>
                <c:pt idx="36">
                  <c:v>187949</c:v>
                </c:pt>
                <c:pt idx="37">
                  <c:v>205649</c:v>
                </c:pt>
                <c:pt idx="38">
                  <c:v>232800</c:v>
                </c:pt>
                <c:pt idx="39">
                  <c:v>234921</c:v>
                </c:pt>
                <c:pt idx="40">
                  <c:v>253063</c:v>
                </c:pt>
                <c:pt idx="41">
                  <c:v>243278</c:v>
                </c:pt>
                <c:pt idx="42">
                  <c:v>262085</c:v>
                </c:pt>
                <c:pt idx="43">
                  <c:v>252968</c:v>
                </c:pt>
                <c:pt idx="44">
                  <c:v>260406</c:v>
                </c:pt>
                <c:pt idx="45">
                  <c:v>277488</c:v>
                </c:pt>
                <c:pt idx="46">
                  <c:v>267005</c:v>
                </c:pt>
                <c:pt idx="47">
                  <c:v>347154</c:v>
                </c:pt>
                <c:pt idx="48">
                  <c:v>204696</c:v>
                </c:pt>
                <c:pt idx="49">
                  <c:v>224180</c:v>
                </c:pt>
                <c:pt idx="50">
                  <c:v>262972</c:v>
                </c:pt>
                <c:pt idx="51">
                  <c:v>255912</c:v>
                </c:pt>
                <c:pt idx="52">
                  <c:v>259449</c:v>
                </c:pt>
                <c:pt idx="53">
                  <c:v>262582</c:v>
                </c:pt>
                <c:pt idx="54">
                  <c:v>272985</c:v>
                </c:pt>
                <c:pt idx="55">
                  <c:v>271539</c:v>
                </c:pt>
                <c:pt idx="56">
                  <c:v>274373</c:v>
                </c:pt>
                <c:pt idx="57">
                  <c:v>279597</c:v>
                </c:pt>
                <c:pt idx="58">
                  <c:v>293923</c:v>
                </c:pt>
                <c:pt idx="59">
                  <c:v>372038</c:v>
                </c:pt>
                <c:pt idx="60">
                  <c:v>199109</c:v>
                </c:pt>
                <c:pt idx="61">
                  <c:v>225211</c:v>
                </c:pt>
                <c:pt idx="62">
                  <c:v>262385</c:v>
                </c:pt>
                <c:pt idx="63">
                  <c:v>261974</c:v>
                </c:pt>
                <c:pt idx="64">
                  <c:v>272322</c:v>
                </c:pt>
                <c:pt idx="65">
                  <c:v>275240</c:v>
                </c:pt>
                <c:pt idx="66">
                  <c:v>273391</c:v>
                </c:pt>
                <c:pt idx="67">
                  <c:v>289166</c:v>
                </c:pt>
                <c:pt idx="68">
                  <c:v>288286</c:v>
                </c:pt>
                <c:pt idx="69">
                  <c:v>289848</c:v>
                </c:pt>
                <c:pt idx="70">
                  <c:v>306368</c:v>
                </c:pt>
                <c:pt idx="71">
                  <c:v>378047</c:v>
                </c:pt>
                <c:pt idx="72">
                  <c:v>207127</c:v>
                </c:pt>
                <c:pt idx="73">
                  <c:v>231951</c:v>
                </c:pt>
                <c:pt idx="74">
                  <c:v>277683</c:v>
                </c:pt>
                <c:pt idx="75">
                  <c:v>262150</c:v>
                </c:pt>
                <c:pt idx="76">
                  <c:v>294500</c:v>
                </c:pt>
                <c:pt idx="77">
                  <c:v>289560</c:v>
                </c:pt>
                <c:pt idx="78">
                  <c:v>289179</c:v>
                </c:pt>
                <c:pt idx="79">
                  <c:v>303198</c:v>
                </c:pt>
                <c:pt idx="80">
                  <c:v>297555</c:v>
                </c:pt>
                <c:pt idx="81">
                  <c:v>312294</c:v>
                </c:pt>
                <c:pt idx="82">
                  <c:v>324716</c:v>
                </c:pt>
                <c:pt idx="83">
                  <c:v>380645</c:v>
                </c:pt>
                <c:pt idx="84">
                  <c:v>240700</c:v>
                </c:pt>
                <c:pt idx="85">
                  <c:v>258399</c:v>
                </c:pt>
                <c:pt idx="86">
                  <c:v>303311</c:v>
                </c:pt>
                <c:pt idx="87">
                  <c:v>287493</c:v>
                </c:pt>
                <c:pt idx="88">
                  <c:v>315269</c:v>
                </c:pt>
                <c:pt idx="89">
                  <c:v>300534</c:v>
                </c:pt>
                <c:pt idx="90">
                  <c:v>318118</c:v>
                </c:pt>
                <c:pt idx="91">
                  <c:v>336743</c:v>
                </c:pt>
                <c:pt idx="92">
                  <c:v>321319</c:v>
                </c:pt>
                <c:pt idx="93">
                  <c:v>351731</c:v>
                </c:pt>
                <c:pt idx="94">
                  <c:v>361051</c:v>
                </c:pt>
                <c:pt idx="95">
                  <c:v>419454</c:v>
                </c:pt>
                <c:pt idx="96">
                  <c:v>264571</c:v>
                </c:pt>
                <c:pt idx="97">
                  <c:v>290757</c:v>
                </c:pt>
                <c:pt idx="98">
                  <c:v>312670</c:v>
                </c:pt>
                <c:pt idx="99">
                  <c:v>326705</c:v>
                </c:pt>
                <c:pt idx="100">
                  <c:v>349013</c:v>
                </c:pt>
                <c:pt idx="101">
                  <c:v>329921</c:v>
                </c:pt>
                <c:pt idx="102">
                  <c:v>354795</c:v>
                </c:pt>
                <c:pt idx="103">
                  <c:v>344536</c:v>
                </c:pt>
                <c:pt idx="104">
                  <c:v>355577</c:v>
                </c:pt>
                <c:pt idx="105">
                  <c:v>386169</c:v>
                </c:pt>
                <c:pt idx="106">
                  <c:v>372471</c:v>
                </c:pt>
                <c:pt idx="107">
                  <c:v>480966</c:v>
                </c:pt>
                <c:pt idx="108">
                  <c:v>277249</c:v>
                </c:pt>
                <c:pt idx="109">
                  <c:v>303289</c:v>
                </c:pt>
                <c:pt idx="110">
                  <c:v>349258</c:v>
                </c:pt>
                <c:pt idx="111">
                  <c:v>351862</c:v>
                </c:pt>
                <c:pt idx="112">
                  <c:v>364806</c:v>
                </c:pt>
                <c:pt idx="113">
                  <c:v>362442</c:v>
                </c:pt>
                <c:pt idx="114">
                  <c:v>377100</c:v>
                </c:pt>
                <c:pt idx="115">
                  <c:v>371471</c:v>
                </c:pt>
                <c:pt idx="116">
                  <c:v>380250</c:v>
                </c:pt>
                <c:pt idx="117">
                  <c:v>404290</c:v>
                </c:pt>
                <c:pt idx="118">
                  <c:v>400038</c:v>
                </c:pt>
                <c:pt idx="119">
                  <c:v>500153</c:v>
                </c:pt>
                <c:pt idx="120">
                  <c:v>287428</c:v>
                </c:pt>
                <c:pt idx="121">
                  <c:v>315439</c:v>
                </c:pt>
                <c:pt idx="122">
                  <c:v>378936</c:v>
                </c:pt>
                <c:pt idx="123">
                  <c:v>360874</c:v>
                </c:pt>
                <c:pt idx="124">
                  <c:v>375002</c:v>
                </c:pt>
                <c:pt idx="125">
                  <c:v>372274</c:v>
                </c:pt>
                <c:pt idx="126">
                  <c:v>362650</c:v>
                </c:pt>
                <c:pt idx="127">
                  <c:v>372900</c:v>
                </c:pt>
                <c:pt idx="128">
                  <c:v>380093</c:v>
                </c:pt>
                <c:pt idx="129">
                  <c:v>387057</c:v>
                </c:pt>
                <c:pt idx="130">
                  <c:v>405105</c:v>
                </c:pt>
                <c:pt idx="131">
                  <c:v>497941</c:v>
                </c:pt>
                <c:pt idx="132">
                  <c:v>283305</c:v>
                </c:pt>
                <c:pt idx="133">
                  <c:v>310573</c:v>
                </c:pt>
                <c:pt idx="134">
                  <c:v>369392</c:v>
                </c:pt>
                <c:pt idx="135">
                  <c:v>353348</c:v>
                </c:pt>
                <c:pt idx="136">
                  <c:v>376548</c:v>
                </c:pt>
                <c:pt idx="137">
                  <c:v>368618</c:v>
                </c:pt>
                <c:pt idx="138">
                  <c:v>374371</c:v>
                </c:pt>
                <c:pt idx="139">
                  <c:v>393187</c:v>
                </c:pt>
                <c:pt idx="140">
                  <c:v>384776</c:v>
                </c:pt>
                <c:pt idx="141">
                  <c:v>388036</c:v>
                </c:pt>
                <c:pt idx="142">
                  <c:v>406355</c:v>
                </c:pt>
                <c:pt idx="143">
                  <c:v>501705</c:v>
                </c:pt>
                <c:pt idx="144">
                  <c:v>287488</c:v>
                </c:pt>
                <c:pt idx="145">
                  <c:v>327723</c:v>
                </c:pt>
                <c:pt idx="146">
                  <c:v>374538</c:v>
                </c:pt>
                <c:pt idx="147">
                  <c:v>343674</c:v>
                </c:pt>
                <c:pt idx="148">
                  <c:v>389754</c:v>
                </c:pt>
                <c:pt idx="149">
                  <c:v>374383</c:v>
                </c:pt>
                <c:pt idx="150">
                  <c:v>404355</c:v>
                </c:pt>
                <c:pt idx="151">
                  <c:v>425013</c:v>
                </c:pt>
                <c:pt idx="152">
                  <c:v>397801</c:v>
                </c:pt>
                <c:pt idx="153">
                  <c:v>438838</c:v>
                </c:pt>
                <c:pt idx="154">
                  <c:v>448060</c:v>
                </c:pt>
                <c:pt idx="155">
                  <c:v>531583</c:v>
                </c:pt>
                <c:pt idx="156">
                  <c:v>332293</c:v>
                </c:pt>
                <c:pt idx="157">
                  <c:v>346555</c:v>
                </c:pt>
                <c:pt idx="158">
                  <c:v>387237</c:v>
                </c:pt>
                <c:pt idx="159">
                  <c:v>399189</c:v>
                </c:pt>
                <c:pt idx="160">
                  <c:v>423660</c:v>
                </c:pt>
                <c:pt idx="161">
                  <c:v>393144</c:v>
                </c:pt>
                <c:pt idx="162">
                  <c:v>432142</c:v>
                </c:pt>
                <c:pt idx="163">
                  <c:v>432893</c:v>
                </c:pt>
                <c:pt idx="164">
                  <c:v>415361</c:v>
                </c:pt>
                <c:pt idx="165">
                  <c:v>454405</c:v>
                </c:pt>
                <c:pt idx="166">
                  <c:v>453816</c:v>
                </c:pt>
                <c:pt idx="167">
                  <c:v>550376</c:v>
                </c:pt>
                <c:pt idx="168">
                  <c:v>343791</c:v>
                </c:pt>
                <c:pt idx="169">
                  <c:v>355404</c:v>
                </c:pt>
                <c:pt idx="170">
                  <c:v>399162</c:v>
                </c:pt>
                <c:pt idx="171">
                  <c:v>390403</c:v>
                </c:pt>
              </c:numCache>
            </c:numRef>
          </c:val>
          <c:smooth val="0"/>
        </c:ser>
        <c:ser>
          <c:idx val="6"/>
          <c:order val="6"/>
          <c:tx>
            <c:strRef>
              <c:f>'Pivot all'!$H$3:$H$4</c:f>
              <c:strCache>
                <c:ptCount val="1"/>
                <c:pt idx="0">
                  <c:v>SGLT2 inhibitors</c:v>
                </c:pt>
              </c:strCache>
            </c:strRef>
          </c:tx>
          <c:marker>
            <c:symbol val="none"/>
          </c:marker>
          <c:cat>
            <c:strRef>
              <c:f>'Pivot all'!$A$5:$A$177</c:f>
              <c:strCache>
                <c:ptCount val="172"/>
                <c:pt idx="0">
                  <c:v>Jan-00</c:v>
                </c:pt>
                <c:pt idx="1">
                  <c:v>Feb-00</c:v>
                </c:pt>
                <c:pt idx="2">
                  <c:v>Mar-00</c:v>
                </c:pt>
                <c:pt idx="3">
                  <c:v>Apr-00</c:v>
                </c:pt>
                <c:pt idx="4">
                  <c:v>May-00</c:v>
                </c:pt>
                <c:pt idx="5">
                  <c:v>Jun-00</c:v>
                </c:pt>
                <c:pt idx="6">
                  <c:v>Jul-00</c:v>
                </c:pt>
                <c:pt idx="7">
                  <c:v>Aug-00</c:v>
                </c:pt>
                <c:pt idx="8">
                  <c:v>Sep-00</c:v>
                </c:pt>
                <c:pt idx="9">
                  <c:v>Oct-00</c:v>
                </c:pt>
                <c:pt idx="10">
                  <c:v>Nov-00</c:v>
                </c:pt>
                <c:pt idx="11">
                  <c:v>Dec-00</c:v>
                </c:pt>
                <c:pt idx="12">
                  <c:v>Jan-01</c:v>
                </c:pt>
                <c:pt idx="13">
                  <c:v>Feb-01</c:v>
                </c:pt>
                <c:pt idx="14">
                  <c:v>Mar-01</c:v>
                </c:pt>
                <c:pt idx="15">
                  <c:v>Apr-01</c:v>
                </c:pt>
                <c:pt idx="16">
                  <c:v>May-01</c:v>
                </c:pt>
                <c:pt idx="17">
                  <c:v>Jun-01</c:v>
                </c:pt>
                <c:pt idx="18">
                  <c:v>Jul-01</c:v>
                </c:pt>
                <c:pt idx="19">
                  <c:v>Aug-01</c:v>
                </c:pt>
                <c:pt idx="20">
                  <c:v>Sep-01</c:v>
                </c:pt>
                <c:pt idx="21">
                  <c:v>Oct-01</c:v>
                </c:pt>
                <c:pt idx="22">
                  <c:v>Nov-01</c:v>
                </c:pt>
                <c:pt idx="23">
                  <c:v>Dec-01</c:v>
                </c:pt>
                <c:pt idx="24">
                  <c:v>Jan-02</c:v>
                </c:pt>
                <c:pt idx="25">
                  <c:v>Feb-02</c:v>
                </c:pt>
                <c:pt idx="26">
                  <c:v>Mar-02</c:v>
                </c:pt>
                <c:pt idx="27">
                  <c:v>Apr-02</c:v>
                </c:pt>
                <c:pt idx="28">
                  <c:v>May-02</c:v>
                </c:pt>
                <c:pt idx="29">
                  <c:v>Jun-02</c:v>
                </c:pt>
                <c:pt idx="30">
                  <c:v>Jul-02</c:v>
                </c:pt>
                <c:pt idx="31">
                  <c:v>Aug-02</c:v>
                </c:pt>
                <c:pt idx="32">
                  <c:v>Sep-02</c:v>
                </c:pt>
                <c:pt idx="33">
                  <c:v>Oct-02</c:v>
                </c:pt>
                <c:pt idx="34">
                  <c:v>Nov-02</c:v>
                </c:pt>
                <c:pt idx="35">
                  <c:v>Dec-02</c:v>
                </c:pt>
                <c:pt idx="36">
                  <c:v>Jan-03</c:v>
                </c:pt>
                <c:pt idx="37">
                  <c:v>Feb-03</c:v>
                </c:pt>
                <c:pt idx="38">
                  <c:v>Mar-03</c:v>
                </c:pt>
                <c:pt idx="39">
                  <c:v>Apr-03</c:v>
                </c:pt>
                <c:pt idx="40">
                  <c:v>May-03</c:v>
                </c:pt>
                <c:pt idx="41">
                  <c:v>Jun-03</c:v>
                </c:pt>
                <c:pt idx="42">
                  <c:v>Jul-03</c:v>
                </c:pt>
                <c:pt idx="43">
                  <c:v>Aug-03</c:v>
                </c:pt>
                <c:pt idx="44">
                  <c:v>Sep-03</c:v>
                </c:pt>
                <c:pt idx="45">
                  <c:v>Oct-03</c:v>
                </c:pt>
                <c:pt idx="46">
                  <c:v>Nov-03</c:v>
                </c:pt>
                <c:pt idx="47">
                  <c:v>Dec-03</c:v>
                </c:pt>
                <c:pt idx="48">
                  <c:v>Jan-04</c:v>
                </c:pt>
                <c:pt idx="49">
                  <c:v>Feb-04</c:v>
                </c:pt>
                <c:pt idx="50">
                  <c:v>Mar-04</c:v>
                </c:pt>
                <c:pt idx="51">
                  <c:v>Apr-04</c:v>
                </c:pt>
                <c:pt idx="52">
                  <c:v>May-04</c:v>
                </c:pt>
                <c:pt idx="53">
                  <c:v>Jun-04</c:v>
                </c:pt>
                <c:pt idx="54">
                  <c:v>Jul-04</c:v>
                </c:pt>
                <c:pt idx="55">
                  <c:v>Aug-04</c:v>
                </c:pt>
                <c:pt idx="56">
                  <c:v>Sep-04</c:v>
                </c:pt>
                <c:pt idx="57">
                  <c:v>Oct-04</c:v>
                </c:pt>
                <c:pt idx="58">
                  <c:v>Nov-04</c:v>
                </c:pt>
                <c:pt idx="59">
                  <c:v>Dec-04</c:v>
                </c:pt>
                <c:pt idx="60">
                  <c:v>Jan-05</c:v>
                </c:pt>
                <c:pt idx="61">
                  <c:v>Feb-05</c:v>
                </c:pt>
                <c:pt idx="62">
                  <c:v>Mar-05</c:v>
                </c:pt>
                <c:pt idx="63">
                  <c:v>Apr-05</c:v>
                </c:pt>
                <c:pt idx="64">
                  <c:v>May-05</c:v>
                </c:pt>
                <c:pt idx="65">
                  <c:v>Jun-05</c:v>
                </c:pt>
                <c:pt idx="66">
                  <c:v>Jul-05</c:v>
                </c:pt>
                <c:pt idx="67">
                  <c:v>Aug-05</c:v>
                </c:pt>
                <c:pt idx="68">
                  <c:v>Sep-05</c:v>
                </c:pt>
                <c:pt idx="69">
                  <c:v>Oct-05</c:v>
                </c:pt>
                <c:pt idx="70">
                  <c:v>Nov-05</c:v>
                </c:pt>
                <c:pt idx="71">
                  <c:v>Dec-05</c:v>
                </c:pt>
                <c:pt idx="72">
                  <c:v>Jan-06</c:v>
                </c:pt>
                <c:pt idx="73">
                  <c:v>Feb-06</c:v>
                </c:pt>
                <c:pt idx="74">
                  <c:v>Mar-06</c:v>
                </c:pt>
                <c:pt idx="75">
                  <c:v>Apr-06</c:v>
                </c:pt>
                <c:pt idx="76">
                  <c:v>May-06</c:v>
                </c:pt>
                <c:pt idx="77">
                  <c:v>Jun-06</c:v>
                </c:pt>
                <c:pt idx="78">
                  <c:v>Jul-06</c:v>
                </c:pt>
                <c:pt idx="79">
                  <c:v>Aug-06</c:v>
                </c:pt>
                <c:pt idx="80">
                  <c:v>Sep-06</c:v>
                </c:pt>
                <c:pt idx="81">
                  <c:v>Oct-06</c:v>
                </c:pt>
                <c:pt idx="82">
                  <c:v>Nov-06</c:v>
                </c:pt>
                <c:pt idx="83">
                  <c:v>Dec-06</c:v>
                </c:pt>
                <c:pt idx="84">
                  <c:v>Jan-07</c:v>
                </c:pt>
                <c:pt idx="85">
                  <c:v>Feb-07</c:v>
                </c:pt>
                <c:pt idx="86">
                  <c:v>Mar-07</c:v>
                </c:pt>
                <c:pt idx="87">
                  <c:v>Apr-07</c:v>
                </c:pt>
                <c:pt idx="88">
                  <c:v>May-07</c:v>
                </c:pt>
                <c:pt idx="89">
                  <c:v>Jun-07</c:v>
                </c:pt>
                <c:pt idx="90">
                  <c:v>Jul-07</c:v>
                </c:pt>
                <c:pt idx="91">
                  <c:v>Aug-07</c:v>
                </c:pt>
                <c:pt idx="92">
                  <c:v>Sep-07</c:v>
                </c:pt>
                <c:pt idx="93">
                  <c:v>Oct-07</c:v>
                </c:pt>
                <c:pt idx="94">
                  <c:v>Nov-07</c:v>
                </c:pt>
                <c:pt idx="95">
                  <c:v>Dec-07</c:v>
                </c:pt>
                <c:pt idx="96">
                  <c:v>Jan-08</c:v>
                </c:pt>
                <c:pt idx="97">
                  <c:v>Feb-08</c:v>
                </c:pt>
                <c:pt idx="98">
                  <c:v>Mar-08</c:v>
                </c:pt>
                <c:pt idx="99">
                  <c:v>Apr-08</c:v>
                </c:pt>
                <c:pt idx="100">
                  <c:v>May-08</c:v>
                </c:pt>
                <c:pt idx="101">
                  <c:v>Jun-08</c:v>
                </c:pt>
                <c:pt idx="102">
                  <c:v>Jul-08</c:v>
                </c:pt>
                <c:pt idx="103">
                  <c:v>Aug-08</c:v>
                </c:pt>
                <c:pt idx="104">
                  <c:v>Sep-08</c:v>
                </c:pt>
                <c:pt idx="105">
                  <c:v>Oct-08</c:v>
                </c:pt>
                <c:pt idx="106">
                  <c:v>Nov-08</c:v>
                </c:pt>
                <c:pt idx="107">
                  <c:v>Dec-08</c:v>
                </c:pt>
                <c:pt idx="108">
                  <c:v>Jan-09</c:v>
                </c:pt>
                <c:pt idx="109">
                  <c:v>Feb-09</c:v>
                </c:pt>
                <c:pt idx="110">
                  <c:v>Mar-09</c:v>
                </c:pt>
                <c:pt idx="111">
                  <c:v>Apr-09</c:v>
                </c:pt>
                <c:pt idx="112">
                  <c:v>May-09</c:v>
                </c:pt>
                <c:pt idx="113">
                  <c:v>Jun-09</c:v>
                </c:pt>
                <c:pt idx="114">
                  <c:v>Jul-09</c:v>
                </c:pt>
                <c:pt idx="115">
                  <c:v>Aug-09</c:v>
                </c:pt>
                <c:pt idx="116">
                  <c:v>Sep-09</c:v>
                </c:pt>
                <c:pt idx="117">
                  <c:v>Oct-09</c:v>
                </c:pt>
                <c:pt idx="118">
                  <c:v>Nov-09</c:v>
                </c:pt>
                <c:pt idx="119">
                  <c:v>Dec-09</c:v>
                </c:pt>
                <c:pt idx="120">
                  <c:v>Jan-10</c:v>
                </c:pt>
                <c:pt idx="121">
                  <c:v>Feb-10</c:v>
                </c:pt>
                <c:pt idx="122">
                  <c:v>Mar-10</c:v>
                </c:pt>
                <c:pt idx="123">
                  <c:v>Apr-10</c:v>
                </c:pt>
                <c:pt idx="124">
                  <c:v>May-10</c:v>
                </c:pt>
                <c:pt idx="125">
                  <c:v>Jun-10</c:v>
                </c:pt>
                <c:pt idx="126">
                  <c:v>Jul-10</c:v>
                </c:pt>
                <c:pt idx="127">
                  <c:v>Aug-10</c:v>
                </c:pt>
                <c:pt idx="128">
                  <c:v>Sep-10</c:v>
                </c:pt>
                <c:pt idx="129">
                  <c:v>Oct-10</c:v>
                </c:pt>
                <c:pt idx="130">
                  <c:v>Nov-10</c:v>
                </c:pt>
                <c:pt idx="131">
                  <c:v>Dec-10</c:v>
                </c:pt>
                <c:pt idx="132">
                  <c:v>Jan-11</c:v>
                </c:pt>
                <c:pt idx="133">
                  <c:v>Feb-11</c:v>
                </c:pt>
                <c:pt idx="134">
                  <c:v>Mar-11</c:v>
                </c:pt>
                <c:pt idx="135">
                  <c:v>Apr-11</c:v>
                </c:pt>
                <c:pt idx="136">
                  <c:v>May-11</c:v>
                </c:pt>
                <c:pt idx="137">
                  <c:v>Jun-11</c:v>
                </c:pt>
                <c:pt idx="138">
                  <c:v>Jul-11</c:v>
                </c:pt>
                <c:pt idx="139">
                  <c:v>Aug-11</c:v>
                </c:pt>
                <c:pt idx="140">
                  <c:v>Sep-11</c:v>
                </c:pt>
                <c:pt idx="141">
                  <c:v>Oct-11</c:v>
                </c:pt>
                <c:pt idx="142">
                  <c:v>Nov-11</c:v>
                </c:pt>
                <c:pt idx="143">
                  <c:v>Dec-11</c:v>
                </c:pt>
                <c:pt idx="144">
                  <c:v>Jan-12</c:v>
                </c:pt>
                <c:pt idx="145">
                  <c:v>Feb-12</c:v>
                </c:pt>
                <c:pt idx="146">
                  <c:v>Mar-12</c:v>
                </c:pt>
                <c:pt idx="147">
                  <c:v>Apr-12</c:v>
                </c:pt>
                <c:pt idx="148">
                  <c:v>May-12</c:v>
                </c:pt>
                <c:pt idx="149">
                  <c:v>Jun-12</c:v>
                </c:pt>
                <c:pt idx="150">
                  <c:v>Jul-12</c:v>
                </c:pt>
                <c:pt idx="151">
                  <c:v>Aug-12</c:v>
                </c:pt>
                <c:pt idx="152">
                  <c:v>Sep-12</c:v>
                </c:pt>
                <c:pt idx="153">
                  <c:v>Oct-12</c:v>
                </c:pt>
                <c:pt idx="154">
                  <c:v>Nov-12</c:v>
                </c:pt>
                <c:pt idx="155">
                  <c:v>Dec-12</c:v>
                </c:pt>
                <c:pt idx="156">
                  <c:v>Jan-13</c:v>
                </c:pt>
                <c:pt idx="157">
                  <c:v>Feb-13</c:v>
                </c:pt>
                <c:pt idx="158">
                  <c:v>Mar-13</c:v>
                </c:pt>
                <c:pt idx="159">
                  <c:v>Apr-13</c:v>
                </c:pt>
                <c:pt idx="160">
                  <c:v>May-13</c:v>
                </c:pt>
                <c:pt idx="161">
                  <c:v>Jun-13</c:v>
                </c:pt>
                <c:pt idx="162">
                  <c:v>Jul-13</c:v>
                </c:pt>
                <c:pt idx="163">
                  <c:v>Aug-13</c:v>
                </c:pt>
                <c:pt idx="164">
                  <c:v>Sep-13</c:v>
                </c:pt>
                <c:pt idx="165">
                  <c:v>Oct-13</c:v>
                </c:pt>
                <c:pt idx="166">
                  <c:v>Nov-13</c:v>
                </c:pt>
                <c:pt idx="167">
                  <c:v>Dec-13</c:v>
                </c:pt>
                <c:pt idx="168">
                  <c:v>Jan-14</c:v>
                </c:pt>
                <c:pt idx="169">
                  <c:v>Feb-14</c:v>
                </c:pt>
                <c:pt idx="170">
                  <c:v>Mar-14</c:v>
                </c:pt>
                <c:pt idx="171">
                  <c:v>Apr-14</c:v>
                </c:pt>
              </c:strCache>
            </c:strRef>
          </c:cat>
          <c:val>
            <c:numRef>
              <c:f>'Pivot all'!$H$5:$H$177</c:f>
              <c:numCache>
                <c:formatCode>General</c:formatCode>
                <c:ptCount val="172"/>
                <c:pt idx="167" formatCode="#,##0">
                  <c:v>1113</c:v>
                </c:pt>
                <c:pt idx="168" formatCode="#,##0">
                  <c:v>1516</c:v>
                </c:pt>
                <c:pt idx="169" formatCode="#,##0">
                  <c:v>2190</c:v>
                </c:pt>
                <c:pt idx="170" formatCode="#,##0">
                  <c:v>3258</c:v>
                </c:pt>
                <c:pt idx="171" formatCode="#,##0">
                  <c:v>3873</c:v>
                </c:pt>
              </c:numCache>
            </c:numRef>
          </c:val>
          <c:smooth val="0"/>
        </c:ser>
        <c:ser>
          <c:idx val="7"/>
          <c:order val="7"/>
          <c:tx>
            <c:strRef>
              <c:f>'Pivot all'!$I$3:$I$4</c:f>
              <c:strCache>
                <c:ptCount val="1"/>
                <c:pt idx="0">
                  <c:v>Sulfonylureas</c:v>
                </c:pt>
              </c:strCache>
            </c:strRef>
          </c:tx>
          <c:marker>
            <c:symbol val="none"/>
          </c:marker>
          <c:cat>
            <c:strRef>
              <c:f>'Pivot all'!$A$5:$A$177</c:f>
              <c:strCache>
                <c:ptCount val="172"/>
                <c:pt idx="0">
                  <c:v>Jan-00</c:v>
                </c:pt>
                <c:pt idx="1">
                  <c:v>Feb-00</c:v>
                </c:pt>
                <c:pt idx="2">
                  <c:v>Mar-00</c:v>
                </c:pt>
                <c:pt idx="3">
                  <c:v>Apr-00</c:v>
                </c:pt>
                <c:pt idx="4">
                  <c:v>May-00</c:v>
                </c:pt>
                <c:pt idx="5">
                  <c:v>Jun-00</c:v>
                </c:pt>
                <c:pt idx="6">
                  <c:v>Jul-00</c:v>
                </c:pt>
                <c:pt idx="7">
                  <c:v>Aug-00</c:v>
                </c:pt>
                <c:pt idx="8">
                  <c:v>Sep-00</c:v>
                </c:pt>
                <c:pt idx="9">
                  <c:v>Oct-00</c:v>
                </c:pt>
                <c:pt idx="10">
                  <c:v>Nov-00</c:v>
                </c:pt>
                <c:pt idx="11">
                  <c:v>Dec-00</c:v>
                </c:pt>
                <c:pt idx="12">
                  <c:v>Jan-01</c:v>
                </c:pt>
                <c:pt idx="13">
                  <c:v>Feb-01</c:v>
                </c:pt>
                <c:pt idx="14">
                  <c:v>Mar-01</c:v>
                </c:pt>
                <c:pt idx="15">
                  <c:v>Apr-01</c:v>
                </c:pt>
                <c:pt idx="16">
                  <c:v>May-01</c:v>
                </c:pt>
                <c:pt idx="17">
                  <c:v>Jun-01</c:v>
                </c:pt>
                <c:pt idx="18">
                  <c:v>Jul-01</c:v>
                </c:pt>
                <c:pt idx="19">
                  <c:v>Aug-01</c:v>
                </c:pt>
                <c:pt idx="20">
                  <c:v>Sep-01</c:v>
                </c:pt>
                <c:pt idx="21">
                  <c:v>Oct-01</c:v>
                </c:pt>
                <c:pt idx="22">
                  <c:v>Nov-01</c:v>
                </c:pt>
                <c:pt idx="23">
                  <c:v>Dec-01</c:v>
                </c:pt>
                <c:pt idx="24">
                  <c:v>Jan-02</c:v>
                </c:pt>
                <c:pt idx="25">
                  <c:v>Feb-02</c:v>
                </c:pt>
                <c:pt idx="26">
                  <c:v>Mar-02</c:v>
                </c:pt>
                <c:pt idx="27">
                  <c:v>Apr-02</c:v>
                </c:pt>
                <c:pt idx="28">
                  <c:v>May-02</c:v>
                </c:pt>
                <c:pt idx="29">
                  <c:v>Jun-02</c:v>
                </c:pt>
                <c:pt idx="30">
                  <c:v>Jul-02</c:v>
                </c:pt>
                <c:pt idx="31">
                  <c:v>Aug-02</c:v>
                </c:pt>
                <c:pt idx="32">
                  <c:v>Sep-02</c:v>
                </c:pt>
                <c:pt idx="33">
                  <c:v>Oct-02</c:v>
                </c:pt>
                <c:pt idx="34">
                  <c:v>Nov-02</c:v>
                </c:pt>
                <c:pt idx="35">
                  <c:v>Dec-02</c:v>
                </c:pt>
                <c:pt idx="36">
                  <c:v>Jan-03</c:v>
                </c:pt>
                <c:pt idx="37">
                  <c:v>Feb-03</c:v>
                </c:pt>
                <c:pt idx="38">
                  <c:v>Mar-03</c:v>
                </c:pt>
                <c:pt idx="39">
                  <c:v>Apr-03</c:v>
                </c:pt>
                <c:pt idx="40">
                  <c:v>May-03</c:v>
                </c:pt>
                <c:pt idx="41">
                  <c:v>Jun-03</c:v>
                </c:pt>
                <c:pt idx="42">
                  <c:v>Jul-03</c:v>
                </c:pt>
                <c:pt idx="43">
                  <c:v>Aug-03</c:v>
                </c:pt>
                <c:pt idx="44">
                  <c:v>Sep-03</c:v>
                </c:pt>
                <c:pt idx="45">
                  <c:v>Oct-03</c:v>
                </c:pt>
                <c:pt idx="46">
                  <c:v>Nov-03</c:v>
                </c:pt>
                <c:pt idx="47">
                  <c:v>Dec-03</c:v>
                </c:pt>
                <c:pt idx="48">
                  <c:v>Jan-04</c:v>
                </c:pt>
                <c:pt idx="49">
                  <c:v>Feb-04</c:v>
                </c:pt>
                <c:pt idx="50">
                  <c:v>Mar-04</c:v>
                </c:pt>
                <c:pt idx="51">
                  <c:v>Apr-04</c:v>
                </c:pt>
                <c:pt idx="52">
                  <c:v>May-04</c:v>
                </c:pt>
                <c:pt idx="53">
                  <c:v>Jun-04</c:v>
                </c:pt>
                <c:pt idx="54">
                  <c:v>Jul-04</c:v>
                </c:pt>
                <c:pt idx="55">
                  <c:v>Aug-04</c:v>
                </c:pt>
                <c:pt idx="56">
                  <c:v>Sep-04</c:v>
                </c:pt>
                <c:pt idx="57">
                  <c:v>Oct-04</c:v>
                </c:pt>
                <c:pt idx="58">
                  <c:v>Nov-04</c:v>
                </c:pt>
                <c:pt idx="59">
                  <c:v>Dec-04</c:v>
                </c:pt>
                <c:pt idx="60">
                  <c:v>Jan-05</c:v>
                </c:pt>
                <c:pt idx="61">
                  <c:v>Feb-05</c:v>
                </c:pt>
                <c:pt idx="62">
                  <c:v>Mar-05</c:v>
                </c:pt>
                <c:pt idx="63">
                  <c:v>Apr-05</c:v>
                </c:pt>
                <c:pt idx="64">
                  <c:v>May-05</c:v>
                </c:pt>
                <c:pt idx="65">
                  <c:v>Jun-05</c:v>
                </c:pt>
                <c:pt idx="66">
                  <c:v>Jul-05</c:v>
                </c:pt>
                <c:pt idx="67">
                  <c:v>Aug-05</c:v>
                </c:pt>
                <c:pt idx="68">
                  <c:v>Sep-05</c:v>
                </c:pt>
                <c:pt idx="69">
                  <c:v>Oct-05</c:v>
                </c:pt>
                <c:pt idx="70">
                  <c:v>Nov-05</c:v>
                </c:pt>
                <c:pt idx="71">
                  <c:v>Dec-05</c:v>
                </c:pt>
                <c:pt idx="72">
                  <c:v>Jan-06</c:v>
                </c:pt>
                <c:pt idx="73">
                  <c:v>Feb-06</c:v>
                </c:pt>
                <c:pt idx="74">
                  <c:v>Mar-06</c:v>
                </c:pt>
                <c:pt idx="75">
                  <c:v>Apr-06</c:v>
                </c:pt>
                <c:pt idx="76">
                  <c:v>May-06</c:v>
                </c:pt>
                <c:pt idx="77">
                  <c:v>Jun-06</c:v>
                </c:pt>
                <c:pt idx="78">
                  <c:v>Jul-06</c:v>
                </c:pt>
                <c:pt idx="79">
                  <c:v>Aug-06</c:v>
                </c:pt>
                <c:pt idx="80">
                  <c:v>Sep-06</c:v>
                </c:pt>
                <c:pt idx="81">
                  <c:v>Oct-06</c:v>
                </c:pt>
                <c:pt idx="82">
                  <c:v>Nov-06</c:v>
                </c:pt>
                <c:pt idx="83">
                  <c:v>Dec-06</c:v>
                </c:pt>
                <c:pt idx="84">
                  <c:v>Jan-07</c:v>
                </c:pt>
                <c:pt idx="85">
                  <c:v>Feb-07</c:v>
                </c:pt>
                <c:pt idx="86">
                  <c:v>Mar-07</c:v>
                </c:pt>
                <c:pt idx="87">
                  <c:v>Apr-07</c:v>
                </c:pt>
                <c:pt idx="88">
                  <c:v>May-07</c:v>
                </c:pt>
                <c:pt idx="89">
                  <c:v>Jun-07</c:v>
                </c:pt>
                <c:pt idx="90">
                  <c:v>Jul-07</c:v>
                </c:pt>
                <c:pt idx="91">
                  <c:v>Aug-07</c:v>
                </c:pt>
                <c:pt idx="92">
                  <c:v>Sep-07</c:v>
                </c:pt>
                <c:pt idx="93">
                  <c:v>Oct-07</c:v>
                </c:pt>
                <c:pt idx="94">
                  <c:v>Nov-07</c:v>
                </c:pt>
                <c:pt idx="95">
                  <c:v>Dec-07</c:v>
                </c:pt>
                <c:pt idx="96">
                  <c:v>Jan-08</c:v>
                </c:pt>
                <c:pt idx="97">
                  <c:v>Feb-08</c:v>
                </c:pt>
                <c:pt idx="98">
                  <c:v>Mar-08</c:v>
                </c:pt>
                <c:pt idx="99">
                  <c:v>Apr-08</c:v>
                </c:pt>
                <c:pt idx="100">
                  <c:v>May-08</c:v>
                </c:pt>
                <c:pt idx="101">
                  <c:v>Jun-08</c:v>
                </c:pt>
                <c:pt idx="102">
                  <c:v>Jul-08</c:v>
                </c:pt>
                <c:pt idx="103">
                  <c:v>Aug-08</c:v>
                </c:pt>
                <c:pt idx="104">
                  <c:v>Sep-08</c:v>
                </c:pt>
                <c:pt idx="105">
                  <c:v>Oct-08</c:v>
                </c:pt>
                <c:pt idx="106">
                  <c:v>Nov-08</c:v>
                </c:pt>
                <c:pt idx="107">
                  <c:v>Dec-08</c:v>
                </c:pt>
                <c:pt idx="108">
                  <c:v>Jan-09</c:v>
                </c:pt>
                <c:pt idx="109">
                  <c:v>Feb-09</c:v>
                </c:pt>
                <c:pt idx="110">
                  <c:v>Mar-09</c:v>
                </c:pt>
                <c:pt idx="111">
                  <c:v>Apr-09</c:v>
                </c:pt>
                <c:pt idx="112">
                  <c:v>May-09</c:v>
                </c:pt>
                <c:pt idx="113">
                  <c:v>Jun-09</c:v>
                </c:pt>
                <c:pt idx="114">
                  <c:v>Jul-09</c:v>
                </c:pt>
                <c:pt idx="115">
                  <c:v>Aug-09</c:v>
                </c:pt>
                <c:pt idx="116">
                  <c:v>Sep-09</c:v>
                </c:pt>
                <c:pt idx="117">
                  <c:v>Oct-09</c:v>
                </c:pt>
                <c:pt idx="118">
                  <c:v>Nov-09</c:v>
                </c:pt>
                <c:pt idx="119">
                  <c:v>Dec-09</c:v>
                </c:pt>
                <c:pt idx="120">
                  <c:v>Jan-10</c:v>
                </c:pt>
                <c:pt idx="121">
                  <c:v>Feb-10</c:v>
                </c:pt>
                <c:pt idx="122">
                  <c:v>Mar-10</c:v>
                </c:pt>
                <c:pt idx="123">
                  <c:v>Apr-10</c:v>
                </c:pt>
                <c:pt idx="124">
                  <c:v>May-10</c:v>
                </c:pt>
                <c:pt idx="125">
                  <c:v>Jun-10</c:v>
                </c:pt>
                <c:pt idx="126">
                  <c:v>Jul-10</c:v>
                </c:pt>
                <c:pt idx="127">
                  <c:v>Aug-10</c:v>
                </c:pt>
                <c:pt idx="128">
                  <c:v>Sep-10</c:v>
                </c:pt>
                <c:pt idx="129">
                  <c:v>Oct-10</c:v>
                </c:pt>
                <c:pt idx="130">
                  <c:v>Nov-10</c:v>
                </c:pt>
                <c:pt idx="131">
                  <c:v>Dec-10</c:v>
                </c:pt>
                <c:pt idx="132">
                  <c:v>Jan-11</c:v>
                </c:pt>
                <c:pt idx="133">
                  <c:v>Feb-11</c:v>
                </c:pt>
                <c:pt idx="134">
                  <c:v>Mar-11</c:v>
                </c:pt>
                <c:pt idx="135">
                  <c:v>Apr-11</c:v>
                </c:pt>
                <c:pt idx="136">
                  <c:v>May-11</c:v>
                </c:pt>
                <c:pt idx="137">
                  <c:v>Jun-11</c:v>
                </c:pt>
                <c:pt idx="138">
                  <c:v>Jul-11</c:v>
                </c:pt>
                <c:pt idx="139">
                  <c:v>Aug-11</c:v>
                </c:pt>
                <c:pt idx="140">
                  <c:v>Sep-11</c:v>
                </c:pt>
                <c:pt idx="141">
                  <c:v>Oct-11</c:v>
                </c:pt>
                <c:pt idx="142">
                  <c:v>Nov-11</c:v>
                </c:pt>
                <c:pt idx="143">
                  <c:v>Dec-11</c:v>
                </c:pt>
                <c:pt idx="144">
                  <c:v>Jan-12</c:v>
                </c:pt>
                <c:pt idx="145">
                  <c:v>Feb-12</c:v>
                </c:pt>
                <c:pt idx="146">
                  <c:v>Mar-12</c:v>
                </c:pt>
                <c:pt idx="147">
                  <c:v>Apr-12</c:v>
                </c:pt>
                <c:pt idx="148">
                  <c:v>May-12</c:v>
                </c:pt>
                <c:pt idx="149">
                  <c:v>Jun-12</c:v>
                </c:pt>
                <c:pt idx="150">
                  <c:v>Jul-12</c:v>
                </c:pt>
                <c:pt idx="151">
                  <c:v>Aug-12</c:v>
                </c:pt>
                <c:pt idx="152">
                  <c:v>Sep-12</c:v>
                </c:pt>
                <c:pt idx="153">
                  <c:v>Oct-12</c:v>
                </c:pt>
                <c:pt idx="154">
                  <c:v>Nov-12</c:v>
                </c:pt>
                <c:pt idx="155">
                  <c:v>Dec-12</c:v>
                </c:pt>
                <c:pt idx="156">
                  <c:v>Jan-13</c:v>
                </c:pt>
                <c:pt idx="157">
                  <c:v>Feb-13</c:v>
                </c:pt>
                <c:pt idx="158">
                  <c:v>Mar-13</c:v>
                </c:pt>
                <c:pt idx="159">
                  <c:v>Apr-13</c:v>
                </c:pt>
                <c:pt idx="160">
                  <c:v>May-13</c:v>
                </c:pt>
                <c:pt idx="161">
                  <c:v>Jun-13</c:v>
                </c:pt>
                <c:pt idx="162">
                  <c:v>Jul-13</c:v>
                </c:pt>
                <c:pt idx="163">
                  <c:v>Aug-13</c:v>
                </c:pt>
                <c:pt idx="164">
                  <c:v>Sep-13</c:v>
                </c:pt>
                <c:pt idx="165">
                  <c:v>Oct-13</c:v>
                </c:pt>
                <c:pt idx="166">
                  <c:v>Nov-13</c:v>
                </c:pt>
                <c:pt idx="167">
                  <c:v>Dec-13</c:v>
                </c:pt>
                <c:pt idx="168">
                  <c:v>Jan-14</c:v>
                </c:pt>
                <c:pt idx="169">
                  <c:v>Feb-14</c:v>
                </c:pt>
                <c:pt idx="170">
                  <c:v>Mar-14</c:v>
                </c:pt>
                <c:pt idx="171">
                  <c:v>Apr-14</c:v>
                </c:pt>
              </c:strCache>
            </c:strRef>
          </c:cat>
          <c:val>
            <c:numRef>
              <c:f>'Pivot all'!$I$5:$I$177</c:f>
              <c:numCache>
                <c:formatCode>#,##0</c:formatCode>
                <c:ptCount val="172"/>
                <c:pt idx="0">
                  <c:v>110905</c:v>
                </c:pt>
                <c:pt idx="1">
                  <c:v>129167</c:v>
                </c:pt>
                <c:pt idx="2">
                  <c:v>149982</c:v>
                </c:pt>
                <c:pt idx="3">
                  <c:v>134830</c:v>
                </c:pt>
                <c:pt idx="4">
                  <c:v>157499</c:v>
                </c:pt>
                <c:pt idx="5">
                  <c:v>149401</c:v>
                </c:pt>
                <c:pt idx="6">
                  <c:v>147993</c:v>
                </c:pt>
                <c:pt idx="7">
                  <c:v>158786</c:v>
                </c:pt>
                <c:pt idx="8">
                  <c:v>153505</c:v>
                </c:pt>
                <c:pt idx="9">
                  <c:v>160610</c:v>
                </c:pt>
                <c:pt idx="10">
                  <c:v>167882</c:v>
                </c:pt>
                <c:pt idx="11">
                  <c:v>195878</c:v>
                </c:pt>
                <c:pt idx="12">
                  <c:v>123819</c:v>
                </c:pt>
                <c:pt idx="13">
                  <c:v>131788</c:v>
                </c:pt>
                <c:pt idx="14">
                  <c:v>159413</c:v>
                </c:pt>
                <c:pt idx="15">
                  <c:v>152374</c:v>
                </c:pt>
                <c:pt idx="16">
                  <c:v>170036</c:v>
                </c:pt>
                <c:pt idx="17">
                  <c:v>165317</c:v>
                </c:pt>
                <c:pt idx="18">
                  <c:v>170380</c:v>
                </c:pt>
                <c:pt idx="19">
                  <c:v>180579</c:v>
                </c:pt>
                <c:pt idx="20">
                  <c:v>169798</c:v>
                </c:pt>
                <c:pt idx="21">
                  <c:v>187078</c:v>
                </c:pt>
                <c:pt idx="22">
                  <c:v>191035</c:v>
                </c:pt>
                <c:pt idx="23">
                  <c:v>226217</c:v>
                </c:pt>
                <c:pt idx="24">
                  <c:v>142633</c:v>
                </c:pt>
                <c:pt idx="25">
                  <c:v>149421</c:v>
                </c:pt>
                <c:pt idx="26">
                  <c:v>168136</c:v>
                </c:pt>
                <c:pt idx="27">
                  <c:v>176337</c:v>
                </c:pt>
                <c:pt idx="28">
                  <c:v>190721</c:v>
                </c:pt>
                <c:pt idx="29">
                  <c:v>171257</c:v>
                </c:pt>
                <c:pt idx="30">
                  <c:v>186122</c:v>
                </c:pt>
                <c:pt idx="31">
                  <c:v>187344</c:v>
                </c:pt>
                <c:pt idx="32">
                  <c:v>180023</c:v>
                </c:pt>
                <c:pt idx="33">
                  <c:v>198174</c:v>
                </c:pt>
                <c:pt idx="34">
                  <c:v>196251</c:v>
                </c:pt>
                <c:pt idx="35">
                  <c:v>240652</c:v>
                </c:pt>
                <c:pt idx="36">
                  <c:v>143883</c:v>
                </c:pt>
                <c:pt idx="37">
                  <c:v>153636</c:v>
                </c:pt>
                <c:pt idx="38">
                  <c:v>175083</c:v>
                </c:pt>
                <c:pt idx="39">
                  <c:v>175226</c:v>
                </c:pt>
                <c:pt idx="40">
                  <c:v>189198</c:v>
                </c:pt>
                <c:pt idx="41">
                  <c:v>178146</c:v>
                </c:pt>
                <c:pt idx="42">
                  <c:v>193620</c:v>
                </c:pt>
                <c:pt idx="43">
                  <c:v>186316</c:v>
                </c:pt>
                <c:pt idx="44">
                  <c:v>189585</c:v>
                </c:pt>
                <c:pt idx="45">
                  <c:v>200291</c:v>
                </c:pt>
                <c:pt idx="46">
                  <c:v>194253</c:v>
                </c:pt>
                <c:pt idx="47">
                  <c:v>253715</c:v>
                </c:pt>
                <c:pt idx="48">
                  <c:v>146353</c:v>
                </c:pt>
                <c:pt idx="49">
                  <c:v>161496</c:v>
                </c:pt>
                <c:pt idx="50">
                  <c:v>189263</c:v>
                </c:pt>
                <c:pt idx="51">
                  <c:v>185483</c:v>
                </c:pt>
                <c:pt idx="52">
                  <c:v>185606</c:v>
                </c:pt>
                <c:pt idx="53">
                  <c:v>190210</c:v>
                </c:pt>
                <c:pt idx="54">
                  <c:v>195451</c:v>
                </c:pt>
                <c:pt idx="55">
                  <c:v>193809</c:v>
                </c:pt>
                <c:pt idx="56">
                  <c:v>196495</c:v>
                </c:pt>
                <c:pt idx="57">
                  <c:v>198342</c:v>
                </c:pt>
                <c:pt idx="58">
                  <c:v>210077</c:v>
                </c:pt>
                <c:pt idx="59">
                  <c:v>264036</c:v>
                </c:pt>
                <c:pt idx="60">
                  <c:v>141457</c:v>
                </c:pt>
                <c:pt idx="61">
                  <c:v>159497</c:v>
                </c:pt>
                <c:pt idx="62">
                  <c:v>184496</c:v>
                </c:pt>
                <c:pt idx="63">
                  <c:v>185196</c:v>
                </c:pt>
                <c:pt idx="64">
                  <c:v>191305</c:v>
                </c:pt>
                <c:pt idx="65">
                  <c:v>190997</c:v>
                </c:pt>
                <c:pt idx="66">
                  <c:v>189792</c:v>
                </c:pt>
                <c:pt idx="67">
                  <c:v>199425</c:v>
                </c:pt>
                <c:pt idx="68">
                  <c:v>196806</c:v>
                </c:pt>
                <c:pt idx="69">
                  <c:v>199900</c:v>
                </c:pt>
                <c:pt idx="70">
                  <c:v>208264</c:v>
                </c:pt>
                <c:pt idx="71">
                  <c:v>260022</c:v>
                </c:pt>
                <c:pt idx="72">
                  <c:v>141188</c:v>
                </c:pt>
                <c:pt idx="73">
                  <c:v>160298</c:v>
                </c:pt>
                <c:pt idx="74">
                  <c:v>188948</c:v>
                </c:pt>
                <c:pt idx="75">
                  <c:v>177547</c:v>
                </c:pt>
                <c:pt idx="76">
                  <c:v>196243</c:v>
                </c:pt>
                <c:pt idx="77">
                  <c:v>192975</c:v>
                </c:pt>
                <c:pt idx="78">
                  <c:v>190477</c:v>
                </c:pt>
                <c:pt idx="79">
                  <c:v>198185</c:v>
                </c:pt>
                <c:pt idx="80">
                  <c:v>195818</c:v>
                </c:pt>
                <c:pt idx="81">
                  <c:v>199195</c:v>
                </c:pt>
                <c:pt idx="82">
                  <c:v>210600</c:v>
                </c:pt>
                <c:pt idx="83">
                  <c:v>246127</c:v>
                </c:pt>
                <c:pt idx="84">
                  <c:v>154241</c:v>
                </c:pt>
                <c:pt idx="85">
                  <c:v>165840</c:v>
                </c:pt>
                <c:pt idx="86">
                  <c:v>193609</c:v>
                </c:pt>
                <c:pt idx="87">
                  <c:v>181933</c:v>
                </c:pt>
                <c:pt idx="88">
                  <c:v>201154</c:v>
                </c:pt>
                <c:pt idx="89">
                  <c:v>188812</c:v>
                </c:pt>
                <c:pt idx="90">
                  <c:v>201521</c:v>
                </c:pt>
                <c:pt idx="91">
                  <c:v>210270</c:v>
                </c:pt>
                <c:pt idx="92">
                  <c:v>198471</c:v>
                </c:pt>
                <c:pt idx="93">
                  <c:v>217220</c:v>
                </c:pt>
                <c:pt idx="94">
                  <c:v>222458</c:v>
                </c:pt>
                <c:pt idx="95">
                  <c:v>259969</c:v>
                </c:pt>
                <c:pt idx="96">
                  <c:v>162319</c:v>
                </c:pt>
                <c:pt idx="97">
                  <c:v>179796</c:v>
                </c:pt>
                <c:pt idx="98">
                  <c:v>191423</c:v>
                </c:pt>
                <c:pt idx="99">
                  <c:v>197083</c:v>
                </c:pt>
                <c:pt idx="100">
                  <c:v>210189</c:v>
                </c:pt>
                <c:pt idx="101">
                  <c:v>197667</c:v>
                </c:pt>
                <c:pt idx="102">
                  <c:v>210234</c:v>
                </c:pt>
                <c:pt idx="103">
                  <c:v>203319</c:v>
                </c:pt>
                <c:pt idx="104">
                  <c:v>206352</c:v>
                </c:pt>
                <c:pt idx="105">
                  <c:v>221983</c:v>
                </c:pt>
                <c:pt idx="106">
                  <c:v>212480</c:v>
                </c:pt>
                <c:pt idx="107">
                  <c:v>278051</c:v>
                </c:pt>
                <c:pt idx="108">
                  <c:v>155457</c:v>
                </c:pt>
                <c:pt idx="109">
                  <c:v>170084</c:v>
                </c:pt>
                <c:pt idx="110">
                  <c:v>194047</c:v>
                </c:pt>
                <c:pt idx="111">
                  <c:v>195993</c:v>
                </c:pt>
                <c:pt idx="112">
                  <c:v>199221</c:v>
                </c:pt>
                <c:pt idx="113">
                  <c:v>199937</c:v>
                </c:pt>
                <c:pt idx="114">
                  <c:v>206935</c:v>
                </c:pt>
                <c:pt idx="115">
                  <c:v>202443</c:v>
                </c:pt>
                <c:pt idx="116">
                  <c:v>206081</c:v>
                </c:pt>
                <c:pt idx="117">
                  <c:v>215046</c:v>
                </c:pt>
                <c:pt idx="118">
                  <c:v>213275</c:v>
                </c:pt>
                <c:pt idx="119">
                  <c:v>271803</c:v>
                </c:pt>
                <c:pt idx="120">
                  <c:v>151620</c:v>
                </c:pt>
                <c:pt idx="121">
                  <c:v>167992</c:v>
                </c:pt>
                <c:pt idx="122">
                  <c:v>202126</c:v>
                </c:pt>
                <c:pt idx="123">
                  <c:v>191200</c:v>
                </c:pt>
                <c:pt idx="124">
                  <c:v>199099</c:v>
                </c:pt>
                <c:pt idx="125">
                  <c:v>178831</c:v>
                </c:pt>
                <c:pt idx="126">
                  <c:v>196855</c:v>
                </c:pt>
                <c:pt idx="127">
                  <c:v>199194</c:v>
                </c:pt>
                <c:pt idx="128">
                  <c:v>201713</c:v>
                </c:pt>
                <c:pt idx="129">
                  <c:v>205959</c:v>
                </c:pt>
                <c:pt idx="130">
                  <c:v>216593</c:v>
                </c:pt>
                <c:pt idx="131">
                  <c:v>267799</c:v>
                </c:pt>
                <c:pt idx="132">
                  <c:v>148356</c:v>
                </c:pt>
                <c:pt idx="133">
                  <c:v>162347</c:v>
                </c:pt>
                <c:pt idx="134">
                  <c:v>192685</c:v>
                </c:pt>
                <c:pt idx="135">
                  <c:v>182930</c:v>
                </c:pt>
                <c:pt idx="136">
                  <c:v>195377</c:v>
                </c:pt>
                <c:pt idx="137">
                  <c:v>191543</c:v>
                </c:pt>
                <c:pt idx="138">
                  <c:v>191262</c:v>
                </c:pt>
                <c:pt idx="139">
                  <c:v>202475</c:v>
                </c:pt>
                <c:pt idx="140">
                  <c:v>196906</c:v>
                </c:pt>
                <c:pt idx="141">
                  <c:v>199184</c:v>
                </c:pt>
                <c:pt idx="142">
                  <c:v>207827</c:v>
                </c:pt>
                <c:pt idx="143">
                  <c:v>262804</c:v>
                </c:pt>
                <c:pt idx="144">
                  <c:v>144117</c:v>
                </c:pt>
                <c:pt idx="145">
                  <c:v>165303</c:v>
                </c:pt>
                <c:pt idx="146">
                  <c:v>184898</c:v>
                </c:pt>
                <c:pt idx="147">
                  <c:v>174058</c:v>
                </c:pt>
                <c:pt idx="148">
                  <c:v>193719</c:v>
                </c:pt>
                <c:pt idx="149">
                  <c:v>184764</c:v>
                </c:pt>
                <c:pt idx="150">
                  <c:v>196607</c:v>
                </c:pt>
                <c:pt idx="151">
                  <c:v>205437</c:v>
                </c:pt>
                <c:pt idx="152">
                  <c:v>192011</c:v>
                </c:pt>
                <c:pt idx="153">
                  <c:v>210600</c:v>
                </c:pt>
                <c:pt idx="154">
                  <c:v>214096</c:v>
                </c:pt>
                <c:pt idx="155">
                  <c:v>257204</c:v>
                </c:pt>
                <c:pt idx="156">
                  <c:v>155210</c:v>
                </c:pt>
                <c:pt idx="157">
                  <c:v>163038</c:v>
                </c:pt>
                <c:pt idx="158">
                  <c:v>180914</c:v>
                </c:pt>
                <c:pt idx="159">
                  <c:v>186696</c:v>
                </c:pt>
                <c:pt idx="160">
                  <c:v>197437</c:v>
                </c:pt>
                <c:pt idx="161">
                  <c:v>181954</c:v>
                </c:pt>
                <c:pt idx="162">
                  <c:v>199277</c:v>
                </c:pt>
                <c:pt idx="163">
                  <c:v>200027</c:v>
                </c:pt>
                <c:pt idx="164">
                  <c:v>190922</c:v>
                </c:pt>
                <c:pt idx="165">
                  <c:v>208827</c:v>
                </c:pt>
                <c:pt idx="166">
                  <c:v>207880</c:v>
                </c:pt>
                <c:pt idx="167">
                  <c:v>255975</c:v>
                </c:pt>
                <c:pt idx="168">
                  <c:v>152269</c:v>
                </c:pt>
                <c:pt idx="169">
                  <c:v>158586</c:v>
                </c:pt>
                <c:pt idx="170">
                  <c:v>177350</c:v>
                </c:pt>
                <c:pt idx="171">
                  <c:v>173938</c:v>
                </c:pt>
              </c:numCache>
            </c:numRef>
          </c:val>
          <c:smooth val="0"/>
        </c:ser>
        <c:ser>
          <c:idx val="8"/>
          <c:order val="8"/>
          <c:tx>
            <c:strRef>
              <c:f>'Pivot all'!$J$3:$J$4</c:f>
              <c:strCache>
                <c:ptCount val="1"/>
                <c:pt idx="0">
                  <c:v>TZDs</c:v>
                </c:pt>
              </c:strCache>
            </c:strRef>
          </c:tx>
          <c:marker>
            <c:symbol val="none"/>
          </c:marker>
          <c:cat>
            <c:strRef>
              <c:f>'Pivot all'!$A$5:$A$177</c:f>
              <c:strCache>
                <c:ptCount val="172"/>
                <c:pt idx="0">
                  <c:v>Jan-00</c:v>
                </c:pt>
                <c:pt idx="1">
                  <c:v>Feb-00</c:v>
                </c:pt>
                <c:pt idx="2">
                  <c:v>Mar-00</c:v>
                </c:pt>
                <c:pt idx="3">
                  <c:v>Apr-00</c:v>
                </c:pt>
                <c:pt idx="4">
                  <c:v>May-00</c:v>
                </c:pt>
                <c:pt idx="5">
                  <c:v>Jun-00</c:v>
                </c:pt>
                <c:pt idx="6">
                  <c:v>Jul-00</c:v>
                </c:pt>
                <c:pt idx="7">
                  <c:v>Aug-00</c:v>
                </c:pt>
                <c:pt idx="8">
                  <c:v>Sep-00</c:v>
                </c:pt>
                <c:pt idx="9">
                  <c:v>Oct-00</c:v>
                </c:pt>
                <c:pt idx="10">
                  <c:v>Nov-00</c:v>
                </c:pt>
                <c:pt idx="11">
                  <c:v>Dec-00</c:v>
                </c:pt>
                <c:pt idx="12">
                  <c:v>Jan-01</c:v>
                </c:pt>
                <c:pt idx="13">
                  <c:v>Feb-01</c:v>
                </c:pt>
                <c:pt idx="14">
                  <c:v>Mar-01</c:v>
                </c:pt>
                <c:pt idx="15">
                  <c:v>Apr-01</c:v>
                </c:pt>
                <c:pt idx="16">
                  <c:v>May-01</c:v>
                </c:pt>
                <c:pt idx="17">
                  <c:v>Jun-01</c:v>
                </c:pt>
                <c:pt idx="18">
                  <c:v>Jul-01</c:v>
                </c:pt>
                <c:pt idx="19">
                  <c:v>Aug-01</c:v>
                </c:pt>
                <c:pt idx="20">
                  <c:v>Sep-01</c:v>
                </c:pt>
                <c:pt idx="21">
                  <c:v>Oct-01</c:v>
                </c:pt>
                <c:pt idx="22">
                  <c:v>Nov-01</c:v>
                </c:pt>
                <c:pt idx="23">
                  <c:v>Dec-01</c:v>
                </c:pt>
                <c:pt idx="24">
                  <c:v>Jan-02</c:v>
                </c:pt>
                <c:pt idx="25">
                  <c:v>Feb-02</c:v>
                </c:pt>
                <c:pt idx="26">
                  <c:v>Mar-02</c:v>
                </c:pt>
                <c:pt idx="27">
                  <c:v>Apr-02</c:v>
                </c:pt>
                <c:pt idx="28">
                  <c:v>May-02</c:v>
                </c:pt>
                <c:pt idx="29">
                  <c:v>Jun-02</c:v>
                </c:pt>
                <c:pt idx="30">
                  <c:v>Jul-02</c:v>
                </c:pt>
                <c:pt idx="31">
                  <c:v>Aug-02</c:v>
                </c:pt>
                <c:pt idx="32">
                  <c:v>Sep-02</c:v>
                </c:pt>
                <c:pt idx="33">
                  <c:v>Oct-02</c:v>
                </c:pt>
                <c:pt idx="34">
                  <c:v>Nov-02</c:v>
                </c:pt>
                <c:pt idx="35">
                  <c:v>Dec-02</c:v>
                </c:pt>
                <c:pt idx="36">
                  <c:v>Jan-03</c:v>
                </c:pt>
                <c:pt idx="37">
                  <c:v>Feb-03</c:v>
                </c:pt>
                <c:pt idx="38">
                  <c:v>Mar-03</c:v>
                </c:pt>
                <c:pt idx="39">
                  <c:v>Apr-03</c:v>
                </c:pt>
                <c:pt idx="40">
                  <c:v>May-03</c:v>
                </c:pt>
                <c:pt idx="41">
                  <c:v>Jun-03</c:v>
                </c:pt>
                <c:pt idx="42">
                  <c:v>Jul-03</c:v>
                </c:pt>
                <c:pt idx="43">
                  <c:v>Aug-03</c:v>
                </c:pt>
                <c:pt idx="44">
                  <c:v>Sep-03</c:v>
                </c:pt>
                <c:pt idx="45">
                  <c:v>Oct-03</c:v>
                </c:pt>
                <c:pt idx="46">
                  <c:v>Nov-03</c:v>
                </c:pt>
                <c:pt idx="47">
                  <c:v>Dec-03</c:v>
                </c:pt>
                <c:pt idx="48">
                  <c:v>Jan-04</c:v>
                </c:pt>
                <c:pt idx="49">
                  <c:v>Feb-04</c:v>
                </c:pt>
                <c:pt idx="50">
                  <c:v>Mar-04</c:v>
                </c:pt>
                <c:pt idx="51">
                  <c:v>Apr-04</c:v>
                </c:pt>
                <c:pt idx="52">
                  <c:v>May-04</c:v>
                </c:pt>
                <c:pt idx="53">
                  <c:v>Jun-04</c:v>
                </c:pt>
                <c:pt idx="54">
                  <c:v>Jul-04</c:v>
                </c:pt>
                <c:pt idx="55">
                  <c:v>Aug-04</c:v>
                </c:pt>
                <c:pt idx="56">
                  <c:v>Sep-04</c:v>
                </c:pt>
                <c:pt idx="57">
                  <c:v>Oct-04</c:v>
                </c:pt>
                <c:pt idx="58">
                  <c:v>Nov-04</c:v>
                </c:pt>
                <c:pt idx="59">
                  <c:v>Dec-04</c:v>
                </c:pt>
                <c:pt idx="60">
                  <c:v>Jan-05</c:v>
                </c:pt>
                <c:pt idx="61">
                  <c:v>Feb-05</c:v>
                </c:pt>
                <c:pt idx="62">
                  <c:v>Mar-05</c:v>
                </c:pt>
                <c:pt idx="63">
                  <c:v>Apr-05</c:v>
                </c:pt>
                <c:pt idx="64">
                  <c:v>May-05</c:v>
                </c:pt>
                <c:pt idx="65">
                  <c:v>Jun-05</c:v>
                </c:pt>
                <c:pt idx="66">
                  <c:v>Jul-05</c:v>
                </c:pt>
                <c:pt idx="67">
                  <c:v>Aug-05</c:v>
                </c:pt>
                <c:pt idx="68">
                  <c:v>Sep-05</c:v>
                </c:pt>
                <c:pt idx="69">
                  <c:v>Oct-05</c:v>
                </c:pt>
                <c:pt idx="70">
                  <c:v>Nov-05</c:v>
                </c:pt>
                <c:pt idx="71">
                  <c:v>Dec-05</c:v>
                </c:pt>
                <c:pt idx="72">
                  <c:v>Jan-06</c:v>
                </c:pt>
                <c:pt idx="73">
                  <c:v>Feb-06</c:v>
                </c:pt>
                <c:pt idx="74">
                  <c:v>Mar-06</c:v>
                </c:pt>
                <c:pt idx="75">
                  <c:v>Apr-06</c:v>
                </c:pt>
                <c:pt idx="76">
                  <c:v>May-06</c:v>
                </c:pt>
                <c:pt idx="77">
                  <c:v>Jun-06</c:v>
                </c:pt>
                <c:pt idx="78">
                  <c:v>Jul-06</c:v>
                </c:pt>
                <c:pt idx="79">
                  <c:v>Aug-06</c:v>
                </c:pt>
                <c:pt idx="80">
                  <c:v>Sep-06</c:v>
                </c:pt>
                <c:pt idx="81">
                  <c:v>Oct-06</c:v>
                </c:pt>
                <c:pt idx="82">
                  <c:v>Nov-06</c:v>
                </c:pt>
                <c:pt idx="83">
                  <c:v>Dec-06</c:v>
                </c:pt>
                <c:pt idx="84">
                  <c:v>Jan-07</c:v>
                </c:pt>
                <c:pt idx="85">
                  <c:v>Feb-07</c:v>
                </c:pt>
                <c:pt idx="86">
                  <c:v>Mar-07</c:v>
                </c:pt>
                <c:pt idx="87">
                  <c:v>Apr-07</c:v>
                </c:pt>
                <c:pt idx="88">
                  <c:v>May-07</c:v>
                </c:pt>
                <c:pt idx="89">
                  <c:v>Jun-07</c:v>
                </c:pt>
                <c:pt idx="90">
                  <c:v>Jul-07</c:v>
                </c:pt>
                <c:pt idx="91">
                  <c:v>Aug-07</c:v>
                </c:pt>
                <c:pt idx="92">
                  <c:v>Sep-07</c:v>
                </c:pt>
                <c:pt idx="93">
                  <c:v>Oct-07</c:v>
                </c:pt>
                <c:pt idx="94">
                  <c:v>Nov-07</c:v>
                </c:pt>
                <c:pt idx="95">
                  <c:v>Dec-07</c:v>
                </c:pt>
                <c:pt idx="96">
                  <c:v>Jan-08</c:v>
                </c:pt>
                <c:pt idx="97">
                  <c:v>Feb-08</c:v>
                </c:pt>
                <c:pt idx="98">
                  <c:v>Mar-08</c:v>
                </c:pt>
                <c:pt idx="99">
                  <c:v>Apr-08</c:v>
                </c:pt>
                <c:pt idx="100">
                  <c:v>May-08</c:v>
                </c:pt>
                <c:pt idx="101">
                  <c:v>Jun-08</c:v>
                </c:pt>
                <c:pt idx="102">
                  <c:v>Jul-08</c:v>
                </c:pt>
                <c:pt idx="103">
                  <c:v>Aug-08</c:v>
                </c:pt>
                <c:pt idx="104">
                  <c:v>Sep-08</c:v>
                </c:pt>
                <c:pt idx="105">
                  <c:v>Oct-08</c:v>
                </c:pt>
                <c:pt idx="106">
                  <c:v>Nov-08</c:v>
                </c:pt>
                <c:pt idx="107">
                  <c:v>Dec-08</c:v>
                </c:pt>
                <c:pt idx="108">
                  <c:v>Jan-09</c:v>
                </c:pt>
                <c:pt idx="109">
                  <c:v>Feb-09</c:v>
                </c:pt>
                <c:pt idx="110">
                  <c:v>Mar-09</c:v>
                </c:pt>
                <c:pt idx="111">
                  <c:v>Apr-09</c:v>
                </c:pt>
                <c:pt idx="112">
                  <c:v>May-09</c:v>
                </c:pt>
                <c:pt idx="113">
                  <c:v>Jun-09</c:v>
                </c:pt>
                <c:pt idx="114">
                  <c:v>Jul-09</c:v>
                </c:pt>
                <c:pt idx="115">
                  <c:v>Aug-09</c:v>
                </c:pt>
                <c:pt idx="116">
                  <c:v>Sep-09</c:v>
                </c:pt>
                <c:pt idx="117">
                  <c:v>Oct-09</c:v>
                </c:pt>
                <c:pt idx="118">
                  <c:v>Nov-09</c:v>
                </c:pt>
                <c:pt idx="119">
                  <c:v>Dec-09</c:v>
                </c:pt>
                <c:pt idx="120">
                  <c:v>Jan-10</c:v>
                </c:pt>
                <c:pt idx="121">
                  <c:v>Feb-10</c:v>
                </c:pt>
                <c:pt idx="122">
                  <c:v>Mar-10</c:v>
                </c:pt>
                <c:pt idx="123">
                  <c:v>Apr-10</c:v>
                </c:pt>
                <c:pt idx="124">
                  <c:v>May-10</c:v>
                </c:pt>
                <c:pt idx="125">
                  <c:v>Jun-10</c:v>
                </c:pt>
                <c:pt idx="126">
                  <c:v>Jul-10</c:v>
                </c:pt>
                <c:pt idx="127">
                  <c:v>Aug-10</c:v>
                </c:pt>
                <c:pt idx="128">
                  <c:v>Sep-10</c:v>
                </c:pt>
                <c:pt idx="129">
                  <c:v>Oct-10</c:v>
                </c:pt>
                <c:pt idx="130">
                  <c:v>Nov-10</c:v>
                </c:pt>
                <c:pt idx="131">
                  <c:v>Dec-10</c:v>
                </c:pt>
                <c:pt idx="132">
                  <c:v>Jan-11</c:v>
                </c:pt>
                <c:pt idx="133">
                  <c:v>Feb-11</c:v>
                </c:pt>
                <c:pt idx="134">
                  <c:v>Mar-11</c:v>
                </c:pt>
                <c:pt idx="135">
                  <c:v>Apr-11</c:v>
                </c:pt>
                <c:pt idx="136">
                  <c:v>May-11</c:v>
                </c:pt>
                <c:pt idx="137">
                  <c:v>Jun-11</c:v>
                </c:pt>
                <c:pt idx="138">
                  <c:v>Jul-11</c:v>
                </c:pt>
                <c:pt idx="139">
                  <c:v>Aug-11</c:v>
                </c:pt>
                <c:pt idx="140">
                  <c:v>Sep-11</c:v>
                </c:pt>
                <c:pt idx="141">
                  <c:v>Oct-11</c:v>
                </c:pt>
                <c:pt idx="142">
                  <c:v>Nov-11</c:v>
                </c:pt>
                <c:pt idx="143">
                  <c:v>Dec-11</c:v>
                </c:pt>
                <c:pt idx="144">
                  <c:v>Jan-12</c:v>
                </c:pt>
                <c:pt idx="145">
                  <c:v>Feb-12</c:v>
                </c:pt>
                <c:pt idx="146">
                  <c:v>Mar-12</c:v>
                </c:pt>
                <c:pt idx="147">
                  <c:v>Apr-12</c:v>
                </c:pt>
                <c:pt idx="148">
                  <c:v>May-12</c:v>
                </c:pt>
                <c:pt idx="149">
                  <c:v>Jun-12</c:v>
                </c:pt>
                <c:pt idx="150">
                  <c:v>Jul-12</c:v>
                </c:pt>
                <c:pt idx="151">
                  <c:v>Aug-12</c:v>
                </c:pt>
                <c:pt idx="152">
                  <c:v>Sep-12</c:v>
                </c:pt>
                <c:pt idx="153">
                  <c:v>Oct-12</c:v>
                </c:pt>
                <c:pt idx="154">
                  <c:v>Nov-12</c:v>
                </c:pt>
                <c:pt idx="155">
                  <c:v>Dec-12</c:v>
                </c:pt>
                <c:pt idx="156">
                  <c:v>Jan-13</c:v>
                </c:pt>
                <c:pt idx="157">
                  <c:v>Feb-13</c:v>
                </c:pt>
                <c:pt idx="158">
                  <c:v>Mar-13</c:v>
                </c:pt>
                <c:pt idx="159">
                  <c:v>Apr-13</c:v>
                </c:pt>
                <c:pt idx="160">
                  <c:v>May-13</c:v>
                </c:pt>
                <c:pt idx="161">
                  <c:v>Jun-13</c:v>
                </c:pt>
                <c:pt idx="162">
                  <c:v>Jul-13</c:v>
                </c:pt>
                <c:pt idx="163">
                  <c:v>Aug-13</c:v>
                </c:pt>
                <c:pt idx="164">
                  <c:v>Sep-13</c:v>
                </c:pt>
                <c:pt idx="165">
                  <c:v>Oct-13</c:v>
                </c:pt>
                <c:pt idx="166">
                  <c:v>Nov-13</c:v>
                </c:pt>
                <c:pt idx="167">
                  <c:v>Dec-13</c:v>
                </c:pt>
                <c:pt idx="168">
                  <c:v>Jan-14</c:v>
                </c:pt>
                <c:pt idx="169">
                  <c:v>Feb-14</c:v>
                </c:pt>
                <c:pt idx="170">
                  <c:v>Mar-14</c:v>
                </c:pt>
                <c:pt idx="171">
                  <c:v>Apr-14</c:v>
                </c:pt>
              </c:strCache>
            </c:strRef>
          </c:cat>
          <c:val>
            <c:numRef>
              <c:f>'Pivot all'!$J$5:$J$177</c:f>
              <c:numCache>
                <c:formatCode>General</c:formatCode>
                <c:ptCount val="172"/>
                <c:pt idx="46" formatCode="#,##0">
                  <c:v>2059</c:v>
                </c:pt>
                <c:pt idx="47" formatCode="#,##0">
                  <c:v>10139</c:v>
                </c:pt>
                <c:pt idx="48" formatCode="#,##0">
                  <c:v>7727</c:v>
                </c:pt>
                <c:pt idx="49" formatCode="#,##0">
                  <c:v>10629</c:v>
                </c:pt>
                <c:pt idx="50" formatCode="#,##0">
                  <c:v>14146</c:v>
                </c:pt>
                <c:pt idx="51" formatCode="#,##0">
                  <c:v>15208</c:v>
                </c:pt>
                <c:pt idx="52" formatCode="#,##0">
                  <c:v>16536</c:v>
                </c:pt>
                <c:pt idx="53" formatCode="#,##0">
                  <c:v>18073</c:v>
                </c:pt>
                <c:pt idx="54" formatCode="#,##0">
                  <c:v>19206</c:v>
                </c:pt>
                <c:pt idx="55" formatCode="#,##0">
                  <c:v>19794</c:v>
                </c:pt>
                <c:pt idx="56" formatCode="#,##0">
                  <c:v>20203</c:v>
                </c:pt>
                <c:pt idx="57" formatCode="#,##0">
                  <c:v>20335</c:v>
                </c:pt>
                <c:pt idx="58" formatCode="#,##0">
                  <c:v>21776</c:v>
                </c:pt>
                <c:pt idx="59" formatCode="#,##0">
                  <c:v>27256</c:v>
                </c:pt>
                <c:pt idx="60" formatCode="#,##0">
                  <c:v>16024</c:v>
                </c:pt>
                <c:pt idx="61" formatCode="#,##0">
                  <c:v>19668</c:v>
                </c:pt>
                <c:pt idx="62" formatCode="#,##0">
                  <c:v>23091</c:v>
                </c:pt>
                <c:pt idx="63" formatCode="#,##0">
                  <c:v>24578</c:v>
                </c:pt>
                <c:pt idx="64" formatCode="#,##0">
                  <c:v>27426</c:v>
                </c:pt>
                <c:pt idx="65" formatCode="#,##0">
                  <c:v>28666</c:v>
                </c:pt>
                <c:pt idx="66" formatCode="#,##0">
                  <c:v>30349</c:v>
                </c:pt>
                <c:pt idx="67" formatCode="#,##0">
                  <c:v>33786</c:v>
                </c:pt>
                <c:pt idx="68" formatCode="#,##0">
                  <c:v>34591</c:v>
                </c:pt>
                <c:pt idx="69" formatCode="#,##0">
                  <c:v>36564</c:v>
                </c:pt>
                <c:pt idx="70" formatCode="#,##0">
                  <c:v>39326</c:v>
                </c:pt>
                <c:pt idx="71" formatCode="#,##0">
                  <c:v>49167</c:v>
                </c:pt>
                <c:pt idx="72" formatCode="#,##0">
                  <c:v>30228</c:v>
                </c:pt>
                <c:pt idx="73" formatCode="#,##0">
                  <c:v>36124</c:v>
                </c:pt>
                <c:pt idx="74" formatCode="#,##0">
                  <c:v>43373</c:v>
                </c:pt>
                <c:pt idx="75" formatCode="#,##0">
                  <c:v>41550</c:v>
                </c:pt>
                <c:pt idx="76" formatCode="#,##0">
                  <c:v>47543</c:v>
                </c:pt>
                <c:pt idx="77" formatCode="#,##0">
                  <c:v>47603</c:v>
                </c:pt>
                <c:pt idx="78" formatCode="#,##0">
                  <c:v>48493</c:v>
                </c:pt>
                <c:pt idx="79" formatCode="#,##0">
                  <c:v>52465</c:v>
                </c:pt>
                <c:pt idx="80" formatCode="#,##0">
                  <c:v>52611</c:v>
                </c:pt>
                <c:pt idx="81" formatCode="#,##0">
                  <c:v>55811</c:v>
                </c:pt>
                <c:pt idx="82" formatCode="#,##0">
                  <c:v>58907</c:v>
                </c:pt>
                <c:pt idx="83" formatCode="#,##0">
                  <c:v>67947</c:v>
                </c:pt>
                <c:pt idx="84" formatCode="#,##0">
                  <c:v>47658</c:v>
                </c:pt>
                <c:pt idx="85" formatCode="#,##0">
                  <c:v>51985</c:v>
                </c:pt>
                <c:pt idx="86" formatCode="#,##0">
                  <c:v>59843</c:v>
                </c:pt>
                <c:pt idx="87" formatCode="#,##0">
                  <c:v>56965</c:v>
                </c:pt>
                <c:pt idx="88" formatCode="#,##0">
                  <c:v>61384</c:v>
                </c:pt>
                <c:pt idx="89" formatCode="#,##0">
                  <c:v>55991</c:v>
                </c:pt>
                <c:pt idx="90" formatCode="#,##0">
                  <c:v>57016</c:v>
                </c:pt>
                <c:pt idx="91" formatCode="#,##0">
                  <c:v>57209</c:v>
                </c:pt>
                <c:pt idx="92" formatCode="#,##0">
                  <c:v>52908</c:v>
                </c:pt>
                <c:pt idx="93" formatCode="#,##0">
                  <c:v>57444</c:v>
                </c:pt>
                <c:pt idx="94" formatCode="#,##0">
                  <c:v>57664</c:v>
                </c:pt>
                <c:pt idx="95" formatCode="#,##0">
                  <c:v>63734</c:v>
                </c:pt>
                <c:pt idx="96" formatCode="#,##0">
                  <c:v>43989</c:v>
                </c:pt>
                <c:pt idx="97" formatCode="#,##0">
                  <c:v>49702</c:v>
                </c:pt>
                <c:pt idx="98" formatCode="#,##0">
                  <c:v>52469</c:v>
                </c:pt>
                <c:pt idx="99" formatCode="#,##0">
                  <c:v>53504</c:v>
                </c:pt>
                <c:pt idx="100" formatCode="#,##0">
                  <c:v>56402</c:v>
                </c:pt>
                <c:pt idx="101" formatCode="#,##0">
                  <c:v>52943</c:v>
                </c:pt>
                <c:pt idx="102" formatCode="#,##0">
                  <c:v>55772</c:v>
                </c:pt>
                <c:pt idx="103" formatCode="#,##0">
                  <c:v>53521</c:v>
                </c:pt>
                <c:pt idx="104" formatCode="#,##0">
                  <c:v>52527</c:v>
                </c:pt>
                <c:pt idx="105" formatCode="#,##0">
                  <c:v>53944</c:v>
                </c:pt>
                <c:pt idx="106" formatCode="#,##0">
                  <c:v>50140</c:v>
                </c:pt>
                <c:pt idx="107" formatCode="#,##0">
                  <c:v>62386</c:v>
                </c:pt>
                <c:pt idx="108" formatCode="#,##0">
                  <c:v>38862</c:v>
                </c:pt>
                <c:pt idx="109" formatCode="#,##0">
                  <c:v>43158</c:v>
                </c:pt>
                <c:pt idx="110" formatCode="#,##0">
                  <c:v>48977</c:v>
                </c:pt>
                <c:pt idx="111" formatCode="#,##0">
                  <c:v>48587</c:v>
                </c:pt>
                <c:pt idx="112" formatCode="#,##0">
                  <c:v>49535</c:v>
                </c:pt>
                <c:pt idx="113" formatCode="#,##0">
                  <c:v>48903</c:v>
                </c:pt>
                <c:pt idx="114" formatCode="#,##0">
                  <c:v>50756</c:v>
                </c:pt>
                <c:pt idx="115" formatCode="#,##0">
                  <c:v>49334</c:v>
                </c:pt>
                <c:pt idx="116" formatCode="#,##0">
                  <c:v>49647</c:v>
                </c:pt>
                <c:pt idx="117" formatCode="#,##0">
                  <c:v>51953</c:v>
                </c:pt>
                <c:pt idx="118" formatCode="#,##0">
                  <c:v>50656</c:v>
                </c:pt>
                <c:pt idx="119" formatCode="#,##0">
                  <c:v>61710</c:v>
                </c:pt>
                <c:pt idx="120" formatCode="#,##0">
                  <c:v>38363</c:v>
                </c:pt>
                <c:pt idx="121" formatCode="#,##0">
                  <c:v>43413</c:v>
                </c:pt>
                <c:pt idx="122" formatCode="#,##0">
                  <c:v>50617</c:v>
                </c:pt>
                <c:pt idx="123" formatCode="#,##0">
                  <c:v>47506</c:v>
                </c:pt>
                <c:pt idx="124" formatCode="#,##0">
                  <c:v>48976</c:v>
                </c:pt>
                <c:pt idx="125" formatCode="#,##0">
                  <c:v>48169</c:v>
                </c:pt>
                <c:pt idx="126" formatCode="#,##0">
                  <c:v>48925</c:v>
                </c:pt>
                <c:pt idx="127" formatCode="#,##0">
                  <c:v>47887</c:v>
                </c:pt>
                <c:pt idx="128" formatCode="#,##0">
                  <c:v>47299</c:v>
                </c:pt>
                <c:pt idx="129" formatCode="#,##0">
                  <c:v>47114</c:v>
                </c:pt>
                <c:pt idx="130" formatCode="#,##0">
                  <c:v>47717</c:v>
                </c:pt>
                <c:pt idx="131" formatCode="#,##0">
                  <c:v>56095</c:v>
                </c:pt>
                <c:pt idx="132" formatCode="#,##0">
                  <c:v>34773</c:v>
                </c:pt>
                <c:pt idx="133" formatCode="#,##0">
                  <c:v>38507</c:v>
                </c:pt>
                <c:pt idx="134" formatCode="#,##0">
                  <c:v>44379</c:v>
                </c:pt>
                <c:pt idx="135" formatCode="#,##0">
                  <c:v>41812</c:v>
                </c:pt>
                <c:pt idx="136" formatCode="#,##0">
                  <c:v>43863</c:v>
                </c:pt>
                <c:pt idx="137" formatCode="#,##0">
                  <c:v>42329</c:v>
                </c:pt>
                <c:pt idx="138" formatCode="#,##0">
                  <c:v>41090</c:v>
                </c:pt>
                <c:pt idx="139" formatCode="#,##0">
                  <c:v>41282</c:v>
                </c:pt>
                <c:pt idx="140" formatCode="#,##0">
                  <c:v>39355</c:v>
                </c:pt>
                <c:pt idx="141" formatCode="#,##0">
                  <c:v>39001</c:v>
                </c:pt>
                <c:pt idx="142" formatCode="#,##0">
                  <c:v>38905</c:v>
                </c:pt>
                <c:pt idx="143" formatCode="#,##0">
                  <c:v>44794</c:v>
                </c:pt>
                <c:pt idx="144" formatCode="#,##0">
                  <c:v>27672</c:v>
                </c:pt>
                <c:pt idx="145" formatCode="#,##0">
                  <c:v>31532</c:v>
                </c:pt>
                <c:pt idx="146" formatCode="#,##0">
                  <c:v>34599</c:v>
                </c:pt>
                <c:pt idx="147" formatCode="#,##0">
                  <c:v>31305</c:v>
                </c:pt>
                <c:pt idx="148" formatCode="#,##0">
                  <c:v>34172</c:v>
                </c:pt>
                <c:pt idx="149" formatCode="#,##0">
                  <c:v>31574</c:v>
                </c:pt>
                <c:pt idx="150" formatCode="#,##0">
                  <c:v>31200</c:v>
                </c:pt>
                <c:pt idx="151" formatCode="#,##0">
                  <c:v>32085</c:v>
                </c:pt>
                <c:pt idx="152" formatCode="#,##0">
                  <c:v>29096</c:v>
                </c:pt>
                <c:pt idx="153" formatCode="#,##0">
                  <c:v>31289</c:v>
                </c:pt>
                <c:pt idx="154" formatCode="#,##0">
                  <c:v>30893</c:v>
                </c:pt>
                <c:pt idx="155" formatCode="#,##0">
                  <c:v>35099</c:v>
                </c:pt>
                <c:pt idx="156" formatCode="#,##0">
                  <c:v>22476</c:v>
                </c:pt>
                <c:pt idx="157" formatCode="#,##0">
                  <c:v>24014</c:v>
                </c:pt>
                <c:pt idx="158" formatCode="#,##0">
                  <c:v>26010</c:v>
                </c:pt>
                <c:pt idx="159" formatCode="#,##0">
                  <c:v>26065</c:v>
                </c:pt>
                <c:pt idx="160" formatCode="#,##0">
                  <c:v>26411</c:v>
                </c:pt>
                <c:pt idx="161" formatCode="#,##0">
                  <c:v>23101</c:v>
                </c:pt>
                <c:pt idx="162" formatCode="#,##0">
                  <c:v>23872</c:v>
                </c:pt>
                <c:pt idx="163" formatCode="#,##0">
                  <c:v>23550</c:v>
                </c:pt>
                <c:pt idx="164" formatCode="#,##0">
                  <c:v>21640</c:v>
                </c:pt>
                <c:pt idx="165" formatCode="#,##0">
                  <c:v>23072</c:v>
                </c:pt>
                <c:pt idx="166" formatCode="#,##0">
                  <c:v>22252</c:v>
                </c:pt>
                <c:pt idx="167" formatCode="#,##0">
                  <c:v>26065</c:v>
                </c:pt>
                <c:pt idx="168" formatCode="#,##0">
                  <c:v>16321</c:v>
                </c:pt>
                <c:pt idx="169" formatCode="#,##0">
                  <c:v>17380</c:v>
                </c:pt>
                <c:pt idx="170" formatCode="#,##0">
                  <c:v>19400</c:v>
                </c:pt>
                <c:pt idx="171" formatCode="#,##0">
                  <c:v>18055</c:v>
                </c:pt>
              </c:numCache>
            </c:numRef>
          </c:val>
          <c:smooth val="0"/>
        </c:ser>
        <c:dLbls>
          <c:showLegendKey val="0"/>
          <c:showVal val="0"/>
          <c:showCatName val="0"/>
          <c:showSerName val="0"/>
          <c:showPercent val="0"/>
          <c:showBubbleSize val="0"/>
        </c:dLbls>
        <c:marker val="1"/>
        <c:smooth val="0"/>
        <c:axId val="297896576"/>
        <c:axId val="304653440"/>
      </c:lineChart>
      <c:catAx>
        <c:axId val="297896576"/>
        <c:scaling>
          <c:orientation val="minMax"/>
        </c:scaling>
        <c:delete val="0"/>
        <c:axPos val="b"/>
        <c:title>
          <c:tx>
            <c:rich>
              <a:bodyPr/>
              <a:lstStyle/>
              <a:p>
                <a:pPr>
                  <a:defRPr sz="1200"/>
                </a:pPr>
                <a:r>
                  <a:rPr lang="en-US" sz="1200"/>
                  <a:t>Month of Supply</a:t>
                </a:r>
              </a:p>
            </c:rich>
          </c:tx>
          <c:overlay val="0"/>
        </c:title>
        <c:majorTickMark val="none"/>
        <c:minorTickMark val="none"/>
        <c:tickLblPos val="nextTo"/>
        <c:crossAx val="304653440"/>
        <c:crosses val="autoZero"/>
        <c:auto val="1"/>
        <c:lblAlgn val="ctr"/>
        <c:lblOffset val="100"/>
        <c:noMultiLvlLbl val="0"/>
      </c:catAx>
      <c:valAx>
        <c:axId val="304653440"/>
        <c:scaling>
          <c:orientation val="minMax"/>
        </c:scaling>
        <c:delete val="0"/>
        <c:axPos val="l"/>
        <c:title>
          <c:tx>
            <c:rich>
              <a:bodyPr rot="-5400000" vert="horz"/>
              <a:lstStyle/>
              <a:p>
                <a:pPr>
                  <a:defRPr sz="1200" b="1"/>
                </a:pPr>
                <a:r>
                  <a:rPr lang="en-US" sz="1200" b="1"/>
                  <a:t>Number of Prescriptions</a:t>
                </a:r>
              </a:p>
            </c:rich>
          </c:tx>
          <c:overlay val="0"/>
        </c:title>
        <c:numFmt formatCode="#,##0" sourceLinked="1"/>
        <c:majorTickMark val="none"/>
        <c:minorTickMark val="none"/>
        <c:tickLblPos val="nextTo"/>
        <c:crossAx val="297896576"/>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[Diabetes graphs 2000-2014 - without private.xlsx]Pivot selected!PivotTable4</c:name>
    <c:fmtId val="-1"/>
  </c:pivotSource>
  <c:chart>
    <c:autoTitleDeleted val="1"/>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s>
    <c:plotArea>
      <c:layout/>
      <c:lineChart>
        <c:grouping val="standard"/>
        <c:varyColors val="0"/>
        <c:ser>
          <c:idx val="0"/>
          <c:order val="0"/>
          <c:tx>
            <c:strRef>
              <c:f>'Pivot selected'!$B$3:$B$4</c:f>
              <c:strCache>
                <c:ptCount val="1"/>
                <c:pt idx="0">
                  <c:v>Any FDC</c:v>
                </c:pt>
              </c:strCache>
            </c:strRef>
          </c:tx>
          <c:marker>
            <c:symbol val="none"/>
          </c:marker>
          <c:cat>
            <c:strRef>
              <c:f>'Pivot selected'!$A$5:$A$131</c:f>
              <c:strCache>
                <c:ptCount val="126"/>
                <c:pt idx="0">
                  <c:v>Nov-03</c:v>
                </c:pt>
                <c:pt idx="1">
                  <c:v>Dec-03</c:v>
                </c:pt>
                <c:pt idx="2">
                  <c:v>Jan-04</c:v>
                </c:pt>
                <c:pt idx="3">
                  <c:v>Feb-04</c:v>
                </c:pt>
                <c:pt idx="4">
                  <c:v>Mar-04</c:v>
                </c:pt>
                <c:pt idx="5">
                  <c:v>Apr-04</c:v>
                </c:pt>
                <c:pt idx="6">
                  <c:v>May-04</c:v>
                </c:pt>
                <c:pt idx="7">
                  <c:v>Jun-04</c:v>
                </c:pt>
                <c:pt idx="8">
                  <c:v>Jul-04</c:v>
                </c:pt>
                <c:pt idx="9">
                  <c:v>Aug-04</c:v>
                </c:pt>
                <c:pt idx="10">
                  <c:v>Sep-04</c:v>
                </c:pt>
                <c:pt idx="11">
                  <c:v>Oct-04</c:v>
                </c:pt>
                <c:pt idx="12">
                  <c:v>Nov-04</c:v>
                </c:pt>
                <c:pt idx="13">
                  <c:v>Dec-04</c:v>
                </c:pt>
                <c:pt idx="14">
                  <c:v>Jan-05</c:v>
                </c:pt>
                <c:pt idx="15">
                  <c:v>Feb-05</c:v>
                </c:pt>
                <c:pt idx="16">
                  <c:v>Mar-05</c:v>
                </c:pt>
                <c:pt idx="17">
                  <c:v>Apr-05</c:v>
                </c:pt>
                <c:pt idx="18">
                  <c:v>May-05</c:v>
                </c:pt>
                <c:pt idx="19">
                  <c:v>Jun-05</c:v>
                </c:pt>
                <c:pt idx="20">
                  <c:v>Jul-05</c:v>
                </c:pt>
                <c:pt idx="21">
                  <c:v>Aug-05</c:v>
                </c:pt>
                <c:pt idx="22">
                  <c:v>Sep-05</c:v>
                </c:pt>
                <c:pt idx="23">
                  <c:v>Oct-05</c:v>
                </c:pt>
                <c:pt idx="24">
                  <c:v>Nov-05</c:v>
                </c:pt>
                <c:pt idx="25">
                  <c:v>Dec-05</c:v>
                </c:pt>
                <c:pt idx="26">
                  <c:v>Jan-06</c:v>
                </c:pt>
                <c:pt idx="27">
                  <c:v>Feb-06</c:v>
                </c:pt>
                <c:pt idx="28">
                  <c:v>Mar-06</c:v>
                </c:pt>
                <c:pt idx="29">
                  <c:v>Apr-06</c:v>
                </c:pt>
                <c:pt idx="30">
                  <c:v>May-06</c:v>
                </c:pt>
                <c:pt idx="31">
                  <c:v>Jun-06</c:v>
                </c:pt>
                <c:pt idx="32">
                  <c:v>Jul-06</c:v>
                </c:pt>
                <c:pt idx="33">
                  <c:v>Aug-06</c:v>
                </c:pt>
                <c:pt idx="34">
                  <c:v>Sep-06</c:v>
                </c:pt>
                <c:pt idx="35">
                  <c:v>Oct-06</c:v>
                </c:pt>
                <c:pt idx="36">
                  <c:v>Nov-06</c:v>
                </c:pt>
                <c:pt idx="37">
                  <c:v>Dec-06</c:v>
                </c:pt>
                <c:pt idx="38">
                  <c:v>Jan-07</c:v>
                </c:pt>
                <c:pt idx="39">
                  <c:v>Feb-07</c:v>
                </c:pt>
                <c:pt idx="40">
                  <c:v>Mar-07</c:v>
                </c:pt>
                <c:pt idx="41">
                  <c:v>Apr-07</c:v>
                </c:pt>
                <c:pt idx="42">
                  <c:v>May-07</c:v>
                </c:pt>
                <c:pt idx="43">
                  <c:v>Jun-07</c:v>
                </c:pt>
                <c:pt idx="44">
                  <c:v>Jul-07</c:v>
                </c:pt>
                <c:pt idx="45">
                  <c:v>Aug-07</c:v>
                </c:pt>
                <c:pt idx="46">
                  <c:v>Sep-07</c:v>
                </c:pt>
                <c:pt idx="47">
                  <c:v>Oct-07</c:v>
                </c:pt>
                <c:pt idx="48">
                  <c:v>Nov-07</c:v>
                </c:pt>
                <c:pt idx="49">
                  <c:v>Dec-07</c:v>
                </c:pt>
                <c:pt idx="50">
                  <c:v>Jan-08</c:v>
                </c:pt>
                <c:pt idx="51">
                  <c:v>Feb-08</c:v>
                </c:pt>
                <c:pt idx="52">
                  <c:v>Mar-08</c:v>
                </c:pt>
                <c:pt idx="53">
                  <c:v>Apr-08</c:v>
                </c:pt>
                <c:pt idx="54">
                  <c:v>May-08</c:v>
                </c:pt>
                <c:pt idx="55">
                  <c:v>Jun-08</c:v>
                </c:pt>
                <c:pt idx="56">
                  <c:v>Jul-08</c:v>
                </c:pt>
                <c:pt idx="57">
                  <c:v>Aug-08</c:v>
                </c:pt>
                <c:pt idx="58">
                  <c:v>Sep-08</c:v>
                </c:pt>
                <c:pt idx="59">
                  <c:v>Oct-08</c:v>
                </c:pt>
                <c:pt idx="60">
                  <c:v>Nov-08</c:v>
                </c:pt>
                <c:pt idx="61">
                  <c:v>Dec-08</c:v>
                </c:pt>
                <c:pt idx="62">
                  <c:v>Jan-09</c:v>
                </c:pt>
                <c:pt idx="63">
                  <c:v>Feb-09</c:v>
                </c:pt>
                <c:pt idx="64">
                  <c:v>Mar-09</c:v>
                </c:pt>
                <c:pt idx="65">
                  <c:v>Apr-09</c:v>
                </c:pt>
                <c:pt idx="66">
                  <c:v>May-09</c:v>
                </c:pt>
                <c:pt idx="67">
                  <c:v>Jun-09</c:v>
                </c:pt>
                <c:pt idx="68">
                  <c:v>Jul-09</c:v>
                </c:pt>
                <c:pt idx="69">
                  <c:v>Aug-09</c:v>
                </c:pt>
                <c:pt idx="70">
                  <c:v>Sep-09</c:v>
                </c:pt>
                <c:pt idx="71">
                  <c:v>Oct-09</c:v>
                </c:pt>
                <c:pt idx="72">
                  <c:v>Nov-09</c:v>
                </c:pt>
                <c:pt idx="73">
                  <c:v>Dec-09</c:v>
                </c:pt>
                <c:pt idx="74">
                  <c:v>Jan-10</c:v>
                </c:pt>
                <c:pt idx="75">
                  <c:v>Feb-10</c:v>
                </c:pt>
                <c:pt idx="76">
                  <c:v>Mar-10</c:v>
                </c:pt>
                <c:pt idx="77">
                  <c:v>Apr-10</c:v>
                </c:pt>
                <c:pt idx="78">
                  <c:v>May-10</c:v>
                </c:pt>
                <c:pt idx="79">
                  <c:v>Jun-10</c:v>
                </c:pt>
                <c:pt idx="80">
                  <c:v>Jul-10</c:v>
                </c:pt>
                <c:pt idx="81">
                  <c:v>Aug-10</c:v>
                </c:pt>
                <c:pt idx="82">
                  <c:v>Sep-10</c:v>
                </c:pt>
                <c:pt idx="83">
                  <c:v>Oct-10</c:v>
                </c:pt>
                <c:pt idx="84">
                  <c:v>Nov-10</c:v>
                </c:pt>
                <c:pt idx="85">
                  <c:v>Dec-10</c:v>
                </c:pt>
                <c:pt idx="86">
                  <c:v>Jan-11</c:v>
                </c:pt>
                <c:pt idx="87">
                  <c:v>Feb-11</c:v>
                </c:pt>
                <c:pt idx="88">
                  <c:v>Mar-11</c:v>
                </c:pt>
                <c:pt idx="89">
                  <c:v>Apr-11</c:v>
                </c:pt>
                <c:pt idx="90">
                  <c:v>May-11</c:v>
                </c:pt>
                <c:pt idx="91">
                  <c:v>Jun-11</c:v>
                </c:pt>
                <c:pt idx="92">
                  <c:v>Jul-11</c:v>
                </c:pt>
                <c:pt idx="93">
                  <c:v>Aug-11</c:v>
                </c:pt>
                <c:pt idx="94">
                  <c:v>Sep-11</c:v>
                </c:pt>
                <c:pt idx="95">
                  <c:v>Oct-11</c:v>
                </c:pt>
                <c:pt idx="96">
                  <c:v>Nov-11</c:v>
                </c:pt>
                <c:pt idx="97">
                  <c:v>Dec-11</c:v>
                </c:pt>
                <c:pt idx="98">
                  <c:v>Jan-12</c:v>
                </c:pt>
                <c:pt idx="99">
                  <c:v>Feb-12</c:v>
                </c:pt>
                <c:pt idx="100">
                  <c:v>Mar-12</c:v>
                </c:pt>
                <c:pt idx="101">
                  <c:v>Apr-12</c:v>
                </c:pt>
                <c:pt idx="102">
                  <c:v>May-12</c:v>
                </c:pt>
                <c:pt idx="103">
                  <c:v>Jun-12</c:v>
                </c:pt>
                <c:pt idx="104">
                  <c:v>Jul-12</c:v>
                </c:pt>
                <c:pt idx="105">
                  <c:v>Aug-12</c:v>
                </c:pt>
                <c:pt idx="106">
                  <c:v>Sep-12</c:v>
                </c:pt>
                <c:pt idx="107">
                  <c:v>Oct-12</c:v>
                </c:pt>
                <c:pt idx="108">
                  <c:v>Nov-12</c:v>
                </c:pt>
                <c:pt idx="109">
                  <c:v>Dec-12</c:v>
                </c:pt>
                <c:pt idx="110">
                  <c:v>Jan-13</c:v>
                </c:pt>
                <c:pt idx="111">
                  <c:v>Feb-13</c:v>
                </c:pt>
                <c:pt idx="112">
                  <c:v>Mar-13</c:v>
                </c:pt>
                <c:pt idx="113">
                  <c:v>Apr-13</c:v>
                </c:pt>
                <c:pt idx="114">
                  <c:v>May-13</c:v>
                </c:pt>
                <c:pt idx="115">
                  <c:v>Jun-13</c:v>
                </c:pt>
                <c:pt idx="116">
                  <c:v>Jul-13</c:v>
                </c:pt>
                <c:pt idx="117">
                  <c:v>Aug-13</c:v>
                </c:pt>
                <c:pt idx="118">
                  <c:v>Sep-13</c:v>
                </c:pt>
                <c:pt idx="119">
                  <c:v>Oct-13</c:v>
                </c:pt>
                <c:pt idx="120">
                  <c:v>Nov-13</c:v>
                </c:pt>
                <c:pt idx="121">
                  <c:v>Dec-13</c:v>
                </c:pt>
                <c:pt idx="122">
                  <c:v>Jan-14</c:v>
                </c:pt>
                <c:pt idx="123">
                  <c:v>Feb-14</c:v>
                </c:pt>
                <c:pt idx="124">
                  <c:v>Mar-14</c:v>
                </c:pt>
                <c:pt idx="125">
                  <c:v>Apr-14</c:v>
                </c:pt>
              </c:strCache>
            </c:strRef>
          </c:cat>
          <c:val>
            <c:numRef>
              <c:f>'Pivot selected'!$B$5:$B$131</c:f>
              <c:numCache>
                <c:formatCode>General</c:formatCode>
                <c:ptCount val="126"/>
                <c:pt idx="17" formatCode="#,##0">
                  <c:v>493</c:v>
                </c:pt>
                <c:pt idx="18" formatCode="#,##0">
                  <c:v>1092</c:v>
                </c:pt>
                <c:pt idx="19" formatCode="#,##0">
                  <c:v>1472</c:v>
                </c:pt>
                <c:pt idx="20" formatCode="#,##0">
                  <c:v>2007</c:v>
                </c:pt>
                <c:pt idx="21" formatCode="#,##0">
                  <c:v>3201</c:v>
                </c:pt>
                <c:pt idx="22" formatCode="#,##0">
                  <c:v>3532</c:v>
                </c:pt>
                <c:pt idx="23" formatCode="#,##0">
                  <c:v>3939</c:v>
                </c:pt>
                <c:pt idx="24" formatCode="#,##0">
                  <c:v>4599</c:v>
                </c:pt>
                <c:pt idx="25" formatCode="#,##0">
                  <c:v>6312</c:v>
                </c:pt>
                <c:pt idx="26" formatCode="#,##0">
                  <c:v>3766</c:v>
                </c:pt>
                <c:pt idx="27" formatCode="#,##0">
                  <c:v>4783</c:v>
                </c:pt>
                <c:pt idx="28" formatCode="#,##0">
                  <c:v>4874</c:v>
                </c:pt>
                <c:pt idx="29" formatCode="#,##0">
                  <c:v>5355</c:v>
                </c:pt>
                <c:pt idx="30" formatCode="#,##0">
                  <c:v>6385</c:v>
                </c:pt>
                <c:pt idx="31" formatCode="#,##0">
                  <c:v>6162</c:v>
                </c:pt>
                <c:pt idx="32" formatCode="#,##0">
                  <c:v>6653</c:v>
                </c:pt>
                <c:pt idx="33" formatCode="#,##0">
                  <c:v>8100</c:v>
                </c:pt>
                <c:pt idx="34" formatCode="#,##0">
                  <c:v>7234</c:v>
                </c:pt>
                <c:pt idx="35" formatCode="#,##0">
                  <c:v>7971</c:v>
                </c:pt>
                <c:pt idx="36" formatCode="#,##0">
                  <c:v>8602</c:v>
                </c:pt>
                <c:pt idx="37" formatCode="#,##0">
                  <c:v>11385</c:v>
                </c:pt>
                <c:pt idx="38" formatCode="#,##0">
                  <c:v>8223</c:v>
                </c:pt>
                <c:pt idx="39" formatCode="#,##0">
                  <c:v>10488</c:v>
                </c:pt>
                <c:pt idx="40" formatCode="#,##0">
                  <c:v>12559</c:v>
                </c:pt>
                <c:pt idx="41" formatCode="#,##0">
                  <c:v>14011</c:v>
                </c:pt>
                <c:pt idx="42" formatCode="#,##0">
                  <c:v>16721</c:v>
                </c:pt>
                <c:pt idx="43" formatCode="#,##0">
                  <c:v>16102</c:v>
                </c:pt>
                <c:pt idx="44" formatCode="#,##0">
                  <c:v>18666</c:v>
                </c:pt>
                <c:pt idx="45" formatCode="#,##0">
                  <c:v>19625</c:v>
                </c:pt>
                <c:pt idx="46" formatCode="#,##0">
                  <c:v>19108</c:v>
                </c:pt>
                <c:pt idx="47" formatCode="#,##0">
                  <c:v>21343</c:v>
                </c:pt>
                <c:pt idx="48" formatCode="#,##0">
                  <c:v>22473</c:v>
                </c:pt>
                <c:pt idx="49" formatCode="#,##0">
                  <c:v>25274</c:v>
                </c:pt>
                <c:pt idx="50" formatCode="#,##0">
                  <c:v>17716</c:v>
                </c:pt>
                <c:pt idx="51" formatCode="#,##0">
                  <c:v>18904</c:v>
                </c:pt>
                <c:pt idx="52" formatCode="#,##0">
                  <c:v>20160</c:v>
                </c:pt>
                <c:pt idx="53" formatCode="#,##0">
                  <c:v>21563</c:v>
                </c:pt>
                <c:pt idx="54" formatCode="#,##0">
                  <c:v>22649</c:v>
                </c:pt>
                <c:pt idx="55" formatCode="#,##0">
                  <c:v>22287</c:v>
                </c:pt>
                <c:pt idx="56" formatCode="#,##0">
                  <c:v>22941</c:v>
                </c:pt>
                <c:pt idx="57" formatCode="#,##0">
                  <c:v>22387</c:v>
                </c:pt>
                <c:pt idx="58" formatCode="#,##0">
                  <c:v>21169</c:v>
                </c:pt>
                <c:pt idx="59" formatCode="#,##0">
                  <c:v>21282</c:v>
                </c:pt>
                <c:pt idx="60" formatCode="#,##0">
                  <c:v>19446</c:v>
                </c:pt>
                <c:pt idx="61" formatCode="#,##0">
                  <c:v>23443</c:v>
                </c:pt>
                <c:pt idx="62" formatCode="#,##0">
                  <c:v>14318</c:v>
                </c:pt>
                <c:pt idx="63" formatCode="#,##0">
                  <c:v>14961</c:v>
                </c:pt>
                <c:pt idx="64" formatCode="#,##0">
                  <c:v>16832</c:v>
                </c:pt>
                <c:pt idx="65" formatCode="#,##0">
                  <c:v>16119</c:v>
                </c:pt>
                <c:pt idx="66" formatCode="#,##0">
                  <c:v>17137</c:v>
                </c:pt>
                <c:pt idx="67" formatCode="#,##0">
                  <c:v>15897</c:v>
                </c:pt>
                <c:pt idx="68" formatCode="#,##0">
                  <c:v>16558</c:v>
                </c:pt>
                <c:pt idx="69" formatCode="#,##0">
                  <c:v>16895</c:v>
                </c:pt>
                <c:pt idx="70" formatCode="#,##0">
                  <c:v>17775</c:v>
                </c:pt>
                <c:pt idx="71" formatCode="#,##0">
                  <c:v>19258</c:v>
                </c:pt>
                <c:pt idx="72" formatCode="#,##0">
                  <c:v>20140</c:v>
                </c:pt>
                <c:pt idx="73" formatCode="#,##0">
                  <c:v>25154</c:v>
                </c:pt>
                <c:pt idx="74" formatCode="#,##0">
                  <c:v>16179</c:v>
                </c:pt>
                <c:pt idx="75" formatCode="#,##0">
                  <c:v>18640</c:v>
                </c:pt>
                <c:pt idx="76" formatCode="#,##0">
                  <c:v>21563</c:v>
                </c:pt>
                <c:pt idx="77" formatCode="#,##0">
                  <c:v>22009</c:v>
                </c:pt>
                <c:pt idx="78" formatCode="#,##0">
                  <c:v>23594</c:v>
                </c:pt>
                <c:pt idx="79" formatCode="#,##0">
                  <c:v>23975</c:v>
                </c:pt>
                <c:pt idx="80" formatCode="#,##0">
                  <c:v>25368</c:v>
                </c:pt>
                <c:pt idx="81" formatCode="#,##0">
                  <c:v>26120</c:v>
                </c:pt>
                <c:pt idx="82" formatCode="#,##0">
                  <c:v>27312</c:v>
                </c:pt>
                <c:pt idx="83" formatCode="#,##0">
                  <c:v>28473</c:v>
                </c:pt>
                <c:pt idx="84" formatCode="#,##0">
                  <c:v>29687</c:v>
                </c:pt>
                <c:pt idx="85" formatCode="#,##0">
                  <c:v>35595</c:v>
                </c:pt>
                <c:pt idx="86" formatCode="#,##0">
                  <c:v>24117</c:v>
                </c:pt>
                <c:pt idx="87" formatCode="#,##0">
                  <c:v>26709</c:v>
                </c:pt>
                <c:pt idx="88" formatCode="#,##0">
                  <c:v>32001</c:v>
                </c:pt>
                <c:pt idx="89" formatCode="#,##0">
                  <c:v>32704</c:v>
                </c:pt>
                <c:pt idx="90" formatCode="#,##0">
                  <c:v>36393</c:v>
                </c:pt>
                <c:pt idx="91" formatCode="#,##0">
                  <c:v>37142</c:v>
                </c:pt>
                <c:pt idx="92" formatCode="#,##0">
                  <c:v>39031</c:v>
                </c:pt>
                <c:pt idx="93" formatCode="#,##0">
                  <c:v>42672</c:v>
                </c:pt>
                <c:pt idx="94" formatCode="#,##0">
                  <c:v>44043</c:v>
                </c:pt>
                <c:pt idx="95" formatCode="#,##0">
                  <c:v>46064</c:v>
                </c:pt>
                <c:pt idx="96" formatCode="#,##0">
                  <c:v>49526</c:v>
                </c:pt>
                <c:pt idx="97" formatCode="#,##0">
                  <c:v>59337</c:v>
                </c:pt>
                <c:pt idx="98" formatCode="#,##0">
                  <c:v>41989</c:v>
                </c:pt>
                <c:pt idx="99" formatCode="#,##0">
                  <c:v>47281</c:v>
                </c:pt>
                <c:pt idx="100" formatCode="#,##0">
                  <c:v>54686</c:v>
                </c:pt>
                <c:pt idx="101" formatCode="#,##0">
                  <c:v>52189</c:v>
                </c:pt>
                <c:pt idx="102" formatCode="#,##0">
                  <c:v>58510</c:v>
                </c:pt>
                <c:pt idx="103" formatCode="#,##0">
                  <c:v>56637</c:v>
                </c:pt>
                <c:pt idx="104" formatCode="#,##0">
                  <c:v>59973</c:v>
                </c:pt>
                <c:pt idx="105" formatCode="#,##0">
                  <c:v>63447</c:v>
                </c:pt>
                <c:pt idx="106" formatCode="#,##0">
                  <c:v>60973</c:v>
                </c:pt>
                <c:pt idx="107" formatCode="#,##0">
                  <c:v>67551</c:v>
                </c:pt>
                <c:pt idx="108" formatCode="#,##0">
                  <c:v>69586</c:v>
                </c:pt>
                <c:pt idx="109" formatCode="#,##0">
                  <c:v>80180</c:v>
                </c:pt>
                <c:pt idx="110" formatCode="#,##0">
                  <c:v>57904</c:v>
                </c:pt>
                <c:pt idx="111" formatCode="#,##0">
                  <c:v>61385</c:v>
                </c:pt>
                <c:pt idx="112" formatCode="#,##0">
                  <c:v>68576</c:v>
                </c:pt>
                <c:pt idx="113" formatCode="#,##0">
                  <c:v>71140</c:v>
                </c:pt>
                <c:pt idx="114" formatCode="#,##0">
                  <c:v>76415</c:v>
                </c:pt>
                <c:pt idx="115" formatCode="#,##0">
                  <c:v>71219</c:v>
                </c:pt>
                <c:pt idx="116" formatCode="#,##0">
                  <c:v>78875</c:v>
                </c:pt>
                <c:pt idx="117" formatCode="#,##0">
                  <c:v>80137</c:v>
                </c:pt>
                <c:pt idx="118" formatCode="#,##0">
                  <c:v>77340</c:v>
                </c:pt>
                <c:pt idx="119" formatCode="#,##0">
                  <c:v>84526</c:v>
                </c:pt>
                <c:pt idx="120" formatCode="#,##0">
                  <c:v>84594</c:v>
                </c:pt>
                <c:pt idx="121" formatCode="#,##0">
                  <c:v>99184</c:v>
                </c:pt>
                <c:pt idx="122" formatCode="#,##0">
                  <c:v>71432</c:v>
                </c:pt>
                <c:pt idx="123" formatCode="#,##0">
                  <c:v>74492</c:v>
                </c:pt>
                <c:pt idx="124" formatCode="#,##0">
                  <c:v>84946</c:v>
                </c:pt>
                <c:pt idx="125" formatCode="#,##0">
                  <c:v>84924</c:v>
                </c:pt>
              </c:numCache>
            </c:numRef>
          </c:val>
          <c:smooth val="0"/>
        </c:ser>
        <c:ser>
          <c:idx val="1"/>
          <c:order val="1"/>
          <c:tx>
            <c:strRef>
              <c:f>'Pivot selected'!$C$3:$C$4</c:f>
              <c:strCache>
                <c:ptCount val="1"/>
                <c:pt idx="0">
                  <c:v>DPP-4 inhibitors</c:v>
                </c:pt>
              </c:strCache>
            </c:strRef>
          </c:tx>
          <c:marker>
            <c:symbol val="none"/>
          </c:marker>
          <c:cat>
            <c:strRef>
              <c:f>'Pivot selected'!$A$5:$A$131</c:f>
              <c:strCache>
                <c:ptCount val="126"/>
                <c:pt idx="0">
                  <c:v>Nov-03</c:v>
                </c:pt>
                <c:pt idx="1">
                  <c:v>Dec-03</c:v>
                </c:pt>
                <c:pt idx="2">
                  <c:v>Jan-04</c:v>
                </c:pt>
                <c:pt idx="3">
                  <c:v>Feb-04</c:v>
                </c:pt>
                <c:pt idx="4">
                  <c:v>Mar-04</c:v>
                </c:pt>
                <c:pt idx="5">
                  <c:v>Apr-04</c:v>
                </c:pt>
                <c:pt idx="6">
                  <c:v>May-04</c:v>
                </c:pt>
                <c:pt idx="7">
                  <c:v>Jun-04</c:v>
                </c:pt>
                <c:pt idx="8">
                  <c:v>Jul-04</c:v>
                </c:pt>
                <c:pt idx="9">
                  <c:v>Aug-04</c:v>
                </c:pt>
                <c:pt idx="10">
                  <c:v>Sep-04</c:v>
                </c:pt>
                <c:pt idx="11">
                  <c:v>Oct-04</c:v>
                </c:pt>
                <c:pt idx="12">
                  <c:v>Nov-04</c:v>
                </c:pt>
                <c:pt idx="13">
                  <c:v>Dec-04</c:v>
                </c:pt>
                <c:pt idx="14">
                  <c:v>Jan-05</c:v>
                </c:pt>
                <c:pt idx="15">
                  <c:v>Feb-05</c:v>
                </c:pt>
                <c:pt idx="16">
                  <c:v>Mar-05</c:v>
                </c:pt>
                <c:pt idx="17">
                  <c:v>Apr-05</c:v>
                </c:pt>
                <c:pt idx="18">
                  <c:v>May-05</c:v>
                </c:pt>
                <c:pt idx="19">
                  <c:v>Jun-05</c:v>
                </c:pt>
                <c:pt idx="20">
                  <c:v>Jul-05</c:v>
                </c:pt>
                <c:pt idx="21">
                  <c:v>Aug-05</c:v>
                </c:pt>
                <c:pt idx="22">
                  <c:v>Sep-05</c:v>
                </c:pt>
                <c:pt idx="23">
                  <c:v>Oct-05</c:v>
                </c:pt>
                <c:pt idx="24">
                  <c:v>Nov-05</c:v>
                </c:pt>
                <c:pt idx="25">
                  <c:v>Dec-05</c:v>
                </c:pt>
                <c:pt idx="26">
                  <c:v>Jan-06</c:v>
                </c:pt>
                <c:pt idx="27">
                  <c:v>Feb-06</c:v>
                </c:pt>
                <c:pt idx="28">
                  <c:v>Mar-06</c:v>
                </c:pt>
                <c:pt idx="29">
                  <c:v>Apr-06</c:v>
                </c:pt>
                <c:pt idx="30">
                  <c:v>May-06</c:v>
                </c:pt>
                <c:pt idx="31">
                  <c:v>Jun-06</c:v>
                </c:pt>
                <c:pt idx="32">
                  <c:v>Jul-06</c:v>
                </c:pt>
                <c:pt idx="33">
                  <c:v>Aug-06</c:v>
                </c:pt>
                <c:pt idx="34">
                  <c:v>Sep-06</c:v>
                </c:pt>
                <c:pt idx="35">
                  <c:v>Oct-06</c:v>
                </c:pt>
                <c:pt idx="36">
                  <c:v>Nov-06</c:v>
                </c:pt>
                <c:pt idx="37">
                  <c:v>Dec-06</c:v>
                </c:pt>
                <c:pt idx="38">
                  <c:v>Jan-07</c:v>
                </c:pt>
                <c:pt idx="39">
                  <c:v>Feb-07</c:v>
                </c:pt>
                <c:pt idx="40">
                  <c:v>Mar-07</c:v>
                </c:pt>
                <c:pt idx="41">
                  <c:v>Apr-07</c:v>
                </c:pt>
                <c:pt idx="42">
                  <c:v>May-07</c:v>
                </c:pt>
                <c:pt idx="43">
                  <c:v>Jun-07</c:v>
                </c:pt>
                <c:pt idx="44">
                  <c:v>Jul-07</c:v>
                </c:pt>
                <c:pt idx="45">
                  <c:v>Aug-07</c:v>
                </c:pt>
                <c:pt idx="46">
                  <c:v>Sep-07</c:v>
                </c:pt>
                <c:pt idx="47">
                  <c:v>Oct-07</c:v>
                </c:pt>
                <c:pt idx="48">
                  <c:v>Nov-07</c:v>
                </c:pt>
                <c:pt idx="49">
                  <c:v>Dec-07</c:v>
                </c:pt>
                <c:pt idx="50">
                  <c:v>Jan-08</c:v>
                </c:pt>
                <c:pt idx="51">
                  <c:v>Feb-08</c:v>
                </c:pt>
                <c:pt idx="52">
                  <c:v>Mar-08</c:v>
                </c:pt>
                <c:pt idx="53">
                  <c:v>Apr-08</c:v>
                </c:pt>
                <c:pt idx="54">
                  <c:v>May-08</c:v>
                </c:pt>
                <c:pt idx="55">
                  <c:v>Jun-08</c:v>
                </c:pt>
                <c:pt idx="56">
                  <c:v>Jul-08</c:v>
                </c:pt>
                <c:pt idx="57">
                  <c:v>Aug-08</c:v>
                </c:pt>
                <c:pt idx="58">
                  <c:v>Sep-08</c:v>
                </c:pt>
                <c:pt idx="59">
                  <c:v>Oct-08</c:v>
                </c:pt>
                <c:pt idx="60">
                  <c:v>Nov-08</c:v>
                </c:pt>
                <c:pt idx="61">
                  <c:v>Dec-08</c:v>
                </c:pt>
                <c:pt idx="62">
                  <c:v>Jan-09</c:v>
                </c:pt>
                <c:pt idx="63">
                  <c:v>Feb-09</c:v>
                </c:pt>
                <c:pt idx="64">
                  <c:v>Mar-09</c:v>
                </c:pt>
                <c:pt idx="65">
                  <c:v>Apr-09</c:v>
                </c:pt>
                <c:pt idx="66">
                  <c:v>May-09</c:v>
                </c:pt>
                <c:pt idx="67">
                  <c:v>Jun-09</c:v>
                </c:pt>
                <c:pt idx="68">
                  <c:v>Jul-09</c:v>
                </c:pt>
                <c:pt idx="69">
                  <c:v>Aug-09</c:v>
                </c:pt>
                <c:pt idx="70">
                  <c:v>Sep-09</c:v>
                </c:pt>
                <c:pt idx="71">
                  <c:v>Oct-09</c:v>
                </c:pt>
                <c:pt idx="72">
                  <c:v>Nov-09</c:v>
                </c:pt>
                <c:pt idx="73">
                  <c:v>Dec-09</c:v>
                </c:pt>
                <c:pt idx="74">
                  <c:v>Jan-10</c:v>
                </c:pt>
                <c:pt idx="75">
                  <c:v>Feb-10</c:v>
                </c:pt>
                <c:pt idx="76">
                  <c:v>Mar-10</c:v>
                </c:pt>
                <c:pt idx="77">
                  <c:v>Apr-10</c:v>
                </c:pt>
                <c:pt idx="78">
                  <c:v>May-10</c:v>
                </c:pt>
                <c:pt idx="79">
                  <c:v>Jun-10</c:v>
                </c:pt>
                <c:pt idx="80">
                  <c:v>Jul-10</c:v>
                </c:pt>
                <c:pt idx="81">
                  <c:v>Aug-10</c:v>
                </c:pt>
                <c:pt idx="82">
                  <c:v>Sep-10</c:v>
                </c:pt>
                <c:pt idx="83">
                  <c:v>Oct-10</c:v>
                </c:pt>
                <c:pt idx="84">
                  <c:v>Nov-10</c:v>
                </c:pt>
                <c:pt idx="85">
                  <c:v>Dec-10</c:v>
                </c:pt>
                <c:pt idx="86">
                  <c:v>Jan-11</c:v>
                </c:pt>
                <c:pt idx="87">
                  <c:v>Feb-11</c:v>
                </c:pt>
                <c:pt idx="88">
                  <c:v>Mar-11</c:v>
                </c:pt>
                <c:pt idx="89">
                  <c:v>Apr-11</c:v>
                </c:pt>
                <c:pt idx="90">
                  <c:v>May-11</c:v>
                </c:pt>
                <c:pt idx="91">
                  <c:v>Jun-11</c:v>
                </c:pt>
                <c:pt idx="92">
                  <c:v>Jul-11</c:v>
                </c:pt>
                <c:pt idx="93">
                  <c:v>Aug-11</c:v>
                </c:pt>
                <c:pt idx="94">
                  <c:v>Sep-11</c:v>
                </c:pt>
                <c:pt idx="95">
                  <c:v>Oct-11</c:v>
                </c:pt>
                <c:pt idx="96">
                  <c:v>Nov-11</c:v>
                </c:pt>
                <c:pt idx="97">
                  <c:v>Dec-11</c:v>
                </c:pt>
                <c:pt idx="98">
                  <c:v>Jan-12</c:v>
                </c:pt>
                <c:pt idx="99">
                  <c:v>Feb-12</c:v>
                </c:pt>
                <c:pt idx="100">
                  <c:v>Mar-12</c:v>
                </c:pt>
                <c:pt idx="101">
                  <c:v>Apr-12</c:v>
                </c:pt>
                <c:pt idx="102">
                  <c:v>May-12</c:v>
                </c:pt>
                <c:pt idx="103">
                  <c:v>Jun-12</c:v>
                </c:pt>
                <c:pt idx="104">
                  <c:v>Jul-12</c:v>
                </c:pt>
                <c:pt idx="105">
                  <c:v>Aug-12</c:v>
                </c:pt>
                <c:pt idx="106">
                  <c:v>Sep-12</c:v>
                </c:pt>
                <c:pt idx="107">
                  <c:v>Oct-12</c:v>
                </c:pt>
                <c:pt idx="108">
                  <c:v>Nov-12</c:v>
                </c:pt>
                <c:pt idx="109">
                  <c:v>Dec-12</c:v>
                </c:pt>
                <c:pt idx="110">
                  <c:v>Jan-13</c:v>
                </c:pt>
                <c:pt idx="111">
                  <c:v>Feb-13</c:v>
                </c:pt>
                <c:pt idx="112">
                  <c:v>Mar-13</c:v>
                </c:pt>
                <c:pt idx="113">
                  <c:v>Apr-13</c:v>
                </c:pt>
                <c:pt idx="114">
                  <c:v>May-13</c:v>
                </c:pt>
                <c:pt idx="115">
                  <c:v>Jun-13</c:v>
                </c:pt>
                <c:pt idx="116">
                  <c:v>Jul-13</c:v>
                </c:pt>
                <c:pt idx="117">
                  <c:v>Aug-13</c:v>
                </c:pt>
                <c:pt idx="118">
                  <c:v>Sep-13</c:v>
                </c:pt>
                <c:pt idx="119">
                  <c:v>Oct-13</c:v>
                </c:pt>
                <c:pt idx="120">
                  <c:v>Nov-13</c:v>
                </c:pt>
                <c:pt idx="121">
                  <c:v>Dec-13</c:v>
                </c:pt>
                <c:pt idx="122">
                  <c:v>Jan-14</c:v>
                </c:pt>
                <c:pt idx="123">
                  <c:v>Feb-14</c:v>
                </c:pt>
                <c:pt idx="124">
                  <c:v>Mar-14</c:v>
                </c:pt>
                <c:pt idx="125">
                  <c:v>Apr-14</c:v>
                </c:pt>
              </c:strCache>
            </c:strRef>
          </c:cat>
          <c:val>
            <c:numRef>
              <c:f>'Pivot selected'!$C$5:$C$131</c:f>
              <c:numCache>
                <c:formatCode>General</c:formatCode>
                <c:ptCount val="126"/>
                <c:pt idx="57" formatCode="#,##0">
                  <c:v>2048</c:v>
                </c:pt>
                <c:pt idx="58" formatCode="#,##0">
                  <c:v>6039</c:v>
                </c:pt>
                <c:pt idx="59" formatCode="#,##0">
                  <c:v>9517</c:v>
                </c:pt>
                <c:pt idx="60" formatCode="#,##0">
                  <c:v>11033</c:v>
                </c:pt>
                <c:pt idx="61" formatCode="#,##0">
                  <c:v>14809</c:v>
                </c:pt>
                <c:pt idx="62" formatCode="#,##0">
                  <c:v>10885</c:v>
                </c:pt>
                <c:pt idx="63" formatCode="#,##0">
                  <c:v>12208</c:v>
                </c:pt>
                <c:pt idx="64" formatCode="#,##0">
                  <c:v>14414</c:v>
                </c:pt>
                <c:pt idx="65" formatCode="#,##0">
                  <c:v>15195</c:v>
                </c:pt>
                <c:pt idx="66" formatCode="#,##0">
                  <c:v>16183</c:v>
                </c:pt>
                <c:pt idx="67" formatCode="#,##0">
                  <c:v>17199</c:v>
                </c:pt>
                <c:pt idx="68" formatCode="#,##0">
                  <c:v>18736</c:v>
                </c:pt>
                <c:pt idx="69" formatCode="#,##0">
                  <c:v>19100</c:v>
                </c:pt>
                <c:pt idx="70" formatCode="#,##0">
                  <c:v>20168</c:v>
                </c:pt>
                <c:pt idx="71" formatCode="#,##0">
                  <c:v>21675</c:v>
                </c:pt>
                <c:pt idx="72" formatCode="#,##0">
                  <c:v>21510</c:v>
                </c:pt>
                <c:pt idx="73" formatCode="#,##0">
                  <c:v>26100</c:v>
                </c:pt>
                <c:pt idx="74" formatCode="#,##0">
                  <c:v>17450</c:v>
                </c:pt>
                <c:pt idx="75" formatCode="#,##0">
                  <c:v>19723</c:v>
                </c:pt>
                <c:pt idx="76" formatCode="#,##0">
                  <c:v>23113</c:v>
                </c:pt>
                <c:pt idx="77" formatCode="#,##0">
                  <c:v>22165</c:v>
                </c:pt>
                <c:pt idx="78" formatCode="#,##0">
                  <c:v>23205</c:v>
                </c:pt>
                <c:pt idx="79" formatCode="#,##0">
                  <c:v>23491</c:v>
                </c:pt>
                <c:pt idx="80" formatCode="#,##0">
                  <c:v>24604</c:v>
                </c:pt>
                <c:pt idx="81" formatCode="#,##0">
                  <c:v>26497</c:v>
                </c:pt>
                <c:pt idx="82" formatCode="#,##0">
                  <c:v>27600</c:v>
                </c:pt>
                <c:pt idx="83" formatCode="#,##0">
                  <c:v>29050</c:v>
                </c:pt>
                <c:pt idx="84" formatCode="#,##0">
                  <c:v>31257</c:v>
                </c:pt>
                <c:pt idx="85" formatCode="#,##0">
                  <c:v>37628</c:v>
                </c:pt>
                <c:pt idx="86" formatCode="#,##0">
                  <c:v>25056</c:v>
                </c:pt>
                <c:pt idx="87" formatCode="#,##0">
                  <c:v>28158</c:v>
                </c:pt>
                <c:pt idx="88" formatCode="#,##0">
                  <c:v>33384</c:v>
                </c:pt>
                <c:pt idx="89" formatCode="#,##0">
                  <c:v>32195</c:v>
                </c:pt>
                <c:pt idx="90" formatCode="#,##0">
                  <c:v>34489</c:v>
                </c:pt>
                <c:pt idx="91" formatCode="#,##0">
                  <c:v>34314</c:v>
                </c:pt>
                <c:pt idx="92" formatCode="#,##0">
                  <c:v>35382</c:v>
                </c:pt>
                <c:pt idx="93" formatCode="#,##0">
                  <c:v>38086</c:v>
                </c:pt>
                <c:pt idx="94" formatCode="#,##0">
                  <c:v>37749</c:v>
                </c:pt>
                <c:pt idx="95" formatCode="#,##0">
                  <c:v>38967</c:v>
                </c:pt>
                <c:pt idx="96" formatCode="#,##0">
                  <c:v>40498</c:v>
                </c:pt>
                <c:pt idx="97" formatCode="#,##0">
                  <c:v>48686</c:v>
                </c:pt>
                <c:pt idx="98" formatCode="#,##0">
                  <c:v>32412</c:v>
                </c:pt>
                <c:pt idx="99" formatCode="#,##0">
                  <c:v>37463</c:v>
                </c:pt>
                <c:pt idx="100" formatCode="#,##0">
                  <c:v>42539</c:v>
                </c:pt>
                <c:pt idx="101" formatCode="#,##0">
                  <c:v>40293</c:v>
                </c:pt>
                <c:pt idx="102" formatCode="#,##0">
                  <c:v>45632</c:v>
                </c:pt>
                <c:pt idx="103" formatCode="#,##0">
                  <c:v>44273</c:v>
                </c:pt>
                <c:pt idx="104" formatCode="#,##0">
                  <c:v>46662</c:v>
                </c:pt>
                <c:pt idx="105" formatCode="#,##0">
                  <c:v>50426</c:v>
                </c:pt>
                <c:pt idx="106" formatCode="#,##0">
                  <c:v>48030</c:v>
                </c:pt>
                <c:pt idx="107" formatCode="#,##0">
                  <c:v>52945</c:v>
                </c:pt>
                <c:pt idx="108" formatCode="#,##0">
                  <c:v>54519</c:v>
                </c:pt>
                <c:pt idx="109" formatCode="#,##0">
                  <c:v>63098</c:v>
                </c:pt>
                <c:pt idx="110" formatCode="#,##0">
                  <c:v>45263</c:v>
                </c:pt>
                <c:pt idx="111" formatCode="#,##0">
                  <c:v>48387</c:v>
                </c:pt>
                <c:pt idx="112" formatCode="#,##0">
                  <c:v>53650</c:v>
                </c:pt>
                <c:pt idx="113" formatCode="#,##0">
                  <c:v>55501</c:v>
                </c:pt>
                <c:pt idx="114" formatCode="#,##0">
                  <c:v>59291</c:v>
                </c:pt>
                <c:pt idx="115" formatCode="#,##0">
                  <c:v>55481</c:v>
                </c:pt>
                <c:pt idx="116" formatCode="#,##0">
                  <c:v>61266</c:v>
                </c:pt>
                <c:pt idx="117" formatCode="#,##0">
                  <c:v>61632</c:v>
                </c:pt>
                <c:pt idx="118" formatCode="#,##0">
                  <c:v>59419</c:v>
                </c:pt>
                <c:pt idx="119" formatCode="#,##0">
                  <c:v>65198</c:v>
                </c:pt>
                <c:pt idx="120" formatCode="#,##0">
                  <c:v>64364</c:v>
                </c:pt>
                <c:pt idx="121" formatCode="#,##0">
                  <c:v>75903</c:v>
                </c:pt>
                <c:pt idx="122" formatCode="#,##0">
                  <c:v>53062</c:v>
                </c:pt>
                <c:pt idx="123" formatCode="#,##0">
                  <c:v>56148</c:v>
                </c:pt>
                <c:pt idx="124" formatCode="#,##0">
                  <c:v>63088</c:v>
                </c:pt>
                <c:pt idx="125" formatCode="#,##0">
                  <c:v>61483</c:v>
                </c:pt>
              </c:numCache>
            </c:numRef>
          </c:val>
          <c:smooth val="0"/>
        </c:ser>
        <c:ser>
          <c:idx val="2"/>
          <c:order val="2"/>
          <c:tx>
            <c:strRef>
              <c:f>'Pivot selected'!$D$3:$D$4</c:f>
              <c:strCache>
                <c:ptCount val="1"/>
                <c:pt idx="0">
                  <c:v>Exenatide</c:v>
                </c:pt>
              </c:strCache>
            </c:strRef>
          </c:tx>
          <c:marker>
            <c:symbol val="none"/>
          </c:marker>
          <c:cat>
            <c:strRef>
              <c:f>'Pivot selected'!$A$5:$A$131</c:f>
              <c:strCache>
                <c:ptCount val="126"/>
                <c:pt idx="0">
                  <c:v>Nov-03</c:v>
                </c:pt>
                <c:pt idx="1">
                  <c:v>Dec-03</c:v>
                </c:pt>
                <c:pt idx="2">
                  <c:v>Jan-04</c:v>
                </c:pt>
                <c:pt idx="3">
                  <c:v>Feb-04</c:v>
                </c:pt>
                <c:pt idx="4">
                  <c:v>Mar-04</c:v>
                </c:pt>
                <c:pt idx="5">
                  <c:v>Apr-04</c:v>
                </c:pt>
                <c:pt idx="6">
                  <c:v>May-04</c:v>
                </c:pt>
                <c:pt idx="7">
                  <c:v>Jun-04</c:v>
                </c:pt>
                <c:pt idx="8">
                  <c:v>Jul-04</c:v>
                </c:pt>
                <c:pt idx="9">
                  <c:v>Aug-04</c:v>
                </c:pt>
                <c:pt idx="10">
                  <c:v>Sep-04</c:v>
                </c:pt>
                <c:pt idx="11">
                  <c:v>Oct-04</c:v>
                </c:pt>
                <c:pt idx="12">
                  <c:v>Nov-04</c:v>
                </c:pt>
                <c:pt idx="13">
                  <c:v>Dec-04</c:v>
                </c:pt>
                <c:pt idx="14">
                  <c:v>Jan-05</c:v>
                </c:pt>
                <c:pt idx="15">
                  <c:v>Feb-05</c:v>
                </c:pt>
                <c:pt idx="16">
                  <c:v>Mar-05</c:v>
                </c:pt>
                <c:pt idx="17">
                  <c:v>Apr-05</c:v>
                </c:pt>
                <c:pt idx="18">
                  <c:v>May-05</c:v>
                </c:pt>
                <c:pt idx="19">
                  <c:v>Jun-05</c:v>
                </c:pt>
                <c:pt idx="20">
                  <c:v>Jul-05</c:v>
                </c:pt>
                <c:pt idx="21">
                  <c:v>Aug-05</c:v>
                </c:pt>
                <c:pt idx="22">
                  <c:v>Sep-05</c:v>
                </c:pt>
                <c:pt idx="23">
                  <c:v>Oct-05</c:v>
                </c:pt>
                <c:pt idx="24">
                  <c:v>Nov-05</c:v>
                </c:pt>
                <c:pt idx="25">
                  <c:v>Dec-05</c:v>
                </c:pt>
                <c:pt idx="26">
                  <c:v>Jan-06</c:v>
                </c:pt>
                <c:pt idx="27">
                  <c:v>Feb-06</c:v>
                </c:pt>
                <c:pt idx="28">
                  <c:v>Mar-06</c:v>
                </c:pt>
                <c:pt idx="29">
                  <c:v>Apr-06</c:v>
                </c:pt>
                <c:pt idx="30">
                  <c:v>May-06</c:v>
                </c:pt>
                <c:pt idx="31">
                  <c:v>Jun-06</c:v>
                </c:pt>
                <c:pt idx="32">
                  <c:v>Jul-06</c:v>
                </c:pt>
                <c:pt idx="33">
                  <c:v>Aug-06</c:v>
                </c:pt>
                <c:pt idx="34">
                  <c:v>Sep-06</c:v>
                </c:pt>
                <c:pt idx="35">
                  <c:v>Oct-06</c:v>
                </c:pt>
                <c:pt idx="36">
                  <c:v>Nov-06</c:v>
                </c:pt>
                <c:pt idx="37">
                  <c:v>Dec-06</c:v>
                </c:pt>
                <c:pt idx="38">
                  <c:v>Jan-07</c:v>
                </c:pt>
                <c:pt idx="39">
                  <c:v>Feb-07</c:v>
                </c:pt>
                <c:pt idx="40">
                  <c:v>Mar-07</c:v>
                </c:pt>
                <c:pt idx="41">
                  <c:v>Apr-07</c:v>
                </c:pt>
                <c:pt idx="42">
                  <c:v>May-07</c:v>
                </c:pt>
                <c:pt idx="43">
                  <c:v>Jun-07</c:v>
                </c:pt>
                <c:pt idx="44">
                  <c:v>Jul-07</c:v>
                </c:pt>
                <c:pt idx="45">
                  <c:v>Aug-07</c:v>
                </c:pt>
                <c:pt idx="46">
                  <c:v>Sep-07</c:v>
                </c:pt>
                <c:pt idx="47">
                  <c:v>Oct-07</c:v>
                </c:pt>
                <c:pt idx="48">
                  <c:v>Nov-07</c:v>
                </c:pt>
                <c:pt idx="49">
                  <c:v>Dec-07</c:v>
                </c:pt>
                <c:pt idx="50">
                  <c:v>Jan-08</c:v>
                </c:pt>
                <c:pt idx="51">
                  <c:v>Feb-08</c:v>
                </c:pt>
                <c:pt idx="52">
                  <c:v>Mar-08</c:v>
                </c:pt>
                <c:pt idx="53">
                  <c:v>Apr-08</c:v>
                </c:pt>
                <c:pt idx="54">
                  <c:v>May-08</c:v>
                </c:pt>
                <c:pt idx="55">
                  <c:v>Jun-08</c:v>
                </c:pt>
                <c:pt idx="56">
                  <c:v>Jul-08</c:v>
                </c:pt>
                <c:pt idx="57">
                  <c:v>Aug-08</c:v>
                </c:pt>
                <c:pt idx="58">
                  <c:v>Sep-08</c:v>
                </c:pt>
                <c:pt idx="59">
                  <c:v>Oct-08</c:v>
                </c:pt>
                <c:pt idx="60">
                  <c:v>Nov-08</c:v>
                </c:pt>
                <c:pt idx="61">
                  <c:v>Dec-08</c:v>
                </c:pt>
                <c:pt idx="62">
                  <c:v>Jan-09</c:v>
                </c:pt>
                <c:pt idx="63">
                  <c:v>Feb-09</c:v>
                </c:pt>
                <c:pt idx="64">
                  <c:v>Mar-09</c:v>
                </c:pt>
                <c:pt idx="65">
                  <c:v>Apr-09</c:v>
                </c:pt>
                <c:pt idx="66">
                  <c:v>May-09</c:v>
                </c:pt>
                <c:pt idx="67">
                  <c:v>Jun-09</c:v>
                </c:pt>
                <c:pt idx="68">
                  <c:v>Jul-09</c:v>
                </c:pt>
                <c:pt idx="69">
                  <c:v>Aug-09</c:v>
                </c:pt>
                <c:pt idx="70">
                  <c:v>Sep-09</c:v>
                </c:pt>
                <c:pt idx="71">
                  <c:v>Oct-09</c:v>
                </c:pt>
                <c:pt idx="72">
                  <c:v>Nov-09</c:v>
                </c:pt>
                <c:pt idx="73">
                  <c:v>Dec-09</c:v>
                </c:pt>
                <c:pt idx="74">
                  <c:v>Jan-10</c:v>
                </c:pt>
                <c:pt idx="75">
                  <c:v>Feb-10</c:v>
                </c:pt>
                <c:pt idx="76">
                  <c:v>Mar-10</c:v>
                </c:pt>
                <c:pt idx="77">
                  <c:v>Apr-10</c:v>
                </c:pt>
                <c:pt idx="78">
                  <c:v>May-10</c:v>
                </c:pt>
                <c:pt idx="79">
                  <c:v>Jun-10</c:v>
                </c:pt>
                <c:pt idx="80">
                  <c:v>Jul-10</c:v>
                </c:pt>
                <c:pt idx="81">
                  <c:v>Aug-10</c:v>
                </c:pt>
                <c:pt idx="82">
                  <c:v>Sep-10</c:v>
                </c:pt>
                <c:pt idx="83">
                  <c:v>Oct-10</c:v>
                </c:pt>
                <c:pt idx="84">
                  <c:v>Nov-10</c:v>
                </c:pt>
                <c:pt idx="85">
                  <c:v>Dec-10</c:v>
                </c:pt>
                <c:pt idx="86">
                  <c:v>Jan-11</c:v>
                </c:pt>
                <c:pt idx="87">
                  <c:v>Feb-11</c:v>
                </c:pt>
                <c:pt idx="88">
                  <c:v>Mar-11</c:v>
                </c:pt>
                <c:pt idx="89">
                  <c:v>Apr-11</c:v>
                </c:pt>
                <c:pt idx="90">
                  <c:v>May-11</c:v>
                </c:pt>
                <c:pt idx="91">
                  <c:v>Jun-11</c:v>
                </c:pt>
                <c:pt idx="92">
                  <c:v>Jul-11</c:v>
                </c:pt>
                <c:pt idx="93">
                  <c:v>Aug-11</c:v>
                </c:pt>
                <c:pt idx="94">
                  <c:v>Sep-11</c:v>
                </c:pt>
                <c:pt idx="95">
                  <c:v>Oct-11</c:v>
                </c:pt>
                <c:pt idx="96">
                  <c:v>Nov-11</c:v>
                </c:pt>
                <c:pt idx="97">
                  <c:v>Dec-11</c:v>
                </c:pt>
                <c:pt idx="98">
                  <c:v>Jan-12</c:v>
                </c:pt>
                <c:pt idx="99">
                  <c:v>Feb-12</c:v>
                </c:pt>
                <c:pt idx="100">
                  <c:v>Mar-12</c:v>
                </c:pt>
                <c:pt idx="101">
                  <c:v>Apr-12</c:v>
                </c:pt>
                <c:pt idx="102">
                  <c:v>May-12</c:v>
                </c:pt>
                <c:pt idx="103">
                  <c:v>Jun-12</c:v>
                </c:pt>
                <c:pt idx="104">
                  <c:v>Jul-12</c:v>
                </c:pt>
                <c:pt idx="105">
                  <c:v>Aug-12</c:v>
                </c:pt>
                <c:pt idx="106">
                  <c:v>Sep-12</c:v>
                </c:pt>
                <c:pt idx="107">
                  <c:v>Oct-12</c:v>
                </c:pt>
                <c:pt idx="108">
                  <c:v>Nov-12</c:v>
                </c:pt>
                <c:pt idx="109">
                  <c:v>Dec-12</c:v>
                </c:pt>
                <c:pt idx="110">
                  <c:v>Jan-13</c:v>
                </c:pt>
                <c:pt idx="111">
                  <c:v>Feb-13</c:v>
                </c:pt>
                <c:pt idx="112">
                  <c:v>Mar-13</c:v>
                </c:pt>
                <c:pt idx="113">
                  <c:v>Apr-13</c:v>
                </c:pt>
                <c:pt idx="114">
                  <c:v>May-13</c:v>
                </c:pt>
                <c:pt idx="115">
                  <c:v>Jun-13</c:v>
                </c:pt>
                <c:pt idx="116">
                  <c:v>Jul-13</c:v>
                </c:pt>
                <c:pt idx="117">
                  <c:v>Aug-13</c:v>
                </c:pt>
                <c:pt idx="118">
                  <c:v>Sep-13</c:v>
                </c:pt>
                <c:pt idx="119">
                  <c:v>Oct-13</c:v>
                </c:pt>
                <c:pt idx="120">
                  <c:v>Nov-13</c:v>
                </c:pt>
                <c:pt idx="121">
                  <c:v>Dec-13</c:v>
                </c:pt>
                <c:pt idx="122">
                  <c:v>Jan-14</c:v>
                </c:pt>
                <c:pt idx="123">
                  <c:v>Feb-14</c:v>
                </c:pt>
                <c:pt idx="124">
                  <c:v>Mar-14</c:v>
                </c:pt>
                <c:pt idx="125">
                  <c:v>Apr-14</c:v>
                </c:pt>
              </c:strCache>
            </c:strRef>
          </c:cat>
          <c:val>
            <c:numRef>
              <c:f>'Pivot selected'!$D$5:$D$131</c:f>
              <c:numCache>
                <c:formatCode>General</c:formatCode>
                <c:ptCount val="126"/>
                <c:pt idx="81" formatCode="#,##0">
                  <c:v>772</c:v>
                </c:pt>
                <c:pt idx="82" formatCode="#,##0">
                  <c:v>1254</c:v>
                </c:pt>
                <c:pt idx="83" formatCode="#,##0">
                  <c:v>1669</c:v>
                </c:pt>
                <c:pt idx="84" formatCode="#,##0">
                  <c:v>2259</c:v>
                </c:pt>
                <c:pt idx="85" formatCode="#,##0">
                  <c:v>3144</c:v>
                </c:pt>
                <c:pt idx="86" formatCode="#,##0">
                  <c:v>2191</c:v>
                </c:pt>
                <c:pt idx="87" formatCode="#,##0">
                  <c:v>2624</c:v>
                </c:pt>
                <c:pt idx="88" formatCode="#,##0">
                  <c:v>3444</c:v>
                </c:pt>
                <c:pt idx="89" formatCode="#,##0">
                  <c:v>3431</c:v>
                </c:pt>
                <c:pt idx="90" formatCode="#,##0">
                  <c:v>4039</c:v>
                </c:pt>
                <c:pt idx="91" formatCode="#,##0">
                  <c:v>4237</c:v>
                </c:pt>
                <c:pt idx="92" formatCode="#,##0">
                  <c:v>4563</c:v>
                </c:pt>
                <c:pt idx="93" formatCode="#,##0">
                  <c:v>5212</c:v>
                </c:pt>
                <c:pt idx="94" formatCode="#,##0">
                  <c:v>5375</c:v>
                </c:pt>
                <c:pt idx="95" formatCode="#,##0">
                  <c:v>5688</c:v>
                </c:pt>
                <c:pt idx="96" formatCode="#,##0">
                  <c:v>6341</c:v>
                </c:pt>
                <c:pt idx="97" formatCode="#,##0">
                  <c:v>8321</c:v>
                </c:pt>
                <c:pt idx="98" formatCode="#,##0">
                  <c:v>5228</c:v>
                </c:pt>
                <c:pt idx="99" formatCode="#,##0">
                  <c:v>6314</c:v>
                </c:pt>
                <c:pt idx="100" formatCode="#,##0">
                  <c:v>7339</c:v>
                </c:pt>
                <c:pt idx="101" formatCode="#,##0">
                  <c:v>7110</c:v>
                </c:pt>
                <c:pt idx="102" formatCode="#,##0">
                  <c:v>8026</c:v>
                </c:pt>
                <c:pt idx="103" formatCode="#,##0">
                  <c:v>8016</c:v>
                </c:pt>
                <c:pt idx="104" formatCode="#,##0">
                  <c:v>8429</c:v>
                </c:pt>
                <c:pt idx="105" formatCode="#,##0">
                  <c:v>9139</c:v>
                </c:pt>
                <c:pt idx="106" formatCode="#,##0">
                  <c:v>8986</c:v>
                </c:pt>
                <c:pt idx="107" formatCode="#,##0">
                  <c:v>10029</c:v>
                </c:pt>
                <c:pt idx="108" formatCode="#,##0">
                  <c:v>10447</c:v>
                </c:pt>
                <c:pt idx="109" formatCode="#,##0">
                  <c:v>13107</c:v>
                </c:pt>
                <c:pt idx="110" formatCode="#,##0">
                  <c:v>8355</c:v>
                </c:pt>
                <c:pt idx="111" formatCode="#,##0">
                  <c:v>9198</c:v>
                </c:pt>
                <c:pt idx="112" formatCode="#,##0">
                  <c:v>10562</c:v>
                </c:pt>
                <c:pt idx="113" formatCode="#,##0">
                  <c:v>10802</c:v>
                </c:pt>
                <c:pt idx="114" formatCode="#,##0">
                  <c:v>11698</c:v>
                </c:pt>
                <c:pt idx="115" formatCode="#,##0">
                  <c:v>11297</c:v>
                </c:pt>
                <c:pt idx="116" formatCode="#,##0">
                  <c:v>12397</c:v>
                </c:pt>
                <c:pt idx="117" formatCode="#,##0">
                  <c:v>13005</c:v>
                </c:pt>
                <c:pt idx="118" formatCode="#,##0">
                  <c:v>12759</c:v>
                </c:pt>
                <c:pt idx="119" formatCode="#,##0">
                  <c:v>14163</c:v>
                </c:pt>
                <c:pt idx="120" formatCode="#,##0">
                  <c:v>14607</c:v>
                </c:pt>
                <c:pt idx="121" formatCode="#,##0">
                  <c:v>18104</c:v>
                </c:pt>
                <c:pt idx="122" formatCode="#,##0">
                  <c:v>11166</c:v>
                </c:pt>
                <c:pt idx="123" formatCode="#,##0">
                  <c:v>12231</c:v>
                </c:pt>
                <c:pt idx="124" formatCode="#,##0">
                  <c:v>13918</c:v>
                </c:pt>
                <c:pt idx="125" formatCode="#,##0">
                  <c:v>13775</c:v>
                </c:pt>
              </c:numCache>
            </c:numRef>
          </c:val>
          <c:smooth val="0"/>
        </c:ser>
        <c:ser>
          <c:idx val="3"/>
          <c:order val="3"/>
          <c:tx>
            <c:strRef>
              <c:f>'Pivot selected'!$E$3:$E$4</c:f>
              <c:strCache>
                <c:ptCount val="1"/>
                <c:pt idx="0">
                  <c:v>SGLT2 inhibitors</c:v>
                </c:pt>
              </c:strCache>
            </c:strRef>
          </c:tx>
          <c:marker>
            <c:symbol val="none"/>
          </c:marker>
          <c:cat>
            <c:strRef>
              <c:f>'Pivot selected'!$A$5:$A$131</c:f>
              <c:strCache>
                <c:ptCount val="126"/>
                <c:pt idx="0">
                  <c:v>Nov-03</c:v>
                </c:pt>
                <c:pt idx="1">
                  <c:v>Dec-03</c:v>
                </c:pt>
                <c:pt idx="2">
                  <c:v>Jan-04</c:v>
                </c:pt>
                <c:pt idx="3">
                  <c:v>Feb-04</c:v>
                </c:pt>
                <c:pt idx="4">
                  <c:v>Mar-04</c:v>
                </c:pt>
                <c:pt idx="5">
                  <c:v>Apr-04</c:v>
                </c:pt>
                <c:pt idx="6">
                  <c:v>May-04</c:v>
                </c:pt>
                <c:pt idx="7">
                  <c:v>Jun-04</c:v>
                </c:pt>
                <c:pt idx="8">
                  <c:v>Jul-04</c:v>
                </c:pt>
                <c:pt idx="9">
                  <c:v>Aug-04</c:v>
                </c:pt>
                <c:pt idx="10">
                  <c:v>Sep-04</c:v>
                </c:pt>
                <c:pt idx="11">
                  <c:v>Oct-04</c:v>
                </c:pt>
                <c:pt idx="12">
                  <c:v>Nov-04</c:v>
                </c:pt>
                <c:pt idx="13">
                  <c:v>Dec-04</c:v>
                </c:pt>
                <c:pt idx="14">
                  <c:v>Jan-05</c:v>
                </c:pt>
                <c:pt idx="15">
                  <c:v>Feb-05</c:v>
                </c:pt>
                <c:pt idx="16">
                  <c:v>Mar-05</c:v>
                </c:pt>
                <c:pt idx="17">
                  <c:v>Apr-05</c:v>
                </c:pt>
                <c:pt idx="18">
                  <c:v>May-05</c:v>
                </c:pt>
                <c:pt idx="19">
                  <c:v>Jun-05</c:v>
                </c:pt>
                <c:pt idx="20">
                  <c:v>Jul-05</c:v>
                </c:pt>
                <c:pt idx="21">
                  <c:v>Aug-05</c:v>
                </c:pt>
                <c:pt idx="22">
                  <c:v>Sep-05</c:v>
                </c:pt>
                <c:pt idx="23">
                  <c:v>Oct-05</c:v>
                </c:pt>
                <c:pt idx="24">
                  <c:v>Nov-05</c:v>
                </c:pt>
                <c:pt idx="25">
                  <c:v>Dec-05</c:v>
                </c:pt>
                <c:pt idx="26">
                  <c:v>Jan-06</c:v>
                </c:pt>
                <c:pt idx="27">
                  <c:v>Feb-06</c:v>
                </c:pt>
                <c:pt idx="28">
                  <c:v>Mar-06</c:v>
                </c:pt>
                <c:pt idx="29">
                  <c:v>Apr-06</c:v>
                </c:pt>
                <c:pt idx="30">
                  <c:v>May-06</c:v>
                </c:pt>
                <c:pt idx="31">
                  <c:v>Jun-06</c:v>
                </c:pt>
                <c:pt idx="32">
                  <c:v>Jul-06</c:v>
                </c:pt>
                <c:pt idx="33">
                  <c:v>Aug-06</c:v>
                </c:pt>
                <c:pt idx="34">
                  <c:v>Sep-06</c:v>
                </c:pt>
                <c:pt idx="35">
                  <c:v>Oct-06</c:v>
                </c:pt>
                <c:pt idx="36">
                  <c:v>Nov-06</c:v>
                </c:pt>
                <c:pt idx="37">
                  <c:v>Dec-06</c:v>
                </c:pt>
                <c:pt idx="38">
                  <c:v>Jan-07</c:v>
                </c:pt>
                <c:pt idx="39">
                  <c:v>Feb-07</c:v>
                </c:pt>
                <c:pt idx="40">
                  <c:v>Mar-07</c:v>
                </c:pt>
                <c:pt idx="41">
                  <c:v>Apr-07</c:v>
                </c:pt>
                <c:pt idx="42">
                  <c:v>May-07</c:v>
                </c:pt>
                <c:pt idx="43">
                  <c:v>Jun-07</c:v>
                </c:pt>
                <c:pt idx="44">
                  <c:v>Jul-07</c:v>
                </c:pt>
                <c:pt idx="45">
                  <c:v>Aug-07</c:v>
                </c:pt>
                <c:pt idx="46">
                  <c:v>Sep-07</c:v>
                </c:pt>
                <c:pt idx="47">
                  <c:v>Oct-07</c:v>
                </c:pt>
                <c:pt idx="48">
                  <c:v>Nov-07</c:v>
                </c:pt>
                <c:pt idx="49">
                  <c:v>Dec-07</c:v>
                </c:pt>
                <c:pt idx="50">
                  <c:v>Jan-08</c:v>
                </c:pt>
                <c:pt idx="51">
                  <c:v>Feb-08</c:v>
                </c:pt>
                <c:pt idx="52">
                  <c:v>Mar-08</c:v>
                </c:pt>
                <c:pt idx="53">
                  <c:v>Apr-08</c:v>
                </c:pt>
                <c:pt idx="54">
                  <c:v>May-08</c:v>
                </c:pt>
                <c:pt idx="55">
                  <c:v>Jun-08</c:v>
                </c:pt>
                <c:pt idx="56">
                  <c:v>Jul-08</c:v>
                </c:pt>
                <c:pt idx="57">
                  <c:v>Aug-08</c:v>
                </c:pt>
                <c:pt idx="58">
                  <c:v>Sep-08</c:v>
                </c:pt>
                <c:pt idx="59">
                  <c:v>Oct-08</c:v>
                </c:pt>
                <c:pt idx="60">
                  <c:v>Nov-08</c:v>
                </c:pt>
                <c:pt idx="61">
                  <c:v>Dec-08</c:v>
                </c:pt>
                <c:pt idx="62">
                  <c:v>Jan-09</c:v>
                </c:pt>
                <c:pt idx="63">
                  <c:v>Feb-09</c:v>
                </c:pt>
                <c:pt idx="64">
                  <c:v>Mar-09</c:v>
                </c:pt>
                <c:pt idx="65">
                  <c:v>Apr-09</c:v>
                </c:pt>
                <c:pt idx="66">
                  <c:v>May-09</c:v>
                </c:pt>
                <c:pt idx="67">
                  <c:v>Jun-09</c:v>
                </c:pt>
                <c:pt idx="68">
                  <c:v>Jul-09</c:v>
                </c:pt>
                <c:pt idx="69">
                  <c:v>Aug-09</c:v>
                </c:pt>
                <c:pt idx="70">
                  <c:v>Sep-09</c:v>
                </c:pt>
                <c:pt idx="71">
                  <c:v>Oct-09</c:v>
                </c:pt>
                <c:pt idx="72">
                  <c:v>Nov-09</c:v>
                </c:pt>
                <c:pt idx="73">
                  <c:v>Dec-09</c:v>
                </c:pt>
                <c:pt idx="74">
                  <c:v>Jan-10</c:v>
                </c:pt>
                <c:pt idx="75">
                  <c:v>Feb-10</c:v>
                </c:pt>
                <c:pt idx="76">
                  <c:v>Mar-10</c:v>
                </c:pt>
                <c:pt idx="77">
                  <c:v>Apr-10</c:v>
                </c:pt>
                <c:pt idx="78">
                  <c:v>May-10</c:v>
                </c:pt>
                <c:pt idx="79">
                  <c:v>Jun-10</c:v>
                </c:pt>
                <c:pt idx="80">
                  <c:v>Jul-10</c:v>
                </c:pt>
                <c:pt idx="81">
                  <c:v>Aug-10</c:v>
                </c:pt>
                <c:pt idx="82">
                  <c:v>Sep-10</c:v>
                </c:pt>
                <c:pt idx="83">
                  <c:v>Oct-10</c:v>
                </c:pt>
                <c:pt idx="84">
                  <c:v>Nov-10</c:v>
                </c:pt>
                <c:pt idx="85">
                  <c:v>Dec-10</c:v>
                </c:pt>
                <c:pt idx="86">
                  <c:v>Jan-11</c:v>
                </c:pt>
                <c:pt idx="87">
                  <c:v>Feb-11</c:v>
                </c:pt>
                <c:pt idx="88">
                  <c:v>Mar-11</c:v>
                </c:pt>
                <c:pt idx="89">
                  <c:v>Apr-11</c:v>
                </c:pt>
                <c:pt idx="90">
                  <c:v>May-11</c:v>
                </c:pt>
                <c:pt idx="91">
                  <c:v>Jun-11</c:v>
                </c:pt>
                <c:pt idx="92">
                  <c:v>Jul-11</c:v>
                </c:pt>
                <c:pt idx="93">
                  <c:v>Aug-11</c:v>
                </c:pt>
                <c:pt idx="94">
                  <c:v>Sep-11</c:v>
                </c:pt>
                <c:pt idx="95">
                  <c:v>Oct-11</c:v>
                </c:pt>
                <c:pt idx="96">
                  <c:v>Nov-11</c:v>
                </c:pt>
                <c:pt idx="97">
                  <c:v>Dec-11</c:v>
                </c:pt>
                <c:pt idx="98">
                  <c:v>Jan-12</c:v>
                </c:pt>
                <c:pt idx="99">
                  <c:v>Feb-12</c:v>
                </c:pt>
                <c:pt idx="100">
                  <c:v>Mar-12</c:v>
                </c:pt>
                <c:pt idx="101">
                  <c:v>Apr-12</c:v>
                </c:pt>
                <c:pt idx="102">
                  <c:v>May-12</c:v>
                </c:pt>
                <c:pt idx="103">
                  <c:v>Jun-12</c:v>
                </c:pt>
                <c:pt idx="104">
                  <c:v>Jul-12</c:v>
                </c:pt>
                <c:pt idx="105">
                  <c:v>Aug-12</c:v>
                </c:pt>
                <c:pt idx="106">
                  <c:v>Sep-12</c:v>
                </c:pt>
                <c:pt idx="107">
                  <c:v>Oct-12</c:v>
                </c:pt>
                <c:pt idx="108">
                  <c:v>Nov-12</c:v>
                </c:pt>
                <c:pt idx="109">
                  <c:v>Dec-12</c:v>
                </c:pt>
                <c:pt idx="110">
                  <c:v>Jan-13</c:v>
                </c:pt>
                <c:pt idx="111">
                  <c:v>Feb-13</c:v>
                </c:pt>
                <c:pt idx="112">
                  <c:v>Mar-13</c:v>
                </c:pt>
                <c:pt idx="113">
                  <c:v>Apr-13</c:v>
                </c:pt>
                <c:pt idx="114">
                  <c:v>May-13</c:v>
                </c:pt>
                <c:pt idx="115">
                  <c:v>Jun-13</c:v>
                </c:pt>
                <c:pt idx="116">
                  <c:v>Jul-13</c:v>
                </c:pt>
                <c:pt idx="117">
                  <c:v>Aug-13</c:v>
                </c:pt>
                <c:pt idx="118">
                  <c:v>Sep-13</c:v>
                </c:pt>
                <c:pt idx="119">
                  <c:v>Oct-13</c:v>
                </c:pt>
                <c:pt idx="120">
                  <c:v>Nov-13</c:v>
                </c:pt>
                <c:pt idx="121">
                  <c:v>Dec-13</c:v>
                </c:pt>
                <c:pt idx="122">
                  <c:v>Jan-14</c:v>
                </c:pt>
                <c:pt idx="123">
                  <c:v>Feb-14</c:v>
                </c:pt>
                <c:pt idx="124">
                  <c:v>Mar-14</c:v>
                </c:pt>
                <c:pt idx="125">
                  <c:v>Apr-14</c:v>
                </c:pt>
              </c:strCache>
            </c:strRef>
          </c:cat>
          <c:val>
            <c:numRef>
              <c:f>'Pivot selected'!$E$5:$E$131</c:f>
              <c:numCache>
                <c:formatCode>General</c:formatCode>
                <c:ptCount val="126"/>
                <c:pt idx="121" formatCode="#,##0">
                  <c:v>1113</c:v>
                </c:pt>
                <c:pt idx="122" formatCode="#,##0">
                  <c:v>1516</c:v>
                </c:pt>
                <c:pt idx="123" formatCode="#,##0">
                  <c:v>2190</c:v>
                </c:pt>
                <c:pt idx="124" formatCode="#,##0">
                  <c:v>3258</c:v>
                </c:pt>
                <c:pt idx="125" formatCode="#,##0">
                  <c:v>3873</c:v>
                </c:pt>
              </c:numCache>
            </c:numRef>
          </c:val>
          <c:smooth val="0"/>
        </c:ser>
        <c:ser>
          <c:idx val="4"/>
          <c:order val="4"/>
          <c:tx>
            <c:strRef>
              <c:f>'Pivot selected'!$F$3:$F$4</c:f>
              <c:strCache>
                <c:ptCount val="1"/>
                <c:pt idx="0">
                  <c:v>TZDs</c:v>
                </c:pt>
              </c:strCache>
            </c:strRef>
          </c:tx>
          <c:marker>
            <c:symbol val="none"/>
          </c:marker>
          <c:cat>
            <c:strRef>
              <c:f>'Pivot selected'!$A$5:$A$131</c:f>
              <c:strCache>
                <c:ptCount val="126"/>
                <c:pt idx="0">
                  <c:v>Nov-03</c:v>
                </c:pt>
                <c:pt idx="1">
                  <c:v>Dec-03</c:v>
                </c:pt>
                <c:pt idx="2">
                  <c:v>Jan-04</c:v>
                </c:pt>
                <c:pt idx="3">
                  <c:v>Feb-04</c:v>
                </c:pt>
                <c:pt idx="4">
                  <c:v>Mar-04</c:v>
                </c:pt>
                <c:pt idx="5">
                  <c:v>Apr-04</c:v>
                </c:pt>
                <c:pt idx="6">
                  <c:v>May-04</c:v>
                </c:pt>
                <c:pt idx="7">
                  <c:v>Jun-04</c:v>
                </c:pt>
                <c:pt idx="8">
                  <c:v>Jul-04</c:v>
                </c:pt>
                <c:pt idx="9">
                  <c:v>Aug-04</c:v>
                </c:pt>
                <c:pt idx="10">
                  <c:v>Sep-04</c:v>
                </c:pt>
                <c:pt idx="11">
                  <c:v>Oct-04</c:v>
                </c:pt>
                <c:pt idx="12">
                  <c:v>Nov-04</c:v>
                </c:pt>
                <c:pt idx="13">
                  <c:v>Dec-04</c:v>
                </c:pt>
                <c:pt idx="14">
                  <c:v>Jan-05</c:v>
                </c:pt>
                <c:pt idx="15">
                  <c:v>Feb-05</c:v>
                </c:pt>
                <c:pt idx="16">
                  <c:v>Mar-05</c:v>
                </c:pt>
                <c:pt idx="17">
                  <c:v>Apr-05</c:v>
                </c:pt>
                <c:pt idx="18">
                  <c:v>May-05</c:v>
                </c:pt>
                <c:pt idx="19">
                  <c:v>Jun-05</c:v>
                </c:pt>
                <c:pt idx="20">
                  <c:v>Jul-05</c:v>
                </c:pt>
                <c:pt idx="21">
                  <c:v>Aug-05</c:v>
                </c:pt>
                <c:pt idx="22">
                  <c:v>Sep-05</c:v>
                </c:pt>
                <c:pt idx="23">
                  <c:v>Oct-05</c:v>
                </c:pt>
                <c:pt idx="24">
                  <c:v>Nov-05</c:v>
                </c:pt>
                <c:pt idx="25">
                  <c:v>Dec-05</c:v>
                </c:pt>
                <c:pt idx="26">
                  <c:v>Jan-06</c:v>
                </c:pt>
                <c:pt idx="27">
                  <c:v>Feb-06</c:v>
                </c:pt>
                <c:pt idx="28">
                  <c:v>Mar-06</c:v>
                </c:pt>
                <c:pt idx="29">
                  <c:v>Apr-06</c:v>
                </c:pt>
                <c:pt idx="30">
                  <c:v>May-06</c:v>
                </c:pt>
                <c:pt idx="31">
                  <c:v>Jun-06</c:v>
                </c:pt>
                <c:pt idx="32">
                  <c:v>Jul-06</c:v>
                </c:pt>
                <c:pt idx="33">
                  <c:v>Aug-06</c:v>
                </c:pt>
                <c:pt idx="34">
                  <c:v>Sep-06</c:v>
                </c:pt>
                <c:pt idx="35">
                  <c:v>Oct-06</c:v>
                </c:pt>
                <c:pt idx="36">
                  <c:v>Nov-06</c:v>
                </c:pt>
                <c:pt idx="37">
                  <c:v>Dec-06</c:v>
                </c:pt>
                <c:pt idx="38">
                  <c:v>Jan-07</c:v>
                </c:pt>
                <c:pt idx="39">
                  <c:v>Feb-07</c:v>
                </c:pt>
                <c:pt idx="40">
                  <c:v>Mar-07</c:v>
                </c:pt>
                <c:pt idx="41">
                  <c:v>Apr-07</c:v>
                </c:pt>
                <c:pt idx="42">
                  <c:v>May-07</c:v>
                </c:pt>
                <c:pt idx="43">
                  <c:v>Jun-07</c:v>
                </c:pt>
                <c:pt idx="44">
                  <c:v>Jul-07</c:v>
                </c:pt>
                <c:pt idx="45">
                  <c:v>Aug-07</c:v>
                </c:pt>
                <c:pt idx="46">
                  <c:v>Sep-07</c:v>
                </c:pt>
                <c:pt idx="47">
                  <c:v>Oct-07</c:v>
                </c:pt>
                <c:pt idx="48">
                  <c:v>Nov-07</c:v>
                </c:pt>
                <c:pt idx="49">
                  <c:v>Dec-07</c:v>
                </c:pt>
                <c:pt idx="50">
                  <c:v>Jan-08</c:v>
                </c:pt>
                <c:pt idx="51">
                  <c:v>Feb-08</c:v>
                </c:pt>
                <c:pt idx="52">
                  <c:v>Mar-08</c:v>
                </c:pt>
                <c:pt idx="53">
                  <c:v>Apr-08</c:v>
                </c:pt>
                <c:pt idx="54">
                  <c:v>May-08</c:v>
                </c:pt>
                <c:pt idx="55">
                  <c:v>Jun-08</c:v>
                </c:pt>
                <c:pt idx="56">
                  <c:v>Jul-08</c:v>
                </c:pt>
                <c:pt idx="57">
                  <c:v>Aug-08</c:v>
                </c:pt>
                <c:pt idx="58">
                  <c:v>Sep-08</c:v>
                </c:pt>
                <c:pt idx="59">
                  <c:v>Oct-08</c:v>
                </c:pt>
                <c:pt idx="60">
                  <c:v>Nov-08</c:v>
                </c:pt>
                <c:pt idx="61">
                  <c:v>Dec-08</c:v>
                </c:pt>
                <c:pt idx="62">
                  <c:v>Jan-09</c:v>
                </c:pt>
                <c:pt idx="63">
                  <c:v>Feb-09</c:v>
                </c:pt>
                <c:pt idx="64">
                  <c:v>Mar-09</c:v>
                </c:pt>
                <c:pt idx="65">
                  <c:v>Apr-09</c:v>
                </c:pt>
                <c:pt idx="66">
                  <c:v>May-09</c:v>
                </c:pt>
                <c:pt idx="67">
                  <c:v>Jun-09</c:v>
                </c:pt>
                <c:pt idx="68">
                  <c:v>Jul-09</c:v>
                </c:pt>
                <c:pt idx="69">
                  <c:v>Aug-09</c:v>
                </c:pt>
                <c:pt idx="70">
                  <c:v>Sep-09</c:v>
                </c:pt>
                <c:pt idx="71">
                  <c:v>Oct-09</c:v>
                </c:pt>
                <c:pt idx="72">
                  <c:v>Nov-09</c:v>
                </c:pt>
                <c:pt idx="73">
                  <c:v>Dec-09</c:v>
                </c:pt>
                <c:pt idx="74">
                  <c:v>Jan-10</c:v>
                </c:pt>
                <c:pt idx="75">
                  <c:v>Feb-10</c:v>
                </c:pt>
                <c:pt idx="76">
                  <c:v>Mar-10</c:v>
                </c:pt>
                <c:pt idx="77">
                  <c:v>Apr-10</c:v>
                </c:pt>
                <c:pt idx="78">
                  <c:v>May-10</c:v>
                </c:pt>
                <c:pt idx="79">
                  <c:v>Jun-10</c:v>
                </c:pt>
                <c:pt idx="80">
                  <c:v>Jul-10</c:v>
                </c:pt>
                <c:pt idx="81">
                  <c:v>Aug-10</c:v>
                </c:pt>
                <c:pt idx="82">
                  <c:v>Sep-10</c:v>
                </c:pt>
                <c:pt idx="83">
                  <c:v>Oct-10</c:v>
                </c:pt>
                <c:pt idx="84">
                  <c:v>Nov-10</c:v>
                </c:pt>
                <c:pt idx="85">
                  <c:v>Dec-10</c:v>
                </c:pt>
                <c:pt idx="86">
                  <c:v>Jan-11</c:v>
                </c:pt>
                <c:pt idx="87">
                  <c:v>Feb-11</c:v>
                </c:pt>
                <c:pt idx="88">
                  <c:v>Mar-11</c:v>
                </c:pt>
                <c:pt idx="89">
                  <c:v>Apr-11</c:v>
                </c:pt>
                <c:pt idx="90">
                  <c:v>May-11</c:v>
                </c:pt>
                <c:pt idx="91">
                  <c:v>Jun-11</c:v>
                </c:pt>
                <c:pt idx="92">
                  <c:v>Jul-11</c:v>
                </c:pt>
                <c:pt idx="93">
                  <c:v>Aug-11</c:v>
                </c:pt>
                <c:pt idx="94">
                  <c:v>Sep-11</c:v>
                </c:pt>
                <c:pt idx="95">
                  <c:v>Oct-11</c:v>
                </c:pt>
                <c:pt idx="96">
                  <c:v>Nov-11</c:v>
                </c:pt>
                <c:pt idx="97">
                  <c:v>Dec-11</c:v>
                </c:pt>
                <c:pt idx="98">
                  <c:v>Jan-12</c:v>
                </c:pt>
                <c:pt idx="99">
                  <c:v>Feb-12</c:v>
                </c:pt>
                <c:pt idx="100">
                  <c:v>Mar-12</c:v>
                </c:pt>
                <c:pt idx="101">
                  <c:v>Apr-12</c:v>
                </c:pt>
                <c:pt idx="102">
                  <c:v>May-12</c:v>
                </c:pt>
                <c:pt idx="103">
                  <c:v>Jun-12</c:v>
                </c:pt>
                <c:pt idx="104">
                  <c:v>Jul-12</c:v>
                </c:pt>
                <c:pt idx="105">
                  <c:v>Aug-12</c:v>
                </c:pt>
                <c:pt idx="106">
                  <c:v>Sep-12</c:v>
                </c:pt>
                <c:pt idx="107">
                  <c:v>Oct-12</c:v>
                </c:pt>
                <c:pt idx="108">
                  <c:v>Nov-12</c:v>
                </c:pt>
                <c:pt idx="109">
                  <c:v>Dec-12</c:v>
                </c:pt>
                <c:pt idx="110">
                  <c:v>Jan-13</c:v>
                </c:pt>
                <c:pt idx="111">
                  <c:v>Feb-13</c:v>
                </c:pt>
                <c:pt idx="112">
                  <c:v>Mar-13</c:v>
                </c:pt>
                <c:pt idx="113">
                  <c:v>Apr-13</c:v>
                </c:pt>
                <c:pt idx="114">
                  <c:v>May-13</c:v>
                </c:pt>
                <c:pt idx="115">
                  <c:v>Jun-13</c:v>
                </c:pt>
                <c:pt idx="116">
                  <c:v>Jul-13</c:v>
                </c:pt>
                <c:pt idx="117">
                  <c:v>Aug-13</c:v>
                </c:pt>
                <c:pt idx="118">
                  <c:v>Sep-13</c:v>
                </c:pt>
                <c:pt idx="119">
                  <c:v>Oct-13</c:v>
                </c:pt>
                <c:pt idx="120">
                  <c:v>Nov-13</c:v>
                </c:pt>
                <c:pt idx="121">
                  <c:v>Dec-13</c:v>
                </c:pt>
                <c:pt idx="122">
                  <c:v>Jan-14</c:v>
                </c:pt>
                <c:pt idx="123">
                  <c:v>Feb-14</c:v>
                </c:pt>
                <c:pt idx="124">
                  <c:v>Mar-14</c:v>
                </c:pt>
                <c:pt idx="125">
                  <c:v>Apr-14</c:v>
                </c:pt>
              </c:strCache>
            </c:strRef>
          </c:cat>
          <c:val>
            <c:numRef>
              <c:f>'Pivot selected'!$F$5:$F$131</c:f>
              <c:numCache>
                <c:formatCode>#,##0</c:formatCode>
                <c:ptCount val="126"/>
                <c:pt idx="0">
                  <c:v>2059</c:v>
                </c:pt>
                <c:pt idx="1">
                  <c:v>10139</c:v>
                </c:pt>
                <c:pt idx="2">
                  <c:v>7727</c:v>
                </c:pt>
                <c:pt idx="3">
                  <c:v>10629</c:v>
                </c:pt>
                <c:pt idx="4">
                  <c:v>14146</c:v>
                </c:pt>
                <c:pt idx="5">
                  <c:v>15208</c:v>
                </c:pt>
                <c:pt idx="6">
                  <c:v>16536</c:v>
                </c:pt>
                <c:pt idx="7">
                  <c:v>18073</c:v>
                </c:pt>
                <c:pt idx="8">
                  <c:v>19206</c:v>
                </c:pt>
                <c:pt idx="9">
                  <c:v>19794</c:v>
                </c:pt>
                <c:pt idx="10">
                  <c:v>20203</c:v>
                </c:pt>
                <c:pt idx="11">
                  <c:v>20335</c:v>
                </c:pt>
                <c:pt idx="12">
                  <c:v>21776</c:v>
                </c:pt>
                <c:pt idx="13">
                  <c:v>27256</c:v>
                </c:pt>
                <c:pt idx="14">
                  <c:v>16024</c:v>
                </c:pt>
                <c:pt idx="15">
                  <c:v>19668</c:v>
                </c:pt>
                <c:pt idx="16">
                  <c:v>23091</c:v>
                </c:pt>
                <c:pt idx="17">
                  <c:v>24578</c:v>
                </c:pt>
                <c:pt idx="18">
                  <c:v>27426</c:v>
                </c:pt>
                <c:pt idx="19">
                  <c:v>28666</c:v>
                </c:pt>
                <c:pt idx="20">
                  <c:v>30349</c:v>
                </c:pt>
                <c:pt idx="21">
                  <c:v>33786</c:v>
                </c:pt>
                <c:pt idx="22">
                  <c:v>34591</c:v>
                </c:pt>
                <c:pt idx="23">
                  <c:v>36564</c:v>
                </c:pt>
                <c:pt idx="24">
                  <c:v>39326</c:v>
                </c:pt>
                <c:pt idx="25">
                  <c:v>49167</c:v>
                </c:pt>
                <c:pt idx="26">
                  <c:v>30228</c:v>
                </c:pt>
                <c:pt idx="27">
                  <c:v>36124</c:v>
                </c:pt>
                <c:pt idx="28">
                  <c:v>43373</c:v>
                </c:pt>
                <c:pt idx="29">
                  <c:v>41550</c:v>
                </c:pt>
                <c:pt idx="30">
                  <c:v>47543</c:v>
                </c:pt>
                <c:pt idx="31">
                  <c:v>47603</c:v>
                </c:pt>
                <c:pt idx="32">
                  <c:v>48493</c:v>
                </c:pt>
                <c:pt idx="33">
                  <c:v>52465</c:v>
                </c:pt>
                <c:pt idx="34">
                  <c:v>52611</c:v>
                </c:pt>
                <c:pt idx="35">
                  <c:v>55811</c:v>
                </c:pt>
                <c:pt idx="36">
                  <c:v>58907</c:v>
                </c:pt>
                <c:pt idx="37">
                  <c:v>67947</c:v>
                </c:pt>
                <c:pt idx="38">
                  <c:v>47658</c:v>
                </c:pt>
                <c:pt idx="39">
                  <c:v>51985</c:v>
                </c:pt>
                <c:pt idx="40">
                  <c:v>59843</c:v>
                </c:pt>
                <c:pt idx="41">
                  <c:v>56965</c:v>
                </c:pt>
                <c:pt idx="42">
                  <c:v>61384</c:v>
                </c:pt>
                <c:pt idx="43">
                  <c:v>55991</c:v>
                </c:pt>
                <c:pt idx="44">
                  <c:v>57016</c:v>
                </c:pt>
                <c:pt idx="45">
                  <c:v>57209</c:v>
                </c:pt>
                <c:pt idx="46">
                  <c:v>52908</c:v>
                </c:pt>
                <c:pt idx="47">
                  <c:v>57444</c:v>
                </c:pt>
                <c:pt idx="48">
                  <c:v>57664</c:v>
                </c:pt>
                <c:pt idx="49">
                  <c:v>63734</c:v>
                </c:pt>
                <c:pt idx="50">
                  <c:v>43989</c:v>
                </c:pt>
                <c:pt idx="51">
                  <c:v>49702</c:v>
                </c:pt>
                <c:pt idx="52">
                  <c:v>52469</c:v>
                </c:pt>
                <c:pt idx="53">
                  <c:v>53504</c:v>
                </c:pt>
                <c:pt idx="54">
                  <c:v>56402</c:v>
                </c:pt>
                <c:pt idx="55">
                  <c:v>52943</c:v>
                </c:pt>
                <c:pt idx="56">
                  <c:v>55772</c:v>
                </c:pt>
                <c:pt idx="57">
                  <c:v>53521</c:v>
                </c:pt>
                <c:pt idx="58">
                  <c:v>52527</c:v>
                </c:pt>
                <c:pt idx="59">
                  <c:v>53944</c:v>
                </c:pt>
                <c:pt idx="60">
                  <c:v>50140</c:v>
                </c:pt>
                <c:pt idx="61">
                  <c:v>62386</c:v>
                </c:pt>
                <c:pt idx="62">
                  <c:v>38862</c:v>
                </c:pt>
                <c:pt idx="63">
                  <c:v>43158</c:v>
                </c:pt>
                <c:pt idx="64">
                  <c:v>48977</c:v>
                </c:pt>
                <c:pt idx="65">
                  <c:v>48587</c:v>
                </c:pt>
                <c:pt idx="66">
                  <c:v>49535</c:v>
                </c:pt>
                <c:pt idx="67">
                  <c:v>48903</c:v>
                </c:pt>
                <c:pt idx="68">
                  <c:v>50756</c:v>
                </c:pt>
                <c:pt idx="69">
                  <c:v>49334</c:v>
                </c:pt>
                <c:pt idx="70">
                  <c:v>49647</c:v>
                </c:pt>
                <c:pt idx="71">
                  <c:v>51953</c:v>
                </c:pt>
                <c:pt idx="72">
                  <c:v>50656</c:v>
                </c:pt>
                <c:pt idx="73">
                  <c:v>61710</c:v>
                </c:pt>
                <c:pt idx="74">
                  <c:v>38363</c:v>
                </c:pt>
                <c:pt idx="75">
                  <c:v>43413</c:v>
                </c:pt>
                <c:pt idx="76">
                  <c:v>50617</c:v>
                </c:pt>
                <c:pt idx="77">
                  <c:v>47506</c:v>
                </c:pt>
                <c:pt idx="78">
                  <c:v>48976</c:v>
                </c:pt>
                <c:pt idx="79">
                  <c:v>48169</c:v>
                </c:pt>
                <c:pt idx="80">
                  <c:v>48925</c:v>
                </c:pt>
                <c:pt idx="81">
                  <c:v>47887</c:v>
                </c:pt>
                <c:pt idx="82">
                  <c:v>47299</c:v>
                </c:pt>
                <c:pt idx="83">
                  <c:v>47114</c:v>
                </c:pt>
                <c:pt idx="84">
                  <c:v>47717</c:v>
                </c:pt>
                <c:pt idx="85">
                  <c:v>56095</c:v>
                </c:pt>
                <c:pt idx="86">
                  <c:v>34773</c:v>
                </c:pt>
                <c:pt idx="87">
                  <c:v>38507</c:v>
                </c:pt>
                <c:pt idx="88">
                  <c:v>44379</c:v>
                </c:pt>
                <c:pt idx="89">
                  <c:v>41812</c:v>
                </c:pt>
                <c:pt idx="90">
                  <c:v>43863</c:v>
                </c:pt>
                <c:pt idx="91">
                  <c:v>42329</c:v>
                </c:pt>
                <c:pt idx="92">
                  <c:v>41090</c:v>
                </c:pt>
                <c:pt idx="93">
                  <c:v>41282</c:v>
                </c:pt>
                <c:pt idx="94">
                  <c:v>39355</c:v>
                </c:pt>
                <c:pt idx="95">
                  <c:v>39001</c:v>
                </c:pt>
                <c:pt idx="96">
                  <c:v>38905</c:v>
                </c:pt>
                <c:pt idx="97">
                  <c:v>44794</c:v>
                </c:pt>
                <c:pt idx="98">
                  <c:v>27672</c:v>
                </c:pt>
                <c:pt idx="99">
                  <c:v>31532</c:v>
                </c:pt>
                <c:pt idx="100">
                  <c:v>34599</c:v>
                </c:pt>
                <c:pt idx="101">
                  <c:v>31305</c:v>
                </c:pt>
                <c:pt idx="102">
                  <c:v>34172</c:v>
                </c:pt>
                <c:pt idx="103">
                  <c:v>31574</c:v>
                </c:pt>
                <c:pt idx="104">
                  <c:v>31200</c:v>
                </c:pt>
                <c:pt idx="105">
                  <c:v>32085</c:v>
                </c:pt>
                <c:pt idx="106">
                  <c:v>29096</c:v>
                </c:pt>
                <c:pt idx="107">
                  <c:v>31289</c:v>
                </c:pt>
                <c:pt idx="108">
                  <c:v>30893</c:v>
                </c:pt>
                <c:pt idx="109">
                  <c:v>35099</c:v>
                </c:pt>
                <c:pt idx="110">
                  <c:v>22476</c:v>
                </c:pt>
                <c:pt idx="111">
                  <c:v>24014</c:v>
                </c:pt>
                <c:pt idx="112">
                  <c:v>26010</c:v>
                </c:pt>
                <c:pt idx="113">
                  <c:v>26065</c:v>
                </c:pt>
                <c:pt idx="114">
                  <c:v>26411</c:v>
                </c:pt>
                <c:pt idx="115">
                  <c:v>23101</c:v>
                </c:pt>
                <c:pt idx="116">
                  <c:v>23872</c:v>
                </c:pt>
                <c:pt idx="117">
                  <c:v>23550</c:v>
                </c:pt>
                <c:pt idx="118">
                  <c:v>21640</c:v>
                </c:pt>
                <c:pt idx="119">
                  <c:v>23072</c:v>
                </c:pt>
                <c:pt idx="120">
                  <c:v>22252</c:v>
                </c:pt>
                <c:pt idx="121">
                  <c:v>26065</c:v>
                </c:pt>
                <c:pt idx="122">
                  <c:v>16321</c:v>
                </c:pt>
                <c:pt idx="123">
                  <c:v>17380</c:v>
                </c:pt>
                <c:pt idx="124">
                  <c:v>19400</c:v>
                </c:pt>
                <c:pt idx="125">
                  <c:v>18055</c:v>
                </c:pt>
              </c:numCache>
            </c:numRef>
          </c:val>
          <c:smooth val="0"/>
        </c:ser>
        <c:dLbls>
          <c:showLegendKey val="0"/>
          <c:showVal val="0"/>
          <c:showCatName val="0"/>
          <c:showSerName val="0"/>
          <c:showPercent val="0"/>
          <c:showBubbleSize val="0"/>
        </c:dLbls>
        <c:marker val="1"/>
        <c:smooth val="0"/>
        <c:axId val="329861376"/>
        <c:axId val="333275520"/>
      </c:lineChart>
      <c:catAx>
        <c:axId val="329861376"/>
        <c:scaling>
          <c:orientation val="minMax"/>
        </c:scaling>
        <c:delete val="0"/>
        <c:axPos val="b"/>
        <c:title>
          <c:tx>
            <c:rich>
              <a:bodyPr/>
              <a:lstStyle/>
              <a:p>
                <a:pPr>
                  <a:defRPr sz="1200"/>
                </a:pPr>
                <a:r>
                  <a:rPr lang="en-US" sz="1200"/>
                  <a:t>Month of Supply</a:t>
                </a:r>
              </a:p>
            </c:rich>
          </c:tx>
          <c:overlay val="0"/>
        </c:title>
        <c:majorTickMark val="none"/>
        <c:minorTickMark val="none"/>
        <c:tickLblPos val="nextTo"/>
        <c:crossAx val="333275520"/>
        <c:crosses val="autoZero"/>
        <c:auto val="1"/>
        <c:lblAlgn val="ctr"/>
        <c:lblOffset val="100"/>
        <c:noMultiLvlLbl val="0"/>
      </c:catAx>
      <c:valAx>
        <c:axId val="333275520"/>
        <c:scaling>
          <c:orientation val="minMax"/>
        </c:scaling>
        <c:delete val="0"/>
        <c:axPos val="l"/>
        <c:title>
          <c:tx>
            <c:rich>
              <a:bodyPr rot="-5400000" vert="horz"/>
              <a:lstStyle/>
              <a:p>
                <a:pPr>
                  <a:defRPr sz="1200"/>
                </a:pPr>
                <a:r>
                  <a:rPr lang="en-US" sz="1200"/>
                  <a:t>Number of Prescriptions</a:t>
                </a:r>
              </a:p>
            </c:rich>
          </c:tx>
          <c:overlay val="0"/>
        </c:title>
        <c:numFmt formatCode="General" sourceLinked="1"/>
        <c:majorTickMark val="none"/>
        <c:minorTickMark val="none"/>
        <c:tickLblPos val="nextTo"/>
        <c:crossAx val="329861376"/>
        <c:crosses val="autoZero"/>
        <c:crossBetween val="between"/>
      </c:valAx>
    </c:plotArea>
    <c:legend>
      <c:legendPos val="b"/>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AU"/>
  <c:roundedCorners val="0"/>
  <mc:AlternateContent xmlns:mc="http://schemas.openxmlformats.org/markup-compatibility/2006">
    <mc:Choice xmlns:c14="http://schemas.microsoft.com/office/drawing/2007/8/2/chart" Requires="c14">
      <c14:style val="102"/>
    </mc:Choice>
    <mc:Fallback>
      <c:style val="2"/>
    </mc:Fallback>
  </mc:AlternateContent>
  <c:pivotSource>
    <c:name>[Diabetes graphs 2000-2014 - without private.xlsx]Pivot annual!PivotTable5</c:name>
    <c:fmtId val="-1"/>
  </c:pivotSource>
  <c:chart>
    <c:autoTitleDeleted val="0"/>
    <c:pivotFmts>
      <c:pivotFmt>
        <c:idx val="0"/>
        <c:marker>
          <c:symbol val="none"/>
        </c:marker>
      </c:pivotFmt>
      <c:pivotFmt>
        <c:idx val="1"/>
        <c:marker>
          <c:symbol val="none"/>
        </c:marker>
      </c:pivotFmt>
      <c:pivotFmt>
        <c:idx val="2"/>
        <c:marker>
          <c:symbol val="none"/>
        </c:marker>
      </c:pivotFmt>
      <c:pivotFmt>
        <c:idx val="3"/>
        <c:marker>
          <c:symbol val="none"/>
        </c:marker>
      </c:pivotFmt>
      <c:pivotFmt>
        <c:idx val="4"/>
        <c:marker>
          <c:symbol val="none"/>
        </c:marker>
      </c:pivotFmt>
      <c:pivotFmt>
        <c:idx val="5"/>
        <c:marker>
          <c:symbol val="none"/>
        </c:marker>
      </c:pivotFmt>
      <c:pivotFmt>
        <c:idx val="6"/>
        <c:marker>
          <c:symbol val="none"/>
        </c:marker>
      </c:pivotFmt>
      <c:pivotFmt>
        <c:idx val="7"/>
        <c:marker>
          <c:symbol val="none"/>
        </c:marker>
      </c:pivotFmt>
      <c:pivotFmt>
        <c:idx val="8"/>
        <c:marker>
          <c:symbol val="none"/>
        </c:marker>
      </c:pivotFmt>
      <c:pivotFmt>
        <c:idx val="9"/>
        <c:marker>
          <c:symbol val="none"/>
        </c:marker>
      </c:pivotFmt>
      <c:pivotFmt>
        <c:idx val="10"/>
        <c:marker>
          <c:symbol val="none"/>
        </c:marker>
      </c:pivotFmt>
      <c:pivotFmt>
        <c:idx val="11"/>
        <c:marker>
          <c:symbol val="none"/>
        </c:marker>
      </c:pivotFmt>
      <c:pivotFmt>
        <c:idx val="12"/>
        <c:marker>
          <c:symbol val="none"/>
        </c:marker>
      </c:pivotFmt>
      <c:pivotFmt>
        <c:idx val="13"/>
        <c:marker>
          <c:symbol val="none"/>
        </c:marker>
      </c:pivotFmt>
      <c:pivotFmt>
        <c:idx val="14"/>
        <c:marker>
          <c:symbol val="none"/>
        </c:marker>
      </c:pivotFmt>
      <c:pivotFmt>
        <c:idx val="15"/>
        <c:marker>
          <c:symbol val="none"/>
        </c:marker>
      </c:pivotFmt>
      <c:pivotFmt>
        <c:idx val="16"/>
        <c:marker>
          <c:symbol val="none"/>
        </c:marker>
      </c:pivotFmt>
      <c:pivotFmt>
        <c:idx val="17"/>
        <c:marker>
          <c:symbol val="none"/>
        </c:marker>
      </c:pivotFmt>
      <c:pivotFmt>
        <c:idx val="18"/>
        <c:marker>
          <c:symbol val="none"/>
        </c:marker>
      </c:pivotFmt>
      <c:pivotFmt>
        <c:idx val="19"/>
        <c:marker>
          <c:symbol val="none"/>
        </c:marker>
      </c:pivotFmt>
      <c:pivotFmt>
        <c:idx val="20"/>
        <c:marker>
          <c:symbol val="none"/>
        </c:marker>
      </c:pivotFmt>
      <c:pivotFmt>
        <c:idx val="21"/>
        <c:marker>
          <c:symbol val="none"/>
        </c:marker>
      </c:pivotFmt>
      <c:pivotFmt>
        <c:idx val="22"/>
        <c:marker>
          <c:symbol val="none"/>
        </c:marker>
      </c:pivotFmt>
      <c:pivotFmt>
        <c:idx val="23"/>
        <c:marker>
          <c:symbol val="none"/>
        </c:marker>
      </c:pivotFmt>
      <c:pivotFmt>
        <c:idx val="24"/>
        <c:marker>
          <c:symbol val="none"/>
        </c:marker>
      </c:pivotFmt>
      <c:pivotFmt>
        <c:idx val="25"/>
        <c:marker>
          <c:symbol val="none"/>
        </c:marker>
      </c:pivotFmt>
      <c:pivotFmt>
        <c:idx val="26"/>
        <c:marker>
          <c:symbol val="none"/>
        </c:marker>
      </c:pivotFmt>
      <c:pivotFmt>
        <c:idx val="27"/>
        <c:marker>
          <c:symbol val="none"/>
        </c:marker>
      </c:pivotFmt>
      <c:pivotFmt>
        <c:idx val="28"/>
        <c:marker>
          <c:symbol val="none"/>
        </c:marker>
      </c:pivotFmt>
      <c:pivotFmt>
        <c:idx val="29"/>
        <c:marker>
          <c:symbol val="none"/>
        </c:marker>
      </c:pivotFmt>
      <c:pivotFmt>
        <c:idx val="30"/>
        <c:marker>
          <c:symbol val="none"/>
        </c:marker>
      </c:pivotFmt>
      <c:pivotFmt>
        <c:idx val="31"/>
        <c:marker>
          <c:symbol val="none"/>
        </c:marker>
      </c:pivotFmt>
      <c:pivotFmt>
        <c:idx val="32"/>
        <c:marker>
          <c:symbol val="none"/>
        </c:marker>
      </c:pivotFmt>
      <c:pivotFmt>
        <c:idx val="33"/>
        <c:marker>
          <c:symbol val="none"/>
        </c:marker>
      </c:pivotFmt>
      <c:pivotFmt>
        <c:idx val="34"/>
        <c:marker>
          <c:symbol val="none"/>
        </c:marker>
      </c:pivotFmt>
      <c:pivotFmt>
        <c:idx val="35"/>
        <c:marker>
          <c:symbol val="none"/>
        </c:marker>
      </c:pivotFmt>
      <c:pivotFmt>
        <c:idx val="36"/>
        <c:marker>
          <c:symbol val="none"/>
        </c:marker>
      </c:pivotFmt>
      <c:pivotFmt>
        <c:idx val="37"/>
        <c:marker>
          <c:symbol val="none"/>
        </c:marker>
      </c:pivotFmt>
      <c:pivotFmt>
        <c:idx val="38"/>
        <c:marker>
          <c:symbol val="none"/>
        </c:marker>
      </c:pivotFmt>
      <c:pivotFmt>
        <c:idx val="39"/>
        <c:marker>
          <c:symbol val="none"/>
        </c:marker>
      </c:pivotFmt>
      <c:pivotFmt>
        <c:idx val="40"/>
        <c:marker>
          <c:symbol val="none"/>
        </c:marker>
      </c:pivotFmt>
      <c:pivotFmt>
        <c:idx val="41"/>
        <c:marker>
          <c:symbol val="none"/>
        </c:marker>
      </c:pivotFmt>
      <c:pivotFmt>
        <c:idx val="42"/>
        <c:marker>
          <c:symbol val="none"/>
        </c:marker>
      </c:pivotFmt>
      <c:pivotFmt>
        <c:idx val="43"/>
        <c:marker>
          <c:symbol val="none"/>
        </c:marker>
      </c:pivotFmt>
      <c:pivotFmt>
        <c:idx val="44"/>
        <c:marker>
          <c:symbol val="none"/>
        </c:marker>
      </c:pivotFmt>
      <c:pivotFmt>
        <c:idx val="45"/>
        <c:marker>
          <c:symbol val="none"/>
        </c:marker>
      </c:pivotFmt>
      <c:pivotFmt>
        <c:idx val="46"/>
        <c:marker>
          <c:symbol val="none"/>
        </c:marker>
      </c:pivotFmt>
      <c:pivotFmt>
        <c:idx val="47"/>
        <c:marker>
          <c:symbol val="none"/>
        </c:marker>
      </c:pivotFmt>
      <c:pivotFmt>
        <c:idx val="48"/>
        <c:marker>
          <c:symbol val="none"/>
        </c:marker>
      </c:pivotFmt>
      <c:pivotFmt>
        <c:idx val="49"/>
        <c:marker>
          <c:symbol val="none"/>
        </c:marker>
      </c:pivotFmt>
      <c:pivotFmt>
        <c:idx val="50"/>
        <c:marker>
          <c:symbol val="none"/>
        </c:marker>
      </c:pivotFmt>
      <c:pivotFmt>
        <c:idx val="51"/>
        <c:marker>
          <c:symbol val="none"/>
        </c:marker>
      </c:pivotFmt>
      <c:pivotFmt>
        <c:idx val="52"/>
        <c:marker>
          <c:symbol val="none"/>
        </c:marker>
      </c:pivotFmt>
      <c:pivotFmt>
        <c:idx val="53"/>
        <c:marker>
          <c:symbol val="none"/>
        </c:marker>
      </c:pivotFmt>
      <c:pivotFmt>
        <c:idx val="54"/>
        <c:marker>
          <c:symbol val="none"/>
        </c:marker>
      </c:pivotFmt>
      <c:pivotFmt>
        <c:idx val="55"/>
        <c:marker>
          <c:symbol val="none"/>
        </c:marker>
      </c:pivotFmt>
      <c:pivotFmt>
        <c:idx val="56"/>
        <c:marker>
          <c:symbol val="none"/>
        </c:marker>
      </c:pivotFmt>
      <c:pivotFmt>
        <c:idx val="57"/>
        <c:marker>
          <c:symbol val="none"/>
        </c:marker>
      </c:pivotFmt>
      <c:pivotFmt>
        <c:idx val="58"/>
        <c:marker>
          <c:symbol val="none"/>
        </c:marker>
      </c:pivotFmt>
      <c:pivotFmt>
        <c:idx val="59"/>
        <c:marker>
          <c:symbol val="none"/>
        </c:marker>
      </c:pivotFmt>
      <c:pivotFmt>
        <c:idx val="60"/>
        <c:marker>
          <c:symbol val="none"/>
        </c:marker>
      </c:pivotFmt>
      <c:pivotFmt>
        <c:idx val="61"/>
        <c:marker>
          <c:symbol val="none"/>
        </c:marker>
      </c:pivotFmt>
      <c:pivotFmt>
        <c:idx val="62"/>
        <c:marker>
          <c:symbol val="none"/>
        </c:marker>
      </c:pivotFmt>
      <c:pivotFmt>
        <c:idx val="63"/>
        <c:marker>
          <c:symbol val="none"/>
        </c:marker>
      </c:pivotFmt>
      <c:pivotFmt>
        <c:idx val="64"/>
        <c:marker>
          <c:symbol val="none"/>
        </c:marker>
      </c:pivotFmt>
      <c:pivotFmt>
        <c:idx val="65"/>
        <c:marker>
          <c:symbol val="none"/>
        </c:marker>
      </c:pivotFmt>
      <c:pivotFmt>
        <c:idx val="66"/>
        <c:marker>
          <c:symbol val="none"/>
        </c:marker>
      </c:pivotFmt>
      <c:pivotFmt>
        <c:idx val="67"/>
        <c:marker>
          <c:symbol val="none"/>
        </c:marker>
      </c:pivotFmt>
      <c:pivotFmt>
        <c:idx val="68"/>
        <c:marker>
          <c:symbol val="none"/>
        </c:marker>
      </c:pivotFmt>
      <c:pivotFmt>
        <c:idx val="69"/>
        <c:marker>
          <c:symbol val="none"/>
        </c:marker>
      </c:pivotFmt>
    </c:pivotFmts>
    <c:plotArea>
      <c:layout/>
      <c:barChart>
        <c:barDir val="col"/>
        <c:grouping val="stacked"/>
        <c:varyColors val="0"/>
        <c:ser>
          <c:idx val="0"/>
          <c:order val="0"/>
          <c:tx>
            <c:strRef>
              <c:f>'Pivot annual'!$B$3:$B$4</c:f>
              <c:strCache>
                <c:ptCount val="1"/>
                <c:pt idx="0">
                  <c:v>Acarbose</c:v>
                </c:pt>
              </c:strCache>
            </c:strRef>
          </c:tx>
          <c:invertIfNegative val="0"/>
          <c:cat>
            <c:strRef>
              <c:f>'Pivot annual'!$A$5:$A$17</c:f>
              <c:strCach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strCache>
            </c:strRef>
          </c:cat>
          <c:val>
            <c:numRef>
              <c:f>'Pivot annual'!$B$5:$B$17</c:f>
              <c:numCache>
                <c:formatCode>General</c:formatCode>
                <c:ptCount val="12"/>
                <c:pt idx="0">
                  <c:v>2447838.91</c:v>
                </c:pt>
                <c:pt idx="1">
                  <c:v>2380903.91</c:v>
                </c:pt>
                <c:pt idx="2">
                  <c:v>2202419.7200000002</c:v>
                </c:pt>
                <c:pt idx="3">
                  <c:v>1920573.4499999997</c:v>
                </c:pt>
                <c:pt idx="4">
                  <c:v>1727171.7100000002</c:v>
                </c:pt>
                <c:pt idx="5">
                  <c:v>1601421.1400000004</c:v>
                </c:pt>
                <c:pt idx="6">
                  <c:v>1604554.41</c:v>
                </c:pt>
                <c:pt idx="7">
                  <c:v>1561290.2100000004</c:v>
                </c:pt>
                <c:pt idx="8">
                  <c:v>1519544.58</c:v>
                </c:pt>
                <c:pt idx="9">
                  <c:v>1524883.6699999995</c:v>
                </c:pt>
                <c:pt idx="10">
                  <c:v>1716131.4</c:v>
                </c:pt>
                <c:pt idx="11">
                  <c:v>1698240.4300000002</c:v>
                </c:pt>
              </c:numCache>
            </c:numRef>
          </c:val>
        </c:ser>
        <c:ser>
          <c:idx val="1"/>
          <c:order val="1"/>
          <c:tx>
            <c:strRef>
              <c:f>'Pivot annual'!$C$3:$C$4</c:f>
              <c:strCache>
                <c:ptCount val="1"/>
                <c:pt idx="0">
                  <c:v>Any FDC</c:v>
                </c:pt>
              </c:strCache>
            </c:strRef>
          </c:tx>
          <c:invertIfNegative val="0"/>
          <c:cat>
            <c:strRef>
              <c:f>'Pivot annual'!$A$5:$A$17</c:f>
              <c:strCach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strCache>
            </c:strRef>
          </c:cat>
          <c:val>
            <c:numRef>
              <c:f>'Pivot annual'!$C$5:$C$17</c:f>
              <c:numCache>
                <c:formatCode>General</c:formatCode>
                <c:ptCount val="12"/>
                <c:pt idx="3">
                  <c:v>324468.49000000011</c:v>
                </c:pt>
                <c:pt idx="4">
                  <c:v>964963.1399999999</c:v>
                </c:pt>
                <c:pt idx="5">
                  <c:v>7908587.2499999981</c:v>
                </c:pt>
                <c:pt idx="6">
                  <c:v>10443946.600000007</c:v>
                </c:pt>
                <c:pt idx="7">
                  <c:v>7432592.8699999955</c:v>
                </c:pt>
                <c:pt idx="8">
                  <c:v>14942613.19999999</c:v>
                </c:pt>
                <c:pt idx="9">
                  <c:v>29799997.690000013</c:v>
                </c:pt>
                <c:pt idx="10">
                  <c:v>50111666.149999961</c:v>
                </c:pt>
                <c:pt idx="11">
                  <c:v>66112639.670000002</c:v>
                </c:pt>
              </c:numCache>
            </c:numRef>
          </c:val>
        </c:ser>
        <c:ser>
          <c:idx val="2"/>
          <c:order val="2"/>
          <c:tx>
            <c:strRef>
              <c:f>'Pivot annual'!$D$3:$D$4</c:f>
              <c:strCache>
                <c:ptCount val="1"/>
                <c:pt idx="0">
                  <c:v>DPP-4 inhibitors</c:v>
                </c:pt>
              </c:strCache>
            </c:strRef>
          </c:tx>
          <c:invertIfNegative val="0"/>
          <c:cat>
            <c:strRef>
              <c:f>'Pivot annual'!$A$5:$A$17</c:f>
              <c:strCach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strCache>
            </c:strRef>
          </c:cat>
          <c:val>
            <c:numRef>
              <c:f>'Pivot annual'!$D$5:$D$17</c:f>
              <c:numCache>
                <c:formatCode>General</c:formatCode>
                <c:ptCount val="12"/>
                <c:pt idx="6">
                  <c:v>3559313.6799999997</c:v>
                </c:pt>
                <c:pt idx="7">
                  <c:v>16926948.949999996</c:v>
                </c:pt>
                <c:pt idx="8">
                  <c:v>24563299.620000001</c:v>
                </c:pt>
                <c:pt idx="9">
                  <c:v>34471851.650000006</c:v>
                </c:pt>
                <c:pt idx="10">
                  <c:v>45030343.05999998</c:v>
                </c:pt>
                <c:pt idx="11">
                  <c:v>57084995.129999965</c:v>
                </c:pt>
              </c:numCache>
            </c:numRef>
          </c:val>
        </c:ser>
        <c:ser>
          <c:idx val="3"/>
          <c:order val="3"/>
          <c:tx>
            <c:strRef>
              <c:f>'Pivot annual'!$E$3:$E$4</c:f>
              <c:strCache>
                <c:ptCount val="1"/>
                <c:pt idx="0">
                  <c:v>Exenatide</c:v>
                </c:pt>
              </c:strCache>
            </c:strRef>
          </c:tx>
          <c:invertIfNegative val="0"/>
          <c:cat>
            <c:strRef>
              <c:f>'Pivot annual'!$A$5:$A$17</c:f>
              <c:strCach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strCache>
            </c:strRef>
          </c:cat>
          <c:val>
            <c:numRef>
              <c:f>'Pivot annual'!$E$5:$E$17</c:f>
              <c:numCache>
                <c:formatCode>General</c:formatCode>
                <c:ptCount val="12"/>
                <c:pt idx="8">
                  <c:v>1495999</c:v>
                </c:pt>
                <c:pt idx="9">
                  <c:v>8949773.7100000009</c:v>
                </c:pt>
                <c:pt idx="10">
                  <c:v>16472361.109999998</c:v>
                </c:pt>
                <c:pt idx="11">
                  <c:v>22844395.93</c:v>
                </c:pt>
              </c:numCache>
            </c:numRef>
          </c:val>
        </c:ser>
        <c:ser>
          <c:idx val="4"/>
          <c:order val="4"/>
          <c:tx>
            <c:strRef>
              <c:f>'Pivot annual'!$F$3:$F$4</c:f>
              <c:strCache>
                <c:ptCount val="1"/>
                <c:pt idx="0">
                  <c:v>Insulins</c:v>
                </c:pt>
              </c:strCache>
            </c:strRef>
          </c:tx>
          <c:invertIfNegative val="0"/>
          <c:cat>
            <c:strRef>
              <c:f>'Pivot annual'!$A$5:$A$17</c:f>
              <c:strCach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strCache>
            </c:strRef>
          </c:cat>
          <c:val>
            <c:numRef>
              <c:f>'Pivot annual'!$F$5:$F$17</c:f>
              <c:numCache>
                <c:formatCode>General</c:formatCode>
                <c:ptCount val="12"/>
                <c:pt idx="0">
                  <c:v>102927542.86999995</c:v>
                </c:pt>
                <c:pt idx="1">
                  <c:v>109210563.74999999</c:v>
                </c:pt>
                <c:pt idx="2">
                  <c:v>117611400.47999991</c:v>
                </c:pt>
                <c:pt idx="3">
                  <c:v>122392480.73000005</c:v>
                </c:pt>
                <c:pt idx="4">
                  <c:v>135528179.97999996</c:v>
                </c:pt>
                <c:pt idx="5">
                  <c:v>167823983.96000001</c:v>
                </c:pt>
                <c:pt idx="6">
                  <c:v>191963011.80999997</c:v>
                </c:pt>
                <c:pt idx="7">
                  <c:v>212371269.20000005</c:v>
                </c:pt>
                <c:pt idx="8">
                  <c:v>232772877.77000001</c:v>
                </c:pt>
                <c:pt idx="9">
                  <c:v>252090827.58000001</c:v>
                </c:pt>
                <c:pt idx="10">
                  <c:v>270225685.04000008</c:v>
                </c:pt>
                <c:pt idx="11">
                  <c:v>288311856.96000004</c:v>
                </c:pt>
              </c:numCache>
            </c:numRef>
          </c:val>
        </c:ser>
        <c:ser>
          <c:idx val="5"/>
          <c:order val="5"/>
          <c:tx>
            <c:strRef>
              <c:f>'Pivot annual'!$G$3:$G$4</c:f>
              <c:strCache>
                <c:ptCount val="1"/>
                <c:pt idx="0">
                  <c:v>Metformin</c:v>
                </c:pt>
              </c:strCache>
            </c:strRef>
          </c:tx>
          <c:invertIfNegative val="0"/>
          <c:cat>
            <c:strRef>
              <c:f>'Pivot annual'!$A$5:$A$17</c:f>
              <c:strCach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strCache>
            </c:strRef>
          </c:cat>
          <c:val>
            <c:numRef>
              <c:f>'Pivot annual'!$G$5:$G$17</c:f>
              <c:numCache>
                <c:formatCode>General</c:formatCode>
                <c:ptCount val="12"/>
                <c:pt idx="0">
                  <c:v>30000955.339999992</c:v>
                </c:pt>
                <c:pt idx="1">
                  <c:v>32087506.350000005</c:v>
                </c:pt>
                <c:pt idx="2">
                  <c:v>35660154.870000005</c:v>
                </c:pt>
                <c:pt idx="3">
                  <c:v>35457562.249999993</c:v>
                </c:pt>
                <c:pt idx="4">
                  <c:v>33054029.510000002</c:v>
                </c:pt>
                <c:pt idx="5">
                  <c:v>34564841.619999997</c:v>
                </c:pt>
                <c:pt idx="6">
                  <c:v>34886098.519999996</c:v>
                </c:pt>
                <c:pt idx="7">
                  <c:v>35835846.25</c:v>
                </c:pt>
                <c:pt idx="8">
                  <c:v>38861725.95000001</c:v>
                </c:pt>
                <c:pt idx="9">
                  <c:v>38554121.729999997</c:v>
                </c:pt>
                <c:pt idx="10">
                  <c:v>34958401.68</c:v>
                </c:pt>
                <c:pt idx="11">
                  <c:v>32870268.119999994</c:v>
                </c:pt>
              </c:numCache>
            </c:numRef>
          </c:val>
        </c:ser>
        <c:ser>
          <c:idx val="6"/>
          <c:order val="6"/>
          <c:tx>
            <c:strRef>
              <c:f>'Pivot annual'!$H$3:$H$4</c:f>
              <c:strCache>
                <c:ptCount val="1"/>
                <c:pt idx="0">
                  <c:v>Sulfonylureas</c:v>
                </c:pt>
              </c:strCache>
            </c:strRef>
          </c:tx>
          <c:invertIfNegative val="0"/>
          <c:cat>
            <c:strRef>
              <c:f>'Pivot annual'!$A$5:$A$17</c:f>
              <c:strCach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strCache>
            </c:strRef>
          </c:cat>
          <c:val>
            <c:numRef>
              <c:f>'Pivot annual'!$H$5:$H$17</c:f>
              <c:numCache>
                <c:formatCode>General</c:formatCode>
                <c:ptCount val="12"/>
                <c:pt idx="0">
                  <c:v>21679603.640000015</c:v>
                </c:pt>
                <c:pt idx="1">
                  <c:v>21776379.339999996</c:v>
                </c:pt>
                <c:pt idx="2">
                  <c:v>22818036.290000003</c:v>
                </c:pt>
                <c:pt idx="3">
                  <c:v>22197776.649999999</c:v>
                </c:pt>
                <c:pt idx="4">
                  <c:v>20432454.100000005</c:v>
                </c:pt>
                <c:pt idx="5">
                  <c:v>20487612.210000001</c:v>
                </c:pt>
                <c:pt idx="6">
                  <c:v>20033314.800000019</c:v>
                </c:pt>
                <c:pt idx="7">
                  <c:v>18619863.610000011</c:v>
                </c:pt>
                <c:pt idx="8">
                  <c:v>19406815.68</c:v>
                </c:pt>
                <c:pt idx="9">
                  <c:v>18783905.65000001</c:v>
                </c:pt>
                <c:pt idx="10">
                  <c:v>17922293.499999989</c:v>
                </c:pt>
                <c:pt idx="11">
                  <c:v>17457456.079999998</c:v>
                </c:pt>
              </c:numCache>
            </c:numRef>
          </c:val>
        </c:ser>
        <c:ser>
          <c:idx val="7"/>
          <c:order val="7"/>
          <c:tx>
            <c:strRef>
              <c:f>'Pivot annual'!$I$3:$I$4</c:f>
              <c:strCache>
                <c:ptCount val="1"/>
                <c:pt idx="0">
                  <c:v>TZDs</c:v>
                </c:pt>
              </c:strCache>
            </c:strRef>
          </c:tx>
          <c:invertIfNegative val="0"/>
          <c:cat>
            <c:strRef>
              <c:f>'Pivot annual'!$A$5:$A$17</c:f>
              <c:strCache>
                <c:ptCount val="12"/>
                <c:pt idx="0">
                  <c:v>2002</c:v>
                </c:pt>
                <c:pt idx="1">
                  <c:v>2003</c:v>
                </c:pt>
                <c:pt idx="2">
                  <c:v>2004</c:v>
                </c:pt>
                <c:pt idx="3">
                  <c:v>2005</c:v>
                </c:pt>
                <c:pt idx="4">
                  <c:v>2006</c:v>
                </c:pt>
                <c:pt idx="5">
                  <c:v>2007</c:v>
                </c:pt>
                <c:pt idx="6">
                  <c:v>2008</c:v>
                </c:pt>
                <c:pt idx="7">
                  <c:v>2009</c:v>
                </c:pt>
                <c:pt idx="8">
                  <c:v>2010</c:v>
                </c:pt>
                <c:pt idx="9">
                  <c:v>2011</c:v>
                </c:pt>
                <c:pt idx="10">
                  <c:v>2012</c:v>
                </c:pt>
                <c:pt idx="11">
                  <c:v>2013</c:v>
                </c:pt>
              </c:strCache>
            </c:strRef>
          </c:cat>
          <c:val>
            <c:numRef>
              <c:f>'Pivot annual'!$I$5:$I$17</c:f>
              <c:numCache>
                <c:formatCode>General</c:formatCode>
                <c:ptCount val="12"/>
                <c:pt idx="1">
                  <c:v>918377.76000000024</c:v>
                </c:pt>
                <c:pt idx="2">
                  <c:v>16534155.219999995</c:v>
                </c:pt>
                <c:pt idx="3">
                  <c:v>28165746.93</c:v>
                </c:pt>
                <c:pt idx="4">
                  <c:v>42228656.749999993</c:v>
                </c:pt>
                <c:pt idx="5">
                  <c:v>48573142.869999997</c:v>
                </c:pt>
                <c:pt idx="6">
                  <c:v>47298004.180000007</c:v>
                </c:pt>
                <c:pt idx="7">
                  <c:v>46540166.029999986</c:v>
                </c:pt>
                <c:pt idx="8">
                  <c:v>46051460.149999991</c:v>
                </c:pt>
                <c:pt idx="9">
                  <c:v>35263562.199999996</c:v>
                </c:pt>
                <c:pt idx="10">
                  <c:v>25678965.890000001</c:v>
                </c:pt>
                <c:pt idx="11">
                  <c:v>14295998.780000005</c:v>
                </c:pt>
              </c:numCache>
            </c:numRef>
          </c:val>
        </c:ser>
        <c:dLbls>
          <c:showLegendKey val="0"/>
          <c:showVal val="0"/>
          <c:showCatName val="0"/>
          <c:showSerName val="0"/>
          <c:showPercent val="0"/>
          <c:showBubbleSize val="0"/>
        </c:dLbls>
        <c:gapWidth val="150"/>
        <c:overlap val="100"/>
        <c:axId val="301513344"/>
        <c:axId val="304620288"/>
      </c:barChart>
      <c:catAx>
        <c:axId val="301513344"/>
        <c:scaling>
          <c:orientation val="minMax"/>
        </c:scaling>
        <c:delete val="0"/>
        <c:axPos val="b"/>
        <c:title>
          <c:tx>
            <c:rich>
              <a:bodyPr/>
              <a:lstStyle/>
              <a:p>
                <a:pPr>
                  <a:defRPr/>
                </a:pPr>
                <a:r>
                  <a:rPr lang="en-US"/>
                  <a:t>Year of Supply</a:t>
                </a:r>
              </a:p>
            </c:rich>
          </c:tx>
          <c:overlay val="0"/>
        </c:title>
        <c:majorTickMark val="out"/>
        <c:minorTickMark val="none"/>
        <c:tickLblPos val="nextTo"/>
        <c:crossAx val="304620288"/>
        <c:crosses val="autoZero"/>
        <c:auto val="1"/>
        <c:lblAlgn val="ctr"/>
        <c:lblOffset val="100"/>
        <c:noMultiLvlLbl val="0"/>
      </c:catAx>
      <c:valAx>
        <c:axId val="304620288"/>
        <c:scaling>
          <c:orientation val="minMax"/>
          <c:max val="550000000"/>
          <c:min val="0"/>
        </c:scaling>
        <c:delete val="0"/>
        <c:axPos val="l"/>
        <c:majorGridlines/>
        <c:title>
          <c:tx>
            <c:rich>
              <a:bodyPr rot="-5400000" vert="horz"/>
              <a:lstStyle/>
              <a:p>
                <a:pPr>
                  <a:defRPr/>
                </a:pPr>
                <a:r>
                  <a:rPr lang="en-US"/>
                  <a:t>Benefits paid ($ millions)</a:t>
                </a:r>
              </a:p>
            </c:rich>
          </c:tx>
          <c:overlay val="0"/>
        </c:title>
        <c:numFmt formatCode="#,##0_ ;[Red]\-#,##0\ " sourceLinked="0"/>
        <c:majorTickMark val="out"/>
        <c:minorTickMark val="none"/>
        <c:tickLblPos val="nextTo"/>
        <c:crossAx val="301513344"/>
        <c:crosses val="autoZero"/>
        <c:crossBetween val="between"/>
        <c:majorUnit val="50000000"/>
        <c:dispUnits>
          <c:builtInUnit val="millions"/>
        </c:dispUnits>
      </c:valAx>
    </c:plotArea>
    <c:legend>
      <c:legendPos val="r"/>
      <c:overlay val="0"/>
    </c:legend>
    <c:plotVisOnly val="1"/>
    <c:dispBlanksAs val="gap"/>
    <c:showDLblsOverMax val="0"/>
  </c:chart>
  <c:externalData r:id="rId1">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Lst>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C5A06-D172-4CA5-8BFD-D2AABE8245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133</Pages>
  <Words>43358</Words>
  <Characters>247142</Characters>
  <Application>Microsoft Office Word</Application>
  <DocSecurity>0</DocSecurity>
  <Lines>2059</Lines>
  <Paragraphs>579</Paragraphs>
  <ScaleCrop>false</ScaleCrop>
  <HeadingPairs>
    <vt:vector size="2" baseType="variant">
      <vt:variant>
        <vt:lpstr>Title</vt:lpstr>
      </vt:variant>
      <vt:variant>
        <vt:i4>1</vt:i4>
      </vt:variant>
    </vt:vector>
  </HeadingPairs>
  <TitlesOfParts>
    <vt:vector size="1" baseType="lpstr">
      <vt:lpstr/>
    </vt:vector>
  </TitlesOfParts>
  <Company>Dept Health And Ageing</Company>
  <LinksUpToDate>false</LinksUpToDate>
  <CharactersWithSpaces>289921</CharactersWithSpaces>
  <SharedDoc>false</SharedDoc>
  <HLinks>
    <vt:vector size="1002" baseType="variant">
      <vt:variant>
        <vt:i4>4456463</vt:i4>
      </vt:variant>
      <vt:variant>
        <vt:i4>757</vt:i4>
      </vt:variant>
      <vt:variant>
        <vt:i4>0</vt:i4>
      </vt:variant>
      <vt:variant>
        <vt:i4>5</vt:i4>
      </vt:variant>
      <vt:variant>
        <vt:lpwstr>http://www.clinicalguidelines.gov.au/search.php?pageType=2&amp;fldglrID=1961&amp;</vt:lpwstr>
      </vt:variant>
      <vt:variant>
        <vt:lpwstr/>
      </vt:variant>
      <vt:variant>
        <vt:i4>4980745</vt:i4>
      </vt:variant>
      <vt:variant>
        <vt:i4>754</vt:i4>
      </vt:variant>
      <vt:variant>
        <vt:i4>0</vt:i4>
      </vt:variant>
      <vt:variant>
        <vt:i4>5</vt:i4>
      </vt:variant>
      <vt:variant>
        <vt:lpwstr>http://www.clinicalguidelines.gov.au/search.php?pageType=2&amp;fldglrID=1707&amp;</vt:lpwstr>
      </vt:variant>
      <vt:variant>
        <vt:lpwstr/>
      </vt:variant>
      <vt:variant>
        <vt:i4>4718602</vt:i4>
      </vt:variant>
      <vt:variant>
        <vt:i4>751</vt:i4>
      </vt:variant>
      <vt:variant>
        <vt:i4>0</vt:i4>
      </vt:variant>
      <vt:variant>
        <vt:i4>5</vt:i4>
      </vt:variant>
      <vt:variant>
        <vt:lpwstr>http://www.clinicalguidelines.gov.au/search.php?pageType=2&amp;fldglrID=1733&amp;</vt:lpwstr>
      </vt:variant>
      <vt:variant>
        <vt:lpwstr/>
      </vt:variant>
      <vt:variant>
        <vt:i4>4980737</vt:i4>
      </vt:variant>
      <vt:variant>
        <vt:i4>748</vt:i4>
      </vt:variant>
      <vt:variant>
        <vt:i4>0</vt:i4>
      </vt:variant>
      <vt:variant>
        <vt:i4>5</vt:i4>
      </vt:variant>
      <vt:variant>
        <vt:lpwstr>http://www.clinicalguidelines.gov.au/search.php?pageType=2&amp;fldglrID=1686&amp;</vt:lpwstr>
      </vt:variant>
      <vt:variant>
        <vt:lpwstr/>
      </vt:variant>
      <vt:variant>
        <vt:i4>4194304</vt:i4>
      </vt:variant>
      <vt:variant>
        <vt:i4>745</vt:i4>
      </vt:variant>
      <vt:variant>
        <vt:i4>0</vt:i4>
      </vt:variant>
      <vt:variant>
        <vt:i4>5</vt:i4>
      </vt:variant>
      <vt:variant>
        <vt:lpwstr>http://www.clinicalguidelines.gov.au/search.php?pageType=2&amp;fldglrID=1599&amp;</vt:lpwstr>
      </vt:variant>
      <vt:variant>
        <vt:lpwstr/>
      </vt:variant>
      <vt:variant>
        <vt:i4>5046287</vt:i4>
      </vt:variant>
      <vt:variant>
        <vt:i4>742</vt:i4>
      </vt:variant>
      <vt:variant>
        <vt:i4>0</vt:i4>
      </vt:variant>
      <vt:variant>
        <vt:i4>5</vt:i4>
      </vt:variant>
      <vt:variant>
        <vt:lpwstr>http://www.clinicalguidelines.gov.au/search.php?pageType=2&amp;fldglrID=1869&amp;</vt:lpwstr>
      </vt:variant>
      <vt:variant>
        <vt:lpwstr/>
      </vt:variant>
      <vt:variant>
        <vt:i4>4980747</vt:i4>
      </vt:variant>
      <vt:variant>
        <vt:i4>739</vt:i4>
      </vt:variant>
      <vt:variant>
        <vt:i4>0</vt:i4>
      </vt:variant>
      <vt:variant>
        <vt:i4>5</vt:i4>
      </vt:variant>
      <vt:variant>
        <vt:lpwstr>http://www.clinicalguidelines.gov.au/search.php?pageType=2&amp;fldglrID=1626&amp;</vt:lpwstr>
      </vt:variant>
      <vt:variant>
        <vt:lpwstr/>
      </vt:variant>
      <vt:variant>
        <vt:i4>5046283</vt:i4>
      </vt:variant>
      <vt:variant>
        <vt:i4>736</vt:i4>
      </vt:variant>
      <vt:variant>
        <vt:i4>0</vt:i4>
      </vt:variant>
      <vt:variant>
        <vt:i4>5</vt:i4>
      </vt:variant>
      <vt:variant>
        <vt:lpwstr>http://www.clinicalguidelines.gov.au/search.php?pageType=2&amp;fldglrID=1627&amp;</vt:lpwstr>
      </vt:variant>
      <vt:variant>
        <vt:lpwstr/>
      </vt:variant>
      <vt:variant>
        <vt:i4>4849674</vt:i4>
      </vt:variant>
      <vt:variant>
        <vt:i4>733</vt:i4>
      </vt:variant>
      <vt:variant>
        <vt:i4>0</vt:i4>
      </vt:variant>
      <vt:variant>
        <vt:i4>5</vt:i4>
      </vt:variant>
      <vt:variant>
        <vt:lpwstr>http://www.clinicalguidelines.gov.au/search.php?pageType=2&amp;fldglrID=1630&amp;</vt:lpwstr>
      </vt:variant>
      <vt:variant>
        <vt:lpwstr/>
      </vt:variant>
      <vt:variant>
        <vt:i4>4390923</vt:i4>
      </vt:variant>
      <vt:variant>
        <vt:i4>730</vt:i4>
      </vt:variant>
      <vt:variant>
        <vt:i4>0</vt:i4>
      </vt:variant>
      <vt:variant>
        <vt:i4>5</vt:i4>
      </vt:variant>
      <vt:variant>
        <vt:lpwstr>http://www.clinicalguidelines.gov.au/search.php?pageType=2&amp;fldglrID=1629&amp;</vt:lpwstr>
      </vt:variant>
      <vt:variant>
        <vt:lpwstr/>
      </vt:variant>
      <vt:variant>
        <vt:i4>4325387</vt:i4>
      </vt:variant>
      <vt:variant>
        <vt:i4>727</vt:i4>
      </vt:variant>
      <vt:variant>
        <vt:i4>0</vt:i4>
      </vt:variant>
      <vt:variant>
        <vt:i4>5</vt:i4>
      </vt:variant>
      <vt:variant>
        <vt:lpwstr>http://www.clinicalguidelines.gov.au/search.php?pageType=2&amp;fldglrID=1628&amp;</vt:lpwstr>
      </vt:variant>
      <vt:variant>
        <vt:lpwstr/>
      </vt:variant>
      <vt:variant>
        <vt:i4>4915210</vt:i4>
      </vt:variant>
      <vt:variant>
        <vt:i4>724</vt:i4>
      </vt:variant>
      <vt:variant>
        <vt:i4>0</vt:i4>
      </vt:variant>
      <vt:variant>
        <vt:i4>5</vt:i4>
      </vt:variant>
      <vt:variant>
        <vt:lpwstr>http://www.clinicalguidelines.gov.au/search.php?pageType=2&amp;fldglrID=1532&amp;</vt:lpwstr>
      </vt:variant>
      <vt:variant>
        <vt:lpwstr/>
      </vt:variant>
      <vt:variant>
        <vt:i4>4784142</vt:i4>
      </vt:variant>
      <vt:variant>
        <vt:i4>721</vt:i4>
      </vt:variant>
      <vt:variant>
        <vt:i4>0</vt:i4>
      </vt:variant>
      <vt:variant>
        <vt:i4>5</vt:i4>
      </vt:variant>
      <vt:variant>
        <vt:lpwstr>http://www.clinicalguidelines.gov.au/search.php?pageType=2&amp;fldglrID=2045&amp;</vt:lpwstr>
      </vt:variant>
      <vt:variant>
        <vt:lpwstr/>
      </vt:variant>
      <vt:variant>
        <vt:i4>5177355</vt:i4>
      </vt:variant>
      <vt:variant>
        <vt:i4>718</vt:i4>
      </vt:variant>
      <vt:variant>
        <vt:i4>0</vt:i4>
      </vt:variant>
      <vt:variant>
        <vt:i4>5</vt:i4>
      </vt:variant>
      <vt:variant>
        <vt:lpwstr>http://www.clinicalguidelines.gov.au/search.php?pageType=2&amp;fldglrID=1724&amp;</vt:lpwstr>
      </vt:variant>
      <vt:variant>
        <vt:lpwstr/>
      </vt:variant>
      <vt:variant>
        <vt:i4>4325388</vt:i4>
      </vt:variant>
      <vt:variant>
        <vt:i4>715</vt:i4>
      </vt:variant>
      <vt:variant>
        <vt:i4>0</vt:i4>
      </vt:variant>
      <vt:variant>
        <vt:i4>5</vt:i4>
      </vt:variant>
      <vt:variant>
        <vt:lpwstr>http://www.clinicalguidelines.gov.au/search.php?pageType=2&amp;fldglrID=1957&amp;</vt:lpwstr>
      </vt:variant>
      <vt:variant>
        <vt:lpwstr/>
      </vt:variant>
      <vt:variant>
        <vt:i4>5046284</vt:i4>
      </vt:variant>
      <vt:variant>
        <vt:i4>712</vt:i4>
      </vt:variant>
      <vt:variant>
        <vt:i4>0</vt:i4>
      </vt:variant>
      <vt:variant>
        <vt:i4>5</vt:i4>
      </vt:variant>
      <vt:variant>
        <vt:lpwstr>http://www.clinicalguidelines.gov.au/search.php?pageType=2&amp;fldglrID=1859&amp;</vt:lpwstr>
      </vt:variant>
      <vt:variant>
        <vt:lpwstr/>
      </vt:variant>
      <vt:variant>
        <vt:i4>196614</vt:i4>
      </vt:variant>
      <vt:variant>
        <vt:i4>708</vt:i4>
      </vt:variant>
      <vt:variant>
        <vt:i4>0</vt:i4>
      </vt:variant>
      <vt:variant>
        <vt:i4>5</vt:i4>
      </vt:variant>
      <vt:variant>
        <vt:lpwstr>http://www.nps.org.au/publications/health-professional/nps-news/2012/type-2-diabetes</vt:lpwstr>
      </vt:variant>
      <vt:variant>
        <vt:lpwstr>What</vt:lpwstr>
      </vt:variant>
      <vt:variant>
        <vt:i4>4980783</vt:i4>
      </vt:variant>
      <vt:variant>
        <vt:i4>705</vt:i4>
      </vt:variant>
      <vt:variant>
        <vt:i4>0</vt:i4>
      </vt:variant>
      <vt:variant>
        <vt:i4>5</vt:i4>
      </vt:variant>
      <vt:variant>
        <vt:lpwstr>http://www.abs.gov.au/ausstats/abs@.nsf/Lookup/3303.0Chapter42011</vt:lpwstr>
      </vt:variant>
      <vt:variant>
        <vt:lpwstr/>
      </vt:variant>
      <vt:variant>
        <vt:i4>4587624</vt:i4>
      </vt:variant>
      <vt:variant>
        <vt:i4>702</vt:i4>
      </vt:variant>
      <vt:variant>
        <vt:i4>0</vt:i4>
      </vt:variant>
      <vt:variant>
        <vt:i4>5</vt:i4>
      </vt:variant>
      <vt:variant>
        <vt:lpwstr>http://www.abs.gov.au/ausstats/abs@.nsf/Lookup/CD58150AC0A36286CA257C2F0014591C?opendocument</vt:lpwstr>
      </vt:variant>
      <vt:variant>
        <vt:lpwstr/>
      </vt:variant>
      <vt:variant>
        <vt:i4>1179744</vt:i4>
      </vt:variant>
      <vt:variant>
        <vt:i4>699</vt:i4>
      </vt:variant>
      <vt:variant>
        <vt:i4>0</vt:i4>
      </vt:variant>
      <vt:variant>
        <vt:i4>5</vt:i4>
      </vt:variant>
      <vt:variant>
        <vt:lpwstr>http://www.abs.gov.au/ausstats/abs@.nsf/Lookup/9769589F9E465EE6CA257BBB00121648?opendocument</vt:lpwstr>
      </vt:variant>
      <vt:variant>
        <vt:lpwstr/>
      </vt:variant>
      <vt:variant>
        <vt:i4>4325481</vt:i4>
      </vt:variant>
      <vt:variant>
        <vt:i4>696</vt:i4>
      </vt:variant>
      <vt:variant>
        <vt:i4>0</vt:i4>
      </vt:variant>
      <vt:variant>
        <vt:i4>5</vt:i4>
      </vt:variant>
      <vt:variant>
        <vt:lpwstr>http://www.abs.gov.au/ausstats/abs@.nsf/Lookup/1A8F3DE217DE1057CA257B82001792F4?opendocument</vt:lpwstr>
      </vt:variant>
      <vt:variant>
        <vt:lpwstr/>
      </vt:variant>
      <vt:variant>
        <vt:i4>3670128</vt:i4>
      </vt:variant>
      <vt:variant>
        <vt:i4>693</vt:i4>
      </vt:variant>
      <vt:variant>
        <vt:i4>0</vt:i4>
      </vt:variant>
      <vt:variant>
        <vt:i4>5</vt:i4>
      </vt:variant>
      <vt:variant>
        <vt:lpwstr>http://www.health.gov.au/internet/healthyactive/publishing.nsf/Content/healthy-communities</vt:lpwstr>
      </vt:variant>
      <vt:variant>
        <vt:lpwstr/>
      </vt:variant>
      <vt:variant>
        <vt:i4>4653149</vt:i4>
      </vt:variant>
      <vt:variant>
        <vt:i4>690</vt:i4>
      </vt:variant>
      <vt:variant>
        <vt:i4>0</vt:i4>
      </vt:variant>
      <vt:variant>
        <vt:i4>5</vt:i4>
      </vt:variant>
      <vt:variant>
        <vt:lpwstr>http://www.diabeteslife.org.au/about-the-life-program/about-the-life-program</vt:lpwstr>
      </vt:variant>
      <vt:variant>
        <vt:lpwstr/>
      </vt:variant>
      <vt:variant>
        <vt:i4>5570651</vt:i4>
      </vt:variant>
      <vt:variant>
        <vt:i4>687</vt:i4>
      </vt:variant>
      <vt:variant>
        <vt:i4>0</vt:i4>
      </vt:variant>
      <vt:variant>
        <vt:i4>5</vt:i4>
      </vt:variant>
      <vt:variant>
        <vt:lpwstr>http://www.diabetesaustralia.com.au/en/Living-with-Diabetes/Gestational-Diabetes/</vt:lpwstr>
      </vt:variant>
      <vt:variant>
        <vt:lpwstr/>
      </vt:variant>
      <vt:variant>
        <vt:i4>851980</vt:i4>
      </vt:variant>
      <vt:variant>
        <vt:i4>684</vt:i4>
      </vt:variant>
      <vt:variant>
        <vt:i4>0</vt:i4>
      </vt:variant>
      <vt:variant>
        <vt:i4>5</vt:i4>
      </vt:variant>
      <vt:variant>
        <vt:lpwstr>http://www.aihw.gov.au/diabetes/incidence/</vt:lpwstr>
      </vt:variant>
      <vt:variant>
        <vt:lpwstr>t1</vt:lpwstr>
      </vt:variant>
      <vt:variant>
        <vt:i4>589852</vt:i4>
      </vt:variant>
      <vt:variant>
        <vt:i4>681</vt:i4>
      </vt:variant>
      <vt:variant>
        <vt:i4>0</vt:i4>
      </vt:variant>
      <vt:variant>
        <vt:i4>5</vt:i4>
      </vt:variant>
      <vt:variant>
        <vt:lpwstr>http://www.who.int/mediacentre/factsheets/fs312/en/index.html</vt:lpwstr>
      </vt:variant>
      <vt:variant>
        <vt:lpwstr/>
      </vt:variant>
      <vt:variant>
        <vt:i4>6291487</vt:i4>
      </vt:variant>
      <vt:variant>
        <vt:i4>676</vt:i4>
      </vt:variant>
      <vt:variant>
        <vt:i4>0</vt:i4>
      </vt:variant>
      <vt:variant>
        <vt:i4>5</vt:i4>
      </vt:variant>
      <vt:variant>
        <vt:lpwstr/>
      </vt:variant>
      <vt:variant>
        <vt:lpwstr>_Appendix_F:_Utilisation</vt:lpwstr>
      </vt:variant>
      <vt:variant>
        <vt:i4>6291484</vt:i4>
      </vt:variant>
      <vt:variant>
        <vt:i4>673</vt:i4>
      </vt:variant>
      <vt:variant>
        <vt:i4>0</vt:i4>
      </vt:variant>
      <vt:variant>
        <vt:i4>5</vt:i4>
      </vt:variant>
      <vt:variant>
        <vt:lpwstr/>
      </vt:variant>
      <vt:variant>
        <vt:lpwstr>_Appendix_E:_Utilisation</vt:lpwstr>
      </vt:variant>
      <vt:variant>
        <vt:i4>589857</vt:i4>
      </vt:variant>
      <vt:variant>
        <vt:i4>670</vt:i4>
      </vt:variant>
      <vt:variant>
        <vt:i4>0</vt:i4>
      </vt:variant>
      <vt:variant>
        <vt:i4>5</vt:i4>
      </vt:variant>
      <vt:variant>
        <vt:lpwstr/>
      </vt:variant>
      <vt:variant>
        <vt:lpwstr>_Glossary</vt:lpwstr>
      </vt:variant>
      <vt:variant>
        <vt:i4>2359381</vt:i4>
      </vt:variant>
      <vt:variant>
        <vt:i4>667</vt:i4>
      </vt:variant>
      <vt:variant>
        <vt:i4>0</vt:i4>
      </vt:variant>
      <vt:variant>
        <vt:i4>5</vt:i4>
      </vt:variant>
      <vt:variant>
        <vt:lpwstr/>
      </vt:variant>
      <vt:variant>
        <vt:lpwstr>_1.2.4.6__Public</vt:lpwstr>
      </vt:variant>
      <vt:variant>
        <vt:i4>851987</vt:i4>
      </vt:variant>
      <vt:variant>
        <vt:i4>664</vt:i4>
      </vt:variant>
      <vt:variant>
        <vt:i4>0</vt:i4>
      </vt:variant>
      <vt:variant>
        <vt:i4>5</vt:i4>
      </vt:variant>
      <vt:variant>
        <vt:lpwstr>http://www.pbs.gov.au/info/reviews/diabetes-medicines-review-consultation</vt:lpwstr>
      </vt:variant>
      <vt:variant>
        <vt:lpwstr/>
      </vt:variant>
      <vt:variant>
        <vt:i4>8192004</vt:i4>
      </vt:variant>
      <vt:variant>
        <vt:i4>661</vt:i4>
      </vt:variant>
      <vt:variant>
        <vt:i4>0</vt:i4>
      </vt:variant>
      <vt:variant>
        <vt:i4>5</vt:i4>
      </vt:variant>
      <vt:variant>
        <vt:lpwstr>http://www.nps.org.au/__data/assets/pdf_file/0015/211632/NPS-Diabetes-Tracker-Oct-2013.pdf</vt:lpwstr>
      </vt:variant>
      <vt:variant>
        <vt:lpwstr/>
      </vt:variant>
      <vt:variant>
        <vt:i4>1114112</vt:i4>
      </vt:variant>
      <vt:variant>
        <vt:i4>658</vt:i4>
      </vt:variant>
      <vt:variant>
        <vt:i4>0</vt:i4>
      </vt:variant>
      <vt:variant>
        <vt:i4>5</vt:i4>
      </vt:variant>
      <vt:variant>
        <vt:lpwstr>http://www.nps.org.au/publications/consumer/medicines-talk/2013/medicinestalk-no.-44-february-2013/keeping-track-of-your-diabetes</vt:lpwstr>
      </vt:variant>
      <vt:variant>
        <vt:lpwstr/>
      </vt:variant>
      <vt:variant>
        <vt:i4>1179648</vt:i4>
      </vt:variant>
      <vt:variant>
        <vt:i4>655</vt:i4>
      </vt:variant>
      <vt:variant>
        <vt:i4>0</vt:i4>
      </vt:variant>
      <vt:variant>
        <vt:i4>5</vt:i4>
      </vt:variant>
      <vt:variant>
        <vt:lpwstr>http://www.nps.org.au/conditions-and-topics/conditions/hormones-metabolism-and-nutritional-problems/diabetes-type-2/for-health-professionals/annual-cycle-of-care</vt:lpwstr>
      </vt:variant>
      <vt:variant>
        <vt:lpwstr/>
      </vt:variant>
      <vt:variant>
        <vt:i4>4325387</vt:i4>
      </vt:variant>
      <vt:variant>
        <vt:i4>649</vt:i4>
      </vt:variant>
      <vt:variant>
        <vt:i4>0</vt:i4>
      </vt:variant>
      <vt:variant>
        <vt:i4>5</vt:i4>
      </vt:variant>
      <vt:variant>
        <vt:lpwstr/>
      </vt:variant>
      <vt:variant>
        <vt:lpwstr>_ENREF_35</vt:lpwstr>
      </vt:variant>
      <vt:variant>
        <vt:i4>196614</vt:i4>
      </vt:variant>
      <vt:variant>
        <vt:i4>646</vt:i4>
      </vt:variant>
      <vt:variant>
        <vt:i4>0</vt:i4>
      </vt:variant>
      <vt:variant>
        <vt:i4>5</vt:i4>
      </vt:variant>
      <vt:variant>
        <vt:lpwstr>http://www.nps.org.au/publications/health-professional/nps-news/2012/type-2-diabetes</vt:lpwstr>
      </vt:variant>
      <vt:variant>
        <vt:lpwstr>What</vt:lpwstr>
      </vt:variant>
      <vt:variant>
        <vt:i4>4784147</vt:i4>
      </vt:variant>
      <vt:variant>
        <vt:i4>643</vt:i4>
      </vt:variant>
      <vt:variant>
        <vt:i4>0</vt:i4>
      </vt:variant>
      <vt:variant>
        <vt:i4>5</vt:i4>
      </vt:variant>
      <vt:variant>
        <vt:lpwstr/>
      </vt:variant>
      <vt:variant>
        <vt:lpwstr>_1.2.3_Scope</vt:lpwstr>
      </vt:variant>
      <vt:variant>
        <vt:i4>4325387</vt:i4>
      </vt:variant>
      <vt:variant>
        <vt:i4>637</vt:i4>
      </vt:variant>
      <vt:variant>
        <vt:i4>0</vt:i4>
      </vt:variant>
      <vt:variant>
        <vt:i4>5</vt:i4>
      </vt:variant>
      <vt:variant>
        <vt:lpwstr/>
      </vt:variant>
      <vt:variant>
        <vt:lpwstr>_ENREF_31</vt:lpwstr>
      </vt:variant>
      <vt:variant>
        <vt:i4>4325387</vt:i4>
      </vt:variant>
      <vt:variant>
        <vt:i4>629</vt:i4>
      </vt:variant>
      <vt:variant>
        <vt:i4>0</vt:i4>
      </vt:variant>
      <vt:variant>
        <vt:i4>5</vt:i4>
      </vt:variant>
      <vt:variant>
        <vt:lpwstr/>
      </vt:variant>
      <vt:variant>
        <vt:lpwstr>_ENREF_34</vt:lpwstr>
      </vt:variant>
      <vt:variant>
        <vt:i4>4325387</vt:i4>
      </vt:variant>
      <vt:variant>
        <vt:i4>625</vt:i4>
      </vt:variant>
      <vt:variant>
        <vt:i4>0</vt:i4>
      </vt:variant>
      <vt:variant>
        <vt:i4>5</vt:i4>
      </vt:variant>
      <vt:variant>
        <vt:lpwstr/>
      </vt:variant>
      <vt:variant>
        <vt:lpwstr>_ENREF_34</vt:lpwstr>
      </vt:variant>
      <vt:variant>
        <vt:i4>4325387</vt:i4>
      </vt:variant>
      <vt:variant>
        <vt:i4>622</vt:i4>
      </vt:variant>
      <vt:variant>
        <vt:i4>0</vt:i4>
      </vt:variant>
      <vt:variant>
        <vt:i4>5</vt:i4>
      </vt:variant>
      <vt:variant>
        <vt:lpwstr/>
      </vt:variant>
      <vt:variant>
        <vt:lpwstr>_ENREF_33</vt:lpwstr>
      </vt:variant>
      <vt:variant>
        <vt:i4>4325387</vt:i4>
      </vt:variant>
      <vt:variant>
        <vt:i4>612</vt:i4>
      </vt:variant>
      <vt:variant>
        <vt:i4>0</vt:i4>
      </vt:variant>
      <vt:variant>
        <vt:i4>5</vt:i4>
      </vt:variant>
      <vt:variant>
        <vt:lpwstr/>
      </vt:variant>
      <vt:variant>
        <vt:lpwstr>_ENREF_33</vt:lpwstr>
      </vt:variant>
      <vt:variant>
        <vt:i4>4325387</vt:i4>
      </vt:variant>
      <vt:variant>
        <vt:i4>606</vt:i4>
      </vt:variant>
      <vt:variant>
        <vt:i4>0</vt:i4>
      </vt:variant>
      <vt:variant>
        <vt:i4>5</vt:i4>
      </vt:variant>
      <vt:variant>
        <vt:lpwstr/>
      </vt:variant>
      <vt:variant>
        <vt:lpwstr>_ENREF_32</vt:lpwstr>
      </vt:variant>
      <vt:variant>
        <vt:i4>4325387</vt:i4>
      </vt:variant>
      <vt:variant>
        <vt:i4>600</vt:i4>
      </vt:variant>
      <vt:variant>
        <vt:i4>0</vt:i4>
      </vt:variant>
      <vt:variant>
        <vt:i4>5</vt:i4>
      </vt:variant>
      <vt:variant>
        <vt:lpwstr/>
      </vt:variant>
      <vt:variant>
        <vt:lpwstr>_ENREF_31</vt:lpwstr>
      </vt:variant>
      <vt:variant>
        <vt:i4>4325387</vt:i4>
      </vt:variant>
      <vt:variant>
        <vt:i4>594</vt:i4>
      </vt:variant>
      <vt:variant>
        <vt:i4>0</vt:i4>
      </vt:variant>
      <vt:variant>
        <vt:i4>5</vt:i4>
      </vt:variant>
      <vt:variant>
        <vt:lpwstr/>
      </vt:variant>
      <vt:variant>
        <vt:lpwstr>_ENREF_30</vt:lpwstr>
      </vt:variant>
      <vt:variant>
        <vt:i4>4390923</vt:i4>
      </vt:variant>
      <vt:variant>
        <vt:i4>588</vt:i4>
      </vt:variant>
      <vt:variant>
        <vt:i4>0</vt:i4>
      </vt:variant>
      <vt:variant>
        <vt:i4>5</vt:i4>
      </vt:variant>
      <vt:variant>
        <vt:lpwstr/>
      </vt:variant>
      <vt:variant>
        <vt:lpwstr>_ENREF_29</vt:lpwstr>
      </vt:variant>
      <vt:variant>
        <vt:i4>4390923</vt:i4>
      </vt:variant>
      <vt:variant>
        <vt:i4>582</vt:i4>
      </vt:variant>
      <vt:variant>
        <vt:i4>0</vt:i4>
      </vt:variant>
      <vt:variant>
        <vt:i4>5</vt:i4>
      </vt:variant>
      <vt:variant>
        <vt:lpwstr/>
      </vt:variant>
      <vt:variant>
        <vt:lpwstr>_ENREF_28</vt:lpwstr>
      </vt:variant>
      <vt:variant>
        <vt:i4>4194315</vt:i4>
      </vt:variant>
      <vt:variant>
        <vt:i4>576</vt:i4>
      </vt:variant>
      <vt:variant>
        <vt:i4>0</vt:i4>
      </vt:variant>
      <vt:variant>
        <vt:i4>5</vt:i4>
      </vt:variant>
      <vt:variant>
        <vt:lpwstr/>
      </vt:variant>
      <vt:variant>
        <vt:lpwstr>_ENREF_1</vt:lpwstr>
      </vt:variant>
      <vt:variant>
        <vt:i4>4194315</vt:i4>
      </vt:variant>
      <vt:variant>
        <vt:i4>570</vt:i4>
      </vt:variant>
      <vt:variant>
        <vt:i4>0</vt:i4>
      </vt:variant>
      <vt:variant>
        <vt:i4>5</vt:i4>
      </vt:variant>
      <vt:variant>
        <vt:lpwstr/>
      </vt:variant>
      <vt:variant>
        <vt:lpwstr>_ENREF_1</vt:lpwstr>
      </vt:variant>
      <vt:variant>
        <vt:i4>4390923</vt:i4>
      </vt:variant>
      <vt:variant>
        <vt:i4>564</vt:i4>
      </vt:variant>
      <vt:variant>
        <vt:i4>0</vt:i4>
      </vt:variant>
      <vt:variant>
        <vt:i4>5</vt:i4>
      </vt:variant>
      <vt:variant>
        <vt:lpwstr/>
      </vt:variant>
      <vt:variant>
        <vt:lpwstr>_ENREF_27</vt:lpwstr>
      </vt:variant>
      <vt:variant>
        <vt:i4>4390923</vt:i4>
      </vt:variant>
      <vt:variant>
        <vt:i4>558</vt:i4>
      </vt:variant>
      <vt:variant>
        <vt:i4>0</vt:i4>
      </vt:variant>
      <vt:variant>
        <vt:i4>5</vt:i4>
      </vt:variant>
      <vt:variant>
        <vt:lpwstr/>
      </vt:variant>
      <vt:variant>
        <vt:lpwstr>_ENREF_26</vt:lpwstr>
      </vt:variant>
      <vt:variant>
        <vt:i4>4390923</vt:i4>
      </vt:variant>
      <vt:variant>
        <vt:i4>552</vt:i4>
      </vt:variant>
      <vt:variant>
        <vt:i4>0</vt:i4>
      </vt:variant>
      <vt:variant>
        <vt:i4>5</vt:i4>
      </vt:variant>
      <vt:variant>
        <vt:lpwstr/>
      </vt:variant>
      <vt:variant>
        <vt:lpwstr>_ENREF_25</vt:lpwstr>
      </vt:variant>
      <vt:variant>
        <vt:i4>4390923</vt:i4>
      </vt:variant>
      <vt:variant>
        <vt:i4>546</vt:i4>
      </vt:variant>
      <vt:variant>
        <vt:i4>0</vt:i4>
      </vt:variant>
      <vt:variant>
        <vt:i4>5</vt:i4>
      </vt:variant>
      <vt:variant>
        <vt:lpwstr/>
      </vt:variant>
      <vt:variant>
        <vt:lpwstr>_ENREF_21</vt:lpwstr>
      </vt:variant>
      <vt:variant>
        <vt:i4>4390923</vt:i4>
      </vt:variant>
      <vt:variant>
        <vt:i4>540</vt:i4>
      </vt:variant>
      <vt:variant>
        <vt:i4>0</vt:i4>
      </vt:variant>
      <vt:variant>
        <vt:i4>5</vt:i4>
      </vt:variant>
      <vt:variant>
        <vt:lpwstr/>
      </vt:variant>
      <vt:variant>
        <vt:lpwstr>_ENREF_24</vt:lpwstr>
      </vt:variant>
      <vt:variant>
        <vt:i4>4390923</vt:i4>
      </vt:variant>
      <vt:variant>
        <vt:i4>534</vt:i4>
      </vt:variant>
      <vt:variant>
        <vt:i4>0</vt:i4>
      </vt:variant>
      <vt:variant>
        <vt:i4>5</vt:i4>
      </vt:variant>
      <vt:variant>
        <vt:lpwstr/>
      </vt:variant>
      <vt:variant>
        <vt:lpwstr>_ENREF_23</vt:lpwstr>
      </vt:variant>
      <vt:variant>
        <vt:i4>4390923</vt:i4>
      </vt:variant>
      <vt:variant>
        <vt:i4>528</vt:i4>
      </vt:variant>
      <vt:variant>
        <vt:i4>0</vt:i4>
      </vt:variant>
      <vt:variant>
        <vt:i4>5</vt:i4>
      </vt:variant>
      <vt:variant>
        <vt:lpwstr/>
      </vt:variant>
      <vt:variant>
        <vt:lpwstr>_ENREF_22</vt:lpwstr>
      </vt:variant>
      <vt:variant>
        <vt:i4>4390923</vt:i4>
      </vt:variant>
      <vt:variant>
        <vt:i4>522</vt:i4>
      </vt:variant>
      <vt:variant>
        <vt:i4>0</vt:i4>
      </vt:variant>
      <vt:variant>
        <vt:i4>5</vt:i4>
      </vt:variant>
      <vt:variant>
        <vt:lpwstr/>
      </vt:variant>
      <vt:variant>
        <vt:lpwstr>_ENREF_21</vt:lpwstr>
      </vt:variant>
      <vt:variant>
        <vt:i4>4390923</vt:i4>
      </vt:variant>
      <vt:variant>
        <vt:i4>516</vt:i4>
      </vt:variant>
      <vt:variant>
        <vt:i4>0</vt:i4>
      </vt:variant>
      <vt:variant>
        <vt:i4>5</vt:i4>
      </vt:variant>
      <vt:variant>
        <vt:lpwstr/>
      </vt:variant>
      <vt:variant>
        <vt:lpwstr>_ENREF_20</vt:lpwstr>
      </vt:variant>
      <vt:variant>
        <vt:i4>4390923</vt:i4>
      </vt:variant>
      <vt:variant>
        <vt:i4>510</vt:i4>
      </vt:variant>
      <vt:variant>
        <vt:i4>0</vt:i4>
      </vt:variant>
      <vt:variant>
        <vt:i4>5</vt:i4>
      </vt:variant>
      <vt:variant>
        <vt:lpwstr/>
      </vt:variant>
      <vt:variant>
        <vt:lpwstr>_ENREF_21</vt:lpwstr>
      </vt:variant>
      <vt:variant>
        <vt:i4>4390923</vt:i4>
      </vt:variant>
      <vt:variant>
        <vt:i4>504</vt:i4>
      </vt:variant>
      <vt:variant>
        <vt:i4>0</vt:i4>
      </vt:variant>
      <vt:variant>
        <vt:i4>5</vt:i4>
      </vt:variant>
      <vt:variant>
        <vt:lpwstr/>
      </vt:variant>
      <vt:variant>
        <vt:lpwstr>_ENREF_20</vt:lpwstr>
      </vt:variant>
      <vt:variant>
        <vt:i4>4194315</vt:i4>
      </vt:variant>
      <vt:variant>
        <vt:i4>498</vt:i4>
      </vt:variant>
      <vt:variant>
        <vt:i4>0</vt:i4>
      </vt:variant>
      <vt:variant>
        <vt:i4>5</vt:i4>
      </vt:variant>
      <vt:variant>
        <vt:lpwstr/>
      </vt:variant>
      <vt:variant>
        <vt:lpwstr>_ENREF_19</vt:lpwstr>
      </vt:variant>
      <vt:variant>
        <vt:i4>4194315</vt:i4>
      </vt:variant>
      <vt:variant>
        <vt:i4>492</vt:i4>
      </vt:variant>
      <vt:variant>
        <vt:i4>0</vt:i4>
      </vt:variant>
      <vt:variant>
        <vt:i4>5</vt:i4>
      </vt:variant>
      <vt:variant>
        <vt:lpwstr/>
      </vt:variant>
      <vt:variant>
        <vt:lpwstr>_ENREF_18</vt:lpwstr>
      </vt:variant>
      <vt:variant>
        <vt:i4>4194315</vt:i4>
      </vt:variant>
      <vt:variant>
        <vt:i4>486</vt:i4>
      </vt:variant>
      <vt:variant>
        <vt:i4>0</vt:i4>
      </vt:variant>
      <vt:variant>
        <vt:i4>5</vt:i4>
      </vt:variant>
      <vt:variant>
        <vt:lpwstr/>
      </vt:variant>
      <vt:variant>
        <vt:lpwstr>_ENREF_17</vt:lpwstr>
      </vt:variant>
      <vt:variant>
        <vt:i4>917509</vt:i4>
      </vt:variant>
      <vt:variant>
        <vt:i4>483</vt:i4>
      </vt:variant>
      <vt:variant>
        <vt:i4>0</vt:i4>
      </vt:variant>
      <vt:variant>
        <vt:i4>5</vt:i4>
      </vt:variant>
      <vt:variant>
        <vt:lpwstr>http://heartmoves.heartfoundation.org.au/</vt:lpwstr>
      </vt:variant>
      <vt:variant>
        <vt:lpwstr/>
      </vt:variant>
      <vt:variant>
        <vt:i4>4522000</vt:i4>
      </vt:variant>
      <vt:variant>
        <vt:i4>480</vt:i4>
      </vt:variant>
      <vt:variant>
        <vt:i4>0</vt:i4>
      </vt:variant>
      <vt:variant>
        <vt:i4>5</vt:i4>
      </vt:variant>
      <vt:variant>
        <vt:lpwstr>http://www.essa.org.au/for-gps/heal-program/</vt:lpwstr>
      </vt:variant>
      <vt:variant>
        <vt:lpwstr/>
      </vt:variant>
      <vt:variant>
        <vt:i4>1835102</vt:i4>
      </vt:variant>
      <vt:variant>
        <vt:i4>477</vt:i4>
      </vt:variant>
      <vt:variant>
        <vt:i4>0</vt:i4>
      </vt:variant>
      <vt:variant>
        <vt:i4>5</vt:i4>
      </vt:variant>
      <vt:variant>
        <vt:lpwstr>http://www.austcycle.com.au/</vt:lpwstr>
      </vt:variant>
      <vt:variant>
        <vt:lpwstr/>
      </vt:variant>
      <vt:variant>
        <vt:i4>7929906</vt:i4>
      </vt:variant>
      <vt:variant>
        <vt:i4>474</vt:i4>
      </vt:variant>
      <vt:variant>
        <vt:i4>0</vt:i4>
      </vt:variant>
      <vt:variant>
        <vt:i4>5</vt:i4>
      </vt:variant>
      <vt:variant>
        <vt:lpwstr>http://www.liftforlife.com.au/</vt:lpwstr>
      </vt:variant>
      <vt:variant>
        <vt:lpwstr/>
      </vt:variant>
      <vt:variant>
        <vt:i4>6684716</vt:i4>
      </vt:variant>
      <vt:variant>
        <vt:i4>471</vt:i4>
      </vt:variant>
      <vt:variant>
        <vt:i4>0</vt:i4>
      </vt:variant>
      <vt:variant>
        <vt:i4>5</vt:i4>
      </vt:variant>
      <vt:variant>
        <vt:lpwstr>http://www.australiandiabetescouncil.com/events/beat-it/beat-it-physical-activity-and-exercise-program</vt:lpwstr>
      </vt:variant>
      <vt:variant>
        <vt:lpwstr/>
      </vt:variant>
      <vt:variant>
        <vt:i4>7143540</vt:i4>
      </vt:variant>
      <vt:variant>
        <vt:i4>468</vt:i4>
      </vt:variant>
      <vt:variant>
        <vt:i4>0</vt:i4>
      </vt:variant>
      <vt:variant>
        <vt:i4>5</vt:i4>
      </vt:variant>
      <vt:variant>
        <vt:lpwstr>http://www.heartfoundation.org.au/active-living/walking/Pages/welcome.aspx</vt:lpwstr>
      </vt:variant>
      <vt:variant>
        <vt:lpwstr/>
      </vt:variant>
      <vt:variant>
        <vt:i4>1441805</vt:i4>
      </vt:variant>
      <vt:variant>
        <vt:i4>465</vt:i4>
      </vt:variant>
      <vt:variant>
        <vt:i4>0</vt:i4>
      </vt:variant>
      <vt:variant>
        <vt:i4>5</vt:i4>
      </vt:variant>
      <vt:variant>
        <vt:lpwstr>http://strokefoundation.com.au/know-your-numbers/</vt:lpwstr>
      </vt:variant>
      <vt:variant>
        <vt:lpwstr/>
      </vt:variant>
      <vt:variant>
        <vt:i4>4194315</vt:i4>
      </vt:variant>
      <vt:variant>
        <vt:i4>459</vt:i4>
      </vt:variant>
      <vt:variant>
        <vt:i4>0</vt:i4>
      </vt:variant>
      <vt:variant>
        <vt:i4>5</vt:i4>
      </vt:variant>
      <vt:variant>
        <vt:lpwstr/>
      </vt:variant>
      <vt:variant>
        <vt:lpwstr>_ENREF_16</vt:lpwstr>
      </vt:variant>
      <vt:variant>
        <vt:i4>4194315</vt:i4>
      </vt:variant>
      <vt:variant>
        <vt:i4>451</vt:i4>
      </vt:variant>
      <vt:variant>
        <vt:i4>0</vt:i4>
      </vt:variant>
      <vt:variant>
        <vt:i4>5</vt:i4>
      </vt:variant>
      <vt:variant>
        <vt:lpwstr/>
      </vt:variant>
      <vt:variant>
        <vt:lpwstr>_ENREF_15</vt:lpwstr>
      </vt:variant>
      <vt:variant>
        <vt:i4>4194315</vt:i4>
      </vt:variant>
      <vt:variant>
        <vt:i4>443</vt:i4>
      </vt:variant>
      <vt:variant>
        <vt:i4>0</vt:i4>
      </vt:variant>
      <vt:variant>
        <vt:i4>5</vt:i4>
      </vt:variant>
      <vt:variant>
        <vt:lpwstr/>
      </vt:variant>
      <vt:variant>
        <vt:lpwstr>_ENREF_14</vt:lpwstr>
      </vt:variant>
      <vt:variant>
        <vt:i4>6750255</vt:i4>
      </vt:variant>
      <vt:variant>
        <vt:i4>440</vt:i4>
      </vt:variant>
      <vt:variant>
        <vt:i4>0</vt:i4>
      </vt:variant>
      <vt:variant>
        <vt:i4>5</vt:i4>
      </vt:variant>
      <vt:variant>
        <vt:lpwstr>http://www.lifeprogram.org.au/</vt:lpwstr>
      </vt:variant>
      <vt:variant>
        <vt:lpwstr/>
      </vt:variant>
      <vt:variant>
        <vt:i4>2752627</vt:i4>
      </vt:variant>
      <vt:variant>
        <vt:i4>437</vt:i4>
      </vt:variant>
      <vt:variant>
        <vt:i4>0</vt:i4>
      </vt:variant>
      <vt:variant>
        <vt:i4>5</vt:i4>
      </vt:variant>
      <vt:variant>
        <vt:lpwstr>http://www.health.nsw.gov.au/healthyworkers/pages/default.aspx</vt:lpwstr>
      </vt:variant>
      <vt:variant>
        <vt:lpwstr/>
      </vt:variant>
      <vt:variant>
        <vt:i4>7536761</vt:i4>
      </vt:variant>
      <vt:variant>
        <vt:i4>434</vt:i4>
      </vt:variant>
      <vt:variant>
        <vt:i4>0</vt:i4>
      </vt:variant>
      <vt:variant>
        <vt:i4>5</vt:i4>
      </vt:variant>
      <vt:variant>
        <vt:lpwstr>http://www.healthykids.nsw.gov.au/</vt:lpwstr>
      </vt:variant>
      <vt:variant>
        <vt:lpwstr/>
      </vt:variant>
      <vt:variant>
        <vt:i4>4587544</vt:i4>
      </vt:variant>
      <vt:variant>
        <vt:i4>431</vt:i4>
      </vt:variant>
      <vt:variant>
        <vt:i4>0</vt:i4>
      </vt:variant>
      <vt:variant>
        <vt:i4>5</vt:i4>
      </vt:variant>
      <vt:variant>
        <vt:lpwstr>http://livelonger.health.gov.au/</vt:lpwstr>
      </vt:variant>
      <vt:variant>
        <vt:lpwstr/>
      </vt:variant>
      <vt:variant>
        <vt:i4>5898319</vt:i4>
      </vt:variant>
      <vt:variant>
        <vt:i4>428</vt:i4>
      </vt:variant>
      <vt:variant>
        <vt:i4>0</vt:i4>
      </vt:variant>
      <vt:variant>
        <vt:i4>5</vt:i4>
      </vt:variant>
      <vt:variant>
        <vt:lpwstr>http://www.measureup.gov.au/internet/abhi/publishing.nsf/content/home</vt:lpwstr>
      </vt:variant>
      <vt:variant>
        <vt:lpwstr/>
      </vt:variant>
      <vt:variant>
        <vt:i4>4194315</vt:i4>
      </vt:variant>
      <vt:variant>
        <vt:i4>422</vt:i4>
      </vt:variant>
      <vt:variant>
        <vt:i4>0</vt:i4>
      </vt:variant>
      <vt:variant>
        <vt:i4>5</vt:i4>
      </vt:variant>
      <vt:variant>
        <vt:lpwstr/>
      </vt:variant>
      <vt:variant>
        <vt:lpwstr>_ENREF_13</vt:lpwstr>
      </vt:variant>
      <vt:variant>
        <vt:i4>4194315</vt:i4>
      </vt:variant>
      <vt:variant>
        <vt:i4>418</vt:i4>
      </vt:variant>
      <vt:variant>
        <vt:i4>0</vt:i4>
      </vt:variant>
      <vt:variant>
        <vt:i4>5</vt:i4>
      </vt:variant>
      <vt:variant>
        <vt:lpwstr/>
      </vt:variant>
      <vt:variant>
        <vt:lpwstr>_ENREF_12</vt:lpwstr>
      </vt:variant>
      <vt:variant>
        <vt:i4>4653067</vt:i4>
      </vt:variant>
      <vt:variant>
        <vt:i4>415</vt:i4>
      </vt:variant>
      <vt:variant>
        <vt:i4>0</vt:i4>
      </vt:variant>
      <vt:variant>
        <vt:i4>5</vt:i4>
      </vt:variant>
      <vt:variant>
        <vt:lpwstr/>
      </vt:variant>
      <vt:variant>
        <vt:lpwstr>_ENREF_6</vt:lpwstr>
      </vt:variant>
      <vt:variant>
        <vt:i4>4194315</vt:i4>
      </vt:variant>
      <vt:variant>
        <vt:i4>403</vt:i4>
      </vt:variant>
      <vt:variant>
        <vt:i4>0</vt:i4>
      </vt:variant>
      <vt:variant>
        <vt:i4>5</vt:i4>
      </vt:variant>
      <vt:variant>
        <vt:lpwstr/>
      </vt:variant>
      <vt:variant>
        <vt:lpwstr>_ENREF_11</vt:lpwstr>
      </vt:variant>
      <vt:variant>
        <vt:i4>4194315</vt:i4>
      </vt:variant>
      <vt:variant>
        <vt:i4>397</vt:i4>
      </vt:variant>
      <vt:variant>
        <vt:i4>0</vt:i4>
      </vt:variant>
      <vt:variant>
        <vt:i4>5</vt:i4>
      </vt:variant>
      <vt:variant>
        <vt:lpwstr/>
      </vt:variant>
      <vt:variant>
        <vt:lpwstr>_ENREF_10</vt:lpwstr>
      </vt:variant>
      <vt:variant>
        <vt:i4>4718603</vt:i4>
      </vt:variant>
      <vt:variant>
        <vt:i4>389</vt:i4>
      </vt:variant>
      <vt:variant>
        <vt:i4>0</vt:i4>
      </vt:variant>
      <vt:variant>
        <vt:i4>5</vt:i4>
      </vt:variant>
      <vt:variant>
        <vt:lpwstr/>
      </vt:variant>
      <vt:variant>
        <vt:lpwstr>_ENREF_9</vt:lpwstr>
      </vt:variant>
      <vt:variant>
        <vt:i4>4784139</vt:i4>
      </vt:variant>
      <vt:variant>
        <vt:i4>383</vt:i4>
      </vt:variant>
      <vt:variant>
        <vt:i4>0</vt:i4>
      </vt:variant>
      <vt:variant>
        <vt:i4>5</vt:i4>
      </vt:variant>
      <vt:variant>
        <vt:lpwstr/>
      </vt:variant>
      <vt:variant>
        <vt:lpwstr>_ENREF_8</vt:lpwstr>
      </vt:variant>
      <vt:variant>
        <vt:i4>4587531</vt:i4>
      </vt:variant>
      <vt:variant>
        <vt:i4>377</vt:i4>
      </vt:variant>
      <vt:variant>
        <vt:i4>0</vt:i4>
      </vt:variant>
      <vt:variant>
        <vt:i4>5</vt:i4>
      </vt:variant>
      <vt:variant>
        <vt:lpwstr/>
      </vt:variant>
      <vt:variant>
        <vt:lpwstr>_ENREF_7</vt:lpwstr>
      </vt:variant>
      <vt:variant>
        <vt:i4>4456459</vt:i4>
      </vt:variant>
      <vt:variant>
        <vt:i4>371</vt:i4>
      </vt:variant>
      <vt:variant>
        <vt:i4>0</vt:i4>
      </vt:variant>
      <vt:variant>
        <vt:i4>5</vt:i4>
      </vt:variant>
      <vt:variant>
        <vt:lpwstr/>
      </vt:variant>
      <vt:variant>
        <vt:lpwstr>_ENREF_5</vt:lpwstr>
      </vt:variant>
      <vt:variant>
        <vt:i4>2228268</vt:i4>
      </vt:variant>
      <vt:variant>
        <vt:i4>368</vt:i4>
      </vt:variant>
      <vt:variant>
        <vt:i4>0</vt:i4>
      </vt:variant>
      <vt:variant>
        <vt:i4>5</vt:i4>
      </vt:variant>
      <vt:variant>
        <vt:lpwstr>http://www.ausdrisk.com.au/</vt:lpwstr>
      </vt:variant>
      <vt:variant>
        <vt:lpwstr/>
      </vt:variant>
      <vt:variant>
        <vt:i4>4653067</vt:i4>
      </vt:variant>
      <vt:variant>
        <vt:i4>364</vt:i4>
      </vt:variant>
      <vt:variant>
        <vt:i4>0</vt:i4>
      </vt:variant>
      <vt:variant>
        <vt:i4>5</vt:i4>
      </vt:variant>
      <vt:variant>
        <vt:lpwstr/>
      </vt:variant>
      <vt:variant>
        <vt:lpwstr>_ENREF_6</vt:lpwstr>
      </vt:variant>
      <vt:variant>
        <vt:i4>4456459</vt:i4>
      </vt:variant>
      <vt:variant>
        <vt:i4>361</vt:i4>
      </vt:variant>
      <vt:variant>
        <vt:i4>0</vt:i4>
      </vt:variant>
      <vt:variant>
        <vt:i4>5</vt:i4>
      </vt:variant>
      <vt:variant>
        <vt:lpwstr/>
      </vt:variant>
      <vt:variant>
        <vt:lpwstr>_ENREF_5</vt:lpwstr>
      </vt:variant>
      <vt:variant>
        <vt:i4>4521995</vt:i4>
      </vt:variant>
      <vt:variant>
        <vt:i4>351</vt:i4>
      </vt:variant>
      <vt:variant>
        <vt:i4>0</vt:i4>
      </vt:variant>
      <vt:variant>
        <vt:i4>5</vt:i4>
      </vt:variant>
      <vt:variant>
        <vt:lpwstr/>
      </vt:variant>
      <vt:variant>
        <vt:lpwstr>_ENREF_4</vt:lpwstr>
      </vt:variant>
      <vt:variant>
        <vt:i4>4194315</vt:i4>
      </vt:variant>
      <vt:variant>
        <vt:i4>345</vt:i4>
      </vt:variant>
      <vt:variant>
        <vt:i4>0</vt:i4>
      </vt:variant>
      <vt:variant>
        <vt:i4>5</vt:i4>
      </vt:variant>
      <vt:variant>
        <vt:lpwstr/>
      </vt:variant>
      <vt:variant>
        <vt:lpwstr>_ENREF_1</vt:lpwstr>
      </vt:variant>
      <vt:variant>
        <vt:i4>4325387</vt:i4>
      </vt:variant>
      <vt:variant>
        <vt:i4>339</vt:i4>
      </vt:variant>
      <vt:variant>
        <vt:i4>0</vt:i4>
      </vt:variant>
      <vt:variant>
        <vt:i4>5</vt:i4>
      </vt:variant>
      <vt:variant>
        <vt:lpwstr/>
      </vt:variant>
      <vt:variant>
        <vt:lpwstr>_ENREF_3</vt:lpwstr>
      </vt:variant>
      <vt:variant>
        <vt:i4>4194315</vt:i4>
      </vt:variant>
      <vt:variant>
        <vt:i4>333</vt:i4>
      </vt:variant>
      <vt:variant>
        <vt:i4>0</vt:i4>
      </vt:variant>
      <vt:variant>
        <vt:i4>5</vt:i4>
      </vt:variant>
      <vt:variant>
        <vt:lpwstr/>
      </vt:variant>
      <vt:variant>
        <vt:lpwstr>_ENREF_1</vt:lpwstr>
      </vt:variant>
      <vt:variant>
        <vt:i4>4390923</vt:i4>
      </vt:variant>
      <vt:variant>
        <vt:i4>327</vt:i4>
      </vt:variant>
      <vt:variant>
        <vt:i4>0</vt:i4>
      </vt:variant>
      <vt:variant>
        <vt:i4>5</vt:i4>
      </vt:variant>
      <vt:variant>
        <vt:lpwstr/>
      </vt:variant>
      <vt:variant>
        <vt:lpwstr>_ENREF_2</vt:lpwstr>
      </vt:variant>
      <vt:variant>
        <vt:i4>4194315</vt:i4>
      </vt:variant>
      <vt:variant>
        <vt:i4>321</vt:i4>
      </vt:variant>
      <vt:variant>
        <vt:i4>0</vt:i4>
      </vt:variant>
      <vt:variant>
        <vt:i4>5</vt:i4>
      </vt:variant>
      <vt:variant>
        <vt:lpwstr/>
      </vt:variant>
      <vt:variant>
        <vt:lpwstr>_ENREF_1</vt:lpwstr>
      </vt:variant>
      <vt:variant>
        <vt:i4>4194315</vt:i4>
      </vt:variant>
      <vt:variant>
        <vt:i4>315</vt:i4>
      </vt:variant>
      <vt:variant>
        <vt:i4>0</vt:i4>
      </vt:variant>
      <vt:variant>
        <vt:i4>5</vt:i4>
      </vt:variant>
      <vt:variant>
        <vt:lpwstr/>
      </vt:variant>
      <vt:variant>
        <vt:lpwstr>_ENREF_1</vt:lpwstr>
      </vt:variant>
      <vt:variant>
        <vt:i4>4194315</vt:i4>
      </vt:variant>
      <vt:variant>
        <vt:i4>309</vt:i4>
      </vt:variant>
      <vt:variant>
        <vt:i4>0</vt:i4>
      </vt:variant>
      <vt:variant>
        <vt:i4>5</vt:i4>
      </vt:variant>
      <vt:variant>
        <vt:lpwstr/>
      </vt:variant>
      <vt:variant>
        <vt:lpwstr>_ENREF_1</vt:lpwstr>
      </vt:variant>
      <vt:variant>
        <vt:i4>7012415</vt:i4>
      </vt:variant>
      <vt:variant>
        <vt:i4>306</vt:i4>
      </vt:variant>
      <vt:variant>
        <vt:i4>0</vt:i4>
      </vt:variant>
      <vt:variant>
        <vt:i4>5</vt:i4>
      </vt:variant>
      <vt:variant>
        <vt:lpwstr>http://www.pbs.gov.au/info/reviews/subsidised-medicines-reviews</vt:lpwstr>
      </vt:variant>
      <vt:variant>
        <vt:lpwstr/>
      </vt:variant>
      <vt:variant>
        <vt:i4>3145774</vt:i4>
      </vt:variant>
      <vt:variant>
        <vt:i4>303</vt:i4>
      </vt:variant>
      <vt:variant>
        <vt:i4>0</vt:i4>
      </vt:variant>
      <vt:variant>
        <vt:i4>5</vt:i4>
      </vt:variant>
      <vt:variant>
        <vt:lpwstr>http://www.pbs.gov.au/pbs/home</vt:lpwstr>
      </vt:variant>
      <vt:variant>
        <vt:lpwstr/>
      </vt:variant>
      <vt:variant>
        <vt:i4>1777674</vt:i4>
      </vt:variant>
      <vt:variant>
        <vt:i4>300</vt:i4>
      </vt:variant>
      <vt:variant>
        <vt:i4>0</vt:i4>
      </vt:variant>
      <vt:variant>
        <vt:i4>5</vt:i4>
      </vt:variant>
      <vt:variant>
        <vt:lpwstr/>
      </vt:variant>
      <vt:variant>
        <vt:lpwstr>_Part_6_–New</vt:lpwstr>
      </vt:variant>
      <vt:variant>
        <vt:i4>6881300</vt:i4>
      </vt:variant>
      <vt:variant>
        <vt:i4>297</vt:i4>
      </vt:variant>
      <vt:variant>
        <vt:i4>0</vt:i4>
      </vt:variant>
      <vt:variant>
        <vt:i4>5</vt:i4>
      </vt:variant>
      <vt:variant>
        <vt:lpwstr/>
      </vt:variant>
      <vt:variant>
        <vt:lpwstr>_2.7.4_Review_of</vt:lpwstr>
      </vt:variant>
      <vt:variant>
        <vt:i4>131199</vt:i4>
      </vt:variant>
      <vt:variant>
        <vt:i4>294</vt:i4>
      </vt:variant>
      <vt:variant>
        <vt:i4>0</vt:i4>
      </vt:variant>
      <vt:variant>
        <vt:i4>5</vt:i4>
      </vt:variant>
      <vt:variant>
        <vt:lpwstr/>
      </vt:variant>
      <vt:variant>
        <vt:lpwstr>_Part_5_–</vt:lpwstr>
      </vt:variant>
      <vt:variant>
        <vt:i4>3407969</vt:i4>
      </vt:variant>
      <vt:variant>
        <vt:i4>291</vt:i4>
      </vt:variant>
      <vt:variant>
        <vt:i4>0</vt:i4>
      </vt:variant>
      <vt:variant>
        <vt:i4>5</vt:i4>
      </vt:variant>
      <vt:variant>
        <vt:lpwstr>http://www.pbs.gov.au/info/industry/listing/elements/dusc-meetings/dos</vt:lpwstr>
      </vt:variant>
      <vt:variant>
        <vt:lpwstr/>
      </vt:variant>
      <vt:variant>
        <vt:i4>131198</vt:i4>
      </vt:variant>
      <vt:variant>
        <vt:i4>288</vt:i4>
      </vt:variant>
      <vt:variant>
        <vt:i4>0</vt:i4>
      </vt:variant>
      <vt:variant>
        <vt:i4>5</vt:i4>
      </vt:variant>
      <vt:variant>
        <vt:lpwstr/>
      </vt:variant>
      <vt:variant>
        <vt:lpwstr>_Part_4_–</vt:lpwstr>
      </vt:variant>
      <vt:variant>
        <vt:i4>1114224</vt:i4>
      </vt:variant>
      <vt:variant>
        <vt:i4>285</vt:i4>
      </vt:variant>
      <vt:variant>
        <vt:i4>0</vt:i4>
      </vt:variant>
      <vt:variant>
        <vt:i4>5</vt:i4>
      </vt:variant>
      <vt:variant>
        <vt:lpwstr/>
      </vt:variant>
      <vt:variant>
        <vt:lpwstr>_7.3_Reference_Group</vt:lpwstr>
      </vt:variant>
      <vt:variant>
        <vt:i4>2031728</vt:i4>
      </vt:variant>
      <vt:variant>
        <vt:i4>282</vt:i4>
      </vt:variant>
      <vt:variant>
        <vt:i4>0</vt:i4>
      </vt:variant>
      <vt:variant>
        <vt:i4>5</vt:i4>
      </vt:variant>
      <vt:variant>
        <vt:lpwstr/>
      </vt:variant>
      <vt:variant>
        <vt:lpwstr>_3.9_Reference_Group</vt:lpwstr>
      </vt:variant>
      <vt:variant>
        <vt:i4>1966189</vt:i4>
      </vt:variant>
      <vt:variant>
        <vt:i4>279</vt:i4>
      </vt:variant>
      <vt:variant>
        <vt:i4>0</vt:i4>
      </vt:variant>
      <vt:variant>
        <vt:i4>5</vt:i4>
      </vt:variant>
      <vt:variant>
        <vt:lpwstr/>
      </vt:variant>
      <vt:variant>
        <vt:lpwstr>_Appendix_B:_Reference</vt:lpwstr>
      </vt:variant>
      <vt:variant>
        <vt:i4>3801163</vt:i4>
      </vt:variant>
      <vt:variant>
        <vt:i4>276</vt:i4>
      </vt:variant>
      <vt:variant>
        <vt:i4>0</vt:i4>
      </vt:variant>
      <vt:variant>
        <vt:i4>5</vt:i4>
      </vt:variant>
      <vt:variant>
        <vt:lpwstr/>
      </vt:variant>
      <vt:variant>
        <vt:lpwstr>_3.2_Internal_Working</vt:lpwstr>
      </vt:variant>
      <vt:variant>
        <vt:i4>1114236</vt:i4>
      </vt:variant>
      <vt:variant>
        <vt:i4>273</vt:i4>
      </vt:variant>
      <vt:variant>
        <vt:i4>0</vt:i4>
      </vt:variant>
      <vt:variant>
        <vt:i4>5</vt:i4>
      </vt:variant>
      <vt:variant>
        <vt:lpwstr/>
      </vt:variant>
      <vt:variant>
        <vt:lpwstr>_3.1.2__Stakeholder</vt:lpwstr>
      </vt:variant>
      <vt:variant>
        <vt:i4>851987</vt:i4>
      </vt:variant>
      <vt:variant>
        <vt:i4>270</vt:i4>
      </vt:variant>
      <vt:variant>
        <vt:i4>0</vt:i4>
      </vt:variant>
      <vt:variant>
        <vt:i4>5</vt:i4>
      </vt:variant>
      <vt:variant>
        <vt:lpwstr>http://www.pbs.gov.au/info/reviews/diabetes-medicines-review-consultation</vt:lpwstr>
      </vt:variant>
      <vt:variant>
        <vt:lpwstr/>
      </vt:variant>
      <vt:variant>
        <vt:i4>7077889</vt:i4>
      </vt:variant>
      <vt:variant>
        <vt:i4>267</vt:i4>
      </vt:variant>
      <vt:variant>
        <vt:i4>0</vt:i4>
      </vt:variant>
      <vt:variant>
        <vt:i4>5</vt:i4>
      </vt:variant>
      <vt:variant>
        <vt:lpwstr/>
      </vt:variant>
      <vt:variant>
        <vt:lpwstr>_Appendix_A:_List</vt:lpwstr>
      </vt:variant>
      <vt:variant>
        <vt:i4>7274504</vt:i4>
      </vt:variant>
      <vt:variant>
        <vt:i4>264</vt:i4>
      </vt:variant>
      <vt:variant>
        <vt:i4>0</vt:i4>
      </vt:variant>
      <vt:variant>
        <vt:i4>5</vt:i4>
      </vt:variant>
      <vt:variant>
        <vt:lpwstr/>
      </vt:variant>
      <vt:variant>
        <vt:lpwstr>_1.3.4__Reference</vt:lpwstr>
      </vt:variant>
      <vt:variant>
        <vt:i4>100</vt:i4>
      </vt:variant>
      <vt:variant>
        <vt:i4>261</vt:i4>
      </vt:variant>
      <vt:variant>
        <vt:i4>0</vt:i4>
      </vt:variant>
      <vt:variant>
        <vt:i4>5</vt:i4>
      </vt:variant>
      <vt:variant>
        <vt:lpwstr/>
      </vt:variant>
      <vt:variant>
        <vt:lpwstr>_3.1.1__Submissions</vt:lpwstr>
      </vt:variant>
      <vt:variant>
        <vt:i4>851987</vt:i4>
      </vt:variant>
      <vt:variant>
        <vt:i4>258</vt:i4>
      </vt:variant>
      <vt:variant>
        <vt:i4>0</vt:i4>
      </vt:variant>
      <vt:variant>
        <vt:i4>5</vt:i4>
      </vt:variant>
      <vt:variant>
        <vt:lpwstr>http://www.pbs.gov.au/info/reviews/diabetes-medicines-review-consultation</vt:lpwstr>
      </vt:variant>
      <vt:variant>
        <vt:lpwstr/>
      </vt:variant>
      <vt:variant>
        <vt:i4>7798824</vt:i4>
      </vt:variant>
      <vt:variant>
        <vt:i4>255</vt:i4>
      </vt:variant>
      <vt:variant>
        <vt:i4>0</vt:i4>
      </vt:variant>
      <vt:variant>
        <vt:i4>5</vt:i4>
      </vt:variant>
      <vt:variant>
        <vt:lpwstr>http://www.pbs.gov.au/</vt:lpwstr>
      </vt:variant>
      <vt:variant>
        <vt:lpwstr/>
      </vt:variant>
      <vt:variant>
        <vt:i4>6357027</vt:i4>
      </vt:variant>
      <vt:variant>
        <vt:i4>252</vt:i4>
      </vt:variant>
      <vt:variant>
        <vt:i4>0</vt:i4>
      </vt:variant>
      <vt:variant>
        <vt:i4>5</vt:i4>
      </vt:variant>
      <vt:variant>
        <vt:lpwstr>http://www.pbs.gov.au/info/reviews/diabetes</vt:lpwstr>
      </vt:variant>
      <vt:variant>
        <vt:lpwstr/>
      </vt:variant>
      <vt:variant>
        <vt:i4>7012415</vt:i4>
      </vt:variant>
      <vt:variant>
        <vt:i4>249</vt:i4>
      </vt:variant>
      <vt:variant>
        <vt:i4>0</vt:i4>
      </vt:variant>
      <vt:variant>
        <vt:i4>5</vt:i4>
      </vt:variant>
      <vt:variant>
        <vt:lpwstr>http://www.pbs.gov.au/info/reviews/subsidised-medicines-reviews</vt:lpwstr>
      </vt:variant>
      <vt:variant>
        <vt:lpwstr/>
      </vt:variant>
      <vt:variant>
        <vt:i4>6357027</vt:i4>
      </vt:variant>
      <vt:variant>
        <vt:i4>246</vt:i4>
      </vt:variant>
      <vt:variant>
        <vt:i4>0</vt:i4>
      </vt:variant>
      <vt:variant>
        <vt:i4>5</vt:i4>
      </vt:variant>
      <vt:variant>
        <vt:lpwstr>http://www.pbs.gov.au/info/reviews/diabetes</vt:lpwstr>
      </vt:variant>
      <vt:variant>
        <vt:lpwstr/>
      </vt:variant>
      <vt:variant>
        <vt:i4>7012415</vt:i4>
      </vt:variant>
      <vt:variant>
        <vt:i4>243</vt:i4>
      </vt:variant>
      <vt:variant>
        <vt:i4>0</vt:i4>
      </vt:variant>
      <vt:variant>
        <vt:i4>5</vt:i4>
      </vt:variant>
      <vt:variant>
        <vt:lpwstr>http://www.pbs.gov.au/info/reviews/subsidised-medicines-reviews</vt:lpwstr>
      </vt:variant>
      <vt:variant>
        <vt:lpwstr/>
      </vt:variant>
      <vt:variant>
        <vt:i4>1048625</vt:i4>
      </vt:variant>
      <vt:variant>
        <vt:i4>236</vt:i4>
      </vt:variant>
      <vt:variant>
        <vt:i4>0</vt:i4>
      </vt:variant>
      <vt:variant>
        <vt:i4>5</vt:i4>
      </vt:variant>
      <vt:variant>
        <vt:lpwstr/>
      </vt:variant>
      <vt:variant>
        <vt:lpwstr>_Toc392149467</vt:lpwstr>
      </vt:variant>
      <vt:variant>
        <vt:i4>1048625</vt:i4>
      </vt:variant>
      <vt:variant>
        <vt:i4>230</vt:i4>
      </vt:variant>
      <vt:variant>
        <vt:i4>0</vt:i4>
      </vt:variant>
      <vt:variant>
        <vt:i4>5</vt:i4>
      </vt:variant>
      <vt:variant>
        <vt:lpwstr/>
      </vt:variant>
      <vt:variant>
        <vt:lpwstr>_Toc392149466</vt:lpwstr>
      </vt:variant>
      <vt:variant>
        <vt:i4>1048625</vt:i4>
      </vt:variant>
      <vt:variant>
        <vt:i4>224</vt:i4>
      </vt:variant>
      <vt:variant>
        <vt:i4>0</vt:i4>
      </vt:variant>
      <vt:variant>
        <vt:i4>5</vt:i4>
      </vt:variant>
      <vt:variant>
        <vt:lpwstr/>
      </vt:variant>
      <vt:variant>
        <vt:lpwstr>_Toc392149465</vt:lpwstr>
      </vt:variant>
      <vt:variant>
        <vt:i4>1048625</vt:i4>
      </vt:variant>
      <vt:variant>
        <vt:i4>218</vt:i4>
      </vt:variant>
      <vt:variant>
        <vt:i4>0</vt:i4>
      </vt:variant>
      <vt:variant>
        <vt:i4>5</vt:i4>
      </vt:variant>
      <vt:variant>
        <vt:lpwstr/>
      </vt:variant>
      <vt:variant>
        <vt:lpwstr>_Toc392149464</vt:lpwstr>
      </vt:variant>
      <vt:variant>
        <vt:i4>1048625</vt:i4>
      </vt:variant>
      <vt:variant>
        <vt:i4>212</vt:i4>
      </vt:variant>
      <vt:variant>
        <vt:i4>0</vt:i4>
      </vt:variant>
      <vt:variant>
        <vt:i4>5</vt:i4>
      </vt:variant>
      <vt:variant>
        <vt:lpwstr/>
      </vt:variant>
      <vt:variant>
        <vt:lpwstr>_Toc392149463</vt:lpwstr>
      </vt:variant>
      <vt:variant>
        <vt:i4>1048625</vt:i4>
      </vt:variant>
      <vt:variant>
        <vt:i4>206</vt:i4>
      </vt:variant>
      <vt:variant>
        <vt:i4>0</vt:i4>
      </vt:variant>
      <vt:variant>
        <vt:i4>5</vt:i4>
      </vt:variant>
      <vt:variant>
        <vt:lpwstr/>
      </vt:variant>
      <vt:variant>
        <vt:lpwstr>_Toc392149462</vt:lpwstr>
      </vt:variant>
      <vt:variant>
        <vt:i4>1048625</vt:i4>
      </vt:variant>
      <vt:variant>
        <vt:i4>200</vt:i4>
      </vt:variant>
      <vt:variant>
        <vt:i4>0</vt:i4>
      </vt:variant>
      <vt:variant>
        <vt:i4>5</vt:i4>
      </vt:variant>
      <vt:variant>
        <vt:lpwstr/>
      </vt:variant>
      <vt:variant>
        <vt:lpwstr>_Toc392149461</vt:lpwstr>
      </vt:variant>
      <vt:variant>
        <vt:i4>1048625</vt:i4>
      </vt:variant>
      <vt:variant>
        <vt:i4>194</vt:i4>
      </vt:variant>
      <vt:variant>
        <vt:i4>0</vt:i4>
      </vt:variant>
      <vt:variant>
        <vt:i4>5</vt:i4>
      </vt:variant>
      <vt:variant>
        <vt:lpwstr/>
      </vt:variant>
      <vt:variant>
        <vt:lpwstr>_Toc392149460</vt:lpwstr>
      </vt:variant>
      <vt:variant>
        <vt:i4>1245233</vt:i4>
      </vt:variant>
      <vt:variant>
        <vt:i4>188</vt:i4>
      </vt:variant>
      <vt:variant>
        <vt:i4>0</vt:i4>
      </vt:variant>
      <vt:variant>
        <vt:i4>5</vt:i4>
      </vt:variant>
      <vt:variant>
        <vt:lpwstr/>
      </vt:variant>
      <vt:variant>
        <vt:lpwstr>_Toc392149459</vt:lpwstr>
      </vt:variant>
      <vt:variant>
        <vt:i4>1245233</vt:i4>
      </vt:variant>
      <vt:variant>
        <vt:i4>182</vt:i4>
      </vt:variant>
      <vt:variant>
        <vt:i4>0</vt:i4>
      </vt:variant>
      <vt:variant>
        <vt:i4>5</vt:i4>
      </vt:variant>
      <vt:variant>
        <vt:lpwstr/>
      </vt:variant>
      <vt:variant>
        <vt:lpwstr>_Toc392149458</vt:lpwstr>
      </vt:variant>
      <vt:variant>
        <vt:i4>1245233</vt:i4>
      </vt:variant>
      <vt:variant>
        <vt:i4>176</vt:i4>
      </vt:variant>
      <vt:variant>
        <vt:i4>0</vt:i4>
      </vt:variant>
      <vt:variant>
        <vt:i4>5</vt:i4>
      </vt:variant>
      <vt:variant>
        <vt:lpwstr/>
      </vt:variant>
      <vt:variant>
        <vt:lpwstr>_Toc392149457</vt:lpwstr>
      </vt:variant>
      <vt:variant>
        <vt:i4>1245233</vt:i4>
      </vt:variant>
      <vt:variant>
        <vt:i4>170</vt:i4>
      </vt:variant>
      <vt:variant>
        <vt:i4>0</vt:i4>
      </vt:variant>
      <vt:variant>
        <vt:i4>5</vt:i4>
      </vt:variant>
      <vt:variant>
        <vt:lpwstr/>
      </vt:variant>
      <vt:variant>
        <vt:lpwstr>_Toc392149456</vt:lpwstr>
      </vt:variant>
      <vt:variant>
        <vt:i4>1245233</vt:i4>
      </vt:variant>
      <vt:variant>
        <vt:i4>164</vt:i4>
      </vt:variant>
      <vt:variant>
        <vt:i4>0</vt:i4>
      </vt:variant>
      <vt:variant>
        <vt:i4>5</vt:i4>
      </vt:variant>
      <vt:variant>
        <vt:lpwstr/>
      </vt:variant>
      <vt:variant>
        <vt:lpwstr>_Toc392149455</vt:lpwstr>
      </vt:variant>
      <vt:variant>
        <vt:i4>1245233</vt:i4>
      </vt:variant>
      <vt:variant>
        <vt:i4>158</vt:i4>
      </vt:variant>
      <vt:variant>
        <vt:i4>0</vt:i4>
      </vt:variant>
      <vt:variant>
        <vt:i4>5</vt:i4>
      </vt:variant>
      <vt:variant>
        <vt:lpwstr/>
      </vt:variant>
      <vt:variant>
        <vt:lpwstr>_Toc392149454</vt:lpwstr>
      </vt:variant>
      <vt:variant>
        <vt:i4>1245233</vt:i4>
      </vt:variant>
      <vt:variant>
        <vt:i4>152</vt:i4>
      </vt:variant>
      <vt:variant>
        <vt:i4>0</vt:i4>
      </vt:variant>
      <vt:variant>
        <vt:i4>5</vt:i4>
      </vt:variant>
      <vt:variant>
        <vt:lpwstr/>
      </vt:variant>
      <vt:variant>
        <vt:lpwstr>_Toc392149453</vt:lpwstr>
      </vt:variant>
      <vt:variant>
        <vt:i4>1245233</vt:i4>
      </vt:variant>
      <vt:variant>
        <vt:i4>146</vt:i4>
      </vt:variant>
      <vt:variant>
        <vt:i4>0</vt:i4>
      </vt:variant>
      <vt:variant>
        <vt:i4>5</vt:i4>
      </vt:variant>
      <vt:variant>
        <vt:lpwstr/>
      </vt:variant>
      <vt:variant>
        <vt:lpwstr>_Toc392149452</vt:lpwstr>
      </vt:variant>
      <vt:variant>
        <vt:i4>1245233</vt:i4>
      </vt:variant>
      <vt:variant>
        <vt:i4>140</vt:i4>
      </vt:variant>
      <vt:variant>
        <vt:i4>0</vt:i4>
      </vt:variant>
      <vt:variant>
        <vt:i4>5</vt:i4>
      </vt:variant>
      <vt:variant>
        <vt:lpwstr/>
      </vt:variant>
      <vt:variant>
        <vt:lpwstr>_Toc392149451</vt:lpwstr>
      </vt:variant>
      <vt:variant>
        <vt:i4>1245233</vt:i4>
      </vt:variant>
      <vt:variant>
        <vt:i4>134</vt:i4>
      </vt:variant>
      <vt:variant>
        <vt:i4>0</vt:i4>
      </vt:variant>
      <vt:variant>
        <vt:i4>5</vt:i4>
      </vt:variant>
      <vt:variant>
        <vt:lpwstr/>
      </vt:variant>
      <vt:variant>
        <vt:lpwstr>_Toc392149450</vt:lpwstr>
      </vt:variant>
      <vt:variant>
        <vt:i4>1179697</vt:i4>
      </vt:variant>
      <vt:variant>
        <vt:i4>128</vt:i4>
      </vt:variant>
      <vt:variant>
        <vt:i4>0</vt:i4>
      </vt:variant>
      <vt:variant>
        <vt:i4>5</vt:i4>
      </vt:variant>
      <vt:variant>
        <vt:lpwstr/>
      </vt:variant>
      <vt:variant>
        <vt:lpwstr>_Toc392149449</vt:lpwstr>
      </vt:variant>
      <vt:variant>
        <vt:i4>1179697</vt:i4>
      </vt:variant>
      <vt:variant>
        <vt:i4>122</vt:i4>
      </vt:variant>
      <vt:variant>
        <vt:i4>0</vt:i4>
      </vt:variant>
      <vt:variant>
        <vt:i4>5</vt:i4>
      </vt:variant>
      <vt:variant>
        <vt:lpwstr/>
      </vt:variant>
      <vt:variant>
        <vt:lpwstr>_Toc392149448</vt:lpwstr>
      </vt:variant>
      <vt:variant>
        <vt:i4>1179697</vt:i4>
      </vt:variant>
      <vt:variant>
        <vt:i4>116</vt:i4>
      </vt:variant>
      <vt:variant>
        <vt:i4>0</vt:i4>
      </vt:variant>
      <vt:variant>
        <vt:i4>5</vt:i4>
      </vt:variant>
      <vt:variant>
        <vt:lpwstr/>
      </vt:variant>
      <vt:variant>
        <vt:lpwstr>_Toc392149447</vt:lpwstr>
      </vt:variant>
      <vt:variant>
        <vt:i4>1179697</vt:i4>
      </vt:variant>
      <vt:variant>
        <vt:i4>110</vt:i4>
      </vt:variant>
      <vt:variant>
        <vt:i4>0</vt:i4>
      </vt:variant>
      <vt:variant>
        <vt:i4>5</vt:i4>
      </vt:variant>
      <vt:variant>
        <vt:lpwstr/>
      </vt:variant>
      <vt:variant>
        <vt:lpwstr>_Toc392149446</vt:lpwstr>
      </vt:variant>
      <vt:variant>
        <vt:i4>1179697</vt:i4>
      </vt:variant>
      <vt:variant>
        <vt:i4>104</vt:i4>
      </vt:variant>
      <vt:variant>
        <vt:i4>0</vt:i4>
      </vt:variant>
      <vt:variant>
        <vt:i4>5</vt:i4>
      </vt:variant>
      <vt:variant>
        <vt:lpwstr/>
      </vt:variant>
      <vt:variant>
        <vt:lpwstr>_Toc392149445</vt:lpwstr>
      </vt:variant>
      <vt:variant>
        <vt:i4>1179697</vt:i4>
      </vt:variant>
      <vt:variant>
        <vt:i4>98</vt:i4>
      </vt:variant>
      <vt:variant>
        <vt:i4>0</vt:i4>
      </vt:variant>
      <vt:variant>
        <vt:i4>5</vt:i4>
      </vt:variant>
      <vt:variant>
        <vt:lpwstr/>
      </vt:variant>
      <vt:variant>
        <vt:lpwstr>_Toc392149444</vt:lpwstr>
      </vt:variant>
      <vt:variant>
        <vt:i4>1179697</vt:i4>
      </vt:variant>
      <vt:variant>
        <vt:i4>92</vt:i4>
      </vt:variant>
      <vt:variant>
        <vt:i4>0</vt:i4>
      </vt:variant>
      <vt:variant>
        <vt:i4>5</vt:i4>
      </vt:variant>
      <vt:variant>
        <vt:lpwstr/>
      </vt:variant>
      <vt:variant>
        <vt:lpwstr>_Toc392149443</vt:lpwstr>
      </vt:variant>
      <vt:variant>
        <vt:i4>1179697</vt:i4>
      </vt:variant>
      <vt:variant>
        <vt:i4>86</vt:i4>
      </vt:variant>
      <vt:variant>
        <vt:i4>0</vt:i4>
      </vt:variant>
      <vt:variant>
        <vt:i4>5</vt:i4>
      </vt:variant>
      <vt:variant>
        <vt:lpwstr/>
      </vt:variant>
      <vt:variant>
        <vt:lpwstr>_Toc392149442</vt:lpwstr>
      </vt:variant>
      <vt:variant>
        <vt:i4>1179697</vt:i4>
      </vt:variant>
      <vt:variant>
        <vt:i4>80</vt:i4>
      </vt:variant>
      <vt:variant>
        <vt:i4>0</vt:i4>
      </vt:variant>
      <vt:variant>
        <vt:i4>5</vt:i4>
      </vt:variant>
      <vt:variant>
        <vt:lpwstr/>
      </vt:variant>
      <vt:variant>
        <vt:lpwstr>_Toc392149441</vt:lpwstr>
      </vt:variant>
      <vt:variant>
        <vt:i4>1179697</vt:i4>
      </vt:variant>
      <vt:variant>
        <vt:i4>74</vt:i4>
      </vt:variant>
      <vt:variant>
        <vt:i4>0</vt:i4>
      </vt:variant>
      <vt:variant>
        <vt:i4>5</vt:i4>
      </vt:variant>
      <vt:variant>
        <vt:lpwstr/>
      </vt:variant>
      <vt:variant>
        <vt:lpwstr>_Toc392149440</vt:lpwstr>
      </vt:variant>
      <vt:variant>
        <vt:i4>1376305</vt:i4>
      </vt:variant>
      <vt:variant>
        <vt:i4>68</vt:i4>
      </vt:variant>
      <vt:variant>
        <vt:i4>0</vt:i4>
      </vt:variant>
      <vt:variant>
        <vt:i4>5</vt:i4>
      </vt:variant>
      <vt:variant>
        <vt:lpwstr/>
      </vt:variant>
      <vt:variant>
        <vt:lpwstr>_Toc392149439</vt:lpwstr>
      </vt:variant>
      <vt:variant>
        <vt:i4>1376305</vt:i4>
      </vt:variant>
      <vt:variant>
        <vt:i4>62</vt:i4>
      </vt:variant>
      <vt:variant>
        <vt:i4>0</vt:i4>
      </vt:variant>
      <vt:variant>
        <vt:i4>5</vt:i4>
      </vt:variant>
      <vt:variant>
        <vt:lpwstr/>
      </vt:variant>
      <vt:variant>
        <vt:lpwstr>_Toc392149438</vt:lpwstr>
      </vt:variant>
      <vt:variant>
        <vt:i4>1376305</vt:i4>
      </vt:variant>
      <vt:variant>
        <vt:i4>56</vt:i4>
      </vt:variant>
      <vt:variant>
        <vt:i4>0</vt:i4>
      </vt:variant>
      <vt:variant>
        <vt:i4>5</vt:i4>
      </vt:variant>
      <vt:variant>
        <vt:lpwstr/>
      </vt:variant>
      <vt:variant>
        <vt:lpwstr>_Toc392149437</vt:lpwstr>
      </vt:variant>
      <vt:variant>
        <vt:i4>1376305</vt:i4>
      </vt:variant>
      <vt:variant>
        <vt:i4>50</vt:i4>
      </vt:variant>
      <vt:variant>
        <vt:i4>0</vt:i4>
      </vt:variant>
      <vt:variant>
        <vt:i4>5</vt:i4>
      </vt:variant>
      <vt:variant>
        <vt:lpwstr/>
      </vt:variant>
      <vt:variant>
        <vt:lpwstr>_Toc392149436</vt:lpwstr>
      </vt:variant>
      <vt:variant>
        <vt:i4>1376305</vt:i4>
      </vt:variant>
      <vt:variant>
        <vt:i4>44</vt:i4>
      </vt:variant>
      <vt:variant>
        <vt:i4>0</vt:i4>
      </vt:variant>
      <vt:variant>
        <vt:i4>5</vt:i4>
      </vt:variant>
      <vt:variant>
        <vt:lpwstr/>
      </vt:variant>
      <vt:variant>
        <vt:lpwstr>_Toc392149435</vt:lpwstr>
      </vt:variant>
      <vt:variant>
        <vt:i4>1376305</vt:i4>
      </vt:variant>
      <vt:variant>
        <vt:i4>38</vt:i4>
      </vt:variant>
      <vt:variant>
        <vt:i4>0</vt:i4>
      </vt:variant>
      <vt:variant>
        <vt:i4>5</vt:i4>
      </vt:variant>
      <vt:variant>
        <vt:lpwstr/>
      </vt:variant>
      <vt:variant>
        <vt:lpwstr>_Toc392149434</vt:lpwstr>
      </vt:variant>
      <vt:variant>
        <vt:i4>1376305</vt:i4>
      </vt:variant>
      <vt:variant>
        <vt:i4>32</vt:i4>
      </vt:variant>
      <vt:variant>
        <vt:i4>0</vt:i4>
      </vt:variant>
      <vt:variant>
        <vt:i4>5</vt:i4>
      </vt:variant>
      <vt:variant>
        <vt:lpwstr/>
      </vt:variant>
      <vt:variant>
        <vt:lpwstr>_Toc392149433</vt:lpwstr>
      </vt:variant>
      <vt:variant>
        <vt:i4>1376305</vt:i4>
      </vt:variant>
      <vt:variant>
        <vt:i4>26</vt:i4>
      </vt:variant>
      <vt:variant>
        <vt:i4>0</vt:i4>
      </vt:variant>
      <vt:variant>
        <vt:i4>5</vt:i4>
      </vt:variant>
      <vt:variant>
        <vt:lpwstr/>
      </vt:variant>
      <vt:variant>
        <vt:lpwstr>_Toc392149432</vt:lpwstr>
      </vt:variant>
      <vt:variant>
        <vt:i4>1376305</vt:i4>
      </vt:variant>
      <vt:variant>
        <vt:i4>20</vt:i4>
      </vt:variant>
      <vt:variant>
        <vt:i4>0</vt:i4>
      </vt:variant>
      <vt:variant>
        <vt:i4>5</vt:i4>
      </vt:variant>
      <vt:variant>
        <vt:lpwstr/>
      </vt:variant>
      <vt:variant>
        <vt:lpwstr>_Toc392149431</vt:lpwstr>
      </vt:variant>
      <vt:variant>
        <vt:i4>1376305</vt:i4>
      </vt:variant>
      <vt:variant>
        <vt:i4>14</vt:i4>
      </vt:variant>
      <vt:variant>
        <vt:i4>0</vt:i4>
      </vt:variant>
      <vt:variant>
        <vt:i4>5</vt:i4>
      </vt:variant>
      <vt:variant>
        <vt:lpwstr/>
      </vt:variant>
      <vt:variant>
        <vt:lpwstr>_Toc392149430</vt:lpwstr>
      </vt:variant>
      <vt:variant>
        <vt:i4>1310769</vt:i4>
      </vt:variant>
      <vt:variant>
        <vt:i4>8</vt:i4>
      </vt:variant>
      <vt:variant>
        <vt:i4>0</vt:i4>
      </vt:variant>
      <vt:variant>
        <vt:i4>5</vt:i4>
      </vt:variant>
      <vt:variant>
        <vt:lpwstr/>
      </vt:variant>
      <vt:variant>
        <vt:lpwstr>_Toc392149429</vt:lpwstr>
      </vt:variant>
      <vt:variant>
        <vt:i4>1310769</vt:i4>
      </vt:variant>
      <vt:variant>
        <vt:i4>2</vt:i4>
      </vt:variant>
      <vt:variant>
        <vt:i4>0</vt:i4>
      </vt:variant>
      <vt:variant>
        <vt:i4>5</vt:i4>
      </vt:variant>
      <vt:variant>
        <vt:lpwstr/>
      </vt:variant>
      <vt:variant>
        <vt:lpwstr>_Toc392149428</vt:lpwstr>
      </vt:variant>
      <vt:variant>
        <vt:i4>4456533</vt:i4>
      </vt:variant>
      <vt:variant>
        <vt:i4>18</vt:i4>
      </vt:variant>
      <vt:variant>
        <vt:i4>0</vt:i4>
      </vt:variant>
      <vt:variant>
        <vt:i4>5</vt:i4>
      </vt:variant>
      <vt:variant>
        <vt:lpwstr>http://www.ncbi.nlm.nih.gov/pubmed?term=DARTS%2FMEMO%20Collaboration%5BCorporate%20Author%5D</vt:lpwstr>
      </vt:variant>
      <vt:variant>
        <vt:lpwstr/>
      </vt:variant>
      <vt:variant>
        <vt:i4>4259951</vt:i4>
      </vt:variant>
      <vt:variant>
        <vt:i4>15</vt:i4>
      </vt:variant>
      <vt:variant>
        <vt:i4>0</vt:i4>
      </vt:variant>
      <vt:variant>
        <vt:i4>5</vt:i4>
      </vt:variant>
      <vt:variant>
        <vt:lpwstr>http://www.ncbi.nlm.nih.gov/pubmed?term=Morris%20AD%5BAuthor%5D&amp;cauthor=true&amp;cauthor_uid=11472468</vt:lpwstr>
      </vt:variant>
      <vt:variant>
        <vt:lpwstr/>
      </vt:variant>
      <vt:variant>
        <vt:i4>123</vt:i4>
      </vt:variant>
      <vt:variant>
        <vt:i4>12</vt:i4>
      </vt:variant>
      <vt:variant>
        <vt:i4>0</vt:i4>
      </vt:variant>
      <vt:variant>
        <vt:i4>5</vt:i4>
      </vt:variant>
      <vt:variant>
        <vt:lpwstr>http://www.ncbi.nlm.nih.gov/pubmed?term=Sullivan%20F%5BAuthor%5D&amp;cauthor=true&amp;cauthor_uid=11472468</vt:lpwstr>
      </vt:variant>
      <vt:variant>
        <vt:lpwstr/>
      </vt:variant>
      <vt:variant>
        <vt:i4>3473494</vt:i4>
      </vt:variant>
      <vt:variant>
        <vt:i4>9</vt:i4>
      </vt:variant>
      <vt:variant>
        <vt:i4>0</vt:i4>
      </vt:variant>
      <vt:variant>
        <vt:i4>5</vt:i4>
      </vt:variant>
      <vt:variant>
        <vt:lpwstr>http://www.ncbi.nlm.nih.gov/pubmed?term=Evans%20JM%5BAuthor%5D&amp;cauthor=true&amp;cauthor_uid=11472468</vt:lpwstr>
      </vt:variant>
      <vt:variant>
        <vt:lpwstr/>
      </vt:variant>
      <vt:variant>
        <vt:i4>2752593</vt:i4>
      </vt:variant>
      <vt:variant>
        <vt:i4>6</vt:i4>
      </vt:variant>
      <vt:variant>
        <vt:i4>0</vt:i4>
      </vt:variant>
      <vt:variant>
        <vt:i4>5</vt:i4>
      </vt:variant>
      <vt:variant>
        <vt:lpwstr>http://www.ncbi.nlm.nih.gov/pubmed?term=Boyle%20DI%5BAuthor%5D&amp;cauthor=true&amp;cauthor_uid=11472468</vt:lpwstr>
      </vt:variant>
      <vt:variant>
        <vt:lpwstr/>
      </vt:variant>
      <vt:variant>
        <vt:i4>3735643</vt:i4>
      </vt:variant>
      <vt:variant>
        <vt:i4>3</vt:i4>
      </vt:variant>
      <vt:variant>
        <vt:i4>0</vt:i4>
      </vt:variant>
      <vt:variant>
        <vt:i4>5</vt:i4>
      </vt:variant>
      <vt:variant>
        <vt:lpwstr>http://www.ncbi.nlm.nih.gov/pubmed?term=Emslie-Smith%20AM%5BAuthor%5D&amp;cauthor=true&amp;cauthor_uid=11472468</vt:lpwstr>
      </vt:variant>
      <vt:variant>
        <vt:lpwstr/>
      </vt:variant>
      <vt:variant>
        <vt:i4>3276919</vt:i4>
      </vt:variant>
      <vt:variant>
        <vt:i4>0</vt:i4>
      </vt:variant>
      <vt:variant>
        <vt:i4>0</vt:i4>
      </vt:variant>
      <vt:variant>
        <vt:i4>5</vt:i4>
      </vt:variant>
      <vt:variant>
        <vt:lpwstr>http://www.aihw.gov.au/how-common-is-diabetes/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Williams Shaiyena</dc:creator>
  <cp:lastModifiedBy>Williams Shaiyena</cp:lastModifiedBy>
  <cp:revision>5</cp:revision>
  <cp:lastPrinted>2015-05-28T05:42:00Z</cp:lastPrinted>
  <dcterms:created xsi:type="dcterms:W3CDTF">2015-05-28T05:40:00Z</dcterms:created>
  <dcterms:modified xsi:type="dcterms:W3CDTF">2015-05-28T05:43:00Z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ies>
</file>